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3D027" w14:textId="77777777" w:rsidR="005E317F" w:rsidRPr="00C04168" w:rsidRDefault="005E317F" w:rsidP="005E317F">
      <w:pPr>
        <w:rPr>
          <w:sz w:val="28"/>
        </w:rPr>
      </w:pPr>
      <w:r w:rsidRPr="00C04168">
        <w:rPr>
          <w:noProof/>
          <w:lang w:eastAsia="en-AU"/>
        </w:rPr>
        <w:drawing>
          <wp:inline distT="0" distB="0" distL="0" distR="0" wp14:anchorId="63197586" wp14:editId="62BE876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AA550EB" w14:textId="77777777" w:rsidR="005E317F" w:rsidRPr="00C04168" w:rsidRDefault="005E317F" w:rsidP="005E317F">
      <w:pPr>
        <w:rPr>
          <w:sz w:val="19"/>
        </w:rPr>
      </w:pPr>
    </w:p>
    <w:p w14:paraId="131E1ED1" w14:textId="4D901F2C" w:rsidR="008610D5" w:rsidRPr="00C04168" w:rsidRDefault="008610D5" w:rsidP="005E317F">
      <w:pPr>
        <w:pStyle w:val="ShortT"/>
      </w:pPr>
      <w:r w:rsidRPr="00C04168">
        <w:t>Health Insurance (Section 3C General Medical Services – COVID-19 Telehealth and Telephone Attendances) Amendment (</w:t>
      </w:r>
      <w:r w:rsidR="009049DF" w:rsidRPr="00C04168">
        <w:t>Bulk-billing Requirement</w:t>
      </w:r>
      <w:r w:rsidR="00C77F5D" w:rsidRPr="00C04168">
        <w:t xml:space="preserve"> and New Remote Attendance Services</w:t>
      </w:r>
      <w:r w:rsidRPr="00C04168">
        <w:t>) Determination 2020</w:t>
      </w:r>
    </w:p>
    <w:p w14:paraId="0590EA6E" w14:textId="55BC0775" w:rsidR="005E317F" w:rsidRPr="00C04168" w:rsidRDefault="005E317F" w:rsidP="005E317F">
      <w:pPr>
        <w:pStyle w:val="SignCoverPageStart"/>
        <w:spacing w:before="240"/>
        <w:ind w:right="91"/>
        <w:rPr>
          <w:szCs w:val="22"/>
        </w:rPr>
      </w:pPr>
      <w:r w:rsidRPr="00C04168">
        <w:rPr>
          <w:szCs w:val="22"/>
        </w:rPr>
        <w:t xml:space="preserve">I, </w:t>
      </w:r>
      <w:r w:rsidR="009049DF" w:rsidRPr="00C04168">
        <w:rPr>
          <w:szCs w:val="22"/>
        </w:rPr>
        <w:t>the Hon Greg Hunt MP</w:t>
      </w:r>
      <w:r w:rsidRPr="00C04168">
        <w:rPr>
          <w:szCs w:val="22"/>
        </w:rPr>
        <w:t xml:space="preserve">, </w:t>
      </w:r>
      <w:r w:rsidR="009049DF" w:rsidRPr="00C04168">
        <w:rPr>
          <w:szCs w:val="22"/>
        </w:rPr>
        <w:t>Minister for Health</w:t>
      </w:r>
      <w:r w:rsidRPr="00C04168">
        <w:rPr>
          <w:szCs w:val="22"/>
        </w:rPr>
        <w:t xml:space="preserve">, make the following </w:t>
      </w:r>
      <w:r w:rsidR="009049DF" w:rsidRPr="00C04168">
        <w:rPr>
          <w:szCs w:val="22"/>
        </w:rPr>
        <w:t>determination</w:t>
      </w:r>
      <w:r w:rsidRPr="00C04168">
        <w:rPr>
          <w:szCs w:val="22"/>
        </w:rPr>
        <w:t>.</w:t>
      </w:r>
    </w:p>
    <w:p w14:paraId="237E41C6" w14:textId="1E23699B" w:rsidR="005E317F" w:rsidRPr="00C04168" w:rsidRDefault="005165B6" w:rsidP="005E317F">
      <w:pPr>
        <w:keepNext/>
        <w:spacing w:before="300" w:line="240" w:lineRule="atLeast"/>
        <w:ind w:right="397"/>
        <w:jc w:val="both"/>
        <w:rPr>
          <w:szCs w:val="22"/>
        </w:rPr>
      </w:pPr>
      <w:r>
        <w:rPr>
          <w:szCs w:val="22"/>
        </w:rPr>
        <w:t>Dated</w:t>
      </w:r>
      <w:r>
        <w:rPr>
          <w:szCs w:val="22"/>
        </w:rPr>
        <w:tab/>
        <w:t>17 April 2020</w:t>
      </w:r>
    </w:p>
    <w:p w14:paraId="3DAE0B2B" w14:textId="4BAD6465" w:rsidR="005E317F" w:rsidRPr="00C04168" w:rsidRDefault="009049DF" w:rsidP="005E317F">
      <w:pPr>
        <w:keepNext/>
        <w:tabs>
          <w:tab w:val="left" w:pos="3402"/>
        </w:tabs>
        <w:spacing w:before="1440" w:line="300" w:lineRule="atLeast"/>
        <w:ind w:right="397"/>
        <w:rPr>
          <w:b/>
          <w:szCs w:val="22"/>
        </w:rPr>
      </w:pPr>
      <w:r w:rsidRPr="00C04168">
        <w:rPr>
          <w:szCs w:val="22"/>
        </w:rPr>
        <w:t>Greg Hunt</w:t>
      </w:r>
      <w:r w:rsidR="005E317F" w:rsidRPr="00C04168">
        <w:rPr>
          <w:szCs w:val="22"/>
        </w:rPr>
        <w:t xml:space="preserve"> </w:t>
      </w:r>
    </w:p>
    <w:p w14:paraId="58EF39FA" w14:textId="2071CC49" w:rsidR="005E317F" w:rsidRPr="00C04168" w:rsidRDefault="009049DF" w:rsidP="005E317F">
      <w:pPr>
        <w:pStyle w:val="SignCoverPageEnd"/>
        <w:ind w:right="91"/>
        <w:rPr>
          <w:b/>
          <w:sz w:val="22"/>
        </w:rPr>
      </w:pPr>
      <w:r w:rsidRPr="00C04168">
        <w:rPr>
          <w:sz w:val="22"/>
        </w:rPr>
        <w:t>Minister for Health</w:t>
      </w:r>
      <w:r w:rsidR="00E7145A" w:rsidRPr="00C04168">
        <w:rPr>
          <w:sz w:val="22"/>
        </w:rPr>
        <w:t xml:space="preserve"> </w:t>
      </w:r>
    </w:p>
    <w:p w14:paraId="0AFB973C" w14:textId="77777777" w:rsidR="00C96FBC" w:rsidRPr="00C04168" w:rsidRDefault="00C96FBC" w:rsidP="00B20990"/>
    <w:p w14:paraId="70E58CCB" w14:textId="77777777" w:rsidR="00C96FBC" w:rsidRPr="00C04168" w:rsidRDefault="00C96FBC" w:rsidP="00B20990">
      <w:pPr>
        <w:sectPr w:rsidR="00C96FBC" w:rsidRPr="00C04168" w:rsidSect="00B20990">
          <w:headerReference w:type="even" r:id="rId8"/>
          <w:headerReference w:type="default" r:id="rId9"/>
          <w:footerReference w:type="even" r:id="rId10"/>
          <w:footerReference w:type="default" r:id="rId11"/>
          <w:headerReference w:type="first" r:id="rId12"/>
          <w:footerReference w:type="first" r:id="rId13"/>
          <w:type w:val="continuous"/>
          <w:pgSz w:w="11907" w:h="16839"/>
          <w:pgMar w:top="1440" w:right="1797" w:bottom="1440" w:left="1797" w:header="720" w:footer="709" w:gutter="0"/>
          <w:cols w:space="708"/>
          <w:titlePg/>
          <w:docGrid w:linePitch="360"/>
        </w:sectPr>
      </w:pPr>
    </w:p>
    <w:p w14:paraId="26CFF30E" w14:textId="77777777" w:rsidR="00B20990" w:rsidRPr="00C04168" w:rsidRDefault="00B20990" w:rsidP="00B20990">
      <w:pPr>
        <w:outlineLvl w:val="0"/>
        <w:rPr>
          <w:sz w:val="36"/>
        </w:rPr>
      </w:pPr>
      <w:r w:rsidRPr="00C04168">
        <w:rPr>
          <w:sz w:val="36"/>
        </w:rPr>
        <w:lastRenderedPageBreak/>
        <w:t>Contents</w:t>
      </w:r>
    </w:p>
    <w:bookmarkStart w:id="0" w:name="BKCheck15B_2"/>
    <w:bookmarkEnd w:id="0"/>
    <w:p w14:paraId="533F615A" w14:textId="227CFACF" w:rsidR="005D3BE1" w:rsidRPr="00C04168" w:rsidRDefault="00B20990">
      <w:pPr>
        <w:pStyle w:val="TOC5"/>
        <w:rPr>
          <w:rFonts w:asciiTheme="minorHAnsi" w:eastAsiaTheme="minorEastAsia" w:hAnsiTheme="minorHAnsi" w:cstheme="minorBidi"/>
          <w:noProof/>
          <w:kern w:val="0"/>
          <w:sz w:val="22"/>
          <w:szCs w:val="22"/>
          <w:lang w:val="en-GB" w:eastAsia="en-GB"/>
        </w:rPr>
      </w:pPr>
      <w:r w:rsidRPr="00C04168">
        <w:fldChar w:fldCharType="begin"/>
      </w:r>
      <w:r w:rsidRPr="00C04168">
        <w:instrText xml:space="preserve"> TOC \o "1-9" </w:instrText>
      </w:r>
      <w:r w:rsidRPr="00C04168">
        <w:fldChar w:fldCharType="separate"/>
      </w:r>
      <w:r w:rsidR="005D3BE1" w:rsidRPr="00C04168">
        <w:rPr>
          <w:noProof/>
        </w:rPr>
        <w:t>1  Name</w:t>
      </w:r>
      <w:r w:rsidR="005D3BE1" w:rsidRPr="00C04168">
        <w:rPr>
          <w:noProof/>
        </w:rPr>
        <w:tab/>
      </w:r>
      <w:r w:rsidR="005D3BE1" w:rsidRPr="00C04168">
        <w:rPr>
          <w:noProof/>
        </w:rPr>
        <w:fldChar w:fldCharType="begin"/>
      </w:r>
      <w:r w:rsidR="005D3BE1" w:rsidRPr="00C04168">
        <w:rPr>
          <w:noProof/>
        </w:rPr>
        <w:instrText xml:space="preserve"> PAGEREF _Toc37833862 \h </w:instrText>
      </w:r>
      <w:r w:rsidR="005D3BE1" w:rsidRPr="00C04168">
        <w:rPr>
          <w:noProof/>
        </w:rPr>
      </w:r>
      <w:r w:rsidR="005D3BE1" w:rsidRPr="00C04168">
        <w:rPr>
          <w:noProof/>
        </w:rPr>
        <w:fldChar w:fldCharType="separate"/>
      </w:r>
      <w:r w:rsidR="006F0CAB">
        <w:rPr>
          <w:noProof/>
        </w:rPr>
        <w:t>1</w:t>
      </w:r>
      <w:r w:rsidR="005D3BE1" w:rsidRPr="00C04168">
        <w:rPr>
          <w:noProof/>
        </w:rPr>
        <w:fldChar w:fldCharType="end"/>
      </w:r>
    </w:p>
    <w:p w14:paraId="41869B41" w14:textId="59F61362" w:rsidR="005D3BE1" w:rsidRPr="00C04168" w:rsidRDefault="005D3BE1">
      <w:pPr>
        <w:pStyle w:val="TOC5"/>
        <w:rPr>
          <w:rFonts w:asciiTheme="minorHAnsi" w:eastAsiaTheme="minorEastAsia" w:hAnsiTheme="minorHAnsi" w:cstheme="minorBidi"/>
          <w:noProof/>
          <w:kern w:val="0"/>
          <w:sz w:val="22"/>
          <w:szCs w:val="22"/>
          <w:lang w:val="en-GB" w:eastAsia="en-GB"/>
        </w:rPr>
      </w:pPr>
      <w:r w:rsidRPr="00C04168">
        <w:rPr>
          <w:noProof/>
        </w:rPr>
        <w:t>2  Commencement</w:t>
      </w:r>
      <w:r w:rsidRPr="00C04168">
        <w:rPr>
          <w:noProof/>
        </w:rPr>
        <w:tab/>
      </w:r>
      <w:r w:rsidRPr="00C04168">
        <w:rPr>
          <w:noProof/>
        </w:rPr>
        <w:fldChar w:fldCharType="begin"/>
      </w:r>
      <w:r w:rsidRPr="00C04168">
        <w:rPr>
          <w:noProof/>
        </w:rPr>
        <w:instrText xml:space="preserve"> PAGEREF _Toc37833863 \h </w:instrText>
      </w:r>
      <w:r w:rsidRPr="00C04168">
        <w:rPr>
          <w:noProof/>
        </w:rPr>
      </w:r>
      <w:r w:rsidRPr="00C04168">
        <w:rPr>
          <w:noProof/>
        </w:rPr>
        <w:fldChar w:fldCharType="separate"/>
      </w:r>
      <w:r w:rsidR="006F0CAB">
        <w:rPr>
          <w:noProof/>
        </w:rPr>
        <w:t>1</w:t>
      </w:r>
      <w:r w:rsidRPr="00C04168">
        <w:rPr>
          <w:noProof/>
        </w:rPr>
        <w:fldChar w:fldCharType="end"/>
      </w:r>
    </w:p>
    <w:p w14:paraId="63FED31E" w14:textId="088D6FC0" w:rsidR="005D3BE1" w:rsidRPr="00C04168" w:rsidRDefault="005D3BE1">
      <w:pPr>
        <w:pStyle w:val="TOC5"/>
        <w:rPr>
          <w:rFonts w:asciiTheme="minorHAnsi" w:eastAsiaTheme="minorEastAsia" w:hAnsiTheme="minorHAnsi" w:cstheme="minorBidi"/>
          <w:noProof/>
          <w:kern w:val="0"/>
          <w:sz w:val="22"/>
          <w:szCs w:val="22"/>
          <w:lang w:val="en-GB" w:eastAsia="en-GB"/>
        </w:rPr>
      </w:pPr>
      <w:r w:rsidRPr="00C04168">
        <w:rPr>
          <w:noProof/>
        </w:rPr>
        <w:t>3  Authority</w:t>
      </w:r>
      <w:r w:rsidRPr="00C04168">
        <w:rPr>
          <w:noProof/>
        </w:rPr>
        <w:tab/>
      </w:r>
      <w:r w:rsidRPr="00C04168">
        <w:rPr>
          <w:noProof/>
        </w:rPr>
        <w:fldChar w:fldCharType="begin"/>
      </w:r>
      <w:r w:rsidRPr="00C04168">
        <w:rPr>
          <w:noProof/>
        </w:rPr>
        <w:instrText xml:space="preserve"> PAGEREF _Toc37833864 \h </w:instrText>
      </w:r>
      <w:r w:rsidRPr="00C04168">
        <w:rPr>
          <w:noProof/>
        </w:rPr>
      </w:r>
      <w:r w:rsidRPr="00C04168">
        <w:rPr>
          <w:noProof/>
        </w:rPr>
        <w:fldChar w:fldCharType="separate"/>
      </w:r>
      <w:r w:rsidR="006F0CAB">
        <w:rPr>
          <w:noProof/>
        </w:rPr>
        <w:t>1</w:t>
      </w:r>
      <w:r w:rsidRPr="00C04168">
        <w:rPr>
          <w:noProof/>
        </w:rPr>
        <w:fldChar w:fldCharType="end"/>
      </w:r>
    </w:p>
    <w:p w14:paraId="41F6232E" w14:textId="11C89984" w:rsidR="005D3BE1" w:rsidRPr="00C04168" w:rsidRDefault="005D3BE1">
      <w:pPr>
        <w:pStyle w:val="TOC5"/>
        <w:rPr>
          <w:rFonts w:asciiTheme="minorHAnsi" w:eastAsiaTheme="minorEastAsia" w:hAnsiTheme="minorHAnsi" w:cstheme="minorBidi"/>
          <w:noProof/>
          <w:kern w:val="0"/>
          <w:sz w:val="22"/>
          <w:szCs w:val="22"/>
          <w:lang w:val="en-GB" w:eastAsia="en-GB"/>
        </w:rPr>
      </w:pPr>
      <w:r w:rsidRPr="00C04168">
        <w:rPr>
          <w:noProof/>
        </w:rPr>
        <w:t>4  Schedules</w:t>
      </w:r>
      <w:r w:rsidRPr="00C04168">
        <w:rPr>
          <w:noProof/>
        </w:rPr>
        <w:tab/>
      </w:r>
      <w:r w:rsidRPr="00C04168">
        <w:rPr>
          <w:noProof/>
        </w:rPr>
        <w:fldChar w:fldCharType="begin"/>
      </w:r>
      <w:r w:rsidRPr="00C04168">
        <w:rPr>
          <w:noProof/>
        </w:rPr>
        <w:instrText xml:space="preserve"> PAGEREF _Toc37833865 \h </w:instrText>
      </w:r>
      <w:r w:rsidRPr="00C04168">
        <w:rPr>
          <w:noProof/>
        </w:rPr>
      </w:r>
      <w:r w:rsidRPr="00C04168">
        <w:rPr>
          <w:noProof/>
        </w:rPr>
        <w:fldChar w:fldCharType="separate"/>
      </w:r>
      <w:r w:rsidR="006F0CAB">
        <w:rPr>
          <w:noProof/>
        </w:rPr>
        <w:t>1</w:t>
      </w:r>
      <w:r w:rsidRPr="00C04168">
        <w:rPr>
          <w:noProof/>
        </w:rPr>
        <w:fldChar w:fldCharType="end"/>
      </w:r>
    </w:p>
    <w:p w14:paraId="1AB06A2A" w14:textId="7FEBAEC2" w:rsidR="005D3BE1" w:rsidRPr="00C04168" w:rsidRDefault="005D3BE1">
      <w:pPr>
        <w:pStyle w:val="TOC6"/>
        <w:rPr>
          <w:rFonts w:asciiTheme="minorHAnsi" w:eastAsiaTheme="minorEastAsia" w:hAnsiTheme="minorHAnsi" w:cstheme="minorBidi"/>
          <w:b w:val="0"/>
          <w:noProof/>
          <w:kern w:val="0"/>
          <w:sz w:val="22"/>
          <w:szCs w:val="22"/>
          <w:lang w:val="en-GB" w:eastAsia="en-GB"/>
        </w:rPr>
      </w:pPr>
      <w:r w:rsidRPr="00C04168">
        <w:rPr>
          <w:noProof/>
        </w:rPr>
        <w:t>Schedule 1—Amendments</w:t>
      </w:r>
      <w:r w:rsidRPr="00C04168">
        <w:rPr>
          <w:noProof/>
        </w:rPr>
        <w:tab/>
      </w:r>
      <w:r w:rsidRPr="00C04168">
        <w:rPr>
          <w:noProof/>
        </w:rPr>
        <w:fldChar w:fldCharType="begin"/>
      </w:r>
      <w:r w:rsidRPr="00C04168">
        <w:rPr>
          <w:noProof/>
        </w:rPr>
        <w:instrText xml:space="preserve"> PAGEREF _Toc37833866 \h </w:instrText>
      </w:r>
      <w:r w:rsidRPr="00C04168">
        <w:rPr>
          <w:noProof/>
        </w:rPr>
      </w:r>
      <w:r w:rsidRPr="00C04168">
        <w:rPr>
          <w:noProof/>
        </w:rPr>
        <w:fldChar w:fldCharType="separate"/>
      </w:r>
      <w:r w:rsidR="006F0CAB">
        <w:rPr>
          <w:noProof/>
        </w:rPr>
        <w:t>1</w:t>
      </w:r>
      <w:r w:rsidRPr="00C04168">
        <w:rPr>
          <w:noProof/>
        </w:rPr>
        <w:fldChar w:fldCharType="end"/>
      </w:r>
    </w:p>
    <w:p w14:paraId="7CE5878C" w14:textId="77838510" w:rsidR="005D3BE1" w:rsidRPr="00C04168" w:rsidRDefault="005D3BE1">
      <w:pPr>
        <w:pStyle w:val="TOC9"/>
        <w:rPr>
          <w:rFonts w:asciiTheme="minorHAnsi" w:eastAsiaTheme="minorEastAsia" w:hAnsiTheme="minorHAnsi" w:cstheme="minorBidi"/>
          <w:i w:val="0"/>
          <w:noProof/>
          <w:kern w:val="0"/>
          <w:sz w:val="22"/>
          <w:szCs w:val="22"/>
          <w:lang w:val="en-GB" w:eastAsia="en-GB"/>
        </w:rPr>
      </w:pPr>
      <w:r w:rsidRPr="00C04168">
        <w:rPr>
          <w:noProof/>
        </w:rPr>
        <w:t>Health Insurance (Section 3C General Medical Services - COVID-19 Telehealth and Telephone Attendances) Determination 2020</w:t>
      </w:r>
      <w:r w:rsidRPr="00C04168">
        <w:rPr>
          <w:noProof/>
        </w:rPr>
        <w:tab/>
      </w:r>
      <w:r w:rsidRPr="00C04168">
        <w:rPr>
          <w:noProof/>
        </w:rPr>
        <w:fldChar w:fldCharType="begin"/>
      </w:r>
      <w:r w:rsidRPr="00C04168">
        <w:rPr>
          <w:noProof/>
        </w:rPr>
        <w:instrText xml:space="preserve"> PAGEREF _Toc37833867 \h </w:instrText>
      </w:r>
      <w:r w:rsidRPr="00C04168">
        <w:rPr>
          <w:noProof/>
        </w:rPr>
      </w:r>
      <w:r w:rsidRPr="00C04168">
        <w:rPr>
          <w:noProof/>
        </w:rPr>
        <w:fldChar w:fldCharType="separate"/>
      </w:r>
      <w:r w:rsidR="006F0CAB">
        <w:rPr>
          <w:noProof/>
        </w:rPr>
        <w:t>1</w:t>
      </w:r>
      <w:r w:rsidRPr="00C04168">
        <w:rPr>
          <w:noProof/>
        </w:rPr>
        <w:fldChar w:fldCharType="end"/>
      </w:r>
    </w:p>
    <w:p w14:paraId="0C8E1234" w14:textId="63AE013B" w:rsidR="005D3BE1" w:rsidRPr="00C04168" w:rsidRDefault="005D3BE1">
      <w:pPr>
        <w:pStyle w:val="TOC5"/>
        <w:rPr>
          <w:rFonts w:asciiTheme="minorHAnsi" w:eastAsiaTheme="minorEastAsia" w:hAnsiTheme="minorHAnsi" w:cstheme="minorBidi"/>
          <w:noProof/>
          <w:kern w:val="0"/>
          <w:sz w:val="22"/>
          <w:szCs w:val="22"/>
          <w:lang w:val="en-GB" w:eastAsia="en-GB"/>
        </w:rPr>
      </w:pPr>
      <w:r w:rsidRPr="00C04168">
        <w:rPr>
          <w:noProof/>
        </w:rPr>
        <w:t>2.1.2  Application of item 92513 to 92516 and 92521 to 92524</w:t>
      </w:r>
      <w:r w:rsidRPr="00C04168">
        <w:rPr>
          <w:noProof/>
        </w:rPr>
        <w:tab/>
      </w:r>
      <w:r w:rsidRPr="00C04168">
        <w:rPr>
          <w:noProof/>
        </w:rPr>
        <w:fldChar w:fldCharType="begin"/>
      </w:r>
      <w:r w:rsidRPr="00C04168">
        <w:rPr>
          <w:noProof/>
        </w:rPr>
        <w:instrText xml:space="preserve"> PAGEREF _Toc37833868 \h </w:instrText>
      </w:r>
      <w:r w:rsidRPr="00C04168">
        <w:rPr>
          <w:noProof/>
        </w:rPr>
      </w:r>
      <w:r w:rsidRPr="00C04168">
        <w:rPr>
          <w:noProof/>
        </w:rPr>
        <w:fldChar w:fldCharType="separate"/>
      </w:r>
      <w:r w:rsidR="006F0CAB">
        <w:rPr>
          <w:noProof/>
        </w:rPr>
        <w:t>1</w:t>
      </w:r>
      <w:r w:rsidRPr="00C04168">
        <w:rPr>
          <w:noProof/>
        </w:rPr>
        <w:fldChar w:fldCharType="end"/>
      </w:r>
    </w:p>
    <w:p w14:paraId="415D109C" w14:textId="2488FA5F" w:rsidR="005D3BE1" w:rsidRPr="00C04168" w:rsidRDefault="005D3BE1">
      <w:pPr>
        <w:pStyle w:val="TOC5"/>
        <w:rPr>
          <w:rFonts w:asciiTheme="minorHAnsi" w:eastAsiaTheme="minorEastAsia" w:hAnsiTheme="minorHAnsi" w:cstheme="minorBidi"/>
          <w:noProof/>
          <w:kern w:val="0"/>
          <w:sz w:val="22"/>
          <w:szCs w:val="22"/>
          <w:lang w:val="en-GB" w:eastAsia="en-GB"/>
        </w:rPr>
      </w:pPr>
      <w:r w:rsidRPr="00C04168">
        <w:rPr>
          <w:noProof/>
        </w:rPr>
        <w:t>4.1.2  Application of items 93200 to 93203</w:t>
      </w:r>
      <w:r w:rsidRPr="00C04168">
        <w:rPr>
          <w:noProof/>
        </w:rPr>
        <w:tab/>
      </w:r>
      <w:r w:rsidRPr="00C04168">
        <w:rPr>
          <w:noProof/>
        </w:rPr>
        <w:fldChar w:fldCharType="begin"/>
      </w:r>
      <w:r w:rsidRPr="00C04168">
        <w:rPr>
          <w:noProof/>
        </w:rPr>
        <w:instrText xml:space="preserve"> PAGEREF _Toc37833869 \h </w:instrText>
      </w:r>
      <w:r w:rsidRPr="00C04168">
        <w:rPr>
          <w:noProof/>
        </w:rPr>
      </w:r>
      <w:r w:rsidRPr="00C04168">
        <w:rPr>
          <w:noProof/>
        </w:rPr>
        <w:fldChar w:fldCharType="separate"/>
      </w:r>
      <w:r w:rsidR="006F0CAB">
        <w:rPr>
          <w:noProof/>
        </w:rPr>
        <w:t>1</w:t>
      </w:r>
      <w:r w:rsidRPr="00C04168">
        <w:rPr>
          <w:noProof/>
        </w:rPr>
        <w:fldChar w:fldCharType="end"/>
      </w:r>
    </w:p>
    <w:p w14:paraId="570498CA" w14:textId="77777777" w:rsidR="00B20990" w:rsidRPr="00C04168" w:rsidRDefault="00B20990" w:rsidP="005E317F">
      <w:r w:rsidRPr="00C04168">
        <w:rPr>
          <w:rFonts w:cs="Times New Roman"/>
          <w:sz w:val="20"/>
        </w:rPr>
        <w:fldChar w:fldCharType="end"/>
      </w:r>
    </w:p>
    <w:p w14:paraId="66665592" w14:textId="77777777" w:rsidR="00B20990" w:rsidRPr="00C04168" w:rsidRDefault="00B20990" w:rsidP="00B20990"/>
    <w:p w14:paraId="7EEDBA38" w14:textId="77777777" w:rsidR="00B20990" w:rsidRPr="00C04168" w:rsidRDefault="00B20990" w:rsidP="00B20990">
      <w:pPr>
        <w:sectPr w:rsidR="00B20990" w:rsidRPr="00C04168" w:rsidSect="006F0CAB">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bookmarkStart w:id="1" w:name="_GoBack"/>
      <w:bookmarkEnd w:id="1"/>
    </w:p>
    <w:p w14:paraId="010E040A" w14:textId="77777777" w:rsidR="005E317F" w:rsidRPr="00C04168" w:rsidRDefault="005E317F" w:rsidP="005E317F">
      <w:pPr>
        <w:pStyle w:val="ActHead5"/>
      </w:pPr>
      <w:bookmarkStart w:id="2" w:name="_Toc37833862"/>
      <w:proofErr w:type="gramStart"/>
      <w:r w:rsidRPr="00C04168">
        <w:rPr>
          <w:rStyle w:val="CharSectno"/>
        </w:rPr>
        <w:lastRenderedPageBreak/>
        <w:t>1</w:t>
      </w:r>
      <w:r w:rsidRPr="00C04168">
        <w:t xml:space="preserve">  Name</w:t>
      </w:r>
      <w:bookmarkEnd w:id="2"/>
      <w:proofErr w:type="gramEnd"/>
    </w:p>
    <w:p w14:paraId="11BD9355" w14:textId="228F1A48" w:rsidR="005E317F" w:rsidRPr="00C04168" w:rsidRDefault="005E317F" w:rsidP="005E317F">
      <w:pPr>
        <w:pStyle w:val="subsection"/>
      </w:pPr>
      <w:r w:rsidRPr="00C04168">
        <w:tab/>
      </w:r>
      <w:r w:rsidRPr="00C04168">
        <w:tab/>
        <w:t>This instrument is the</w:t>
      </w:r>
      <w:r w:rsidR="00C7019F" w:rsidRPr="00C04168">
        <w:t xml:space="preserve"> </w:t>
      </w:r>
      <w:r w:rsidR="00C77F5D" w:rsidRPr="00C04168">
        <w:rPr>
          <w:i/>
        </w:rPr>
        <w:t>Health Insurance (Section 3C General Medical Services – COVID-19 Telehealth and Telephone Attendances) Amendment (Bulk-billing Requirement and New Remote Attendance Services) Determination 2020</w:t>
      </w:r>
    </w:p>
    <w:p w14:paraId="30C9D0FD" w14:textId="77777777" w:rsidR="005E317F" w:rsidRPr="00C04168" w:rsidRDefault="005E317F" w:rsidP="005E317F">
      <w:pPr>
        <w:pStyle w:val="ActHead5"/>
      </w:pPr>
      <w:bookmarkStart w:id="3" w:name="_Toc37833863"/>
      <w:proofErr w:type="gramStart"/>
      <w:r w:rsidRPr="00C04168">
        <w:rPr>
          <w:rStyle w:val="CharSectno"/>
        </w:rPr>
        <w:t>2</w:t>
      </w:r>
      <w:r w:rsidRPr="00C04168">
        <w:t xml:space="preserve">  Commencement</w:t>
      </w:r>
      <w:bookmarkEnd w:id="3"/>
      <w:proofErr w:type="gramEnd"/>
    </w:p>
    <w:p w14:paraId="49634639" w14:textId="77777777" w:rsidR="00002BCC" w:rsidRPr="00C04168" w:rsidRDefault="00002BCC" w:rsidP="00002BCC">
      <w:pPr>
        <w:pStyle w:val="subsection"/>
      </w:pPr>
      <w:r w:rsidRPr="00C04168">
        <w:tab/>
        <w:t>(1)</w:t>
      </w:r>
      <w:r w:rsidRPr="00C04168">
        <w:tab/>
        <w:t>Each provision of this instrument specified in column 1 of the table commences, or is taken to have commenced, in accordance with column 2 of the table. Any other statement in column 2 has effect according to its terms.</w:t>
      </w:r>
    </w:p>
    <w:p w14:paraId="0089E5C5" w14:textId="77777777" w:rsidR="00002BCC" w:rsidRPr="00C04168"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C04168" w:rsidRPr="00C04168" w14:paraId="527BE1D1" w14:textId="77777777" w:rsidTr="00735EFD">
        <w:trPr>
          <w:tblHeader/>
        </w:trPr>
        <w:tc>
          <w:tcPr>
            <w:tcW w:w="8364" w:type="dxa"/>
            <w:gridSpan w:val="3"/>
            <w:tcBorders>
              <w:top w:val="single" w:sz="12" w:space="0" w:color="auto"/>
              <w:bottom w:val="single" w:sz="6" w:space="0" w:color="auto"/>
            </w:tcBorders>
            <w:shd w:val="clear" w:color="auto" w:fill="auto"/>
            <w:hideMark/>
          </w:tcPr>
          <w:p w14:paraId="45406552" w14:textId="77777777" w:rsidR="00002BCC" w:rsidRPr="00C04168" w:rsidRDefault="00002BCC" w:rsidP="00735EFD">
            <w:pPr>
              <w:pStyle w:val="TableHeading"/>
            </w:pPr>
            <w:r w:rsidRPr="00C04168">
              <w:t>Commencement information</w:t>
            </w:r>
          </w:p>
        </w:tc>
      </w:tr>
      <w:tr w:rsidR="00C04168" w:rsidRPr="00C04168" w14:paraId="4DCF6CD9" w14:textId="77777777" w:rsidTr="00735EFD">
        <w:trPr>
          <w:tblHeader/>
        </w:trPr>
        <w:tc>
          <w:tcPr>
            <w:tcW w:w="2127" w:type="dxa"/>
            <w:tcBorders>
              <w:top w:val="single" w:sz="6" w:space="0" w:color="auto"/>
              <w:bottom w:val="single" w:sz="6" w:space="0" w:color="auto"/>
            </w:tcBorders>
            <w:shd w:val="clear" w:color="auto" w:fill="auto"/>
            <w:hideMark/>
          </w:tcPr>
          <w:p w14:paraId="7592EADC" w14:textId="77777777" w:rsidR="00002BCC" w:rsidRPr="00C04168" w:rsidRDefault="00002BCC" w:rsidP="00735EFD">
            <w:pPr>
              <w:pStyle w:val="TableHeading"/>
            </w:pPr>
            <w:r w:rsidRPr="00C04168">
              <w:t>Column 1</w:t>
            </w:r>
          </w:p>
        </w:tc>
        <w:tc>
          <w:tcPr>
            <w:tcW w:w="4394" w:type="dxa"/>
            <w:tcBorders>
              <w:top w:val="single" w:sz="6" w:space="0" w:color="auto"/>
              <w:bottom w:val="single" w:sz="6" w:space="0" w:color="auto"/>
            </w:tcBorders>
            <w:shd w:val="clear" w:color="auto" w:fill="auto"/>
            <w:hideMark/>
          </w:tcPr>
          <w:p w14:paraId="2048F542" w14:textId="77777777" w:rsidR="00002BCC" w:rsidRPr="00C04168" w:rsidRDefault="00002BCC" w:rsidP="00735EFD">
            <w:pPr>
              <w:pStyle w:val="TableHeading"/>
            </w:pPr>
            <w:r w:rsidRPr="00C04168">
              <w:t>Column 2</w:t>
            </w:r>
          </w:p>
        </w:tc>
        <w:tc>
          <w:tcPr>
            <w:tcW w:w="1843" w:type="dxa"/>
            <w:tcBorders>
              <w:top w:val="single" w:sz="6" w:space="0" w:color="auto"/>
              <w:bottom w:val="single" w:sz="6" w:space="0" w:color="auto"/>
            </w:tcBorders>
            <w:shd w:val="clear" w:color="auto" w:fill="auto"/>
            <w:hideMark/>
          </w:tcPr>
          <w:p w14:paraId="29F597DB" w14:textId="77777777" w:rsidR="00002BCC" w:rsidRPr="00C04168" w:rsidRDefault="00002BCC" w:rsidP="00735EFD">
            <w:pPr>
              <w:pStyle w:val="TableHeading"/>
            </w:pPr>
            <w:r w:rsidRPr="00C04168">
              <w:t>Column 3</w:t>
            </w:r>
          </w:p>
        </w:tc>
      </w:tr>
      <w:tr w:rsidR="00C04168" w:rsidRPr="00C04168" w14:paraId="61553124" w14:textId="77777777" w:rsidTr="00735EFD">
        <w:trPr>
          <w:tblHeader/>
        </w:trPr>
        <w:tc>
          <w:tcPr>
            <w:tcW w:w="2127" w:type="dxa"/>
            <w:tcBorders>
              <w:top w:val="single" w:sz="6" w:space="0" w:color="auto"/>
              <w:bottom w:val="single" w:sz="12" w:space="0" w:color="auto"/>
            </w:tcBorders>
            <w:shd w:val="clear" w:color="auto" w:fill="auto"/>
            <w:hideMark/>
          </w:tcPr>
          <w:p w14:paraId="298F94D4" w14:textId="77777777" w:rsidR="00002BCC" w:rsidRPr="00C04168" w:rsidRDefault="00002BCC" w:rsidP="00735EFD">
            <w:pPr>
              <w:pStyle w:val="TableHeading"/>
            </w:pPr>
            <w:r w:rsidRPr="00C04168">
              <w:t>Provisions</w:t>
            </w:r>
          </w:p>
        </w:tc>
        <w:tc>
          <w:tcPr>
            <w:tcW w:w="4394" w:type="dxa"/>
            <w:tcBorders>
              <w:top w:val="single" w:sz="6" w:space="0" w:color="auto"/>
              <w:bottom w:val="single" w:sz="12" w:space="0" w:color="auto"/>
            </w:tcBorders>
            <w:shd w:val="clear" w:color="auto" w:fill="auto"/>
            <w:hideMark/>
          </w:tcPr>
          <w:p w14:paraId="044D543F" w14:textId="77777777" w:rsidR="00002BCC" w:rsidRPr="00C04168" w:rsidRDefault="00002BCC" w:rsidP="00735EFD">
            <w:pPr>
              <w:pStyle w:val="TableHeading"/>
            </w:pPr>
            <w:r w:rsidRPr="00C04168">
              <w:t>Commencement</w:t>
            </w:r>
          </w:p>
        </w:tc>
        <w:tc>
          <w:tcPr>
            <w:tcW w:w="1843" w:type="dxa"/>
            <w:tcBorders>
              <w:top w:val="single" w:sz="6" w:space="0" w:color="auto"/>
              <w:bottom w:val="single" w:sz="12" w:space="0" w:color="auto"/>
            </w:tcBorders>
            <w:shd w:val="clear" w:color="auto" w:fill="auto"/>
            <w:hideMark/>
          </w:tcPr>
          <w:p w14:paraId="25A5B673" w14:textId="77777777" w:rsidR="00002BCC" w:rsidRPr="00C04168" w:rsidRDefault="00002BCC" w:rsidP="00735EFD">
            <w:pPr>
              <w:pStyle w:val="TableHeading"/>
            </w:pPr>
            <w:r w:rsidRPr="00C04168">
              <w:t>Date/Details</w:t>
            </w:r>
          </w:p>
        </w:tc>
      </w:tr>
      <w:tr w:rsidR="00C04168" w:rsidRPr="00C04168" w14:paraId="16AC4184" w14:textId="77777777" w:rsidTr="00735EFD">
        <w:tc>
          <w:tcPr>
            <w:tcW w:w="2127" w:type="dxa"/>
            <w:tcBorders>
              <w:top w:val="single" w:sz="12" w:space="0" w:color="auto"/>
              <w:bottom w:val="single" w:sz="12" w:space="0" w:color="auto"/>
            </w:tcBorders>
            <w:shd w:val="clear" w:color="auto" w:fill="auto"/>
            <w:hideMark/>
          </w:tcPr>
          <w:p w14:paraId="1C4B2A57" w14:textId="7F5F73FF" w:rsidR="00002BCC" w:rsidRPr="00C04168" w:rsidRDefault="00002BCC" w:rsidP="008410C0">
            <w:pPr>
              <w:pStyle w:val="Tabletext"/>
            </w:pPr>
            <w:r w:rsidRPr="00C04168">
              <w:t xml:space="preserve">1.  </w:t>
            </w:r>
            <w:r w:rsidR="008410C0" w:rsidRPr="00C04168">
              <w:t>The whole of this instrument.</w:t>
            </w:r>
          </w:p>
        </w:tc>
        <w:tc>
          <w:tcPr>
            <w:tcW w:w="4394" w:type="dxa"/>
            <w:tcBorders>
              <w:top w:val="single" w:sz="12" w:space="0" w:color="auto"/>
              <w:bottom w:val="single" w:sz="12" w:space="0" w:color="auto"/>
            </w:tcBorders>
            <w:shd w:val="clear" w:color="auto" w:fill="auto"/>
            <w:hideMark/>
          </w:tcPr>
          <w:p w14:paraId="0AA4138A" w14:textId="561274FF" w:rsidR="00002BCC" w:rsidRPr="00C04168" w:rsidRDefault="00AC0D3E" w:rsidP="00735EFD">
            <w:pPr>
              <w:pStyle w:val="Tabletext"/>
            </w:pPr>
            <w:r w:rsidRPr="00C04168">
              <w:t>20 April</w:t>
            </w:r>
            <w:r w:rsidR="00C7019F" w:rsidRPr="00C04168">
              <w:t xml:space="preserve"> 2020</w:t>
            </w:r>
          </w:p>
        </w:tc>
        <w:tc>
          <w:tcPr>
            <w:tcW w:w="1843" w:type="dxa"/>
            <w:tcBorders>
              <w:top w:val="single" w:sz="12" w:space="0" w:color="auto"/>
              <w:bottom w:val="single" w:sz="12" w:space="0" w:color="auto"/>
            </w:tcBorders>
            <w:shd w:val="clear" w:color="auto" w:fill="auto"/>
          </w:tcPr>
          <w:p w14:paraId="538E56FE" w14:textId="73F853B5" w:rsidR="00002BCC" w:rsidRPr="00C04168" w:rsidRDefault="00002BCC" w:rsidP="00735EFD">
            <w:pPr>
              <w:pStyle w:val="Tabletext"/>
            </w:pPr>
          </w:p>
        </w:tc>
      </w:tr>
    </w:tbl>
    <w:p w14:paraId="695A265D" w14:textId="77777777" w:rsidR="00002BCC" w:rsidRPr="00C04168" w:rsidRDefault="00002BCC" w:rsidP="00002BCC">
      <w:pPr>
        <w:pStyle w:val="notetext"/>
      </w:pPr>
      <w:r w:rsidRPr="00C04168">
        <w:rPr>
          <w:snapToGrid w:val="0"/>
          <w:lang w:eastAsia="en-US"/>
        </w:rPr>
        <w:t>Note:</w:t>
      </w:r>
      <w:r w:rsidRPr="00C04168">
        <w:rPr>
          <w:snapToGrid w:val="0"/>
          <w:lang w:eastAsia="en-US"/>
        </w:rPr>
        <w:tab/>
        <w:t>This table relates only to the provisions of this instrument</w:t>
      </w:r>
      <w:r w:rsidRPr="00C04168">
        <w:t xml:space="preserve"> </w:t>
      </w:r>
      <w:r w:rsidRPr="00C04168">
        <w:rPr>
          <w:snapToGrid w:val="0"/>
          <w:lang w:eastAsia="en-US"/>
        </w:rPr>
        <w:t>as originally made. It will not be amended to deal with any later amendments of this instrument.</w:t>
      </w:r>
    </w:p>
    <w:p w14:paraId="427EAD94" w14:textId="77777777" w:rsidR="00002BCC" w:rsidRPr="00C04168" w:rsidRDefault="00002BCC" w:rsidP="00002BCC">
      <w:pPr>
        <w:pStyle w:val="subsection"/>
      </w:pPr>
      <w:r w:rsidRPr="00C04168">
        <w:tab/>
        <w:t>(2)</w:t>
      </w:r>
      <w:r w:rsidRPr="00C04168">
        <w:tab/>
        <w:t>Any information in column 3 of the table is not part of this instrument. Information may be inserted in this column, or information in it may be edited, in any published version of this instrument.</w:t>
      </w:r>
    </w:p>
    <w:p w14:paraId="10D5E0E8" w14:textId="77777777" w:rsidR="005E317F" w:rsidRPr="00C04168" w:rsidRDefault="005E317F" w:rsidP="005E317F">
      <w:pPr>
        <w:pStyle w:val="ActHead5"/>
      </w:pPr>
      <w:bookmarkStart w:id="4" w:name="_Toc37833864"/>
      <w:proofErr w:type="gramStart"/>
      <w:r w:rsidRPr="00C04168">
        <w:rPr>
          <w:rStyle w:val="CharSectno"/>
        </w:rPr>
        <w:t>3</w:t>
      </w:r>
      <w:r w:rsidRPr="00C04168">
        <w:t xml:space="preserve">  Authority</w:t>
      </w:r>
      <w:bookmarkEnd w:id="4"/>
      <w:proofErr w:type="gramEnd"/>
    </w:p>
    <w:p w14:paraId="7821EB76" w14:textId="77777777" w:rsidR="005E317F" w:rsidRPr="00C04168" w:rsidRDefault="005E317F" w:rsidP="005E317F">
      <w:pPr>
        <w:pStyle w:val="subsection"/>
      </w:pPr>
      <w:r w:rsidRPr="00C04168">
        <w:tab/>
      </w:r>
      <w:r w:rsidRPr="00C04168">
        <w:tab/>
        <w:t>This instrument is made under</w:t>
      </w:r>
      <w:r w:rsidR="00C53368" w:rsidRPr="00C04168">
        <w:t xml:space="preserve"> subsection </w:t>
      </w:r>
      <w:proofErr w:type="gramStart"/>
      <w:r w:rsidR="00C53368" w:rsidRPr="00C04168">
        <w:t>3C(</w:t>
      </w:r>
      <w:proofErr w:type="gramEnd"/>
      <w:r w:rsidR="00C53368" w:rsidRPr="00C04168">
        <w:t xml:space="preserve">1) of the </w:t>
      </w:r>
      <w:r w:rsidR="00C53368" w:rsidRPr="00C04168">
        <w:rPr>
          <w:i/>
        </w:rPr>
        <w:t>Health Insurance Act 1973</w:t>
      </w:r>
      <w:r w:rsidR="00C53368" w:rsidRPr="00C04168">
        <w:t>.</w:t>
      </w:r>
    </w:p>
    <w:p w14:paraId="4852FD23" w14:textId="77777777" w:rsidR="005E317F" w:rsidRPr="00C04168" w:rsidRDefault="005E317F" w:rsidP="005E317F">
      <w:pPr>
        <w:pStyle w:val="ActHead5"/>
      </w:pPr>
      <w:bookmarkStart w:id="5" w:name="_Toc37833865"/>
      <w:proofErr w:type="gramStart"/>
      <w:r w:rsidRPr="00C04168">
        <w:t>4  Schedules</w:t>
      </w:r>
      <w:bookmarkEnd w:id="5"/>
      <w:proofErr w:type="gramEnd"/>
    </w:p>
    <w:p w14:paraId="32C5F784" w14:textId="77777777" w:rsidR="005E317F" w:rsidRPr="00C04168" w:rsidRDefault="005E317F" w:rsidP="005E317F">
      <w:pPr>
        <w:pStyle w:val="subsection"/>
      </w:pPr>
      <w:r w:rsidRPr="00C04168">
        <w:tab/>
      </w:r>
      <w:r w:rsidRPr="00C04168">
        <w:tab/>
        <w:t>Each instrument that is specified in a Schedule to this instrument is amended or repealed as set out in the applicable items in the Schedule concerned, and any other item in a Schedule to this instrument has effect according to its terms.</w:t>
      </w:r>
    </w:p>
    <w:p w14:paraId="6FB54796" w14:textId="77777777" w:rsidR="005E317F" w:rsidRPr="00C04168" w:rsidRDefault="005E317F" w:rsidP="005E317F">
      <w:pPr>
        <w:pStyle w:val="ActHead6"/>
        <w:pageBreakBefore/>
      </w:pPr>
      <w:bookmarkStart w:id="6" w:name="_Toc37833866"/>
      <w:r w:rsidRPr="00C04168">
        <w:rPr>
          <w:rStyle w:val="CharAmSchNo"/>
        </w:rPr>
        <w:lastRenderedPageBreak/>
        <w:t>Schedule 1</w:t>
      </w:r>
      <w:r w:rsidRPr="00C04168">
        <w:t>—</w:t>
      </w:r>
      <w:r w:rsidRPr="00C04168">
        <w:rPr>
          <w:rStyle w:val="CharAmSchText"/>
        </w:rPr>
        <w:t>Amendments</w:t>
      </w:r>
      <w:bookmarkEnd w:id="6"/>
    </w:p>
    <w:p w14:paraId="18882E05" w14:textId="77777777" w:rsidR="005E317F" w:rsidRPr="00C04168" w:rsidRDefault="00C53368" w:rsidP="00776D08">
      <w:pPr>
        <w:pStyle w:val="ActHead9"/>
        <w:ind w:left="0" w:firstLine="0"/>
      </w:pPr>
      <w:bookmarkStart w:id="7" w:name="_Toc37833867"/>
      <w:r w:rsidRPr="00C04168">
        <w:t>Health Insurance (Section 3C General Medical Services - COVID-19 Telehealth and Telephone Attendances) Determination 2020</w:t>
      </w:r>
      <w:bookmarkEnd w:id="7"/>
    </w:p>
    <w:p w14:paraId="02640F48" w14:textId="4537E225" w:rsidR="009C4F32" w:rsidRPr="009C4F32" w:rsidRDefault="009C4F32" w:rsidP="009C4F32">
      <w:pPr>
        <w:pStyle w:val="ItemHead"/>
      </w:pPr>
      <w:proofErr w:type="gramStart"/>
      <w:r w:rsidRPr="00C04168">
        <w:t>1  Subsection</w:t>
      </w:r>
      <w:proofErr w:type="gramEnd"/>
      <w:r w:rsidRPr="00C04168">
        <w:t xml:space="preserve"> </w:t>
      </w:r>
      <w:r>
        <w:t>5(1</w:t>
      </w:r>
      <w:r w:rsidRPr="00C04168">
        <w:t>)</w:t>
      </w:r>
      <w:r>
        <w:t xml:space="preserve"> (definition of </w:t>
      </w:r>
      <w:r>
        <w:rPr>
          <w:i/>
        </w:rPr>
        <w:t>multidisciplinary care plan</w:t>
      </w:r>
      <w:r>
        <w:t>)</w:t>
      </w:r>
    </w:p>
    <w:p w14:paraId="197A34D1" w14:textId="75CDF5B6" w:rsidR="009C4F32" w:rsidRDefault="009C4F32" w:rsidP="00C64EE1">
      <w:pPr>
        <w:pStyle w:val="Item"/>
      </w:pPr>
      <w:r>
        <w:t xml:space="preserve">Repeal </w:t>
      </w:r>
      <w:r w:rsidR="00231C51">
        <w:t xml:space="preserve">the definition, substitute: </w:t>
      </w:r>
    </w:p>
    <w:p w14:paraId="62A52D76" w14:textId="7C5B0125" w:rsidR="00231C51" w:rsidRDefault="00231C51" w:rsidP="00C64EE1">
      <w:pPr>
        <w:pStyle w:val="Definition"/>
        <w:ind w:left="851"/>
      </w:pPr>
      <w:proofErr w:type="gramStart"/>
      <w:r w:rsidRPr="00132A31">
        <w:rPr>
          <w:b/>
          <w:i/>
          <w:lang w:eastAsia="en-US"/>
        </w:rPr>
        <w:t>multidisciplinary</w:t>
      </w:r>
      <w:proofErr w:type="gramEnd"/>
      <w:r w:rsidRPr="00132A31">
        <w:rPr>
          <w:b/>
          <w:i/>
          <w:lang w:eastAsia="en-US"/>
        </w:rPr>
        <w:t xml:space="preserve"> care plan</w:t>
      </w:r>
      <w:r>
        <w:t xml:space="preserve">: </w:t>
      </w:r>
    </w:p>
    <w:p w14:paraId="0CAC0422" w14:textId="1F6FF986" w:rsidR="003D7261" w:rsidRPr="00132A31" w:rsidRDefault="003D7261" w:rsidP="003D7261">
      <w:pPr>
        <w:pStyle w:val="ListParagraph"/>
        <w:numPr>
          <w:ilvl w:val="0"/>
          <w:numId w:val="15"/>
        </w:numPr>
        <w:spacing w:before="80" w:after="80" w:line="240" w:lineRule="auto"/>
        <w:ind w:left="1775" w:hanging="357"/>
        <w:contextualSpacing w:val="0"/>
        <w:rPr>
          <w:sz w:val="22"/>
          <w:szCs w:val="22"/>
        </w:rPr>
      </w:pPr>
      <w:r w:rsidRPr="003D7261">
        <w:rPr>
          <w:sz w:val="22"/>
          <w:szCs w:val="22"/>
        </w:rPr>
        <w:t>for items 92026, 92027, 92070, 92071, 92057, 92058, 92101 and 92102—has the meaning given by clause 2.18.6 of the</w:t>
      </w:r>
      <w:r>
        <w:rPr>
          <w:sz w:val="22"/>
          <w:szCs w:val="22"/>
        </w:rPr>
        <w:t xml:space="preserve"> general medical services table; and</w:t>
      </w:r>
    </w:p>
    <w:p w14:paraId="3E274958" w14:textId="34C23CA2" w:rsidR="003D7261" w:rsidRPr="00132A31" w:rsidRDefault="003D7261" w:rsidP="003D7261">
      <w:pPr>
        <w:pStyle w:val="ListParagraph"/>
        <w:numPr>
          <w:ilvl w:val="0"/>
          <w:numId w:val="15"/>
        </w:numPr>
        <w:spacing w:before="80" w:after="80" w:line="240" w:lineRule="auto"/>
        <w:ind w:left="1775" w:hanging="357"/>
        <w:contextualSpacing w:val="0"/>
        <w:rPr>
          <w:sz w:val="22"/>
          <w:szCs w:val="22"/>
        </w:rPr>
      </w:pPr>
      <w:proofErr w:type="gramStart"/>
      <w:r w:rsidRPr="003D7261">
        <w:rPr>
          <w:sz w:val="22"/>
          <w:szCs w:val="22"/>
        </w:rPr>
        <w:t>for</w:t>
      </w:r>
      <w:proofErr w:type="gramEnd"/>
      <w:r w:rsidRPr="003D7261">
        <w:rPr>
          <w:sz w:val="22"/>
          <w:szCs w:val="22"/>
        </w:rPr>
        <w:t xml:space="preserve"> items 9320</w:t>
      </w:r>
      <w:r w:rsidR="007246FC">
        <w:rPr>
          <w:sz w:val="22"/>
          <w:szCs w:val="22"/>
        </w:rPr>
        <w:t>1</w:t>
      </w:r>
      <w:r w:rsidRPr="003D7261">
        <w:rPr>
          <w:sz w:val="22"/>
          <w:szCs w:val="22"/>
        </w:rPr>
        <w:t xml:space="preserve"> and 9320</w:t>
      </w:r>
      <w:r w:rsidR="007246FC">
        <w:rPr>
          <w:sz w:val="22"/>
          <w:szCs w:val="22"/>
        </w:rPr>
        <w:t>3</w:t>
      </w:r>
      <w:r w:rsidRPr="003D7261">
        <w:rPr>
          <w:sz w:val="22"/>
          <w:szCs w:val="22"/>
        </w:rPr>
        <w:t>—has the meaning given by clause 4.1.</w:t>
      </w:r>
      <w:r w:rsidR="00A175A3">
        <w:rPr>
          <w:sz w:val="22"/>
          <w:szCs w:val="22"/>
        </w:rPr>
        <w:t>2</w:t>
      </w:r>
      <w:r w:rsidRPr="003D7261">
        <w:rPr>
          <w:sz w:val="22"/>
          <w:szCs w:val="22"/>
        </w:rPr>
        <w:t xml:space="preserve">.  </w:t>
      </w:r>
    </w:p>
    <w:p w14:paraId="6D1311E4" w14:textId="5BD99DEA" w:rsidR="005E317F" w:rsidRPr="00C04168" w:rsidRDefault="00002B2D" w:rsidP="005E317F">
      <w:pPr>
        <w:pStyle w:val="ItemHead"/>
      </w:pPr>
      <w:proofErr w:type="gramStart"/>
      <w:r>
        <w:t>2</w:t>
      </w:r>
      <w:r w:rsidR="005E317F" w:rsidRPr="00C04168">
        <w:t xml:space="preserve">  </w:t>
      </w:r>
      <w:r w:rsidR="009C204E" w:rsidRPr="00C04168">
        <w:t>Subsection</w:t>
      </w:r>
      <w:proofErr w:type="gramEnd"/>
      <w:r w:rsidR="009C204E" w:rsidRPr="00C04168">
        <w:t xml:space="preserve"> 8(4)</w:t>
      </w:r>
    </w:p>
    <w:p w14:paraId="0FA24A9F" w14:textId="32E79FC8" w:rsidR="0080297B" w:rsidRPr="00C04168" w:rsidRDefault="009C204E" w:rsidP="0080297B">
      <w:pPr>
        <w:pStyle w:val="Item"/>
      </w:pPr>
      <w:r w:rsidRPr="00C04168">
        <w:t>Omit</w:t>
      </w:r>
      <w:r w:rsidR="005E317F" w:rsidRPr="00C04168">
        <w:t xml:space="preserve"> “</w:t>
      </w:r>
      <w:r w:rsidRPr="00C04168">
        <w:t>a Schedule</w:t>
      </w:r>
      <w:r w:rsidR="005E317F" w:rsidRPr="00C04168">
        <w:t>”</w:t>
      </w:r>
      <w:r w:rsidRPr="00C04168">
        <w:t>, insert “Schedule 1”</w:t>
      </w:r>
      <w:r w:rsidR="005E317F" w:rsidRPr="00C04168">
        <w:t>.</w:t>
      </w:r>
    </w:p>
    <w:p w14:paraId="2937AF64" w14:textId="468C103F" w:rsidR="007F23BE" w:rsidRPr="00C04168" w:rsidRDefault="00002B2D" w:rsidP="007F23BE">
      <w:pPr>
        <w:pStyle w:val="ItemHead"/>
      </w:pPr>
      <w:proofErr w:type="gramStart"/>
      <w:r>
        <w:t>3</w:t>
      </w:r>
      <w:r w:rsidR="007F23BE" w:rsidRPr="00C04168">
        <w:t xml:space="preserve">  Subsection</w:t>
      </w:r>
      <w:proofErr w:type="gramEnd"/>
      <w:r w:rsidR="007F23BE" w:rsidRPr="00C04168">
        <w:t xml:space="preserve"> 8(5) </w:t>
      </w:r>
    </w:p>
    <w:p w14:paraId="7EBCF78D" w14:textId="25947F87" w:rsidR="007F23BE" w:rsidRPr="00C04168" w:rsidRDefault="007F23BE" w:rsidP="007F23BE">
      <w:pPr>
        <w:pStyle w:val="Item"/>
      </w:pPr>
      <w:r w:rsidRPr="00C04168">
        <w:t xml:space="preserve">Omit “An”, substitute “Subject to subsection (6), an”. </w:t>
      </w:r>
    </w:p>
    <w:p w14:paraId="029BB19F" w14:textId="06580C7E" w:rsidR="007F23BE" w:rsidRPr="00C04168" w:rsidRDefault="00002B2D" w:rsidP="007F23BE">
      <w:pPr>
        <w:pStyle w:val="ItemHead"/>
      </w:pPr>
      <w:proofErr w:type="gramStart"/>
      <w:r>
        <w:t>4</w:t>
      </w:r>
      <w:r w:rsidR="007F23BE" w:rsidRPr="00C04168">
        <w:t xml:space="preserve">  At</w:t>
      </w:r>
      <w:proofErr w:type="gramEnd"/>
      <w:r w:rsidR="007F23BE" w:rsidRPr="00C04168">
        <w:t xml:space="preserve"> the end of section 8 </w:t>
      </w:r>
    </w:p>
    <w:p w14:paraId="3256B81F" w14:textId="3DF009A1" w:rsidR="007F23BE" w:rsidRPr="00C04168" w:rsidRDefault="007F23BE" w:rsidP="007F23BE">
      <w:pPr>
        <w:pStyle w:val="Item"/>
      </w:pPr>
      <w:r w:rsidRPr="00C04168">
        <w:t xml:space="preserve">Insert: </w:t>
      </w:r>
    </w:p>
    <w:p w14:paraId="4E556AD3" w14:textId="70D02A51" w:rsidR="007F23BE" w:rsidRPr="00C04168" w:rsidRDefault="007F23BE" w:rsidP="007F23BE">
      <w:pPr>
        <w:pStyle w:val="subsection"/>
      </w:pPr>
      <w:r w:rsidRPr="00C04168">
        <w:tab/>
        <w:t>(6)</w:t>
      </w:r>
      <w:r w:rsidRPr="00C04168">
        <w:tab/>
        <w:t>Subsection (5) does not apply to items 92455 to 92457 and 92495 to 92497.</w:t>
      </w:r>
    </w:p>
    <w:p w14:paraId="3D9927A4" w14:textId="7AE3FBD0" w:rsidR="00FA05E6" w:rsidRPr="00C04168" w:rsidRDefault="00002B2D" w:rsidP="00FA05E6">
      <w:pPr>
        <w:pStyle w:val="ItemHead"/>
      </w:pPr>
      <w:proofErr w:type="gramStart"/>
      <w:r>
        <w:t>5</w:t>
      </w:r>
      <w:r w:rsidR="00FA05E6" w:rsidRPr="00C04168">
        <w:t xml:space="preserve">  Subclause</w:t>
      </w:r>
      <w:proofErr w:type="gramEnd"/>
      <w:r w:rsidR="00FA05E6" w:rsidRPr="00C04168">
        <w:t xml:space="preserve"> 2.1.1(1)</w:t>
      </w:r>
      <w:r w:rsidR="00007B81" w:rsidRPr="00C04168">
        <w:t xml:space="preserve"> of Schedule 2</w:t>
      </w:r>
    </w:p>
    <w:p w14:paraId="37929220" w14:textId="4AB0C2F5" w:rsidR="00FA05E6" w:rsidRPr="00C04168" w:rsidRDefault="00FA05E6" w:rsidP="00FA05E6">
      <w:pPr>
        <w:pStyle w:val="Item"/>
      </w:pPr>
      <w:r w:rsidRPr="00C04168">
        <w:t xml:space="preserve">Omit “26 or 32”, </w:t>
      </w:r>
      <w:r w:rsidR="007F23BE" w:rsidRPr="00C04168">
        <w:t>substitute</w:t>
      </w:r>
      <w:r w:rsidRPr="00C04168">
        <w:t xml:space="preserve"> “26, 32</w:t>
      </w:r>
      <w:r w:rsidR="00102733" w:rsidRPr="00C04168">
        <w:t>, 34</w:t>
      </w:r>
      <w:r w:rsidRPr="00C04168">
        <w:t xml:space="preserve"> or 3</w:t>
      </w:r>
      <w:r w:rsidR="00102733" w:rsidRPr="00C04168">
        <w:t>6</w:t>
      </w:r>
      <w:r w:rsidRPr="00C04168">
        <w:t>”.</w:t>
      </w:r>
    </w:p>
    <w:p w14:paraId="0BEEC2F0" w14:textId="174043B1" w:rsidR="00CA0291" w:rsidRPr="00C04168" w:rsidRDefault="00002B2D" w:rsidP="00CA0291">
      <w:pPr>
        <w:pStyle w:val="ItemHead"/>
      </w:pPr>
      <w:proofErr w:type="gramStart"/>
      <w:r>
        <w:t>6</w:t>
      </w:r>
      <w:r w:rsidR="00CA0291" w:rsidRPr="00C04168">
        <w:t xml:space="preserve">  After</w:t>
      </w:r>
      <w:proofErr w:type="gramEnd"/>
      <w:r w:rsidR="00CA0291" w:rsidRPr="00C04168">
        <w:t xml:space="preserve"> clause 2.1.1</w:t>
      </w:r>
      <w:r w:rsidR="00007B81" w:rsidRPr="00C04168">
        <w:t xml:space="preserve"> of Schedule 2</w:t>
      </w:r>
    </w:p>
    <w:p w14:paraId="07CE0BEC" w14:textId="4B57EE23" w:rsidR="00CA0291" w:rsidRPr="00C04168" w:rsidRDefault="00CA0291" w:rsidP="00CA0291">
      <w:pPr>
        <w:pStyle w:val="Item"/>
      </w:pPr>
      <w:r w:rsidRPr="00C04168">
        <w:t>Insert:</w:t>
      </w:r>
    </w:p>
    <w:p w14:paraId="14C558F6" w14:textId="22AB0375" w:rsidR="00CA0291" w:rsidRPr="00C04168" w:rsidRDefault="00CA0291" w:rsidP="00B613C2">
      <w:pPr>
        <w:pStyle w:val="ActHead5"/>
      </w:pPr>
      <w:bookmarkStart w:id="8" w:name="_Toc33794663"/>
      <w:bookmarkStart w:id="9" w:name="_Toc36558676"/>
      <w:bookmarkStart w:id="10" w:name="_Toc37167870"/>
      <w:bookmarkStart w:id="11" w:name="_Toc37756551"/>
      <w:bookmarkStart w:id="12" w:name="_Toc37833868"/>
      <w:proofErr w:type="gramStart"/>
      <w:r w:rsidRPr="00C04168">
        <w:rPr>
          <w:rStyle w:val="CharSectno"/>
        </w:rPr>
        <w:t>2.1.2</w:t>
      </w:r>
      <w:r w:rsidRPr="00C04168">
        <w:t xml:space="preserve">  </w:t>
      </w:r>
      <w:bookmarkEnd w:id="8"/>
      <w:r w:rsidRPr="00C04168">
        <w:t>Application</w:t>
      </w:r>
      <w:proofErr w:type="gramEnd"/>
      <w:r w:rsidRPr="00C04168">
        <w:t xml:space="preserve"> of item</w:t>
      </w:r>
      <w:bookmarkEnd w:id="9"/>
      <w:r w:rsidRPr="00C04168">
        <w:t xml:space="preserve"> 92513 to 92516 and 92521 to 92524</w:t>
      </w:r>
      <w:bookmarkEnd w:id="10"/>
      <w:bookmarkEnd w:id="11"/>
      <w:bookmarkEnd w:id="12"/>
    </w:p>
    <w:p w14:paraId="6B26C4DB" w14:textId="07578737" w:rsidR="004639D8" w:rsidRPr="00C04168" w:rsidRDefault="00CA0291" w:rsidP="00B613C2">
      <w:pPr>
        <w:pStyle w:val="subsection"/>
      </w:pPr>
      <w:r w:rsidRPr="00C04168">
        <w:tab/>
        <w:t>(1)</w:t>
      </w:r>
      <w:r w:rsidRPr="00C04168">
        <w:tab/>
        <w:t>Clause 2.13.1 of the general medical services table shall have effect as if items 92513 to 92516 and 92521 to 92524 were specified in the clause.</w:t>
      </w:r>
    </w:p>
    <w:p w14:paraId="495AE7DD" w14:textId="17718AC9" w:rsidR="004639D8" w:rsidRPr="00C04168" w:rsidRDefault="00002B2D" w:rsidP="004639D8">
      <w:pPr>
        <w:pStyle w:val="ItemHead"/>
      </w:pPr>
      <w:proofErr w:type="gramStart"/>
      <w:r>
        <w:t>7</w:t>
      </w:r>
      <w:r w:rsidR="004639D8" w:rsidRPr="00C04168">
        <w:t xml:space="preserve">  Schedule</w:t>
      </w:r>
      <w:proofErr w:type="gramEnd"/>
      <w:r w:rsidR="004639D8" w:rsidRPr="00C04168">
        <w:t xml:space="preserve"> 2 (item 92437, column 2, paragraph (b))</w:t>
      </w:r>
    </w:p>
    <w:p w14:paraId="3F7DEF1D" w14:textId="77777777" w:rsidR="004639D8" w:rsidRPr="00C04168" w:rsidRDefault="004639D8" w:rsidP="004639D8">
      <w:pPr>
        <w:pStyle w:val="Item"/>
      </w:pPr>
      <w:r w:rsidRPr="00C04168">
        <w:t xml:space="preserve">Omit “or 91837 to 91841”, insert “, 91837 to 91841, 92455 to 93457 or 92495 to 92497”. </w:t>
      </w:r>
    </w:p>
    <w:p w14:paraId="3299E0F4" w14:textId="79E5FE4F" w:rsidR="004639D8" w:rsidRPr="00C04168" w:rsidRDefault="00002B2D" w:rsidP="004639D8">
      <w:pPr>
        <w:pStyle w:val="ItemHead"/>
      </w:pPr>
      <w:proofErr w:type="gramStart"/>
      <w:r>
        <w:t>8</w:t>
      </w:r>
      <w:r w:rsidR="004639D8" w:rsidRPr="00C04168">
        <w:t xml:space="preserve">  Schedule</w:t>
      </w:r>
      <w:proofErr w:type="gramEnd"/>
      <w:r w:rsidR="004639D8" w:rsidRPr="00C04168">
        <w:t xml:space="preserve"> 2 (after item 9</w:t>
      </w:r>
      <w:r w:rsidR="00631F79" w:rsidRPr="00C04168">
        <w:t>2437</w:t>
      </w:r>
      <w:r w:rsidR="004639D8" w:rsidRPr="00C04168">
        <w:t>)</w:t>
      </w:r>
    </w:p>
    <w:p w14:paraId="3025CBAB" w14:textId="76CA9E01" w:rsidR="004639D8" w:rsidRPr="00C04168" w:rsidRDefault="004639D8" w:rsidP="004639D8">
      <w:pPr>
        <w:pStyle w:val="Item"/>
      </w:pPr>
      <w:r w:rsidRPr="00C04168">
        <w:t>Insert:</w:t>
      </w:r>
    </w:p>
    <w:p w14:paraId="350336DD" w14:textId="77777777" w:rsidR="004639D8" w:rsidRPr="00C04168" w:rsidRDefault="004639D8" w:rsidP="004639D8">
      <w:pPr>
        <w:spacing w:line="240" w:lineRule="auto"/>
        <w:rPr>
          <w:rFonts w:eastAsia="Times New Roman" w:cs="Times New Roman"/>
          <w:lang w:eastAsia="en-AU"/>
        </w:rPr>
      </w:pPr>
    </w:p>
    <w:tbl>
      <w:tblPr>
        <w:tblW w:w="4917"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35"/>
        <w:gridCol w:w="5546"/>
        <w:gridCol w:w="1494"/>
      </w:tblGrid>
      <w:tr w:rsidR="00C04168" w:rsidRPr="00C04168" w14:paraId="740F05BA" w14:textId="77777777" w:rsidTr="005A7AF8">
        <w:tc>
          <w:tcPr>
            <w:tcW w:w="694" w:type="pct"/>
            <w:tcBorders>
              <w:top w:val="single" w:sz="4" w:space="0" w:color="auto"/>
              <w:left w:val="nil"/>
              <w:bottom w:val="single" w:sz="4" w:space="0" w:color="auto"/>
              <w:right w:val="nil"/>
            </w:tcBorders>
            <w:hideMark/>
          </w:tcPr>
          <w:p w14:paraId="575C8AA9" w14:textId="77777777" w:rsidR="004639D8" w:rsidRPr="00C04168" w:rsidRDefault="004639D8" w:rsidP="005A7AF8">
            <w:pPr>
              <w:pStyle w:val="Tabletext"/>
            </w:pPr>
            <w:r w:rsidRPr="00C04168">
              <w:t>92455</w:t>
            </w:r>
          </w:p>
          <w:p w14:paraId="14404F16" w14:textId="6E1E0217" w:rsidR="004639D8" w:rsidRPr="00C04168" w:rsidRDefault="004639D8" w:rsidP="005A7AF8">
            <w:pPr>
              <w:pStyle w:val="Tabletext"/>
            </w:pPr>
          </w:p>
        </w:tc>
        <w:tc>
          <w:tcPr>
            <w:tcW w:w="3392" w:type="pct"/>
            <w:tcBorders>
              <w:top w:val="single" w:sz="4" w:space="0" w:color="auto"/>
              <w:left w:val="nil"/>
              <w:bottom w:val="single" w:sz="4" w:space="0" w:color="auto"/>
              <w:right w:val="nil"/>
            </w:tcBorders>
            <w:hideMark/>
          </w:tcPr>
          <w:p w14:paraId="0226C2BB" w14:textId="77777777" w:rsidR="004639D8" w:rsidRPr="00C04168" w:rsidRDefault="004639D8" w:rsidP="005A7AF8">
            <w:pPr>
              <w:pStyle w:val="Tabletext"/>
            </w:pPr>
            <w:r w:rsidRPr="00C04168">
              <w:t>Telehealth attendance for group psychotherapy (including any associated consultations with a patient taking place on the same occasion and relating to the condition for which group therapy is conducted):</w:t>
            </w:r>
          </w:p>
          <w:p w14:paraId="24093B34" w14:textId="77777777" w:rsidR="004639D8" w:rsidRPr="00C04168" w:rsidRDefault="004639D8" w:rsidP="005A7AF8">
            <w:pPr>
              <w:pStyle w:val="Tablea"/>
            </w:pPr>
            <w:r w:rsidRPr="00C04168">
              <w:lastRenderedPageBreak/>
              <w:t>(a) of not less than 1 hour in duration; and</w:t>
            </w:r>
          </w:p>
          <w:p w14:paraId="1131075F" w14:textId="77777777" w:rsidR="004639D8" w:rsidRPr="00C04168" w:rsidRDefault="004639D8" w:rsidP="005A7AF8">
            <w:pPr>
              <w:pStyle w:val="Tablea"/>
            </w:pPr>
            <w:r w:rsidRPr="00C04168">
              <w:t>(b) given under the continuous direct supervision of a consultant physician in the practice of the consultant physician’s specialty of psychiatry; and</w:t>
            </w:r>
          </w:p>
          <w:p w14:paraId="20F48AF3" w14:textId="77777777" w:rsidR="004639D8" w:rsidRPr="00C04168" w:rsidRDefault="004639D8" w:rsidP="005A7AF8">
            <w:pPr>
              <w:pStyle w:val="Tablea"/>
            </w:pPr>
            <w:r w:rsidRPr="00C04168">
              <w:t>(c) involving a group of 2 to 9 unrelated patients or a family group of more than 3 patients, each of whom is referred to the consultant physician by a referring practitioner;</w:t>
            </w:r>
          </w:p>
          <w:p w14:paraId="60835209" w14:textId="77777777" w:rsidR="004639D8" w:rsidRPr="00C04168" w:rsidRDefault="004639D8" w:rsidP="005A7AF8">
            <w:pPr>
              <w:pStyle w:val="Tabletext"/>
            </w:pPr>
            <w:r w:rsidRPr="00C04168">
              <w:t>—each patient</w:t>
            </w:r>
          </w:p>
        </w:tc>
        <w:tc>
          <w:tcPr>
            <w:tcW w:w="914" w:type="pct"/>
            <w:tcBorders>
              <w:top w:val="single" w:sz="4" w:space="0" w:color="auto"/>
              <w:left w:val="nil"/>
              <w:bottom w:val="single" w:sz="4" w:space="0" w:color="auto"/>
              <w:right w:val="nil"/>
            </w:tcBorders>
            <w:hideMark/>
          </w:tcPr>
          <w:p w14:paraId="28EF013B" w14:textId="77777777" w:rsidR="004639D8" w:rsidRPr="00C04168" w:rsidRDefault="004639D8" w:rsidP="005A7AF8">
            <w:pPr>
              <w:pStyle w:val="Tabletext"/>
              <w:jc w:val="right"/>
            </w:pPr>
            <w:r w:rsidRPr="00C04168">
              <w:lastRenderedPageBreak/>
              <w:t>50.85</w:t>
            </w:r>
          </w:p>
        </w:tc>
      </w:tr>
      <w:tr w:rsidR="00C04168" w:rsidRPr="00C04168" w14:paraId="06FAF94C" w14:textId="77777777" w:rsidTr="005A7AF8">
        <w:tc>
          <w:tcPr>
            <w:tcW w:w="694" w:type="pct"/>
            <w:tcBorders>
              <w:top w:val="single" w:sz="4" w:space="0" w:color="auto"/>
              <w:left w:val="nil"/>
              <w:bottom w:val="single" w:sz="4" w:space="0" w:color="auto"/>
              <w:right w:val="nil"/>
            </w:tcBorders>
            <w:hideMark/>
          </w:tcPr>
          <w:p w14:paraId="7F5BB3D7" w14:textId="77777777" w:rsidR="004639D8" w:rsidRPr="00C04168" w:rsidRDefault="004639D8" w:rsidP="005A7AF8">
            <w:pPr>
              <w:pStyle w:val="Tabletext"/>
            </w:pPr>
            <w:r w:rsidRPr="00C04168">
              <w:t>92456</w:t>
            </w:r>
          </w:p>
          <w:p w14:paraId="7C0F484C" w14:textId="10431063" w:rsidR="004639D8" w:rsidRPr="00C04168" w:rsidRDefault="004639D8" w:rsidP="005A7AF8">
            <w:pPr>
              <w:pStyle w:val="Tabletext"/>
            </w:pPr>
          </w:p>
        </w:tc>
        <w:tc>
          <w:tcPr>
            <w:tcW w:w="3392" w:type="pct"/>
            <w:tcBorders>
              <w:top w:val="single" w:sz="4" w:space="0" w:color="auto"/>
              <w:left w:val="nil"/>
              <w:bottom w:val="single" w:sz="4" w:space="0" w:color="auto"/>
              <w:right w:val="nil"/>
            </w:tcBorders>
            <w:hideMark/>
          </w:tcPr>
          <w:p w14:paraId="71557BED" w14:textId="77777777" w:rsidR="004639D8" w:rsidRPr="00C04168" w:rsidRDefault="004639D8" w:rsidP="005A7AF8">
            <w:pPr>
              <w:pStyle w:val="Tabletext"/>
            </w:pPr>
            <w:r w:rsidRPr="00C04168">
              <w:t xml:space="preserve">Telehealth attendance for group psychotherapy (including any associated consultations with a patient taking place on the same occasion and relating to the condition for which group therapy is conducted): </w:t>
            </w:r>
          </w:p>
          <w:p w14:paraId="778017B9" w14:textId="77777777" w:rsidR="004639D8" w:rsidRPr="00C04168" w:rsidRDefault="004639D8" w:rsidP="005A7AF8">
            <w:pPr>
              <w:pStyle w:val="Tablea"/>
            </w:pPr>
            <w:r w:rsidRPr="00C04168">
              <w:t xml:space="preserve">(a) of not less than 1 hour in duration; and </w:t>
            </w:r>
          </w:p>
          <w:p w14:paraId="081B1251" w14:textId="77777777" w:rsidR="004639D8" w:rsidRPr="00C04168" w:rsidRDefault="004639D8" w:rsidP="005A7AF8">
            <w:pPr>
              <w:pStyle w:val="Tablea"/>
            </w:pPr>
            <w:r w:rsidRPr="00C04168">
              <w:t xml:space="preserve">(b) given under the continuous direct supervision of a consultant physician in the practice of the consultant physician’s specialty of psychiatry; and </w:t>
            </w:r>
          </w:p>
          <w:p w14:paraId="119A5584" w14:textId="77777777" w:rsidR="004639D8" w:rsidRPr="00C04168" w:rsidRDefault="004639D8" w:rsidP="005A7AF8">
            <w:pPr>
              <w:pStyle w:val="Tablea"/>
            </w:pPr>
            <w:r w:rsidRPr="00C04168">
              <w:t>(c) involving a family group of 3 patients, each of whom is referred to the consultant physician by a referring practitioner;</w:t>
            </w:r>
          </w:p>
          <w:p w14:paraId="68CF633F" w14:textId="77777777" w:rsidR="004639D8" w:rsidRPr="00C04168" w:rsidRDefault="004639D8" w:rsidP="005A7AF8">
            <w:pPr>
              <w:pStyle w:val="Tabletext"/>
            </w:pPr>
            <w:r w:rsidRPr="00C04168">
              <w:t>—each patient</w:t>
            </w:r>
          </w:p>
        </w:tc>
        <w:tc>
          <w:tcPr>
            <w:tcW w:w="914" w:type="pct"/>
            <w:tcBorders>
              <w:top w:val="single" w:sz="4" w:space="0" w:color="auto"/>
              <w:left w:val="nil"/>
              <w:bottom w:val="single" w:sz="4" w:space="0" w:color="auto"/>
              <w:right w:val="nil"/>
            </w:tcBorders>
            <w:hideMark/>
          </w:tcPr>
          <w:p w14:paraId="771F4DDC" w14:textId="77777777" w:rsidR="004639D8" w:rsidRPr="00C04168" w:rsidRDefault="004639D8" w:rsidP="005A7AF8">
            <w:pPr>
              <w:pStyle w:val="Tabletext"/>
              <w:jc w:val="right"/>
            </w:pPr>
            <w:r w:rsidRPr="00C04168">
              <w:t>67.50</w:t>
            </w:r>
          </w:p>
        </w:tc>
      </w:tr>
      <w:tr w:rsidR="00C04168" w:rsidRPr="00C04168" w14:paraId="0B56D4C7" w14:textId="77777777" w:rsidTr="005A7AF8">
        <w:tc>
          <w:tcPr>
            <w:tcW w:w="694" w:type="pct"/>
            <w:tcBorders>
              <w:top w:val="single" w:sz="4" w:space="0" w:color="auto"/>
              <w:left w:val="nil"/>
              <w:bottom w:val="single" w:sz="4" w:space="0" w:color="auto"/>
              <w:right w:val="nil"/>
            </w:tcBorders>
            <w:hideMark/>
          </w:tcPr>
          <w:p w14:paraId="653A7C33" w14:textId="77777777" w:rsidR="004639D8" w:rsidRPr="00C04168" w:rsidRDefault="004639D8" w:rsidP="005A7AF8">
            <w:pPr>
              <w:pStyle w:val="Tabletext"/>
            </w:pPr>
            <w:r w:rsidRPr="00C04168">
              <w:t>92457</w:t>
            </w:r>
          </w:p>
          <w:p w14:paraId="0FBB9516" w14:textId="703C74C5" w:rsidR="004639D8" w:rsidRPr="00C04168" w:rsidRDefault="004639D8" w:rsidP="005A7AF8">
            <w:pPr>
              <w:pStyle w:val="Tabletext"/>
            </w:pPr>
          </w:p>
        </w:tc>
        <w:tc>
          <w:tcPr>
            <w:tcW w:w="3392" w:type="pct"/>
            <w:tcBorders>
              <w:top w:val="single" w:sz="4" w:space="0" w:color="auto"/>
              <w:left w:val="nil"/>
              <w:bottom w:val="single" w:sz="4" w:space="0" w:color="auto"/>
              <w:right w:val="nil"/>
            </w:tcBorders>
            <w:hideMark/>
          </w:tcPr>
          <w:p w14:paraId="2A531754" w14:textId="77777777" w:rsidR="004639D8" w:rsidRPr="00C04168" w:rsidRDefault="004639D8" w:rsidP="005A7AF8">
            <w:pPr>
              <w:pStyle w:val="Tabletext"/>
            </w:pPr>
            <w:r w:rsidRPr="00C04168">
              <w:t>Telehealth attendance for group psychotherapy (including any associated consultations with a patient taking place on the same occasion and relating to the condition for which group therapy is conducted):</w:t>
            </w:r>
          </w:p>
          <w:p w14:paraId="50B2BD0B" w14:textId="77777777" w:rsidR="004639D8" w:rsidRPr="00C04168" w:rsidRDefault="004639D8" w:rsidP="005A7AF8">
            <w:pPr>
              <w:pStyle w:val="Tablea"/>
            </w:pPr>
            <w:r w:rsidRPr="00C04168">
              <w:t xml:space="preserve">(a) of not less than 1 hour in duration; and </w:t>
            </w:r>
          </w:p>
          <w:p w14:paraId="740B2C6E" w14:textId="77777777" w:rsidR="004639D8" w:rsidRPr="00C04168" w:rsidRDefault="004639D8" w:rsidP="005A7AF8">
            <w:pPr>
              <w:pStyle w:val="Tablea"/>
            </w:pPr>
            <w:r w:rsidRPr="00C04168">
              <w:t xml:space="preserve">(b) given under the continuous direct supervision of a consultant physician in the practice of the consultant physician’s specialty of psychiatry; and </w:t>
            </w:r>
          </w:p>
          <w:p w14:paraId="6BB46534" w14:textId="77777777" w:rsidR="004639D8" w:rsidRPr="00C04168" w:rsidRDefault="004639D8" w:rsidP="005A7AF8">
            <w:pPr>
              <w:pStyle w:val="Tablea"/>
            </w:pPr>
            <w:r w:rsidRPr="00C04168">
              <w:t>(c) involving a family group of 2 patients, each of whom is referred to the consultant physician by a referring practitioner;</w:t>
            </w:r>
          </w:p>
          <w:p w14:paraId="029B75CE" w14:textId="77777777" w:rsidR="004639D8" w:rsidRPr="00C04168" w:rsidRDefault="004639D8" w:rsidP="005A7AF8">
            <w:pPr>
              <w:pStyle w:val="Tabletext"/>
            </w:pPr>
            <w:r w:rsidRPr="00C04168">
              <w:t>—each patient</w:t>
            </w:r>
          </w:p>
        </w:tc>
        <w:tc>
          <w:tcPr>
            <w:tcW w:w="914" w:type="pct"/>
            <w:tcBorders>
              <w:top w:val="single" w:sz="4" w:space="0" w:color="auto"/>
              <w:left w:val="nil"/>
              <w:bottom w:val="single" w:sz="4" w:space="0" w:color="auto"/>
              <w:right w:val="nil"/>
            </w:tcBorders>
            <w:hideMark/>
          </w:tcPr>
          <w:p w14:paraId="21030155" w14:textId="77777777" w:rsidR="004639D8" w:rsidRPr="00C04168" w:rsidRDefault="004639D8" w:rsidP="005A7AF8">
            <w:pPr>
              <w:pStyle w:val="Tabletext"/>
              <w:jc w:val="right"/>
            </w:pPr>
            <w:r w:rsidRPr="00C04168">
              <w:t>99.80</w:t>
            </w:r>
          </w:p>
        </w:tc>
      </w:tr>
    </w:tbl>
    <w:p w14:paraId="58B7B5BC" w14:textId="075A0CDF" w:rsidR="003441AA" w:rsidRPr="00C04168" w:rsidRDefault="00002B2D" w:rsidP="003441AA">
      <w:pPr>
        <w:pStyle w:val="ItemHead"/>
      </w:pPr>
      <w:proofErr w:type="gramStart"/>
      <w:r>
        <w:t>9</w:t>
      </w:r>
      <w:r w:rsidR="003441AA" w:rsidRPr="00C04168">
        <w:t xml:space="preserve">  Schedule</w:t>
      </w:r>
      <w:proofErr w:type="gramEnd"/>
      <w:r w:rsidR="003441AA" w:rsidRPr="00C04168">
        <w:t xml:space="preserve"> 2 (item 92477, column 2, paragraph (b))</w:t>
      </w:r>
    </w:p>
    <w:p w14:paraId="45152EF8" w14:textId="6744D2A6" w:rsidR="003441AA" w:rsidRPr="00C04168" w:rsidRDefault="003441AA" w:rsidP="003441AA">
      <w:pPr>
        <w:pStyle w:val="Item"/>
      </w:pPr>
      <w:r w:rsidRPr="00C04168">
        <w:t xml:space="preserve">Omit “or 91837 to 91841”, insert “, 91837 to 91841, 92455 to 93457 or 92495 to 92497”. </w:t>
      </w:r>
    </w:p>
    <w:p w14:paraId="4EF35F9D" w14:textId="24AC7758" w:rsidR="004639D8" w:rsidRPr="00C04168" w:rsidRDefault="00002B2D" w:rsidP="004639D8">
      <w:pPr>
        <w:pStyle w:val="ItemHead"/>
      </w:pPr>
      <w:proofErr w:type="gramStart"/>
      <w:r>
        <w:t>10</w:t>
      </w:r>
      <w:r w:rsidR="004639D8" w:rsidRPr="00C04168">
        <w:t xml:space="preserve">  Schedule</w:t>
      </w:r>
      <w:proofErr w:type="gramEnd"/>
      <w:r w:rsidR="004639D8" w:rsidRPr="00C04168">
        <w:t xml:space="preserve"> 2 (after item 9</w:t>
      </w:r>
      <w:r w:rsidR="003441AA" w:rsidRPr="00C04168">
        <w:t>2477</w:t>
      </w:r>
      <w:r w:rsidR="004639D8" w:rsidRPr="00C04168">
        <w:t>)</w:t>
      </w:r>
    </w:p>
    <w:p w14:paraId="04EC59E9" w14:textId="6C78BE19" w:rsidR="004639D8" w:rsidRPr="00C04168" w:rsidRDefault="004639D8" w:rsidP="004639D8">
      <w:pPr>
        <w:pStyle w:val="Item"/>
      </w:pPr>
      <w:r w:rsidRPr="00C04168">
        <w:t>Insert:</w:t>
      </w:r>
    </w:p>
    <w:p w14:paraId="7A41F225" w14:textId="77777777" w:rsidR="004639D8" w:rsidRPr="00C04168" w:rsidRDefault="004639D8"/>
    <w:tbl>
      <w:tblPr>
        <w:tblW w:w="4917"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35"/>
        <w:gridCol w:w="5546"/>
        <w:gridCol w:w="1494"/>
      </w:tblGrid>
      <w:tr w:rsidR="00C04168" w:rsidRPr="00C04168" w14:paraId="01CBCF00" w14:textId="77777777" w:rsidTr="005A7AF8">
        <w:tc>
          <w:tcPr>
            <w:tcW w:w="694" w:type="pct"/>
            <w:tcBorders>
              <w:top w:val="single" w:sz="4" w:space="0" w:color="auto"/>
              <w:left w:val="nil"/>
              <w:bottom w:val="single" w:sz="4" w:space="0" w:color="auto"/>
              <w:right w:val="nil"/>
            </w:tcBorders>
            <w:hideMark/>
          </w:tcPr>
          <w:p w14:paraId="1D2D97EF" w14:textId="6A8DC385" w:rsidR="004639D8" w:rsidRPr="00C04168" w:rsidRDefault="004639D8" w:rsidP="005A7AF8">
            <w:pPr>
              <w:pStyle w:val="Tabletext"/>
            </w:pPr>
            <w:r w:rsidRPr="00C04168">
              <w:t>924</w:t>
            </w:r>
            <w:r w:rsidR="000E4361" w:rsidRPr="00C04168">
              <w:t>9</w:t>
            </w:r>
            <w:r w:rsidRPr="00C04168">
              <w:t>5</w:t>
            </w:r>
          </w:p>
          <w:p w14:paraId="792A63CB" w14:textId="5A589C21" w:rsidR="004639D8" w:rsidRPr="00C04168" w:rsidRDefault="004639D8" w:rsidP="005A7AF8">
            <w:pPr>
              <w:pStyle w:val="Tabletext"/>
            </w:pPr>
          </w:p>
        </w:tc>
        <w:tc>
          <w:tcPr>
            <w:tcW w:w="3392" w:type="pct"/>
            <w:tcBorders>
              <w:top w:val="single" w:sz="4" w:space="0" w:color="auto"/>
              <w:left w:val="nil"/>
              <w:bottom w:val="single" w:sz="4" w:space="0" w:color="auto"/>
              <w:right w:val="nil"/>
            </w:tcBorders>
            <w:hideMark/>
          </w:tcPr>
          <w:p w14:paraId="6A4356E2" w14:textId="77777777" w:rsidR="004639D8" w:rsidRPr="00C04168" w:rsidRDefault="004639D8" w:rsidP="005A7AF8">
            <w:pPr>
              <w:pStyle w:val="Tabletext"/>
            </w:pPr>
            <w:r w:rsidRPr="00C04168">
              <w:t>Phone attendance for group psychotherapy (including any associated consultations with a patient taking place on the same occasion and relating to the condition for which group therapy is conducted):</w:t>
            </w:r>
          </w:p>
          <w:p w14:paraId="34690AEC" w14:textId="77777777" w:rsidR="004639D8" w:rsidRPr="00C04168" w:rsidRDefault="004639D8" w:rsidP="005A7AF8">
            <w:pPr>
              <w:pStyle w:val="Tablea"/>
            </w:pPr>
            <w:r w:rsidRPr="00C04168">
              <w:t>(a) of not less than 1 hour in duration; and</w:t>
            </w:r>
          </w:p>
          <w:p w14:paraId="3CD4CC03" w14:textId="77777777" w:rsidR="004639D8" w:rsidRPr="00C04168" w:rsidRDefault="004639D8" w:rsidP="005A7AF8">
            <w:pPr>
              <w:pStyle w:val="Tablea"/>
            </w:pPr>
            <w:r w:rsidRPr="00C04168">
              <w:t>(b) given under the continuous direct supervision of a consultant physician in the practice of the consultant physician’s specialty of psychiatry; and</w:t>
            </w:r>
          </w:p>
          <w:p w14:paraId="4AA3657B" w14:textId="77777777" w:rsidR="004639D8" w:rsidRPr="00C04168" w:rsidRDefault="004639D8" w:rsidP="005A7AF8">
            <w:pPr>
              <w:pStyle w:val="Tablea"/>
            </w:pPr>
            <w:r w:rsidRPr="00C04168">
              <w:t>(c) involving a group of 2 to 9 unrelated patients or a family group of more than 3 patients, each of whom is referred to the consultant physician by a referring practitioner;</w:t>
            </w:r>
          </w:p>
          <w:p w14:paraId="79790A14" w14:textId="77777777" w:rsidR="004639D8" w:rsidRPr="00C04168" w:rsidRDefault="004639D8" w:rsidP="005A7AF8">
            <w:pPr>
              <w:pStyle w:val="Tabletext"/>
            </w:pPr>
            <w:r w:rsidRPr="00C04168">
              <w:lastRenderedPageBreak/>
              <w:t>—each patient</w:t>
            </w:r>
          </w:p>
        </w:tc>
        <w:tc>
          <w:tcPr>
            <w:tcW w:w="914" w:type="pct"/>
            <w:tcBorders>
              <w:top w:val="single" w:sz="4" w:space="0" w:color="auto"/>
              <w:left w:val="nil"/>
              <w:bottom w:val="single" w:sz="4" w:space="0" w:color="auto"/>
              <w:right w:val="nil"/>
            </w:tcBorders>
            <w:hideMark/>
          </w:tcPr>
          <w:p w14:paraId="33849EC6" w14:textId="77777777" w:rsidR="004639D8" w:rsidRPr="00C04168" w:rsidRDefault="004639D8" w:rsidP="005A7AF8">
            <w:pPr>
              <w:pStyle w:val="Tabletext"/>
              <w:jc w:val="right"/>
            </w:pPr>
            <w:r w:rsidRPr="00C04168">
              <w:lastRenderedPageBreak/>
              <w:t>50.85</w:t>
            </w:r>
          </w:p>
        </w:tc>
      </w:tr>
      <w:tr w:rsidR="00C04168" w:rsidRPr="00C04168" w14:paraId="1FCFAC2D" w14:textId="77777777" w:rsidTr="005A7AF8">
        <w:tc>
          <w:tcPr>
            <w:tcW w:w="694" w:type="pct"/>
            <w:tcBorders>
              <w:top w:val="single" w:sz="4" w:space="0" w:color="auto"/>
              <w:left w:val="nil"/>
              <w:bottom w:val="single" w:sz="4" w:space="0" w:color="auto"/>
              <w:right w:val="nil"/>
            </w:tcBorders>
            <w:hideMark/>
          </w:tcPr>
          <w:p w14:paraId="02D0E7E7" w14:textId="5B92BEC6" w:rsidR="004639D8" w:rsidRPr="00C04168" w:rsidRDefault="004639D8" w:rsidP="005A7AF8">
            <w:pPr>
              <w:pStyle w:val="Tabletext"/>
            </w:pPr>
            <w:r w:rsidRPr="00C04168">
              <w:t>924</w:t>
            </w:r>
            <w:r w:rsidR="000E4361" w:rsidRPr="00C04168">
              <w:t>9</w:t>
            </w:r>
            <w:r w:rsidRPr="00C04168">
              <w:t>6</w:t>
            </w:r>
          </w:p>
          <w:p w14:paraId="235D458A" w14:textId="146A93DA" w:rsidR="004639D8" w:rsidRPr="00C04168" w:rsidRDefault="004639D8" w:rsidP="005A7AF8">
            <w:pPr>
              <w:pStyle w:val="Tabletext"/>
            </w:pPr>
          </w:p>
        </w:tc>
        <w:tc>
          <w:tcPr>
            <w:tcW w:w="3392" w:type="pct"/>
            <w:tcBorders>
              <w:top w:val="single" w:sz="4" w:space="0" w:color="auto"/>
              <w:left w:val="nil"/>
              <w:bottom w:val="single" w:sz="4" w:space="0" w:color="auto"/>
              <w:right w:val="nil"/>
            </w:tcBorders>
            <w:hideMark/>
          </w:tcPr>
          <w:p w14:paraId="4C418795" w14:textId="77777777" w:rsidR="004639D8" w:rsidRPr="00C04168" w:rsidRDefault="004639D8" w:rsidP="005A7AF8">
            <w:pPr>
              <w:pStyle w:val="Tabletext"/>
            </w:pPr>
            <w:r w:rsidRPr="00C04168">
              <w:t xml:space="preserve">Phone attendance for group psychotherapy (including any associated consultations with a patient taking place on the same occasion and relating to the condition for which group therapy is conducted): </w:t>
            </w:r>
          </w:p>
          <w:p w14:paraId="08FB4A21" w14:textId="77777777" w:rsidR="004639D8" w:rsidRPr="00C04168" w:rsidRDefault="004639D8" w:rsidP="005A7AF8">
            <w:pPr>
              <w:pStyle w:val="Tablea"/>
            </w:pPr>
            <w:r w:rsidRPr="00C04168">
              <w:t xml:space="preserve">(a) of not less than 1 hour in duration; and </w:t>
            </w:r>
          </w:p>
          <w:p w14:paraId="2B579627" w14:textId="77777777" w:rsidR="004639D8" w:rsidRPr="00C04168" w:rsidRDefault="004639D8" w:rsidP="005A7AF8">
            <w:pPr>
              <w:pStyle w:val="Tablea"/>
            </w:pPr>
            <w:r w:rsidRPr="00C04168">
              <w:t xml:space="preserve">(b) given under the continuous direct supervision of a consultant physician in the practice of the consultant physician’s specialty of psychiatry; and </w:t>
            </w:r>
          </w:p>
          <w:p w14:paraId="5A28188E" w14:textId="77777777" w:rsidR="004639D8" w:rsidRPr="00C04168" w:rsidRDefault="004639D8" w:rsidP="005A7AF8">
            <w:pPr>
              <w:pStyle w:val="Tablea"/>
            </w:pPr>
            <w:r w:rsidRPr="00C04168">
              <w:t>(c) involving a family group of 3 patients, each of whom is referred to the consultant physician by a referring practitioner;</w:t>
            </w:r>
          </w:p>
          <w:p w14:paraId="4F42D6E0" w14:textId="77777777" w:rsidR="004639D8" w:rsidRPr="00C04168" w:rsidRDefault="004639D8" w:rsidP="005A7AF8">
            <w:pPr>
              <w:pStyle w:val="Tabletext"/>
            </w:pPr>
            <w:r w:rsidRPr="00C04168">
              <w:t>—each patient</w:t>
            </w:r>
          </w:p>
        </w:tc>
        <w:tc>
          <w:tcPr>
            <w:tcW w:w="914" w:type="pct"/>
            <w:tcBorders>
              <w:top w:val="single" w:sz="4" w:space="0" w:color="auto"/>
              <w:left w:val="nil"/>
              <w:bottom w:val="single" w:sz="4" w:space="0" w:color="auto"/>
              <w:right w:val="nil"/>
            </w:tcBorders>
            <w:hideMark/>
          </w:tcPr>
          <w:p w14:paraId="523A40AA" w14:textId="77777777" w:rsidR="004639D8" w:rsidRPr="00C04168" w:rsidRDefault="004639D8" w:rsidP="005A7AF8">
            <w:pPr>
              <w:pStyle w:val="Tabletext"/>
              <w:jc w:val="right"/>
            </w:pPr>
            <w:r w:rsidRPr="00C04168">
              <w:t>67.50</w:t>
            </w:r>
          </w:p>
        </w:tc>
      </w:tr>
      <w:tr w:rsidR="00C04168" w:rsidRPr="00C04168" w14:paraId="46883D61" w14:textId="77777777" w:rsidTr="005A7AF8">
        <w:tc>
          <w:tcPr>
            <w:tcW w:w="694" w:type="pct"/>
            <w:tcBorders>
              <w:top w:val="single" w:sz="4" w:space="0" w:color="auto"/>
              <w:left w:val="nil"/>
              <w:bottom w:val="single" w:sz="4" w:space="0" w:color="auto"/>
              <w:right w:val="nil"/>
            </w:tcBorders>
            <w:hideMark/>
          </w:tcPr>
          <w:p w14:paraId="7D0CFBD5" w14:textId="27AD9CA1" w:rsidR="004639D8" w:rsidRPr="00C04168" w:rsidRDefault="004639D8" w:rsidP="005A7AF8">
            <w:pPr>
              <w:pStyle w:val="Tabletext"/>
            </w:pPr>
            <w:r w:rsidRPr="00C04168">
              <w:t>924</w:t>
            </w:r>
            <w:r w:rsidR="000E4361" w:rsidRPr="00C04168">
              <w:t>9</w:t>
            </w:r>
            <w:r w:rsidRPr="00C04168">
              <w:t>7</w:t>
            </w:r>
          </w:p>
          <w:p w14:paraId="76261123" w14:textId="57B6E152" w:rsidR="004639D8" w:rsidRPr="00C04168" w:rsidRDefault="004639D8" w:rsidP="005A7AF8">
            <w:pPr>
              <w:pStyle w:val="Tabletext"/>
            </w:pPr>
          </w:p>
        </w:tc>
        <w:tc>
          <w:tcPr>
            <w:tcW w:w="3392" w:type="pct"/>
            <w:tcBorders>
              <w:top w:val="single" w:sz="4" w:space="0" w:color="auto"/>
              <w:left w:val="nil"/>
              <w:bottom w:val="single" w:sz="4" w:space="0" w:color="auto"/>
              <w:right w:val="nil"/>
            </w:tcBorders>
            <w:hideMark/>
          </w:tcPr>
          <w:p w14:paraId="2D6C682C" w14:textId="77777777" w:rsidR="004639D8" w:rsidRPr="00C04168" w:rsidRDefault="004639D8" w:rsidP="005A7AF8">
            <w:pPr>
              <w:pStyle w:val="Tabletext"/>
            </w:pPr>
            <w:r w:rsidRPr="00C04168">
              <w:t>Phone attendance for group psychotherapy (including any associated consultations with a patient taking place on the same occasion and relating to the condition for which group therapy is conducted):</w:t>
            </w:r>
          </w:p>
          <w:p w14:paraId="32E52E96" w14:textId="77777777" w:rsidR="004639D8" w:rsidRPr="00C04168" w:rsidRDefault="004639D8" w:rsidP="005A7AF8">
            <w:pPr>
              <w:pStyle w:val="Tablea"/>
            </w:pPr>
            <w:r w:rsidRPr="00C04168">
              <w:t xml:space="preserve">(a) of not less than 1 hour in duration; and </w:t>
            </w:r>
          </w:p>
          <w:p w14:paraId="1D38F8BA" w14:textId="77777777" w:rsidR="004639D8" w:rsidRPr="00C04168" w:rsidRDefault="004639D8" w:rsidP="005A7AF8">
            <w:pPr>
              <w:pStyle w:val="Tablea"/>
            </w:pPr>
            <w:r w:rsidRPr="00C04168">
              <w:t xml:space="preserve">(b) given under the continuous direct supervision of a consultant physician in the practice of the consultant physician’s specialty of psychiatry; and </w:t>
            </w:r>
          </w:p>
          <w:p w14:paraId="2DAAAEF2" w14:textId="77777777" w:rsidR="004639D8" w:rsidRPr="00C04168" w:rsidRDefault="004639D8" w:rsidP="005A7AF8">
            <w:pPr>
              <w:pStyle w:val="Tablea"/>
            </w:pPr>
            <w:r w:rsidRPr="00C04168">
              <w:t>(c) involving a family group of 2 patients, each of whom is referred to the consultant physician by a referring practitioner;</w:t>
            </w:r>
          </w:p>
          <w:p w14:paraId="0806364F" w14:textId="77777777" w:rsidR="004639D8" w:rsidRPr="00C04168" w:rsidRDefault="004639D8" w:rsidP="005A7AF8">
            <w:pPr>
              <w:pStyle w:val="Tabletext"/>
            </w:pPr>
            <w:r w:rsidRPr="00C04168">
              <w:t>—each patient</w:t>
            </w:r>
          </w:p>
        </w:tc>
        <w:tc>
          <w:tcPr>
            <w:tcW w:w="914" w:type="pct"/>
            <w:tcBorders>
              <w:top w:val="single" w:sz="4" w:space="0" w:color="auto"/>
              <w:left w:val="nil"/>
              <w:bottom w:val="single" w:sz="4" w:space="0" w:color="auto"/>
              <w:right w:val="nil"/>
            </w:tcBorders>
            <w:hideMark/>
          </w:tcPr>
          <w:p w14:paraId="715E379C" w14:textId="77777777" w:rsidR="004639D8" w:rsidRPr="00C04168" w:rsidRDefault="004639D8" w:rsidP="005A7AF8">
            <w:pPr>
              <w:pStyle w:val="Tabletext"/>
              <w:jc w:val="right"/>
            </w:pPr>
            <w:r w:rsidRPr="00C04168">
              <w:t>99.80</w:t>
            </w:r>
          </w:p>
        </w:tc>
      </w:tr>
    </w:tbl>
    <w:p w14:paraId="2EB1B60B" w14:textId="3464A29D" w:rsidR="00CA0291" w:rsidRPr="00C04168" w:rsidRDefault="00C61404" w:rsidP="00CA0291">
      <w:pPr>
        <w:pStyle w:val="ItemHead"/>
      </w:pPr>
      <w:proofErr w:type="gramStart"/>
      <w:r w:rsidRPr="00C04168">
        <w:t>1</w:t>
      </w:r>
      <w:r w:rsidR="00002B2D">
        <w:t>1</w:t>
      </w:r>
      <w:r w:rsidR="00CA0291" w:rsidRPr="00C04168">
        <w:t xml:space="preserve">  Schedule</w:t>
      </w:r>
      <w:proofErr w:type="gramEnd"/>
      <w:r w:rsidR="00CA0291" w:rsidRPr="00C04168">
        <w:t xml:space="preserve"> 2 (</w:t>
      </w:r>
      <w:r w:rsidR="009C4F32">
        <w:t>after item 92629</w:t>
      </w:r>
      <w:r w:rsidR="00CA0291" w:rsidRPr="00C04168">
        <w:t>)</w:t>
      </w:r>
    </w:p>
    <w:p w14:paraId="72A1803C" w14:textId="77777777" w:rsidR="00CA0291" w:rsidRPr="00C04168" w:rsidRDefault="00CA0291" w:rsidP="00CA0291">
      <w:pPr>
        <w:pStyle w:val="Item"/>
      </w:pPr>
      <w:r w:rsidRPr="00C04168">
        <w:t>Insert:</w:t>
      </w:r>
    </w:p>
    <w:p w14:paraId="5DAC6DDA" w14:textId="2328F2D8" w:rsidR="00E7145A" w:rsidRPr="00C04168" w:rsidRDefault="00E7145A" w:rsidP="00875389">
      <w:pPr>
        <w:spacing w:line="240" w:lineRule="auto"/>
      </w:pPr>
    </w:p>
    <w:tbl>
      <w:tblPr>
        <w:tblW w:w="4917"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12"/>
        <w:gridCol w:w="23"/>
        <w:gridCol w:w="5621"/>
        <w:gridCol w:w="46"/>
        <w:gridCol w:w="1373"/>
      </w:tblGrid>
      <w:tr w:rsidR="00C04168" w:rsidRPr="00C04168" w14:paraId="68A02BE5" w14:textId="77777777" w:rsidTr="00E7145A">
        <w:tc>
          <w:tcPr>
            <w:tcW w:w="5000" w:type="pct"/>
            <w:gridSpan w:val="5"/>
            <w:tcBorders>
              <w:top w:val="single" w:sz="12" w:space="0" w:color="auto"/>
              <w:left w:val="nil"/>
              <w:bottom w:val="single" w:sz="6" w:space="0" w:color="auto"/>
              <w:right w:val="nil"/>
            </w:tcBorders>
            <w:hideMark/>
          </w:tcPr>
          <w:p w14:paraId="3AFF20F5" w14:textId="4444C799" w:rsidR="00E7145A" w:rsidRPr="00C04168" w:rsidRDefault="00E7145A" w:rsidP="00D6732F">
            <w:pPr>
              <w:pStyle w:val="TableHeading"/>
            </w:pPr>
            <w:r w:rsidRPr="00C04168">
              <w:t>S</w:t>
            </w:r>
            <w:r w:rsidR="00875389" w:rsidRPr="00C04168">
              <w:t>ubgroup 33</w:t>
            </w:r>
            <w:r w:rsidRPr="00C04168">
              <w:t>—</w:t>
            </w:r>
            <w:r w:rsidR="00D6732F" w:rsidRPr="00C04168">
              <w:t xml:space="preserve"> Public health physician – Telehealth Services  </w:t>
            </w:r>
          </w:p>
        </w:tc>
      </w:tr>
      <w:tr w:rsidR="00C04168" w:rsidRPr="00C04168" w14:paraId="3E004CE4" w14:textId="77777777" w:rsidTr="00D6732F">
        <w:tc>
          <w:tcPr>
            <w:tcW w:w="680" w:type="pct"/>
            <w:tcBorders>
              <w:top w:val="single" w:sz="12" w:space="0" w:color="auto"/>
              <w:left w:val="nil"/>
              <w:bottom w:val="single" w:sz="4" w:space="0" w:color="auto"/>
              <w:right w:val="nil"/>
            </w:tcBorders>
            <w:hideMark/>
          </w:tcPr>
          <w:p w14:paraId="63C0E8AD" w14:textId="77777777" w:rsidR="00E7145A" w:rsidRPr="00C04168" w:rsidRDefault="00E7145A">
            <w:pPr>
              <w:pStyle w:val="Tabletext"/>
              <w:rPr>
                <w:snapToGrid w:val="0"/>
              </w:rPr>
            </w:pPr>
            <w:r w:rsidRPr="00C04168">
              <w:rPr>
                <w:snapToGrid w:val="0"/>
              </w:rPr>
              <w:t>92513</w:t>
            </w:r>
          </w:p>
          <w:p w14:paraId="7AAB11AE" w14:textId="1DEED970" w:rsidR="00E7145A" w:rsidRPr="00C04168" w:rsidRDefault="00E7145A">
            <w:pPr>
              <w:pStyle w:val="Tabletext"/>
              <w:rPr>
                <w:snapToGrid w:val="0"/>
              </w:rPr>
            </w:pPr>
          </w:p>
        </w:tc>
        <w:tc>
          <w:tcPr>
            <w:tcW w:w="3452" w:type="pct"/>
            <w:gridSpan w:val="2"/>
            <w:tcBorders>
              <w:top w:val="single" w:sz="12" w:space="0" w:color="auto"/>
              <w:left w:val="nil"/>
              <w:bottom w:val="single" w:sz="4" w:space="0" w:color="auto"/>
              <w:right w:val="nil"/>
            </w:tcBorders>
            <w:hideMark/>
          </w:tcPr>
          <w:p w14:paraId="0FD24271" w14:textId="77777777" w:rsidR="00E7145A" w:rsidRPr="00C04168" w:rsidRDefault="00E7145A">
            <w:pPr>
              <w:pStyle w:val="Tabletext"/>
              <w:rPr>
                <w:snapToGrid w:val="0"/>
              </w:rPr>
            </w:pPr>
            <w:r w:rsidRPr="00C04168">
              <w:rPr>
                <w:snapToGrid w:val="0"/>
              </w:rPr>
              <w:t>Telehealth attendance by a public health physician in the practice of the public health physician’s specialty of public health medicine—attendance for an obvious problem characterised by the straightforward nature of the task that requires a short patient history and, if required, limited management</w:t>
            </w:r>
          </w:p>
        </w:tc>
        <w:tc>
          <w:tcPr>
            <w:tcW w:w="869" w:type="pct"/>
            <w:gridSpan w:val="2"/>
            <w:tcBorders>
              <w:top w:val="single" w:sz="12" w:space="0" w:color="auto"/>
              <w:left w:val="nil"/>
              <w:bottom w:val="single" w:sz="4" w:space="0" w:color="auto"/>
              <w:right w:val="nil"/>
            </w:tcBorders>
            <w:hideMark/>
          </w:tcPr>
          <w:p w14:paraId="104B90D7" w14:textId="77777777" w:rsidR="00E7145A" w:rsidRPr="00C04168" w:rsidRDefault="00E7145A">
            <w:pPr>
              <w:pStyle w:val="Tabletext"/>
              <w:jc w:val="right"/>
            </w:pPr>
            <w:r w:rsidRPr="00C04168">
              <w:t>20.15</w:t>
            </w:r>
          </w:p>
        </w:tc>
      </w:tr>
      <w:tr w:rsidR="00C04168" w:rsidRPr="00C04168" w14:paraId="46177A5E" w14:textId="77777777" w:rsidTr="00D6732F">
        <w:tc>
          <w:tcPr>
            <w:tcW w:w="680" w:type="pct"/>
            <w:tcBorders>
              <w:top w:val="single" w:sz="4" w:space="0" w:color="auto"/>
              <w:left w:val="nil"/>
              <w:bottom w:val="single" w:sz="4" w:space="0" w:color="auto"/>
              <w:right w:val="nil"/>
            </w:tcBorders>
            <w:hideMark/>
          </w:tcPr>
          <w:p w14:paraId="2C9296EE" w14:textId="77777777" w:rsidR="00E7145A" w:rsidRPr="00C04168" w:rsidRDefault="00E7145A">
            <w:pPr>
              <w:pStyle w:val="Tabletext"/>
            </w:pPr>
            <w:r w:rsidRPr="00C04168">
              <w:t>92514</w:t>
            </w:r>
          </w:p>
          <w:p w14:paraId="0EB4E29C" w14:textId="6F185E93" w:rsidR="00E7145A" w:rsidRPr="00C04168" w:rsidRDefault="00E7145A">
            <w:pPr>
              <w:pStyle w:val="Tabletext"/>
            </w:pPr>
          </w:p>
        </w:tc>
        <w:tc>
          <w:tcPr>
            <w:tcW w:w="3452" w:type="pct"/>
            <w:gridSpan w:val="2"/>
            <w:tcBorders>
              <w:top w:val="single" w:sz="4" w:space="0" w:color="auto"/>
              <w:left w:val="nil"/>
              <w:bottom w:val="single" w:sz="4" w:space="0" w:color="auto"/>
              <w:right w:val="nil"/>
            </w:tcBorders>
            <w:hideMark/>
          </w:tcPr>
          <w:p w14:paraId="4C662C59" w14:textId="77777777" w:rsidR="00E7145A" w:rsidRPr="00C04168" w:rsidRDefault="00E7145A">
            <w:pPr>
              <w:pStyle w:val="Tabletext"/>
            </w:pPr>
            <w:r w:rsidRPr="00C04168">
              <w:t xml:space="preserve">Telehealth attendance by a public health physician in the practice of </w:t>
            </w:r>
            <w:r w:rsidRPr="00C04168">
              <w:rPr>
                <w:snapToGrid w:val="0"/>
              </w:rPr>
              <w:t>the public health physician’s</w:t>
            </w:r>
            <w:r w:rsidRPr="00C04168">
              <w:t xml:space="preserve"> specialty of public health medicine, lasting less than 20 minutes and including any of the following that are clinically relevant:</w:t>
            </w:r>
          </w:p>
          <w:p w14:paraId="06C03C96" w14:textId="77777777" w:rsidR="00E7145A" w:rsidRPr="00C04168" w:rsidRDefault="00E7145A">
            <w:pPr>
              <w:pStyle w:val="Tablea"/>
            </w:pPr>
            <w:r w:rsidRPr="00C04168">
              <w:t>(a) taking a patient history;</w:t>
            </w:r>
          </w:p>
          <w:p w14:paraId="17E0E956" w14:textId="77777777" w:rsidR="00E7145A" w:rsidRPr="00C04168" w:rsidRDefault="00E7145A">
            <w:pPr>
              <w:pStyle w:val="Tablea"/>
            </w:pPr>
            <w:r w:rsidRPr="00C04168">
              <w:t>(b) arranging any necessary investigation;</w:t>
            </w:r>
          </w:p>
          <w:p w14:paraId="2A644D7A" w14:textId="77777777" w:rsidR="00E7145A" w:rsidRPr="00C04168" w:rsidRDefault="00E7145A">
            <w:pPr>
              <w:pStyle w:val="Tablea"/>
            </w:pPr>
            <w:r w:rsidRPr="00C04168">
              <w:t>(c) implementing a management plan;</w:t>
            </w:r>
          </w:p>
          <w:p w14:paraId="64FD14DD" w14:textId="77777777" w:rsidR="00E7145A" w:rsidRPr="00C04168" w:rsidRDefault="00E7145A">
            <w:pPr>
              <w:pStyle w:val="Tablea"/>
            </w:pPr>
            <w:r w:rsidRPr="00C04168">
              <w:t>(d) providing appropriate preventive health care;</w:t>
            </w:r>
          </w:p>
          <w:p w14:paraId="5C16506E" w14:textId="77777777" w:rsidR="00E7145A" w:rsidRPr="00C04168" w:rsidRDefault="00E7145A">
            <w:pPr>
              <w:pStyle w:val="Tabletext"/>
            </w:pPr>
            <w:r w:rsidRPr="00C04168">
              <w:t>for one or more health</w:t>
            </w:r>
            <w:r w:rsidRPr="00C04168">
              <w:noBreakHyphen/>
              <w:t>related issues, with appropriate documentation</w:t>
            </w:r>
          </w:p>
        </w:tc>
        <w:tc>
          <w:tcPr>
            <w:tcW w:w="869" w:type="pct"/>
            <w:gridSpan w:val="2"/>
            <w:tcBorders>
              <w:top w:val="single" w:sz="4" w:space="0" w:color="auto"/>
              <w:left w:val="nil"/>
              <w:bottom w:val="single" w:sz="4" w:space="0" w:color="auto"/>
              <w:right w:val="nil"/>
            </w:tcBorders>
            <w:hideMark/>
          </w:tcPr>
          <w:p w14:paraId="5F18663F" w14:textId="77777777" w:rsidR="00E7145A" w:rsidRPr="00C04168" w:rsidRDefault="00E7145A">
            <w:pPr>
              <w:pStyle w:val="Tabletext"/>
              <w:jc w:val="right"/>
            </w:pPr>
            <w:r w:rsidRPr="00C04168">
              <w:t>44.10</w:t>
            </w:r>
          </w:p>
        </w:tc>
      </w:tr>
      <w:tr w:rsidR="00C04168" w:rsidRPr="00C04168" w14:paraId="2AEE58E3" w14:textId="77777777" w:rsidTr="00D6732F">
        <w:tc>
          <w:tcPr>
            <w:tcW w:w="680" w:type="pct"/>
            <w:tcBorders>
              <w:top w:val="single" w:sz="4" w:space="0" w:color="auto"/>
              <w:left w:val="nil"/>
              <w:bottom w:val="single" w:sz="4" w:space="0" w:color="auto"/>
              <w:right w:val="nil"/>
            </w:tcBorders>
            <w:hideMark/>
          </w:tcPr>
          <w:p w14:paraId="0DBE4F2E" w14:textId="77777777" w:rsidR="00E7145A" w:rsidRPr="00C04168" w:rsidRDefault="00E7145A">
            <w:pPr>
              <w:pStyle w:val="Tabletext"/>
            </w:pPr>
            <w:r w:rsidRPr="00C04168">
              <w:t>92515</w:t>
            </w:r>
          </w:p>
          <w:p w14:paraId="58F041D2" w14:textId="14F112C9" w:rsidR="00E7145A" w:rsidRPr="00C04168" w:rsidRDefault="00E7145A">
            <w:pPr>
              <w:pStyle w:val="Tabletext"/>
            </w:pPr>
          </w:p>
        </w:tc>
        <w:tc>
          <w:tcPr>
            <w:tcW w:w="3452" w:type="pct"/>
            <w:gridSpan w:val="2"/>
            <w:tcBorders>
              <w:top w:val="single" w:sz="4" w:space="0" w:color="auto"/>
              <w:left w:val="nil"/>
              <w:bottom w:val="single" w:sz="4" w:space="0" w:color="auto"/>
              <w:right w:val="nil"/>
            </w:tcBorders>
            <w:hideMark/>
          </w:tcPr>
          <w:p w14:paraId="1419F247" w14:textId="77777777" w:rsidR="00E7145A" w:rsidRPr="00C04168" w:rsidRDefault="00E7145A">
            <w:pPr>
              <w:pStyle w:val="Tabletext"/>
            </w:pPr>
            <w:r w:rsidRPr="00C04168">
              <w:t xml:space="preserve">Telehealth attendance by a public health physician in the practice of </w:t>
            </w:r>
            <w:r w:rsidRPr="00C04168">
              <w:rPr>
                <w:snapToGrid w:val="0"/>
              </w:rPr>
              <w:t>the public health physician’s</w:t>
            </w:r>
            <w:r w:rsidRPr="00C04168">
              <w:t xml:space="preserve"> specialty of public health medicine, lasting at least 20 minutes and including any of the following that are clinically relevant:</w:t>
            </w:r>
          </w:p>
          <w:p w14:paraId="4270513B" w14:textId="77777777" w:rsidR="00E7145A" w:rsidRPr="00C04168" w:rsidRDefault="00E7145A">
            <w:pPr>
              <w:pStyle w:val="Tablea"/>
            </w:pPr>
            <w:r w:rsidRPr="00C04168">
              <w:t>(a) taking a detailed patient history;</w:t>
            </w:r>
          </w:p>
          <w:p w14:paraId="69E90A31" w14:textId="77777777" w:rsidR="00E7145A" w:rsidRPr="00C04168" w:rsidRDefault="00E7145A">
            <w:pPr>
              <w:pStyle w:val="Tablea"/>
            </w:pPr>
            <w:r w:rsidRPr="00C04168">
              <w:lastRenderedPageBreak/>
              <w:t>(b) arranging any necessary investigation;</w:t>
            </w:r>
          </w:p>
          <w:p w14:paraId="2C38D7C3" w14:textId="77777777" w:rsidR="00E7145A" w:rsidRPr="00C04168" w:rsidRDefault="00E7145A">
            <w:pPr>
              <w:pStyle w:val="Tablea"/>
            </w:pPr>
            <w:r w:rsidRPr="00C04168">
              <w:t>(c) implementing a management plan;</w:t>
            </w:r>
          </w:p>
          <w:p w14:paraId="1BBA2524" w14:textId="77777777" w:rsidR="00E7145A" w:rsidRPr="00C04168" w:rsidRDefault="00E7145A">
            <w:pPr>
              <w:pStyle w:val="Tablea"/>
            </w:pPr>
            <w:r w:rsidRPr="00C04168">
              <w:t>(d) providing appropriate preventive health care;</w:t>
            </w:r>
          </w:p>
          <w:p w14:paraId="4F2F8CA0" w14:textId="77777777" w:rsidR="00E7145A" w:rsidRPr="00C04168" w:rsidRDefault="00E7145A">
            <w:pPr>
              <w:pStyle w:val="Tabletext"/>
            </w:pPr>
            <w:r w:rsidRPr="00C04168">
              <w:t>for one or more health</w:t>
            </w:r>
            <w:r w:rsidRPr="00C04168">
              <w:noBreakHyphen/>
              <w:t>related issues, with appropriate documentation</w:t>
            </w:r>
          </w:p>
        </w:tc>
        <w:tc>
          <w:tcPr>
            <w:tcW w:w="869" w:type="pct"/>
            <w:gridSpan w:val="2"/>
            <w:tcBorders>
              <w:top w:val="single" w:sz="4" w:space="0" w:color="auto"/>
              <w:left w:val="nil"/>
              <w:bottom w:val="single" w:sz="4" w:space="0" w:color="auto"/>
              <w:right w:val="nil"/>
            </w:tcBorders>
            <w:hideMark/>
          </w:tcPr>
          <w:p w14:paraId="6E32B8F4" w14:textId="77777777" w:rsidR="00E7145A" w:rsidRPr="00C04168" w:rsidRDefault="00E7145A">
            <w:pPr>
              <w:pStyle w:val="Tabletext"/>
              <w:jc w:val="right"/>
            </w:pPr>
            <w:r w:rsidRPr="00C04168">
              <w:lastRenderedPageBreak/>
              <w:t>85.25</w:t>
            </w:r>
          </w:p>
        </w:tc>
      </w:tr>
      <w:tr w:rsidR="00C04168" w:rsidRPr="00C04168" w14:paraId="48E8707A" w14:textId="77777777" w:rsidTr="00D6732F">
        <w:tc>
          <w:tcPr>
            <w:tcW w:w="680" w:type="pct"/>
            <w:tcBorders>
              <w:top w:val="single" w:sz="4" w:space="0" w:color="auto"/>
              <w:left w:val="nil"/>
              <w:bottom w:val="single" w:sz="4" w:space="0" w:color="auto"/>
              <w:right w:val="nil"/>
            </w:tcBorders>
            <w:hideMark/>
          </w:tcPr>
          <w:p w14:paraId="14D4B3D7" w14:textId="7F6A535A" w:rsidR="00E7145A" w:rsidRPr="00C04168" w:rsidRDefault="00E7145A" w:rsidP="00C04168">
            <w:pPr>
              <w:pStyle w:val="Tabletext"/>
            </w:pPr>
            <w:r w:rsidRPr="00C04168">
              <w:t xml:space="preserve">92516 </w:t>
            </w:r>
          </w:p>
        </w:tc>
        <w:tc>
          <w:tcPr>
            <w:tcW w:w="3452" w:type="pct"/>
            <w:gridSpan w:val="2"/>
            <w:tcBorders>
              <w:top w:val="single" w:sz="4" w:space="0" w:color="auto"/>
              <w:left w:val="nil"/>
              <w:bottom w:val="single" w:sz="4" w:space="0" w:color="auto"/>
              <w:right w:val="nil"/>
            </w:tcBorders>
            <w:hideMark/>
          </w:tcPr>
          <w:p w14:paraId="3F03FB80" w14:textId="77777777" w:rsidR="00E7145A" w:rsidRPr="00C04168" w:rsidRDefault="00E7145A">
            <w:pPr>
              <w:pStyle w:val="Tabletext"/>
            </w:pPr>
            <w:r w:rsidRPr="00C04168">
              <w:t xml:space="preserve">Telehealth attendance by a public health physician in the practice of </w:t>
            </w:r>
            <w:r w:rsidRPr="00C04168">
              <w:rPr>
                <w:snapToGrid w:val="0"/>
              </w:rPr>
              <w:t>the public health physician’s</w:t>
            </w:r>
            <w:r w:rsidRPr="00C04168">
              <w:t xml:space="preserve"> specialty of public health medicine, lasting at least 40 minutes and including any of the following that are clinically relevant:</w:t>
            </w:r>
          </w:p>
          <w:p w14:paraId="16D4206A" w14:textId="77777777" w:rsidR="00E7145A" w:rsidRPr="00C04168" w:rsidRDefault="00E7145A">
            <w:pPr>
              <w:pStyle w:val="Tablea"/>
            </w:pPr>
            <w:r w:rsidRPr="00C04168">
              <w:t>(a) taking an extensive patient history;</w:t>
            </w:r>
          </w:p>
          <w:p w14:paraId="62EC3DD9" w14:textId="77777777" w:rsidR="00E7145A" w:rsidRPr="00C04168" w:rsidRDefault="00E7145A">
            <w:pPr>
              <w:pStyle w:val="Tablea"/>
            </w:pPr>
            <w:r w:rsidRPr="00C04168">
              <w:t>(b) arranging any necessary investigation;</w:t>
            </w:r>
          </w:p>
          <w:p w14:paraId="1C0DA8A4" w14:textId="77777777" w:rsidR="00E7145A" w:rsidRPr="00C04168" w:rsidRDefault="00E7145A">
            <w:pPr>
              <w:pStyle w:val="Tablea"/>
            </w:pPr>
            <w:r w:rsidRPr="00C04168">
              <w:t>(c) implementing a management plan;</w:t>
            </w:r>
          </w:p>
          <w:p w14:paraId="530B6A41" w14:textId="77777777" w:rsidR="00E7145A" w:rsidRPr="00C04168" w:rsidRDefault="00E7145A">
            <w:pPr>
              <w:pStyle w:val="Tablea"/>
            </w:pPr>
            <w:r w:rsidRPr="00C04168">
              <w:t>(d) providing appropriate preventive health care;</w:t>
            </w:r>
          </w:p>
          <w:p w14:paraId="77F80ECF" w14:textId="77777777" w:rsidR="00E7145A" w:rsidRPr="00C04168" w:rsidRDefault="00E7145A">
            <w:pPr>
              <w:pStyle w:val="Tabletext"/>
            </w:pPr>
            <w:r w:rsidRPr="00C04168">
              <w:t>for one or more health</w:t>
            </w:r>
            <w:r w:rsidRPr="00C04168">
              <w:noBreakHyphen/>
              <w:t>related issues, with appropriate documentation</w:t>
            </w:r>
          </w:p>
        </w:tc>
        <w:tc>
          <w:tcPr>
            <w:tcW w:w="869" w:type="pct"/>
            <w:gridSpan w:val="2"/>
            <w:tcBorders>
              <w:top w:val="single" w:sz="4" w:space="0" w:color="auto"/>
              <w:left w:val="nil"/>
              <w:bottom w:val="single" w:sz="4" w:space="0" w:color="auto"/>
              <w:right w:val="nil"/>
            </w:tcBorders>
            <w:hideMark/>
          </w:tcPr>
          <w:p w14:paraId="025D1B2E" w14:textId="77777777" w:rsidR="00E7145A" w:rsidRPr="00C04168" w:rsidRDefault="00E7145A">
            <w:pPr>
              <w:pStyle w:val="Tabletext"/>
              <w:jc w:val="right"/>
            </w:pPr>
            <w:r w:rsidRPr="00C04168">
              <w:t>125.55</w:t>
            </w:r>
          </w:p>
        </w:tc>
      </w:tr>
      <w:tr w:rsidR="00C04168" w:rsidRPr="00C04168" w14:paraId="5FC6D9F9" w14:textId="77777777" w:rsidTr="005A7AF8">
        <w:tc>
          <w:tcPr>
            <w:tcW w:w="5000" w:type="pct"/>
            <w:gridSpan w:val="5"/>
            <w:tcBorders>
              <w:top w:val="single" w:sz="12" w:space="0" w:color="auto"/>
              <w:left w:val="nil"/>
              <w:bottom w:val="single" w:sz="6" w:space="0" w:color="auto"/>
              <w:right w:val="nil"/>
            </w:tcBorders>
            <w:hideMark/>
          </w:tcPr>
          <w:p w14:paraId="7BD2C46F" w14:textId="05B18BCE" w:rsidR="00875389" w:rsidRPr="00C04168" w:rsidRDefault="00875389" w:rsidP="00D6732F">
            <w:pPr>
              <w:pStyle w:val="TableHeading"/>
            </w:pPr>
            <w:r w:rsidRPr="00C04168">
              <w:t>Subgroup 34—</w:t>
            </w:r>
            <w:r w:rsidR="00D6732F" w:rsidRPr="00C04168">
              <w:t xml:space="preserve"> Public health physician – Phone Services </w:t>
            </w:r>
            <w:r w:rsidRPr="00C04168">
              <w:t xml:space="preserve"> </w:t>
            </w:r>
          </w:p>
        </w:tc>
      </w:tr>
      <w:tr w:rsidR="00C04168" w:rsidRPr="00C04168" w14:paraId="065EC34B" w14:textId="77777777" w:rsidTr="00D6732F">
        <w:tc>
          <w:tcPr>
            <w:tcW w:w="680" w:type="pct"/>
            <w:tcBorders>
              <w:top w:val="single" w:sz="12" w:space="0" w:color="auto"/>
              <w:left w:val="nil"/>
              <w:bottom w:val="single" w:sz="4" w:space="0" w:color="auto"/>
              <w:right w:val="nil"/>
            </w:tcBorders>
            <w:hideMark/>
          </w:tcPr>
          <w:p w14:paraId="3C4E10FA" w14:textId="77777777" w:rsidR="00E7145A" w:rsidRPr="00C04168" w:rsidRDefault="00E7145A">
            <w:pPr>
              <w:pStyle w:val="Tabletext"/>
              <w:rPr>
                <w:snapToGrid w:val="0"/>
              </w:rPr>
            </w:pPr>
            <w:r w:rsidRPr="00C04168">
              <w:rPr>
                <w:snapToGrid w:val="0"/>
              </w:rPr>
              <w:t>92521</w:t>
            </w:r>
          </w:p>
          <w:p w14:paraId="19EE2B27" w14:textId="2D0C9596" w:rsidR="00E7145A" w:rsidRPr="00C04168" w:rsidRDefault="00E7145A">
            <w:pPr>
              <w:pStyle w:val="Tabletext"/>
              <w:rPr>
                <w:snapToGrid w:val="0"/>
              </w:rPr>
            </w:pPr>
          </w:p>
        </w:tc>
        <w:tc>
          <w:tcPr>
            <w:tcW w:w="3452" w:type="pct"/>
            <w:gridSpan w:val="2"/>
            <w:tcBorders>
              <w:top w:val="single" w:sz="12" w:space="0" w:color="auto"/>
              <w:left w:val="nil"/>
              <w:bottom w:val="single" w:sz="4" w:space="0" w:color="auto"/>
              <w:right w:val="nil"/>
            </w:tcBorders>
            <w:hideMark/>
          </w:tcPr>
          <w:p w14:paraId="60FA32F6" w14:textId="77777777" w:rsidR="00E7145A" w:rsidRPr="00C04168" w:rsidRDefault="00E7145A">
            <w:pPr>
              <w:pStyle w:val="Tabletext"/>
              <w:rPr>
                <w:snapToGrid w:val="0"/>
              </w:rPr>
            </w:pPr>
            <w:r w:rsidRPr="00C04168">
              <w:rPr>
                <w:snapToGrid w:val="0"/>
              </w:rPr>
              <w:t>Phone attendance by a public health physician in the practice of the public health physician’s specialty of public health medicine—attendance for an obvious problem characterised by the straightforward nature of the task that requires a short patient history and, if required, limited management</w:t>
            </w:r>
          </w:p>
        </w:tc>
        <w:tc>
          <w:tcPr>
            <w:tcW w:w="869" w:type="pct"/>
            <w:gridSpan w:val="2"/>
            <w:tcBorders>
              <w:top w:val="single" w:sz="12" w:space="0" w:color="auto"/>
              <w:left w:val="nil"/>
              <w:bottom w:val="single" w:sz="4" w:space="0" w:color="auto"/>
              <w:right w:val="nil"/>
            </w:tcBorders>
            <w:hideMark/>
          </w:tcPr>
          <w:p w14:paraId="7981DF41" w14:textId="77777777" w:rsidR="00E7145A" w:rsidRPr="00C04168" w:rsidRDefault="00E7145A">
            <w:pPr>
              <w:pStyle w:val="Tabletext"/>
              <w:jc w:val="right"/>
            </w:pPr>
            <w:r w:rsidRPr="00C04168">
              <w:t>20.15</w:t>
            </w:r>
          </w:p>
        </w:tc>
      </w:tr>
      <w:tr w:rsidR="00C04168" w:rsidRPr="00C04168" w14:paraId="6C7156E9" w14:textId="77777777" w:rsidTr="00D6732F">
        <w:tc>
          <w:tcPr>
            <w:tcW w:w="680" w:type="pct"/>
            <w:tcBorders>
              <w:top w:val="single" w:sz="4" w:space="0" w:color="auto"/>
              <w:left w:val="nil"/>
              <w:bottom w:val="single" w:sz="4" w:space="0" w:color="auto"/>
              <w:right w:val="nil"/>
            </w:tcBorders>
            <w:hideMark/>
          </w:tcPr>
          <w:p w14:paraId="7C76BF54" w14:textId="77777777" w:rsidR="00E7145A" w:rsidRPr="00C04168" w:rsidRDefault="00E7145A">
            <w:pPr>
              <w:pStyle w:val="Tabletext"/>
            </w:pPr>
            <w:r w:rsidRPr="00C04168">
              <w:t>92522</w:t>
            </w:r>
          </w:p>
          <w:p w14:paraId="7296E45C" w14:textId="56D378ED" w:rsidR="00E7145A" w:rsidRPr="00C04168" w:rsidRDefault="00E7145A">
            <w:pPr>
              <w:pStyle w:val="Tabletext"/>
            </w:pPr>
          </w:p>
        </w:tc>
        <w:tc>
          <w:tcPr>
            <w:tcW w:w="3452" w:type="pct"/>
            <w:gridSpan w:val="2"/>
            <w:tcBorders>
              <w:top w:val="single" w:sz="4" w:space="0" w:color="auto"/>
              <w:left w:val="nil"/>
              <w:bottom w:val="single" w:sz="4" w:space="0" w:color="auto"/>
              <w:right w:val="nil"/>
            </w:tcBorders>
            <w:hideMark/>
          </w:tcPr>
          <w:p w14:paraId="21C39E87" w14:textId="77777777" w:rsidR="00E7145A" w:rsidRPr="00C04168" w:rsidRDefault="00E7145A">
            <w:pPr>
              <w:pStyle w:val="Tabletext"/>
            </w:pPr>
            <w:r w:rsidRPr="00C04168">
              <w:t xml:space="preserve">Phone attendance by a public health physician in the practice of </w:t>
            </w:r>
            <w:r w:rsidRPr="00C04168">
              <w:rPr>
                <w:snapToGrid w:val="0"/>
              </w:rPr>
              <w:t>the public health physician’s</w:t>
            </w:r>
            <w:r w:rsidRPr="00C04168">
              <w:t xml:space="preserve"> specialty of public health medicine, lasting less than 20 minutes and including any of the following that are clinically relevant:</w:t>
            </w:r>
          </w:p>
          <w:p w14:paraId="68A55351" w14:textId="77777777" w:rsidR="00E7145A" w:rsidRPr="00C04168" w:rsidRDefault="00E7145A">
            <w:pPr>
              <w:pStyle w:val="Tablea"/>
            </w:pPr>
            <w:r w:rsidRPr="00C04168">
              <w:t>(a) taking a patient history;</w:t>
            </w:r>
          </w:p>
          <w:p w14:paraId="297A460F" w14:textId="77777777" w:rsidR="00E7145A" w:rsidRPr="00C04168" w:rsidRDefault="00E7145A">
            <w:pPr>
              <w:pStyle w:val="Tablea"/>
            </w:pPr>
            <w:r w:rsidRPr="00C04168">
              <w:t>(b) arranging any necessary investigation;</w:t>
            </w:r>
          </w:p>
          <w:p w14:paraId="52DE7C0C" w14:textId="77777777" w:rsidR="00E7145A" w:rsidRPr="00C04168" w:rsidRDefault="00E7145A">
            <w:pPr>
              <w:pStyle w:val="Tablea"/>
            </w:pPr>
            <w:r w:rsidRPr="00C04168">
              <w:t>(c) implementing a management plan;</w:t>
            </w:r>
          </w:p>
          <w:p w14:paraId="3C49C6F4" w14:textId="77777777" w:rsidR="00E7145A" w:rsidRPr="00C04168" w:rsidRDefault="00E7145A">
            <w:pPr>
              <w:pStyle w:val="Tablea"/>
            </w:pPr>
            <w:r w:rsidRPr="00C04168">
              <w:t>(d) providing appropriate preventive health care;</w:t>
            </w:r>
          </w:p>
          <w:p w14:paraId="75625C5F" w14:textId="77777777" w:rsidR="00E7145A" w:rsidRPr="00C04168" w:rsidRDefault="00E7145A">
            <w:pPr>
              <w:pStyle w:val="Tabletext"/>
            </w:pPr>
            <w:r w:rsidRPr="00C04168">
              <w:t>for one or more health</w:t>
            </w:r>
            <w:r w:rsidRPr="00C04168">
              <w:noBreakHyphen/>
              <w:t>related issues, with appropriate documentation</w:t>
            </w:r>
          </w:p>
        </w:tc>
        <w:tc>
          <w:tcPr>
            <w:tcW w:w="869" w:type="pct"/>
            <w:gridSpan w:val="2"/>
            <w:tcBorders>
              <w:top w:val="single" w:sz="4" w:space="0" w:color="auto"/>
              <w:left w:val="nil"/>
              <w:bottom w:val="single" w:sz="4" w:space="0" w:color="auto"/>
              <w:right w:val="nil"/>
            </w:tcBorders>
            <w:hideMark/>
          </w:tcPr>
          <w:p w14:paraId="597EB1A1" w14:textId="77777777" w:rsidR="00E7145A" w:rsidRPr="00C04168" w:rsidRDefault="00E7145A">
            <w:pPr>
              <w:pStyle w:val="Tabletext"/>
              <w:jc w:val="right"/>
            </w:pPr>
            <w:r w:rsidRPr="00C04168">
              <w:t>44.10</w:t>
            </w:r>
          </w:p>
        </w:tc>
      </w:tr>
      <w:tr w:rsidR="00C04168" w:rsidRPr="00C04168" w14:paraId="4E20652A" w14:textId="77777777" w:rsidTr="00D6732F">
        <w:tc>
          <w:tcPr>
            <w:tcW w:w="680" w:type="pct"/>
            <w:tcBorders>
              <w:top w:val="single" w:sz="4" w:space="0" w:color="auto"/>
              <w:left w:val="nil"/>
              <w:bottom w:val="single" w:sz="4" w:space="0" w:color="auto"/>
              <w:right w:val="nil"/>
            </w:tcBorders>
            <w:hideMark/>
          </w:tcPr>
          <w:p w14:paraId="53201849" w14:textId="77777777" w:rsidR="00E7145A" w:rsidRPr="00C04168" w:rsidRDefault="00E7145A">
            <w:pPr>
              <w:pStyle w:val="Tabletext"/>
            </w:pPr>
            <w:r w:rsidRPr="00C04168">
              <w:t>92523</w:t>
            </w:r>
          </w:p>
          <w:p w14:paraId="11509B3D" w14:textId="09D30959" w:rsidR="00E7145A" w:rsidRPr="00C04168" w:rsidRDefault="00E7145A">
            <w:pPr>
              <w:pStyle w:val="Tabletext"/>
            </w:pPr>
          </w:p>
        </w:tc>
        <w:tc>
          <w:tcPr>
            <w:tcW w:w="3452" w:type="pct"/>
            <w:gridSpan w:val="2"/>
            <w:tcBorders>
              <w:top w:val="single" w:sz="4" w:space="0" w:color="auto"/>
              <w:left w:val="nil"/>
              <w:bottom w:val="single" w:sz="4" w:space="0" w:color="auto"/>
              <w:right w:val="nil"/>
            </w:tcBorders>
            <w:hideMark/>
          </w:tcPr>
          <w:p w14:paraId="5C602A28" w14:textId="77777777" w:rsidR="00E7145A" w:rsidRPr="00C04168" w:rsidRDefault="00E7145A">
            <w:pPr>
              <w:pStyle w:val="Tabletext"/>
            </w:pPr>
            <w:r w:rsidRPr="00C04168">
              <w:t xml:space="preserve">Phone attendance by a public health physician in the practice of </w:t>
            </w:r>
            <w:r w:rsidRPr="00C04168">
              <w:rPr>
                <w:snapToGrid w:val="0"/>
              </w:rPr>
              <w:t>the public health physician’s</w:t>
            </w:r>
            <w:r w:rsidRPr="00C04168">
              <w:t xml:space="preserve"> specialty of public health medicine, lasting at least 20 minutes and including any of the following that are clinically relevant:</w:t>
            </w:r>
          </w:p>
          <w:p w14:paraId="703E26CE" w14:textId="77777777" w:rsidR="00E7145A" w:rsidRPr="00C04168" w:rsidRDefault="00E7145A">
            <w:pPr>
              <w:pStyle w:val="Tablea"/>
            </w:pPr>
            <w:r w:rsidRPr="00C04168">
              <w:t>(a) taking a detailed patient history;</w:t>
            </w:r>
          </w:p>
          <w:p w14:paraId="1B63AAB8" w14:textId="77777777" w:rsidR="00E7145A" w:rsidRPr="00C04168" w:rsidRDefault="00E7145A">
            <w:pPr>
              <w:pStyle w:val="Tablea"/>
            </w:pPr>
            <w:r w:rsidRPr="00C04168">
              <w:t>(b) arranging any necessary investigation;</w:t>
            </w:r>
          </w:p>
          <w:p w14:paraId="59990E50" w14:textId="77777777" w:rsidR="00E7145A" w:rsidRPr="00C04168" w:rsidRDefault="00E7145A">
            <w:pPr>
              <w:pStyle w:val="Tablea"/>
            </w:pPr>
            <w:r w:rsidRPr="00C04168">
              <w:t>(c) implementing a management plan;</w:t>
            </w:r>
          </w:p>
          <w:p w14:paraId="5FC6F91D" w14:textId="77777777" w:rsidR="00E7145A" w:rsidRPr="00C04168" w:rsidRDefault="00E7145A">
            <w:pPr>
              <w:pStyle w:val="Tablea"/>
            </w:pPr>
            <w:r w:rsidRPr="00C04168">
              <w:t>(d) providing appropriate preventive health care;</w:t>
            </w:r>
          </w:p>
          <w:p w14:paraId="6F4FB682" w14:textId="77777777" w:rsidR="00E7145A" w:rsidRPr="00C04168" w:rsidRDefault="00E7145A">
            <w:pPr>
              <w:pStyle w:val="Tabletext"/>
            </w:pPr>
            <w:r w:rsidRPr="00C04168">
              <w:t>for one or more health</w:t>
            </w:r>
            <w:r w:rsidRPr="00C04168">
              <w:noBreakHyphen/>
              <w:t>related issues, with appropriate documentation</w:t>
            </w:r>
          </w:p>
        </w:tc>
        <w:tc>
          <w:tcPr>
            <w:tcW w:w="869" w:type="pct"/>
            <w:gridSpan w:val="2"/>
            <w:tcBorders>
              <w:top w:val="single" w:sz="4" w:space="0" w:color="auto"/>
              <w:left w:val="nil"/>
              <w:bottom w:val="single" w:sz="4" w:space="0" w:color="auto"/>
              <w:right w:val="nil"/>
            </w:tcBorders>
            <w:hideMark/>
          </w:tcPr>
          <w:p w14:paraId="6019856C" w14:textId="77777777" w:rsidR="00E7145A" w:rsidRPr="00C04168" w:rsidRDefault="00E7145A">
            <w:pPr>
              <w:pStyle w:val="Tabletext"/>
              <w:jc w:val="right"/>
            </w:pPr>
            <w:r w:rsidRPr="00C04168">
              <w:t>85.25</w:t>
            </w:r>
          </w:p>
        </w:tc>
      </w:tr>
      <w:tr w:rsidR="00C04168" w:rsidRPr="00C04168" w14:paraId="575FBA8A" w14:textId="77777777" w:rsidTr="00D6732F">
        <w:tc>
          <w:tcPr>
            <w:tcW w:w="680" w:type="pct"/>
            <w:tcBorders>
              <w:top w:val="single" w:sz="4" w:space="0" w:color="auto"/>
              <w:left w:val="nil"/>
              <w:bottom w:val="single" w:sz="4" w:space="0" w:color="auto"/>
              <w:right w:val="nil"/>
            </w:tcBorders>
            <w:hideMark/>
          </w:tcPr>
          <w:p w14:paraId="4BD5C96F" w14:textId="77777777" w:rsidR="00E7145A" w:rsidRPr="00C04168" w:rsidRDefault="00E7145A">
            <w:pPr>
              <w:pStyle w:val="Tabletext"/>
            </w:pPr>
            <w:r w:rsidRPr="00C04168">
              <w:t>92524</w:t>
            </w:r>
          </w:p>
          <w:p w14:paraId="639D849C" w14:textId="001A485E" w:rsidR="00E7145A" w:rsidRPr="00C04168" w:rsidRDefault="00E7145A">
            <w:pPr>
              <w:pStyle w:val="Tabletext"/>
            </w:pPr>
          </w:p>
        </w:tc>
        <w:tc>
          <w:tcPr>
            <w:tcW w:w="3452" w:type="pct"/>
            <w:gridSpan w:val="2"/>
            <w:tcBorders>
              <w:top w:val="single" w:sz="4" w:space="0" w:color="auto"/>
              <w:left w:val="nil"/>
              <w:bottom w:val="single" w:sz="4" w:space="0" w:color="auto"/>
              <w:right w:val="nil"/>
            </w:tcBorders>
            <w:hideMark/>
          </w:tcPr>
          <w:p w14:paraId="2CF533FB" w14:textId="77777777" w:rsidR="00E7145A" w:rsidRPr="00C04168" w:rsidRDefault="00E7145A">
            <w:pPr>
              <w:pStyle w:val="Tabletext"/>
            </w:pPr>
            <w:r w:rsidRPr="00C04168">
              <w:t xml:space="preserve">Phone attendance by a public health physician in the practice of </w:t>
            </w:r>
            <w:r w:rsidRPr="00C04168">
              <w:rPr>
                <w:snapToGrid w:val="0"/>
              </w:rPr>
              <w:t>the public health physician’s</w:t>
            </w:r>
            <w:r w:rsidRPr="00C04168">
              <w:t xml:space="preserve"> specialty of public health medicine, lasting at least 40 minutes and including any of the following that are clinically relevant:</w:t>
            </w:r>
          </w:p>
          <w:p w14:paraId="55D7FFD2" w14:textId="77777777" w:rsidR="00E7145A" w:rsidRPr="00C04168" w:rsidRDefault="00E7145A">
            <w:pPr>
              <w:pStyle w:val="Tablea"/>
            </w:pPr>
            <w:r w:rsidRPr="00C04168">
              <w:t>(a) taking an extensive patient history;</w:t>
            </w:r>
          </w:p>
          <w:p w14:paraId="5A7DFABF" w14:textId="77777777" w:rsidR="00E7145A" w:rsidRPr="00C04168" w:rsidRDefault="00E7145A">
            <w:pPr>
              <w:pStyle w:val="Tablea"/>
            </w:pPr>
            <w:r w:rsidRPr="00C04168">
              <w:t>(b) arranging any necessary investigation;</w:t>
            </w:r>
          </w:p>
          <w:p w14:paraId="2E095AF6" w14:textId="77777777" w:rsidR="00E7145A" w:rsidRPr="00C04168" w:rsidRDefault="00E7145A">
            <w:pPr>
              <w:pStyle w:val="Tablea"/>
            </w:pPr>
            <w:r w:rsidRPr="00C04168">
              <w:lastRenderedPageBreak/>
              <w:t>(c) implementing a management plan;</w:t>
            </w:r>
          </w:p>
          <w:p w14:paraId="37F36696" w14:textId="77777777" w:rsidR="00E7145A" w:rsidRPr="00C04168" w:rsidRDefault="00E7145A">
            <w:pPr>
              <w:pStyle w:val="Tablea"/>
            </w:pPr>
            <w:r w:rsidRPr="00C04168">
              <w:t>(d) providing appropriate preventive health care;</w:t>
            </w:r>
          </w:p>
          <w:p w14:paraId="0FB34C75" w14:textId="77777777" w:rsidR="00E7145A" w:rsidRPr="00C04168" w:rsidRDefault="00E7145A">
            <w:pPr>
              <w:pStyle w:val="Tabletext"/>
            </w:pPr>
            <w:r w:rsidRPr="00C04168">
              <w:t>for one or more health</w:t>
            </w:r>
            <w:r w:rsidRPr="00C04168">
              <w:noBreakHyphen/>
              <w:t>related issues, with appropriate documentation</w:t>
            </w:r>
          </w:p>
        </w:tc>
        <w:tc>
          <w:tcPr>
            <w:tcW w:w="869" w:type="pct"/>
            <w:gridSpan w:val="2"/>
            <w:tcBorders>
              <w:top w:val="single" w:sz="4" w:space="0" w:color="auto"/>
              <w:left w:val="nil"/>
              <w:bottom w:val="single" w:sz="4" w:space="0" w:color="auto"/>
              <w:right w:val="nil"/>
            </w:tcBorders>
            <w:hideMark/>
          </w:tcPr>
          <w:p w14:paraId="6C88CE50" w14:textId="77777777" w:rsidR="00E7145A" w:rsidRPr="00C04168" w:rsidRDefault="00E7145A">
            <w:pPr>
              <w:pStyle w:val="Tabletext"/>
              <w:jc w:val="right"/>
            </w:pPr>
            <w:r w:rsidRPr="00C04168">
              <w:lastRenderedPageBreak/>
              <w:t>125.55</w:t>
            </w:r>
          </w:p>
        </w:tc>
      </w:tr>
      <w:tr w:rsidR="00C04168" w:rsidRPr="00C04168" w14:paraId="3CA1834A" w14:textId="77777777" w:rsidTr="00D6732F">
        <w:tc>
          <w:tcPr>
            <w:tcW w:w="5000" w:type="pct"/>
            <w:gridSpan w:val="5"/>
            <w:tcBorders>
              <w:top w:val="single" w:sz="12" w:space="0" w:color="auto"/>
              <w:left w:val="nil"/>
              <w:bottom w:val="single" w:sz="6" w:space="0" w:color="auto"/>
              <w:right w:val="nil"/>
            </w:tcBorders>
            <w:hideMark/>
          </w:tcPr>
          <w:p w14:paraId="19D933B6" w14:textId="0F4BEC41" w:rsidR="00D6732F" w:rsidRPr="00C04168" w:rsidRDefault="00D6732F" w:rsidP="00D6732F">
            <w:pPr>
              <w:pStyle w:val="TableHeading"/>
            </w:pPr>
            <w:r w:rsidRPr="00C04168">
              <w:t xml:space="preserve">Subgroup 35— Neurosurgery attendances – Telehealth Services  </w:t>
            </w:r>
          </w:p>
        </w:tc>
      </w:tr>
      <w:tr w:rsidR="00C04168" w:rsidRPr="00C04168" w14:paraId="171095C2" w14:textId="77777777" w:rsidTr="00D6732F">
        <w:tc>
          <w:tcPr>
            <w:tcW w:w="680" w:type="pct"/>
            <w:tcBorders>
              <w:top w:val="single" w:sz="4" w:space="0" w:color="auto"/>
              <w:left w:val="nil"/>
              <w:bottom w:val="single" w:sz="4" w:space="0" w:color="auto"/>
              <w:right w:val="nil"/>
            </w:tcBorders>
            <w:hideMark/>
          </w:tcPr>
          <w:p w14:paraId="04580E07" w14:textId="77777777" w:rsidR="00D6732F" w:rsidRPr="00C04168" w:rsidRDefault="00D6732F" w:rsidP="00D6732F">
            <w:pPr>
              <w:pStyle w:val="Tabletext"/>
              <w:rPr>
                <w:szCs w:val="22"/>
                <w:lang w:val="en-GB" w:eastAsia="en-GB"/>
              </w:rPr>
            </w:pPr>
            <w:r w:rsidRPr="00C04168">
              <w:rPr>
                <w:szCs w:val="22"/>
                <w:lang w:val="en-GB" w:eastAsia="en-GB"/>
              </w:rPr>
              <w:t>92610</w:t>
            </w:r>
          </w:p>
          <w:p w14:paraId="411ED784" w14:textId="0B56F7FF" w:rsidR="00D6732F" w:rsidRPr="00C04168" w:rsidRDefault="00D6732F" w:rsidP="00D6732F">
            <w:pPr>
              <w:pStyle w:val="Tabletext"/>
              <w:rPr>
                <w:szCs w:val="22"/>
                <w:lang w:val="en-GB" w:eastAsia="en-GB"/>
              </w:rPr>
            </w:pPr>
          </w:p>
        </w:tc>
        <w:tc>
          <w:tcPr>
            <w:tcW w:w="3452" w:type="pct"/>
            <w:gridSpan w:val="2"/>
            <w:tcBorders>
              <w:top w:val="single" w:sz="4" w:space="0" w:color="auto"/>
              <w:left w:val="nil"/>
              <w:bottom w:val="single" w:sz="4" w:space="0" w:color="auto"/>
              <w:right w:val="nil"/>
            </w:tcBorders>
            <w:hideMark/>
          </w:tcPr>
          <w:p w14:paraId="573ECCE7" w14:textId="77777777" w:rsidR="00D6732F" w:rsidRPr="00C04168" w:rsidRDefault="00D6732F" w:rsidP="00D6732F">
            <w:pPr>
              <w:pStyle w:val="Tabletext"/>
            </w:pPr>
            <w:r w:rsidRPr="00C04168">
              <w:t>Telehealth attendance by a specialist in the practice of neurosurgery following referral of the patient to the specialist (other than a second or subsequent attendance in a single course of treatment)</w:t>
            </w:r>
          </w:p>
        </w:tc>
        <w:tc>
          <w:tcPr>
            <w:tcW w:w="869" w:type="pct"/>
            <w:gridSpan w:val="2"/>
            <w:tcBorders>
              <w:top w:val="single" w:sz="4" w:space="0" w:color="auto"/>
              <w:left w:val="nil"/>
              <w:bottom w:val="single" w:sz="4" w:space="0" w:color="auto"/>
              <w:right w:val="nil"/>
            </w:tcBorders>
            <w:hideMark/>
          </w:tcPr>
          <w:p w14:paraId="1F478D9D" w14:textId="77777777" w:rsidR="00D6732F" w:rsidRPr="00C04168" w:rsidRDefault="00D6732F" w:rsidP="00D6732F">
            <w:pPr>
              <w:pStyle w:val="Tabletext"/>
              <w:jc w:val="right"/>
            </w:pPr>
            <w:r w:rsidRPr="00C04168">
              <w:t>133.65</w:t>
            </w:r>
          </w:p>
        </w:tc>
      </w:tr>
      <w:tr w:rsidR="00C04168" w:rsidRPr="00C04168" w14:paraId="2D8F5D4F" w14:textId="77777777" w:rsidTr="00D6732F">
        <w:tc>
          <w:tcPr>
            <w:tcW w:w="680" w:type="pct"/>
            <w:tcBorders>
              <w:top w:val="single" w:sz="4" w:space="0" w:color="auto"/>
              <w:left w:val="nil"/>
              <w:bottom w:val="single" w:sz="4" w:space="0" w:color="auto"/>
              <w:right w:val="nil"/>
            </w:tcBorders>
            <w:hideMark/>
          </w:tcPr>
          <w:p w14:paraId="724DDF28" w14:textId="77777777" w:rsidR="00D6732F" w:rsidRPr="00C04168" w:rsidRDefault="00D6732F" w:rsidP="00D6732F">
            <w:pPr>
              <w:pStyle w:val="Tabletext"/>
              <w:rPr>
                <w:szCs w:val="22"/>
                <w:lang w:val="en-GB" w:eastAsia="en-GB"/>
              </w:rPr>
            </w:pPr>
            <w:r w:rsidRPr="00C04168">
              <w:rPr>
                <w:szCs w:val="22"/>
                <w:lang w:val="en-GB" w:eastAsia="en-GB"/>
              </w:rPr>
              <w:t>92611</w:t>
            </w:r>
          </w:p>
          <w:p w14:paraId="3076FDC3" w14:textId="2274ADCF" w:rsidR="00D6732F" w:rsidRPr="00C04168" w:rsidRDefault="00D6732F" w:rsidP="00D6732F">
            <w:pPr>
              <w:pStyle w:val="Tabletext"/>
              <w:rPr>
                <w:szCs w:val="22"/>
                <w:lang w:val="en-GB" w:eastAsia="en-GB"/>
              </w:rPr>
            </w:pPr>
          </w:p>
        </w:tc>
        <w:tc>
          <w:tcPr>
            <w:tcW w:w="3452" w:type="pct"/>
            <w:gridSpan w:val="2"/>
            <w:tcBorders>
              <w:top w:val="single" w:sz="4" w:space="0" w:color="auto"/>
              <w:left w:val="nil"/>
              <w:bottom w:val="single" w:sz="4" w:space="0" w:color="auto"/>
              <w:right w:val="nil"/>
            </w:tcBorders>
            <w:hideMark/>
          </w:tcPr>
          <w:p w14:paraId="5FF201F9" w14:textId="77777777" w:rsidR="00D6732F" w:rsidRPr="00C04168" w:rsidRDefault="00D6732F" w:rsidP="00D6732F">
            <w:pPr>
              <w:pStyle w:val="Tabletext"/>
            </w:pPr>
            <w:r w:rsidRPr="00C04168">
              <w:t>Telehealth attendance by a specialist in the practice of neurosurgery following referral of the patient to the specialist—a minor attendance after the first in a single course of treatment</w:t>
            </w:r>
          </w:p>
        </w:tc>
        <w:tc>
          <w:tcPr>
            <w:tcW w:w="869" w:type="pct"/>
            <w:gridSpan w:val="2"/>
            <w:tcBorders>
              <w:top w:val="single" w:sz="4" w:space="0" w:color="auto"/>
              <w:left w:val="nil"/>
              <w:bottom w:val="single" w:sz="4" w:space="0" w:color="auto"/>
              <w:right w:val="nil"/>
            </w:tcBorders>
            <w:hideMark/>
          </w:tcPr>
          <w:p w14:paraId="62428905" w14:textId="77777777" w:rsidR="00D6732F" w:rsidRPr="00C04168" w:rsidRDefault="00D6732F" w:rsidP="00D6732F">
            <w:pPr>
              <w:pStyle w:val="Tabletext"/>
              <w:jc w:val="right"/>
            </w:pPr>
            <w:r w:rsidRPr="00C04168">
              <w:t>44.35</w:t>
            </w:r>
          </w:p>
        </w:tc>
      </w:tr>
      <w:tr w:rsidR="00C04168" w:rsidRPr="00C04168" w14:paraId="29DFAC1D" w14:textId="77777777" w:rsidTr="00D6732F">
        <w:tc>
          <w:tcPr>
            <w:tcW w:w="680" w:type="pct"/>
            <w:tcBorders>
              <w:top w:val="single" w:sz="4" w:space="0" w:color="auto"/>
              <w:left w:val="nil"/>
              <w:bottom w:val="single" w:sz="4" w:space="0" w:color="auto"/>
              <w:right w:val="nil"/>
            </w:tcBorders>
            <w:hideMark/>
          </w:tcPr>
          <w:p w14:paraId="6FFB6707" w14:textId="77777777" w:rsidR="00D6732F" w:rsidRPr="00C04168" w:rsidRDefault="00D6732F" w:rsidP="00D6732F">
            <w:pPr>
              <w:pStyle w:val="Tabletext"/>
              <w:rPr>
                <w:szCs w:val="22"/>
                <w:lang w:val="en-GB" w:eastAsia="en-GB"/>
              </w:rPr>
            </w:pPr>
            <w:r w:rsidRPr="00C04168">
              <w:rPr>
                <w:szCs w:val="22"/>
                <w:lang w:val="en-GB" w:eastAsia="en-GB"/>
              </w:rPr>
              <w:t>92612</w:t>
            </w:r>
          </w:p>
          <w:p w14:paraId="1AAC74C0" w14:textId="713C9A94" w:rsidR="00D6732F" w:rsidRPr="00C04168" w:rsidRDefault="00D6732F" w:rsidP="00D6732F">
            <w:pPr>
              <w:pStyle w:val="Tabletext"/>
              <w:rPr>
                <w:szCs w:val="22"/>
                <w:lang w:val="en-GB" w:eastAsia="en-GB"/>
              </w:rPr>
            </w:pPr>
          </w:p>
        </w:tc>
        <w:tc>
          <w:tcPr>
            <w:tcW w:w="3452" w:type="pct"/>
            <w:gridSpan w:val="2"/>
            <w:tcBorders>
              <w:top w:val="single" w:sz="4" w:space="0" w:color="auto"/>
              <w:left w:val="nil"/>
              <w:bottom w:val="single" w:sz="4" w:space="0" w:color="auto"/>
              <w:right w:val="nil"/>
            </w:tcBorders>
            <w:hideMark/>
          </w:tcPr>
          <w:p w14:paraId="6507B14E" w14:textId="77777777" w:rsidR="00D6732F" w:rsidRPr="00C04168" w:rsidRDefault="00D6732F" w:rsidP="00D6732F">
            <w:pPr>
              <w:pStyle w:val="Tabletext"/>
            </w:pPr>
            <w:r w:rsidRPr="00C04168">
              <w:t>Telehealth attendance by a specialist in the practice of neurosurgery following referral of the patient to the specialist—an attendance after the first in a single course of treatment, involving arranging any necessary investigations in relation to one or more complex problems and of more than 15 minutes in duration but not more than 30 minutes in duration</w:t>
            </w:r>
          </w:p>
        </w:tc>
        <w:tc>
          <w:tcPr>
            <w:tcW w:w="869" w:type="pct"/>
            <w:gridSpan w:val="2"/>
            <w:tcBorders>
              <w:top w:val="single" w:sz="4" w:space="0" w:color="auto"/>
              <w:left w:val="nil"/>
              <w:bottom w:val="single" w:sz="4" w:space="0" w:color="auto"/>
              <w:right w:val="nil"/>
            </w:tcBorders>
            <w:hideMark/>
          </w:tcPr>
          <w:p w14:paraId="7329E914" w14:textId="77777777" w:rsidR="00D6732F" w:rsidRPr="00C04168" w:rsidRDefault="00D6732F" w:rsidP="00D6732F">
            <w:pPr>
              <w:pStyle w:val="Tabletext"/>
              <w:jc w:val="right"/>
            </w:pPr>
            <w:r w:rsidRPr="00C04168">
              <w:t>88.25</w:t>
            </w:r>
          </w:p>
        </w:tc>
      </w:tr>
      <w:tr w:rsidR="00C04168" w:rsidRPr="00C04168" w14:paraId="7F1ED7EC" w14:textId="77777777" w:rsidTr="00D6732F">
        <w:tc>
          <w:tcPr>
            <w:tcW w:w="680" w:type="pct"/>
            <w:tcBorders>
              <w:top w:val="single" w:sz="4" w:space="0" w:color="auto"/>
              <w:left w:val="nil"/>
              <w:bottom w:val="single" w:sz="4" w:space="0" w:color="auto"/>
              <w:right w:val="nil"/>
            </w:tcBorders>
            <w:hideMark/>
          </w:tcPr>
          <w:p w14:paraId="04DA9427" w14:textId="77777777" w:rsidR="00D6732F" w:rsidRPr="00C04168" w:rsidRDefault="00D6732F" w:rsidP="00D6732F">
            <w:pPr>
              <w:pStyle w:val="Tabletext"/>
              <w:rPr>
                <w:szCs w:val="22"/>
                <w:lang w:val="en-GB" w:eastAsia="en-GB"/>
              </w:rPr>
            </w:pPr>
            <w:r w:rsidRPr="00C04168">
              <w:rPr>
                <w:szCs w:val="22"/>
                <w:lang w:val="en-GB" w:eastAsia="en-GB"/>
              </w:rPr>
              <w:t>92613</w:t>
            </w:r>
          </w:p>
          <w:p w14:paraId="507257CF" w14:textId="3D032028" w:rsidR="00D6732F" w:rsidRPr="00C04168" w:rsidRDefault="00D6732F" w:rsidP="00D6732F">
            <w:pPr>
              <w:pStyle w:val="Tabletext"/>
              <w:rPr>
                <w:szCs w:val="22"/>
                <w:lang w:val="en-GB" w:eastAsia="en-GB"/>
              </w:rPr>
            </w:pPr>
          </w:p>
        </w:tc>
        <w:tc>
          <w:tcPr>
            <w:tcW w:w="3452" w:type="pct"/>
            <w:gridSpan w:val="2"/>
            <w:tcBorders>
              <w:top w:val="single" w:sz="4" w:space="0" w:color="auto"/>
              <w:left w:val="nil"/>
              <w:bottom w:val="single" w:sz="4" w:space="0" w:color="auto"/>
              <w:right w:val="nil"/>
            </w:tcBorders>
            <w:hideMark/>
          </w:tcPr>
          <w:p w14:paraId="4D9F9084" w14:textId="77777777" w:rsidR="00D6732F" w:rsidRPr="00C04168" w:rsidRDefault="00D6732F" w:rsidP="00D6732F">
            <w:pPr>
              <w:pStyle w:val="Tabletext"/>
            </w:pPr>
            <w:r w:rsidRPr="00C04168">
              <w:t>Telehealth attendance by a specialist in the practice of neurosurgery following referral of the patient to the specialist—an attendance after the first in a single course of treatment, involving arranging any necessary investigations in relation to one or more complex problems and of more than 30 minutes in duration but not more than 45 minutes in duration</w:t>
            </w:r>
          </w:p>
        </w:tc>
        <w:tc>
          <w:tcPr>
            <w:tcW w:w="869" w:type="pct"/>
            <w:gridSpan w:val="2"/>
            <w:tcBorders>
              <w:top w:val="single" w:sz="4" w:space="0" w:color="auto"/>
              <w:left w:val="nil"/>
              <w:bottom w:val="single" w:sz="4" w:space="0" w:color="auto"/>
              <w:right w:val="nil"/>
            </w:tcBorders>
            <w:hideMark/>
          </w:tcPr>
          <w:p w14:paraId="7D77FC81" w14:textId="77777777" w:rsidR="00D6732F" w:rsidRPr="00C04168" w:rsidRDefault="00D6732F" w:rsidP="00D6732F">
            <w:pPr>
              <w:pStyle w:val="Tabletext"/>
              <w:jc w:val="right"/>
            </w:pPr>
            <w:r w:rsidRPr="00C04168">
              <w:t>122.20</w:t>
            </w:r>
          </w:p>
        </w:tc>
      </w:tr>
      <w:tr w:rsidR="00C04168" w:rsidRPr="00C04168" w14:paraId="0DFA12BB" w14:textId="77777777" w:rsidTr="00D6732F">
        <w:tc>
          <w:tcPr>
            <w:tcW w:w="680" w:type="pct"/>
            <w:tcBorders>
              <w:top w:val="single" w:sz="4" w:space="0" w:color="auto"/>
              <w:left w:val="nil"/>
              <w:bottom w:val="single" w:sz="4" w:space="0" w:color="auto"/>
              <w:right w:val="nil"/>
            </w:tcBorders>
            <w:hideMark/>
          </w:tcPr>
          <w:p w14:paraId="5D4E6AB3" w14:textId="77777777" w:rsidR="00D6732F" w:rsidRPr="00C04168" w:rsidRDefault="00D6732F" w:rsidP="00D6732F">
            <w:pPr>
              <w:pStyle w:val="Tabletext"/>
              <w:rPr>
                <w:szCs w:val="22"/>
                <w:lang w:val="en-GB" w:eastAsia="en-GB"/>
              </w:rPr>
            </w:pPr>
            <w:bookmarkStart w:id="13" w:name="CU_8293842"/>
            <w:bookmarkStart w:id="14" w:name="CU_8291795"/>
            <w:bookmarkEnd w:id="13"/>
            <w:bookmarkEnd w:id="14"/>
            <w:r w:rsidRPr="00C04168">
              <w:rPr>
                <w:szCs w:val="22"/>
                <w:lang w:val="en-GB" w:eastAsia="en-GB"/>
              </w:rPr>
              <w:t>92614</w:t>
            </w:r>
          </w:p>
          <w:p w14:paraId="24603982" w14:textId="3BF56E7B" w:rsidR="00D6732F" w:rsidRPr="00C04168" w:rsidRDefault="00D6732F" w:rsidP="00D6732F">
            <w:pPr>
              <w:pStyle w:val="Tabletext"/>
              <w:rPr>
                <w:szCs w:val="22"/>
                <w:lang w:val="en-GB" w:eastAsia="en-GB"/>
              </w:rPr>
            </w:pPr>
          </w:p>
        </w:tc>
        <w:tc>
          <w:tcPr>
            <w:tcW w:w="3452" w:type="pct"/>
            <w:gridSpan w:val="2"/>
            <w:tcBorders>
              <w:top w:val="single" w:sz="4" w:space="0" w:color="auto"/>
              <w:left w:val="nil"/>
              <w:bottom w:val="single" w:sz="4" w:space="0" w:color="auto"/>
              <w:right w:val="nil"/>
            </w:tcBorders>
            <w:hideMark/>
          </w:tcPr>
          <w:p w14:paraId="1A8AF9F5" w14:textId="77777777" w:rsidR="00D6732F" w:rsidRPr="00C04168" w:rsidRDefault="00D6732F" w:rsidP="00D6732F">
            <w:pPr>
              <w:pStyle w:val="Tabletext"/>
            </w:pPr>
            <w:r w:rsidRPr="00C04168">
              <w:t>Telehealth attendance by a specialist in the practice of neurosurgery following referral of the patient to the specialist—an attendance after the first in a single course of treatment, involving arranging any necessary investigations in relation to one or more complex problems and of more than 45 minutes in duration</w:t>
            </w:r>
          </w:p>
        </w:tc>
        <w:tc>
          <w:tcPr>
            <w:tcW w:w="869" w:type="pct"/>
            <w:gridSpan w:val="2"/>
            <w:tcBorders>
              <w:top w:val="single" w:sz="4" w:space="0" w:color="auto"/>
              <w:left w:val="nil"/>
              <w:bottom w:val="single" w:sz="4" w:space="0" w:color="auto"/>
              <w:right w:val="nil"/>
            </w:tcBorders>
            <w:hideMark/>
          </w:tcPr>
          <w:p w14:paraId="60A3FBA7" w14:textId="77777777" w:rsidR="00D6732F" w:rsidRPr="00C04168" w:rsidRDefault="00D6732F" w:rsidP="00D6732F">
            <w:pPr>
              <w:pStyle w:val="Tabletext"/>
              <w:jc w:val="right"/>
            </w:pPr>
            <w:r w:rsidRPr="00C04168">
              <w:t>155.60</w:t>
            </w:r>
          </w:p>
        </w:tc>
      </w:tr>
      <w:tr w:rsidR="00C04168" w:rsidRPr="00C04168" w14:paraId="2783F514" w14:textId="77777777" w:rsidTr="00D6732F">
        <w:tc>
          <w:tcPr>
            <w:tcW w:w="5000" w:type="pct"/>
            <w:gridSpan w:val="5"/>
            <w:tcBorders>
              <w:top w:val="single" w:sz="12" w:space="0" w:color="auto"/>
              <w:left w:val="nil"/>
              <w:bottom w:val="single" w:sz="6" w:space="0" w:color="auto"/>
              <w:right w:val="nil"/>
            </w:tcBorders>
            <w:hideMark/>
          </w:tcPr>
          <w:p w14:paraId="53DEDAFD" w14:textId="368AB620" w:rsidR="00D6732F" w:rsidRPr="00C04168" w:rsidRDefault="00D6732F" w:rsidP="00D6732F">
            <w:pPr>
              <w:pStyle w:val="TableHeading"/>
            </w:pPr>
            <w:r w:rsidRPr="00C04168">
              <w:t xml:space="preserve">Subgroup 36—Neurosurgery attendances – Phone Services </w:t>
            </w:r>
          </w:p>
        </w:tc>
      </w:tr>
      <w:tr w:rsidR="00C04168" w:rsidRPr="00C04168" w14:paraId="7A6A89E5" w14:textId="77777777" w:rsidTr="00D6732F">
        <w:tc>
          <w:tcPr>
            <w:tcW w:w="694" w:type="pct"/>
            <w:gridSpan w:val="2"/>
            <w:tcBorders>
              <w:top w:val="single" w:sz="4" w:space="0" w:color="auto"/>
              <w:left w:val="nil"/>
              <w:bottom w:val="single" w:sz="4" w:space="0" w:color="auto"/>
              <w:right w:val="nil"/>
            </w:tcBorders>
            <w:hideMark/>
          </w:tcPr>
          <w:p w14:paraId="4675313B" w14:textId="77777777" w:rsidR="00D6732F" w:rsidRPr="00C04168" w:rsidRDefault="00D6732F" w:rsidP="00D6732F">
            <w:pPr>
              <w:pStyle w:val="Tabletext"/>
            </w:pPr>
            <w:r w:rsidRPr="00C04168">
              <w:rPr>
                <w:szCs w:val="22"/>
                <w:lang w:val="en-GB" w:eastAsia="en-GB"/>
              </w:rPr>
              <w:t>92617</w:t>
            </w:r>
          </w:p>
          <w:p w14:paraId="18EE8CA9" w14:textId="519C3741" w:rsidR="00D6732F" w:rsidRPr="00C04168" w:rsidRDefault="00D6732F" w:rsidP="00D6732F">
            <w:pPr>
              <w:pStyle w:val="Tabletext"/>
            </w:pPr>
          </w:p>
        </w:tc>
        <w:tc>
          <w:tcPr>
            <w:tcW w:w="3466" w:type="pct"/>
            <w:gridSpan w:val="2"/>
            <w:tcBorders>
              <w:top w:val="single" w:sz="4" w:space="0" w:color="auto"/>
              <w:left w:val="nil"/>
              <w:bottom w:val="single" w:sz="4" w:space="0" w:color="auto"/>
              <w:right w:val="nil"/>
            </w:tcBorders>
            <w:hideMark/>
          </w:tcPr>
          <w:p w14:paraId="1296FC46" w14:textId="77777777" w:rsidR="00D6732F" w:rsidRPr="00C04168" w:rsidRDefault="00D6732F" w:rsidP="00D6732F">
            <w:pPr>
              <w:pStyle w:val="Tabletext"/>
            </w:pPr>
            <w:r w:rsidRPr="00C04168">
              <w:t>Phone attendance by a specialist in the practice of neurosurgery following referral of the patient to the specialist (other than a second or subsequent attendance in a single course of treatment)</w:t>
            </w:r>
          </w:p>
        </w:tc>
        <w:tc>
          <w:tcPr>
            <w:tcW w:w="840" w:type="pct"/>
            <w:tcBorders>
              <w:top w:val="single" w:sz="4" w:space="0" w:color="auto"/>
              <w:left w:val="nil"/>
              <w:bottom w:val="single" w:sz="4" w:space="0" w:color="auto"/>
              <w:right w:val="nil"/>
            </w:tcBorders>
            <w:hideMark/>
          </w:tcPr>
          <w:p w14:paraId="4558CAD8" w14:textId="77777777" w:rsidR="00D6732F" w:rsidRPr="00C04168" w:rsidRDefault="00D6732F" w:rsidP="00D6732F">
            <w:pPr>
              <w:pStyle w:val="Tabletext"/>
              <w:jc w:val="right"/>
            </w:pPr>
            <w:r w:rsidRPr="00C04168">
              <w:t>133.65</w:t>
            </w:r>
          </w:p>
        </w:tc>
      </w:tr>
      <w:tr w:rsidR="00C04168" w:rsidRPr="00C04168" w14:paraId="7FE7A792" w14:textId="77777777" w:rsidTr="00D6732F">
        <w:tc>
          <w:tcPr>
            <w:tcW w:w="694" w:type="pct"/>
            <w:gridSpan w:val="2"/>
            <w:tcBorders>
              <w:top w:val="single" w:sz="4" w:space="0" w:color="auto"/>
              <w:left w:val="nil"/>
              <w:bottom w:val="single" w:sz="4" w:space="0" w:color="auto"/>
              <w:right w:val="nil"/>
            </w:tcBorders>
            <w:hideMark/>
          </w:tcPr>
          <w:p w14:paraId="643916B1" w14:textId="77777777" w:rsidR="00D6732F" w:rsidRPr="00C04168" w:rsidRDefault="00D6732F" w:rsidP="00D6732F">
            <w:pPr>
              <w:pStyle w:val="Tabletext"/>
            </w:pPr>
            <w:r w:rsidRPr="00C04168">
              <w:rPr>
                <w:szCs w:val="22"/>
                <w:lang w:val="en-GB" w:eastAsia="en-GB"/>
              </w:rPr>
              <w:t>92618</w:t>
            </w:r>
          </w:p>
          <w:p w14:paraId="7D2871EB" w14:textId="710098E5" w:rsidR="00D6732F" w:rsidRPr="00C04168" w:rsidRDefault="00D6732F" w:rsidP="00D6732F">
            <w:pPr>
              <w:pStyle w:val="Tabletext"/>
            </w:pPr>
          </w:p>
        </w:tc>
        <w:tc>
          <w:tcPr>
            <w:tcW w:w="3466" w:type="pct"/>
            <w:gridSpan w:val="2"/>
            <w:tcBorders>
              <w:top w:val="single" w:sz="4" w:space="0" w:color="auto"/>
              <w:left w:val="nil"/>
              <w:bottom w:val="single" w:sz="4" w:space="0" w:color="auto"/>
              <w:right w:val="nil"/>
            </w:tcBorders>
            <w:hideMark/>
          </w:tcPr>
          <w:p w14:paraId="13A73A9C" w14:textId="77777777" w:rsidR="00D6732F" w:rsidRPr="00C04168" w:rsidRDefault="00D6732F" w:rsidP="00D6732F">
            <w:pPr>
              <w:pStyle w:val="Tabletext"/>
            </w:pPr>
            <w:r w:rsidRPr="00C04168">
              <w:t>Phone attendance by a specialist in the practice of neurosurgery following referral of the patient to the specialist—a minor attendance after the first in a single course of treatment</w:t>
            </w:r>
          </w:p>
        </w:tc>
        <w:tc>
          <w:tcPr>
            <w:tcW w:w="840" w:type="pct"/>
            <w:tcBorders>
              <w:top w:val="single" w:sz="4" w:space="0" w:color="auto"/>
              <w:left w:val="nil"/>
              <w:bottom w:val="single" w:sz="4" w:space="0" w:color="auto"/>
              <w:right w:val="nil"/>
            </w:tcBorders>
            <w:hideMark/>
          </w:tcPr>
          <w:p w14:paraId="11803E6D" w14:textId="77777777" w:rsidR="00D6732F" w:rsidRPr="00C04168" w:rsidRDefault="00D6732F" w:rsidP="00D6732F">
            <w:pPr>
              <w:pStyle w:val="Tabletext"/>
              <w:jc w:val="right"/>
            </w:pPr>
            <w:r w:rsidRPr="00C04168">
              <w:t>44.35</w:t>
            </w:r>
          </w:p>
        </w:tc>
      </w:tr>
      <w:tr w:rsidR="00C04168" w:rsidRPr="00C04168" w14:paraId="51E98E18" w14:textId="77777777" w:rsidTr="00D6732F">
        <w:tc>
          <w:tcPr>
            <w:tcW w:w="694" w:type="pct"/>
            <w:gridSpan w:val="2"/>
            <w:tcBorders>
              <w:top w:val="single" w:sz="4" w:space="0" w:color="auto"/>
              <w:left w:val="nil"/>
              <w:bottom w:val="single" w:sz="4" w:space="0" w:color="auto"/>
              <w:right w:val="nil"/>
            </w:tcBorders>
            <w:hideMark/>
          </w:tcPr>
          <w:p w14:paraId="75149348" w14:textId="77777777" w:rsidR="00D6732F" w:rsidRPr="00C04168" w:rsidRDefault="00D6732F" w:rsidP="00D6732F">
            <w:pPr>
              <w:pStyle w:val="Tabletext"/>
            </w:pPr>
            <w:r w:rsidRPr="00C04168">
              <w:rPr>
                <w:szCs w:val="22"/>
                <w:lang w:val="en-GB" w:eastAsia="en-GB"/>
              </w:rPr>
              <w:t>92619</w:t>
            </w:r>
          </w:p>
          <w:p w14:paraId="31632C1D" w14:textId="3EF672B1" w:rsidR="00D6732F" w:rsidRPr="00C04168" w:rsidRDefault="00D6732F" w:rsidP="00D6732F">
            <w:pPr>
              <w:pStyle w:val="Tabletext"/>
            </w:pPr>
          </w:p>
        </w:tc>
        <w:tc>
          <w:tcPr>
            <w:tcW w:w="3466" w:type="pct"/>
            <w:gridSpan w:val="2"/>
            <w:tcBorders>
              <w:top w:val="single" w:sz="4" w:space="0" w:color="auto"/>
              <w:left w:val="nil"/>
              <w:bottom w:val="single" w:sz="4" w:space="0" w:color="auto"/>
              <w:right w:val="nil"/>
            </w:tcBorders>
            <w:hideMark/>
          </w:tcPr>
          <w:p w14:paraId="44A03139" w14:textId="77777777" w:rsidR="00D6732F" w:rsidRPr="00C04168" w:rsidRDefault="00D6732F" w:rsidP="00D6732F">
            <w:pPr>
              <w:pStyle w:val="Tabletext"/>
            </w:pPr>
            <w:r w:rsidRPr="00C04168">
              <w:t>Phone attendance by a specialist in the practice of neurosurgery following referral of the patient to the specialist—an attendance after the first in a single course of treatment, involving arranging any necessary investigations in relation to one or more complex problems and of more than 15 minutes in duration but not more than 30 minutes in duration</w:t>
            </w:r>
          </w:p>
        </w:tc>
        <w:tc>
          <w:tcPr>
            <w:tcW w:w="840" w:type="pct"/>
            <w:tcBorders>
              <w:top w:val="single" w:sz="4" w:space="0" w:color="auto"/>
              <w:left w:val="nil"/>
              <w:bottom w:val="single" w:sz="4" w:space="0" w:color="auto"/>
              <w:right w:val="nil"/>
            </w:tcBorders>
            <w:hideMark/>
          </w:tcPr>
          <w:p w14:paraId="508D25A2" w14:textId="77777777" w:rsidR="00D6732F" w:rsidRPr="00C04168" w:rsidRDefault="00D6732F" w:rsidP="00D6732F">
            <w:pPr>
              <w:pStyle w:val="Tabletext"/>
              <w:jc w:val="right"/>
            </w:pPr>
            <w:r w:rsidRPr="00C04168">
              <w:t>88.25</w:t>
            </w:r>
          </w:p>
        </w:tc>
      </w:tr>
      <w:tr w:rsidR="00C04168" w:rsidRPr="00C04168" w14:paraId="1DB7465C" w14:textId="77777777" w:rsidTr="00D6732F">
        <w:tc>
          <w:tcPr>
            <w:tcW w:w="694" w:type="pct"/>
            <w:gridSpan w:val="2"/>
            <w:tcBorders>
              <w:top w:val="single" w:sz="4" w:space="0" w:color="auto"/>
              <w:left w:val="nil"/>
              <w:bottom w:val="single" w:sz="4" w:space="0" w:color="auto"/>
              <w:right w:val="nil"/>
            </w:tcBorders>
            <w:hideMark/>
          </w:tcPr>
          <w:p w14:paraId="07FD0B2F" w14:textId="77777777" w:rsidR="00D6732F" w:rsidRPr="00C04168" w:rsidRDefault="00D6732F" w:rsidP="00D6732F">
            <w:pPr>
              <w:pStyle w:val="Tabletext"/>
            </w:pPr>
            <w:r w:rsidRPr="00C04168">
              <w:rPr>
                <w:szCs w:val="22"/>
                <w:lang w:val="en-GB" w:eastAsia="en-GB"/>
              </w:rPr>
              <w:t>92620</w:t>
            </w:r>
          </w:p>
          <w:p w14:paraId="11A2C319" w14:textId="0F9AC08D" w:rsidR="00D6732F" w:rsidRPr="00C04168" w:rsidRDefault="00D6732F" w:rsidP="00D6732F">
            <w:pPr>
              <w:pStyle w:val="Tabletext"/>
            </w:pPr>
          </w:p>
        </w:tc>
        <w:tc>
          <w:tcPr>
            <w:tcW w:w="3466" w:type="pct"/>
            <w:gridSpan w:val="2"/>
            <w:tcBorders>
              <w:top w:val="single" w:sz="4" w:space="0" w:color="auto"/>
              <w:left w:val="nil"/>
              <w:bottom w:val="single" w:sz="4" w:space="0" w:color="auto"/>
              <w:right w:val="nil"/>
            </w:tcBorders>
            <w:hideMark/>
          </w:tcPr>
          <w:p w14:paraId="2C235253" w14:textId="77777777" w:rsidR="00D6732F" w:rsidRPr="00C04168" w:rsidRDefault="00D6732F" w:rsidP="00D6732F">
            <w:pPr>
              <w:pStyle w:val="Tabletext"/>
            </w:pPr>
            <w:r w:rsidRPr="00C04168">
              <w:t>Phone attendance by a specialist in the practice of neurosurgery following referral of the patient to the specialist—an attendance after the first in a single course of treatment, involving arranging any necessary investigations in relation to one or more complex problems and of more than 30 minutes in duration but not more than 45 minutes in duration</w:t>
            </w:r>
          </w:p>
        </w:tc>
        <w:tc>
          <w:tcPr>
            <w:tcW w:w="840" w:type="pct"/>
            <w:tcBorders>
              <w:top w:val="single" w:sz="4" w:space="0" w:color="auto"/>
              <w:left w:val="nil"/>
              <w:bottom w:val="single" w:sz="4" w:space="0" w:color="auto"/>
              <w:right w:val="nil"/>
            </w:tcBorders>
            <w:hideMark/>
          </w:tcPr>
          <w:p w14:paraId="621A157D" w14:textId="77777777" w:rsidR="00D6732F" w:rsidRPr="00C04168" w:rsidRDefault="00D6732F" w:rsidP="00D6732F">
            <w:pPr>
              <w:pStyle w:val="Tabletext"/>
              <w:jc w:val="right"/>
            </w:pPr>
            <w:r w:rsidRPr="00C04168">
              <w:t>122.20</w:t>
            </w:r>
          </w:p>
        </w:tc>
      </w:tr>
      <w:tr w:rsidR="00D6732F" w:rsidRPr="00C04168" w14:paraId="59325F23" w14:textId="77777777" w:rsidTr="00D6732F">
        <w:tc>
          <w:tcPr>
            <w:tcW w:w="694" w:type="pct"/>
            <w:gridSpan w:val="2"/>
            <w:tcBorders>
              <w:top w:val="single" w:sz="4" w:space="0" w:color="auto"/>
              <w:left w:val="nil"/>
              <w:bottom w:val="single" w:sz="4" w:space="0" w:color="auto"/>
              <w:right w:val="nil"/>
            </w:tcBorders>
            <w:hideMark/>
          </w:tcPr>
          <w:p w14:paraId="1B130B1F" w14:textId="77777777" w:rsidR="00D6732F" w:rsidRPr="00C04168" w:rsidRDefault="00D6732F" w:rsidP="00D6732F">
            <w:pPr>
              <w:pStyle w:val="Tabletext"/>
            </w:pPr>
            <w:r w:rsidRPr="00C04168">
              <w:rPr>
                <w:szCs w:val="22"/>
                <w:lang w:val="en-GB" w:eastAsia="en-GB"/>
              </w:rPr>
              <w:lastRenderedPageBreak/>
              <w:t>92621</w:t>
            </w:r>
          </w:p>
          <w:p w14:paraId="449E539E" w14:textId="3ED9A94E" w:rsidR="00D6732F" w:rsidRPr="00C04168" w:rsidRDefault="00D6732F" w:rsidP="00D6732F">
            <w:pPr>
              <w:pStyle w:val="Tabletext"/>
            </w:pPr>
          </w:p>
        </w:tc>
        <w:tc>
          <w:tcPr>
            <w:tcW w:w="3466" w:type="pct"/>
            <w:gridSpan w:val="2"/>
            <w:tcBorders>
              <w:top w:val="single" w:sz="4" w:space="0" w:color="auto"/>
              <w:left w:val="nil"/>
              <w:bottom w:val="single" w:sz="4" w:space="0" w:color="auto"/>
              <w:right w:val="nil"/>
            </w:tcBorders>
            <w:hideMark/>
          </w:tcPr>
          <w:p w14:paraId="08FAA673" w14:textId="77777777" w:rsidR="00D6732F" w:rsidRPr="00C04168" w:rsidRDefault="00D6732F" w:rsidP="00D6732F">
            <w:pPr>
              <w:pStyle w:val="Tabletext"/>
            </w:pPr>
            <w:r w:rsidRPr="00C04168">
              <w:t>Phone attendance by a specialist in the practice of neurosurgery following referral of the patient to the specialist—an attendance after the first in a single course of treatment, involving arranging any necessary investigations in relation to one or more complex problems and of more than 45 minutes in duration</w:t>
            </w:r>
          </w:p>
        </w:tc>
        <w:tc>
          <w:tcPr>
            <w:tcW w:w="840" w:type="pct"/>
            <w:tcBorders>
              <w:top w:val="single" w:sz="4" w:space="0" w:color="auto"/>
              <w:left w:val="nil"/>
              <w:bottom w:val="single" w:sz="4" w:space="0" w:color="auto"/>
              <w:right w:val="nil"/>
            </w:tcBorders>
            <w:hideMark/>
          </w:tcPr>
          <w:p w14:paraId="12D03949" w14:textId="77777777" w:rsidR="00D6732F" w:rsidRPr="00C04168" w:rsidRDefault="00D6732F" w:rsidP="00D6732F">
            <w:pPr>
              <w:pStyle w:val="Tabletext"/>
              <w:jc w:val="right"/>
            </w:pPr>
            <w:r w:rsidRPr="00C04168">
              <w:t>155.60</w:t>
            </w:r>
          </w:p>
        </w:tc>
      </w:tr>
    </w:tbl>
    <w:p w14:paraId="31813FB1" w14:textId="77777777" w:rsidR="00D6732F" w:rsidRPr="00C04168" w:rsidRDefault="00D6732F" w:rsidP="00E7145A"/>
    <w:p w14:paraId="06FD5FA0" w14:textId="13BF1F87" w:rsidR="0085079F" w:rsidRPr="00C04168" w:rsidRDefault="00C61404" w:rsidP="0085079F">
      <w:pPr>
        <w:pStyle w:val="ItemHead"/>
      </w:pPr>
      <w:proofErr w:type="gramStart"/>
      <w:r w:rsidRPr="00C04168">
        <w:t>1</w:t>
      </w:r>
      <w:r w:rsidR="00002B2D">
        <w:t>2</w:t>
      </w:r>
      <w:r w:rsidR="0085079F" w:rsidRPr="00C04168">
        <w:t xml:space="preserve">  Schedule</w:t>
      </w:r>
      <w:proofErr w:type="gramEnd"/>
      <w:r w:rsidR="0085079F" w:rsidRPr="00C04168">
        <w:t xml:space="preserve"> 4 (heading)</w:t>
      </w:r>
    </w:p>
    <w:p w14:paraId="19E615A7" w14:textId="24EEFD19" w:rsidR="0085079F" w:rsidRPr="00C04168" w:rsidRDefault="0085079F" w:rsidP="0085079F">
      <w:pPr>
        <w:pStyle w:val="Item"/>
      </w:pPr>
      <w:r w:rsidRPr="00C04168">
        <w:t>Omit “</w:t>
      </w:r>
      <w:r w:rsidRPr="00C04168">
        <w:rPr>
          <w:b/>
        </w:rPr>
        <w:t>and midwife service</w:t>
      </w:r>
      <w:r w:rsidR="009C4F32">
        <w:rPr>
          <w:b/>
        </w:rPr>
        <w:t>s</w:t>
      </w:r>
      <w:r w:rsidRPr="00C04168">
        <w:t>”, substitute “</w:t>
      </w:r>
      <w:r w:rsidRPr="00C04168">
        <w:rPr>
          <w:b/>
        </w:rPr>
        <w:t>, midwife and Aboriginal and Torres Strait Islander health practitioner services</w:t>
      </w:r>
      <w:r w:rsidRPr="00C04168">
        <w:t>”.</w:t>
      </w:r>
    </w:p>
    <w:p w14:paraId="71E693F7" w14:textId="70E0E896" w:rsidR="00002B2D" w:rsidRPr="00C04168" w:rsidRDefault="00002B2D" w:rsidP="00002B2D">
      <w:pPr>
        <w:pStyle w:val="ItemHead"/>
      </w:pPr>
      <w:proofErr w:type="gramStart"/>
      <w:r w:rsidRPr="00C04168">
        <w:t>1</w:t>
      </w:r>
      <w:r>
        <w:t>3</w:t>
      </w:r>
      <w:r w:rsidR="00324F50">
        <w:t xml:space="preserve">  Clause</w:t>
      </w:r>
      <w:proofErr w:type="gramEnd"/>
      <w:r w:rsidR="00324F50">
        <w:t xml:space="preserve"> 4.1.1 (heading)</w:t>
      </w:r>
    </w:p>
    <w:p w14:paraId="451BF842" w14:textId="12BFCF43" w:rsidR="00002B2D" w:rsidRDefault="00324F50" w:rsidP="00C64EE1">
      <w:pPr>
        <w:pStyle w:val="Item"/>
      </w:pPr>
      <w:r>
        <w:t>Repeal the heading</w:t>
      </w:r>
      <w:r w:rsidR="00002B2D" w:rsidRPr="00C04168">
        <w:t>, substitute</w:t>
      </w:r>
      <w:r w:rsidR="007532AB">
        <w:t>:</w:t>
      </w:r>
      <w:r w:rsidR="00002B2D" w:rsidRPr="00C04168">
        <w:t xml:space="preserve"> </w:t>
      </w:r>
    </w:p>
    <w:p w14:paraId="3A177925" w14:textId="24CD75C3" w:rsidR="007532AB" w:rsidRPr="00C64EE1" w:rsidRDefault="007532AB" w:rsidP="00AB28D1">
      <w:pPr>
        <w:pStyle w:val="ActHead5"/>
        <w:ind w:left="0" w:firstLine="0"/>
      </w:pPr>
      <w:proofErr w:type="gramStart"/>
      <w:r>
        <w:t xml:space="preserve">4.1.1  </w:t>
      </w:r>
      <w:r w:rsidRPr="007532AB">
        <w:t>Application</w:t>
      </w:r>
      <w:proofErr w:type="gramEnd"/>
      <w:r w:rsidRPr="007532AB">
        <w:t xml:space="preserve"> of nurse practitioner</w:t>
      </w:r>
      <w:r w:rsidR="00722EE6">
        <w:t xml:space="preserve"> and</w:t>
      </w:r>
      <w:r w:rsidRPr="007532AB">
        <w:t xml:space="preserve"> Aboriginal and Torres Strait Islander health practitioner phone services</w:t>
      </w:r>
      <w:r w:rsidRPr="00C04168">
        <w:t xml:space="preserve">  </w:t>
      </w:r>
    </w:p>
    <w:p w14:paraId="26739F11" w14:textId="26294441" w:rsidR="00E92B05" w:rsidRPr="00C04168" w:rsidRDefault="00E92B05" w:rsidP="00E92B05">
      <w:pPr>
        <w:pStyle w:val="ItemHead"/>
      </w:pPr>
      <w:proofErr w:type="gramStart"/>
      <w:r w:rsidRPr="00C04168">
        <w:t>1</w:t>
      </w:r>
      <w:r w:rsidR="00F8281A">
        <w:t>4</w:t>
      </w:r>
      <w:r w:rsidRPr="00C04168">
        <w:t xml:space="preserve">  Subclause</w:t>
      </w:r>
      <w:proofErr w:type="gramEnd"/>
      <w:r w:rsidRPr="00C04168">
        <w:t xml:space="preserve"> 4.1.1(1)</w:t>
      </w:r>
    </w:p>
    <w:p w14:paraId="02E50168" w14:textId="578C745C" w:rsidR="00E92B05" w:rsidRPr="00C04168" w:rsidRDefault="00E92B05" w:rsidP="00E92B05">
      <w:pPr>
        <w:pStyle w:val="Item"/>
      </w:pPr>
      <w:r w:rsidRPr="00C04168">
        <w:t>Omit “subgroup 10”, substitute “Subgroup 10 or 24”.</w:t>
      </w:r>
    </w:p>
    <w:p w14:paraId="55E9B082" w14:textId="182C2CA9" w:rsidR="00383003" w:rsidRPr="00C04168" w:rsidRDefault="00383003" w:rsidP="00383003">
      <w:pPr>
        <w:pStyle w:val="ItemHead"/>
      </w:pPr>
      <w:proofErr w:type="gramStart"/>
      <w:r w:rsidRPr="00C04168">
        <w:t>1</w:t>
      </w:r>
      <w:r w:rsidR="00F8281A">
        <w:t>5</w:t>
      </w:r>
      <w:r w:rsidRPr="00C04168">
        <w:t xml:space="preserve">  After</w:t>
      </w:r>
      <w:proofErr w:type="gramEnd"/>
      <w:r w:rsidRPr="00C04168">
        <w:t xml:space="preserve"> clause 4.1.1 of Schedule 4</w:t>
      </w:r>
    </w:p>
    <w:p w14:paraId="012544B2" w14:textId="77777777" w:rsidR="00383003" w:rsidRPr="00C04168" w:rsidRDefault="00383003" w:rsidP="00383003">
      <w:pPr>
        <w:pStyle w:val="Item"/>
      </w:pPr>
      <w:r w:rsidRPr="00C04168">
        <w:t>Insert:</w:t>
      </w:r>
    </w:p>
    <w:p w14:paraId="2262576C" w14:textId="570F8B18" w:rsidR="00383003" w:rsidRPr="00C04168" w:rsidRDefault="00383003" w:rsidP="00383003">
      <w:pPr>
        <w:pStyle w:val="ActHead5"/>
      </w:pPr>
      <w:bookmarkStart w:id="15" w:name="_Toc37833869"/>
      <w:proofErr w:type="gramStart"/>
      <w:r w:rsidRPr="00C04168">
        <w:t>4.1.2  Application</w:t>
      </w:r>
      <w:proofErr w:type="gramEnd"/>
      <w:r w:rsidRPr="00C04168">
        <w:t xml:space="preserve"> of items </w:t>
      </w:r>
      <w:bookmarkEnd w:id="15"/>
      <w:r w:rsidR="0009431B" w:rsidRPr="00C04168">
        <w:t>in Subgroups 11 and 12 of Group M18</w:t>
      </w:r>
    </w:p>
    <w:p w14:paraId="31C08FFE" w14:textId="77777777" w:rsidR="00383003" w:rsidRPr="00C04168" w:rsidRDefault="00383003" w:rsidP="00383003">
      <w:pPr>
        <w:pStyle w:val="subsection"/>
      </w:pPr>
      <w:r w:rsidRPr="00C04168">
        <w:tab/>
        <w:t>(1)</w:t>
      </w:r>
      <w:r w:rsidRPr="00C04168">
        <w:tab/>
        <w:t>In items 93201 and 93203:</w:t>
      </w:r>
    </w:p>
    <w:p w14:paraId="4360E13C" w14:textId="77777777" w:rsidR="00383003" w:rsidRPr="00C04168" w:rsidRDefault="00383003" w:rsidP="00383003">
      <w:pPr>
        <w:pStyle w:val="paragraph"/>
      </w:pPr>
      <w:r w:rsidRPr="00C04168">
        <w:tab/>
      </w:r>
      <w:r w:rsidRPr="00C04168">
        <w:tab/>
      </w:r>
      <w:r w:rsidRPr="00C04168">
        <w:rPr>
          <w:b/>
          <w:i/>
        </w:rPr>
        <w:t>GP management plan</w:t>
      </w:r>
      <w:r w:rsidRPr="00C04168">
        <w:t xml:space="preserve"> means a plan under: </w:t>
      </w:r>
    </w:p>
    <w:p w14:paraId="76AD8C17" w14:textId="77777777" w:rsidR="00383003" w:rsidRPr="00C04168" w:rsidRDefault="00383003" w:rsidP="00383003">
      <w:pPr>
        <w:pStyle w:val="paragraphsub"/>
      </w:pPr>
      <w:r w:rsidRPr="00C04168">
        <w:tab/>
        <w:t>(a)</w:t>
      </w:r>
      <w:r w:rsidRPr="00C04168">
        <w:tab/>
      </w:r>
      <w:proofErr w:type="gramStart"/>
      <w:r w:rsidRPr="00C04168">
        <w:t>item</w:t>
      </w:r>
      <w:proofErr w:type="gramEnd"/>
      <w:r w:rsidRPr="00C04168">
        <w:t xml:space="preserve"> 721 or 732 of the general medical services table (for coordination of a review of a GP management plan under item 721); or</w:t>
      </w:r>
    </w:p>
    <w:p w14:paraId="6208FAD5" w14:textId="34DBF1F2" w:rsidR="00DA6275" w:rsidRPr="00C04168" w:rsidRDefault="00DA6275" w:rsidP="00383003">
      <w:pPr>
        <w:pStyle w:val="paragraphsub"/>
      </w:pPr>
      <w:r w:rsidRPr="00C04168">
        <w:tab/>
        <w:t>(b)</w:t>
      </w:r>
      <w:r w:rsidRPr="00C04168">
        <w:tab/>
      </w:r>
      <w:proofErr w:type="gramStart"/>
      <w:r w:rsidRPr="00C04168">
        <w:t>item</w:t>
      </w:r>
      <w:proofErr w:type="gramEnd"/>
      <w:r w:rsidRPr="00C04168">
        <w:t xml:space="preserve"> 229 or 233 of the Other Medical Practitioner Determination (for coordination of a review of a GP management plan under item 229);</w:t>
      </w:r>
      <w:r w:rsidR="00524D70" w:rsidRPr="00C04168">
        <w:t xml:space="preserve"> or</w:t>
      </w:r>
      <w:r w:rsidRPr="00C04168">
        <w:tab/>
      </w:r>
      <w:r w:rsidRPr="00C04168">
        <w:tab/>
      </w:r>
    </w:p>
    <w:p w14:paraId="7AE451A0" w14:textId="33D177E2" w:rsidR="00383003" w:rsidRPr="00C04168" w:rsidRDefault="00DA6275" w:rsidP="00383003">
      <w:pPr>
        <w:pStyle w:val="paragraphsub"/>
      </w:pPr>
      <w:r w:rsidRPr="00C04168">
        <w:tab/>
        <w:t>(c</w:t>
      </w:r>
      <w:r w:rsidR="00383003" w:rsidRPr="00C04168">
        <w:t>)</w:t>
      </w:r>
      <w:r w:rsidR="00383003" w:rsidRPr="00C04168">
        <w:tab/>
      </w:r>
      <w:proofErr w:type="gramStart"/>
      <w:r w:rsidR="00383003" w:rsidRPr="00C04168">
        <w:t>item</w:t>
      </w:r>
      <w:proofErr w:type="gramEnd"/>
      <w:r w:rsidR="00383003" w:rsidRPr="00C04168">
        <w:t xml:space="preserve"> 92024, </w:t>
      </w:r>
      <w:r w:rsidR="00524D70" w:rsidRPr="00C04168">
        <w:t xml:space="preserve">92028, 92055, 92059, 92068, 92072, 92099 or 92103 </w:t>
      </w:r>
      <w:r w:rsidR="00383003" w:rsidRPr="00C04168">
        <w:t xml:space="preserve">(for coordination of a review of a GP management plan under item </w:t>
      </w:r>
      <w:r w:rsidR="00524D70" w:rsidRPr="00C04168">
        <w:t xml:space="preserve">92024, </w:t>
      </w:r>
      <w:r w:rsidR="00383003" w:rsidRPr="00C04168">
        <w:t xml:space="preserve"> </w:t>
      </w:r>
      <w:r w:rsidR="00524D70" w:rsidRPr="00C04168">
        <w:t xml:space="preserve">92055, </w:t>
      </w:r>
      <w:r w:rsidR="00383003" w:rsidRPr="00C04168">
        <w:t>92068</w:t>
      </w:r>
      <w:r w:rsidR="00524D70" w:rsidRPr="00C04168">
        <w:t xml:space="preserve"> or 92099</w:t>
      </w:r>
      <w:r w:rsidR="00383003" w:rsidRPr="00C04168">
        <w:t xml:space="preserve">); </w:t>
      </w:r>
    </w:p>
    <w:p w14:paraId="241C7052" w14:textId="77777777" w:rsidR="00383003" w:rsidRPr="00C04168" w:rsidRDefault="00383003" w:rsidP="00383003">
      <w:pPr>
        <w:pStyle w:val="paragraph"/>
      </w:pPr>
      <w:r w:rsidRPr="00C04168">
        <w:tab/>
      </w:r>
      <w:r w:rsidRPr="00C04168">
        <w:tab/>
      </w:r>
      <w:proofErr w:type="gramStart"/>
      <w:r w:rsidRPr="00C04168">
        <w:rPr>
          <w:b/>
          <w:i/>
        </w:rPr>
        <w:t>multidisciplinary</w:t>
      </w:r>
      <w:proofErr w:type="gramEnd"/>
      <w:r w:rsidRPr="00C04168">
        <w:rPr>
          <w:b/>
          <w:i/>
        </w:rPr>
        <w:t xml:space="preserve"> care plan</w:t>
      </w:r>
      <w:r w:rsidRPr="00C04168">
        <w:t xml:space="preserve"> means a plan under: </w:t>
      </w:r>
    </w:p>
    <w:p w14:paraId="720DC3BE" w14:textId="77777777" w:rsidR="00383003" w:rsidRPr="00C04168" w:rsidRDefault="00383003" w:rsidP="00383003">
      <w:pPr>
        <w:pStyle w:val="paragraphsub"/>
      </w:pPr>
      <w:r w:rsidRPr="00C04168">
        <w:tab/>
        <w:t>(a)</w:t>
      </w:r>
      <w:r w:rsidRPr="00C04168">
        <w:tab/>
      </w:r>
      <w:proofErr w:type="gramStart"/>
      <w:r w:rsidRPr="00C04168">
        <w:t>item</w:t>
      </w:r>
      <w:proofErr w:type="gramEnd"/>
      <w:r w:rsidRPr="00C04168">
        <w:t xml:space="preserve"> 729 or 731 of the general medical services table; or</w:t>
      </w:r>
    </w:p>
    <w:p w14:paraId="7A61A8CC" w14:textId="6E728B2A" w:rsidR="00DA6275" w:rsidRPr="00C04168" w:rsidRDefault="00DA6275" w:rsidP="00383003">
      <w:pPr>
        <w:pStyle w:val="paragraphsub"/>
      </w:pPr>
      <w:r w:rsidRPr="00C04168">
        <w:tab/>
        <w:t>(b)</w:t>
      </w:r>
      <w:r w:rsidRPr="00C04168">
        <w:tab/>
      </w:r>
      <w:proofErr w:type="gramStart"/>
      <w:r w:rsidRPr="00C04168">
        <w:t>item</w:t>
      </w:r>
      <w:proofErr w:type="gramEnd"/>
      <w:r w:rsidRPr="00C04168">
        <w:t xml:space="preserve"> 231 or 232 of the Other Medical Practitioner Determination; or</w:t>
      </w:r>
    </w:p>
    <w:p w14:paraId="151B3495" w14:textId="0B2707D1" w:rsidR="00383003" w:rsidRPr="00C04168" w:rsidRDefault="00DA6275" w:rsidP="00383003">
      <w:pPr>
        <w:pStyle w:val="paragraphsub"/>
      </w:pPr>
      <w:r w:rsidRPr="00C04168">
        <w:tab/>
        <w:t>(c</w:t>
      </w:r>
      <w:r w:rsidR="00383003" w:rsidRPr="00C04168">
        <w:t>)</w:t>
      </w:r>
      <w:r w:rsidR="00383003" w:rsidRPr="00C04168">
        <w:tab/>
      </w:r>
      <w:proofErr w:type="gramStart"/>
      <w:r w:rsidR="00383003" w:rsidRPr="00C04168">
        <w:t>item</w:t>
      </w:r>
      <w:proofErr w:type="gramEnd"/>
      <w:r w:rsidR="00383003" w:rsidRPr="00C04168">
        <w:t xml:space="preserve"> 92026, 92027, </w:t>
      </w:r>
      <w:r w:rsidR="00524D70" w:rsidRPr="00C04168">
        <w:t xml:space="preserve">92057, 92058, 92070, </w:t>
      </w:r>
      <w:r w:rsidR="00383003" w:rsidRPr="00C04168">
        <w:t>92071</w:t>
      </w:r>
      <w:r w:rsidR="00524D70" w:rsidRPr="00C04168">
        <w:t>, 92101 or 92102;</w:t>
      </w:r>
    </w:p>
    <w:p w14:paraId="4FBCE29D" w14:textId="77777777" w:rsidR="00383003" w:rsidRPr="00C04168" w:rsidRDefault="00383003" w:rsidP="00383003">
      <w:pPr>
        <w:pStyle w:val="paragraph"/>
      </w:pPr>
      <w:r w:rsidRPr="00C04168">
        <w:tab/>
      </w:r>
      <w:r w:rsidRPr="00C04168">
        <w:tab/>
      </w:r>
      <w:proofErr w:type="gramStart"/>
      <w:r w:rsidRPr="00C04168">
        <w:rPr>
          <w:b/>
          <w:i/>
        </w:rPr>
        <w:t>person</w:t>
      </w:r>
      <w:proofErr w:type="gramEnd"/>
      <w:r w:rsidRPr="00C04168">
        <w:rPr>
          <w:b/>
          <w:i/>
        </w:rPr>
        <w:t xml:space="preserve"> with a chronic disease</w:t>
      </w:r>
      <w:r w:rsidRPr="00C04168">
        <w:t xml:space="preserve"> means a person who has a care plan under </w:t>
      </w:r>
    </w:p>
    <w:p w14:paraId="02A942E8" w14:textId="77777777" w:rsidR="00DA6275" w:rsidRPr="00C04168" w:rsidRDefault="00383003" w:rsidP="00DA6275">
      <w:pPr>
        <w:pStyle w:val="paragraphsub"/>
      </w:pPr>
      <w:r w:rsidRPr="00C04168">
        <w:tab/>
        <w:t>(a)</w:t>
      </w:r>
      <w:r w:rsidRPr="00C04168">
        <w:tab/>
      </w:r>
      <w:proofErr w:type="gramStart"/>
      <w:r w:rsidRPr="00C04168">
        <w:t>item</w:t>
      </w:r>
      <w:proofErr w:type="gramEnd"/>
      <w:r w:rsidRPr="00C04168">
        <w:t xml:space="preserve"> 721, 723, 729, 731 or 732 of the general medical services table; or</w:t>
      </w:r>
    </w:p>
    <w:p w14:paraId="7A1F725D" w14:textId="1B5E94CA" w:rsidR="00DA6275" w:rsidRPr="00C04168" w:rsidRDefault="00DA6275" w:rsidP="00DA6275">
      <w:pPr>
        <w:pStyle w:val="paragraphsub"/>
      </w:pPr>
      <w:r w:rsidRPr="00C04168">
        <w:tab/>
        <w:t>(b)</w:t>
      </w:r>
      <w:r w:rsidRPr="00C04168">
        <w:tab/>
      </w:r>
      <w:proofErr w:type="gramStart"/>
      <w:r w:rsidR="0085079F" w:rsidRPr="00C04168">
        <w:t>item</w:t>
      </w:r>
      <w:proofErr w:type="gramEnd"/>
      <w:r w:rsidR="0085079F" w:rsidRPr="00C04168">
        <w:t xml:space="preserve"> </w:t>
      </w:r>
      <w:r w:rsidRPr="00C04168">
        <w:t>229, 230, 231, 232 or 233 of the Other Medical Practitioner Determination; or</w:t>
      </w:r>
    </w:p>
    <w:p w14:paraId="386C5A46" w14:textId="0C55D928" w:rsidR="0009431B" w:rsidRPr="00C04168" w:rsidRDefault="00DA6275" w:rsidP="0009431B">
      <w:pPr>
        <w:pStyle w:val="paragraphsub"/>
      </w:pPr>
      <w:r w:rsidRPr="00C04168">
        <w:tab/>
        <w:t>(c</w:t>
      </w:r>
      <w:r w:rsidR="00383003" w:rsidRPr="00C04168">
        <w:t>)</w:t>
      </w:r>
      <w:r w:rsidR="00383003" w:rsidRPr="00C04168">
        <w:tab/>
      </w:r>
      <w:proofErr w:type="gramStart"/>
      <w:r w:rsidR="00383003" w:rsidRPr="00C04168">
        <w:t>item</w:t>
      </w:r>
      <w:proofErr w:type="gramEnd"/>
      <w:r w:rsidR="00383003" w:rsidRPr="00C04168">
        <w:t xml:space="preserve"> 92024 to 92028</w:t>
      </w:r>
      <w:r w:rsidR="00F6167F" w:rsidRPr="00C04168">
        <w:t xml:space="preserve">, 92055 to 92059, 92068 to 92072 or 92099 to 92103. </w:t>
      </w:r>
    </w:p>
    <w:p w14:paraId="65EA554B" w14:textId="77777777" w:rsidR="00383003" w:rsidRPr="00C04168" w:rsidRDefault="00383003" w:rsidP="00383003">
      <w:pPr>
        <w:pStyle w:val="subsection"/>
      </w:pPr>
      <w:r w:rsidRPr="00C04168">
        <w:lastRenderedPageBreak/>
        <w:tab/>
        <w:t>(2)</w:t>
      </w:r>
      <w:r w:rsidRPr="00C04168">
        <w:tab/>
        <w:t xml:space="preserve">A person cannot receive a service under item 93200 or 93202 if, in the same calendar year, the person has received 10 services to which any of the following items apply: </w:t>
      </w:r>
    </w:p>
    <w:p w14:paraId="69D710F6" w14:textId="77777777" w:rsidR="00383003" w:rsidRPr="00C04168" w:rsidRDefault="00383003" w:rsidP="00383003">
      <w:pPr>
        <w:pStyle w:val="paragraph"/>
      </w:pPr>
      <w:r w:rsidRPr="00C04168">
        <w:tab/>
        <w:t>(a)</w:t>
      </w:r>
      <w:r w:rsidRPr="00C04168">
        <w:tab/>
      </w:r>
      <w:proofErr w:type="gramStart"/>
      <w:r w:rsidRPr="00C04168">
        <w:t>item</w:t>
      </w:r>
      <w:proofErr w:type="gramEnd"/>
      <w:r w:rsidRPr="00C04168">
        <w:t xml:space="preserve"> 10987 of the general medical services table; or</w:t>
      </w:r>
    </w:p>
    <w:p w14:paraId="7AB28AB9" w14:textId="77777777" w:rsidR="00383003" w:rsidRPr="00C04168" w:rsidRDefault="00383003" w:rsidP="00383003">
      <w:pPr>
        <w:pStyle w:val="paragraph"/>
      </w:pPr>
      <w:r w:rsidRPr="00C04168">
        <w:tab/>
        <w:t>(b)</w:t>
      </w:r>
      <w:r w:rsidRPr="00C04168">
        <w:tab/>
      </w:r>
      <w:proofErr w:type="gramStart"/>
      <w:r w:rsidRPr="00C04168">
        <w:t>item</w:t>
      </w:r>
      <w:proofErr w:type="gramEnd"/>
      <w:r w:rsidRPr="00C04168">
        <w:t xml:space="preserve"> 93200 or 93202.</w:t>
      </w:r>
    </w:p>
    <w:p w14:paraId="2E80E7D9" w14:textId="77777777" w:rsidR="00383003" w:rsidRPr="00C04168" w:rsidRDefault="00383003" w:rsidP="00383003">
      <w:pPr>
        <w:pStyle w:val="subsection"/>
      </w:pPr>
      <w:r w:rsidRPr="00C04168">
        <w:tab/>
        <w:t>(3)</w:t>
      </w:r>
      <w:r w:rsidRPr="00C04168">
        <w:tab/>
        <w:t xml:space="preserve">A person cannot receive a service under item 93201 or 93203 if, in the same calendar year, the person has received 5 services to which any of the following items apply: </w:t>
      </w:r>
    </w:p>
    <w:p w14:paraId="224B476D" w14:textId="77777777" w:rsidR="00383003" w:rsidRPr="00C04168" w:rsidRDefault="00383003" w:rsidP="00383003">
      <w:pPr>
        <w:pStyle w:val="paragraph"/>
      </w:pPr>
      <w:r w:rsidRPr="00C04168">
        <w:tab/>
        <w:t>(a)</w:t>
      </w:r>
      <w:r w:rsidRPr="00C04168">
        <w:tab/>
      </w:r>
      <w:proofErr w:type="gramStart"/>
      <w:r w:rsidRPr="00C04168">
        <w:t>item</w:t>
      </w:r>
      <w:proofErr w:type="gramEnd"/>
      <w:r w:rsidRPr="00C04168">
        <w:t xml:space="preserve"> 10997 of the general medical services table; or</w:t>
      </w:r>
    </w:p>
    <w:p w14:paraId="60FFF1BC" w14:textId="1439D6AB" w:rsidR="00383003" w:rsidRPr="00C04168" w:rsidRDefault="00383003" w:rsidP="00302217">
      <w:pPr>
        <w:pStyle w:val="paragraph"/>
      </w:pPr>
      <w:r w:rsidRPr="00C04168">
        <w:tab/>
        <w:t>(b)</w:t>
      </w:r>
      <w:r w:rsidRPr="00C04168">
        <w:tab/>
      </w:r>
      <w:proofErr w:type="gramStart"/>
      <w:r w:rsidRPr="00C04168">
        <w:t>item</w:t>
      </w:r>
      <w:proofErr w:type="gramEnd"/>
      <w:r w:rsidRPr="00C04168">
        <w:t xml:space="preserve"> 93201 or 93203. </w:t>
      </w:r>
    </w:p>
    <w:p w14:paraId="35D7023B" w14:textId="71BA07F6" w:rsidR="00B613C2" w:rsidRPr="00C04168" w:rsidRDefault="00E92B05" w:rsidP="00B613C2">
      <w:pPr>
        <w:pStyle w:val="ItemHead"/>
      </w:pPr>
      <w:proofErr w:type="gramStart"/>
      <w:r w:rsidRPr="00C04168">
        <w:t>1</w:t>
      </w:r>
      <w:r w:rsidR="00F8281A">
        <w:t>6</w:t>
      </w:r>
      <w:r w:rsidR="00B613C2" w:rsidRPr="00C04168">
        <w:t xml:space="preserve">  Schedule</w:t>
      </w:r>
      <w:proofErr w:type="gramEnd"/>
      <w:r w:rsidR="00B613C2" w:rsidRPr="00C04168">
        <w:t xml:space="preserve"> 4 (after item 911</w:t>
      </w:r>
      <w:r w:rsidR="0085079F" w:rsidRPr="00C04168">
        <w:t>91</w:t>
      </w:r>
      <w:r w:rsidR="00B613C2" w:rsidRPr="00C04168">
        <w:t>)</w:t>
      </w:r>
    </w:p>
    <w:p w14:paraId="05D6B6F4" w14:textId="65775FA1" w:rsidR="00B613C2" w:rsidRPr="00C04168" w:rsidRDefault="00B613C2" w:rsidP="00B613C2">
      <w:pPr>
        <w:pStyle w:val="Item"/>
        <w:spacing w:after="80"/>
      </w:pPr>
      <w:r w:rsidRPr="00C04168">
        <w:t>Insert:</w:t>
      </w:r>
    </w:p>
    <w:tbl>
      <w:tblPr>
        <w:tblW w:w="4917"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32"/>
        <w:gridCol w:w="5665"/>
        <w:gridCol w:w="1360"/>
        <w:gridCol w:w="18"/>
      </w:tblGrid>
      <w:tr w:rsidR="00C04168" w:rsidRPr="00C04168" w14:paraId="2C5A982D" w14:textId="77777777" w:rsidTr="00C075A8">
        <w:tc>
          <w:tcPr>
            <w:tcW w:w="5000" w:type="pct"/>
            <w:gridSpan w:val="4"/>
            <w:tcBorders>
              <w:top w:val="single" w:sz="12" w:space="0" w:color="auto"/>
              <w:left w:val="nil"/>
              <w:bottom w:val="single" w:sz="6" w:space="0" w:color="auto"/>
              <w:right w:val="nil"/>
            </w:tcBorders>
            <w:hideMark/>
          </w:tcPr>
          <w:p w14:paraId="7A1C57A0" w14:textId="339A5C93" w:rsidR="0085079F" w:rsidRPr="00C04168" w:rsidRDefault="0085079F" w:rsidP="0085079F">
            <w:pPr>
              <w:pStyle w:val="TableHeading"/>
            </w:pPr>
            <w:r w:rsidRPr="00C04168">
              <w:t>Sub</w:t>
            </w:r>
            <w:r w:rsidR="00E92B05" w:rsidRPr="00C04168">
              <w:t>group 23</w:t>
            </w:r>
            <w:r w:rsidRPr="00C04168">
              <w:t xml:space="preserve">—Follow up service provided by a practice nurse or Aboriginal and Torres Strait Islander health practitioner – Telehealth Services </w:t>
            </w:r>
          </w:p>
        </w:tc>
      </w:tr>
      <w:tr w:rsidR="00C04168" w:rsidRPr="00C04168" w14:paraId="3B46DA4A" w14:textId="77777777" w:rsidTr="0085079F">
        <w:tblPrEx>
          <w:tblCellMar>
            <w:left w:w="108" w:type="dxa"/>
            <w:right w:w="108" w:type="dxa"/>
          </w:tblCellMar>
        </w:tblPrEx>
        <w:trPr>
          <w:gridAfter w:val="1"/>
          <w:wAfter w:w="11" w:type="pct"/>
        </w:trPr>
        <w:tc>
          <w:tcPr>
            <w:tcW w:w="692" w:type="pct"/>
            <w:tcBorders>
              <w:top w:val="single" w:sz="4" w:space="0" w:color="auto"/>
              <w:left w:val="nil"/>
              <w:bottom w:val="single" w:sz="4" w:space="0" w:color="auto"/>
              <w:right w:val="nil"/>
            </w:tcBorders>
            <w:hideMark/>
          </w:tcPr>
          <w:p w14:paraId="3E88A5BF" w14:textId="77777777" w:rsidR="00E7145A" w:rsidRPr="00C04168" w:rsidRDefault="00E7145A">
            <w:pPr>
              <w:pStyle w:val="Tabletext"/>
            </w:pPr>
            <w:bookmarkStart w:id="16" w:name="CU_8319280"/>
            <w:bookmarkStart w:id="17" w:name="CU_8317233"/>
            <w:bookmarkEnd w:id="16"/>
            <w:bookmarkEnd w:id="17"/>
            <w:r w:rsidRPr="00C04168">
              <w:t>93200</w:t>
            </w:r>
          </w:p>
          <w:p w14:paraId="1B4B7325" w14:textId="3F40E523" w:rsidR="00E7145A" w:rsidRPr="00C04168" w:rsidRDefault="00E7145A">
            <w:pPr>
              <w:pStyle w:val="Tabletext"/>
            </w:pPr>
          </w:p>
        </w:tc>
        <w:tc>
          <w:tcPr>
            <w:tcW w:w="3465" w:type="pct"/>
            <w:tcBorders>
              <w:top w:val="single" w:sz="4" w:space="0" w:color="auto"/>
              <w:left w:val="nil"/>
              <w:bottom w:val="single" w:sz="4" w:space="0" w:color="auto"/>
              <w:right w:val="nil"/>
            </w:tcBorders>
            <w:hideMark/>
          </w:tcPr>
          <w:p w14:paraId="388D155A" w14:textId="77777777" w:rsidR="00E7145A" w:rsidRPr="00C04168" w:rsidRDefault="00E7145A">
            <w:pPr>
              <w:pStyle w:val="Tabletext"/>
            </w:pPr>
            <w:r w:rsidRPr="00C04168">
              <w:t>Follow</w:t>
            </w:r>
            <w:r w:rsidRPr="00C04168">
              <w:noBreakHyphen/>
              <w:t>up telehealth attendance provided by a practice nurse or an Aboriginal and Torres Strait Islander health practitioner, on behalf of a medical practitioner, for an Indigenous person who has received a health check if:</w:t>
            </w:r>
          </w:p>
          <w:p w14:paraId="17EAE6DD" w14:textId="4D1AC200" w:rsidR="00E7145A" w:rsidRPr="00C04168" w:rsidRDefault="00E7145A">
            <w:pPr>
              <w:pStyle w:val="Tablea"/>
            </w:pPr>
            <w:r w:rsidRPr="00C04168">
              <w:t>(a) the service is provided on behalf of and under the supervision of a medical practitioner; and</w:t>
            </w:r>
          </w:p>
          <w:p w14:paraId="29A77AF6" w14:textId="08D06DE5" w:rsidR="00E7145A" w:rsidRPr="00C04168" w:rsidRDefault="00E7145A">
            <w:pPr>
              <w:pStyle w:val="Tablea"/>
            </w:pPr>
            <w:r w:rsidRPr="00C04168">
              <w:t>(</w:t>
            </w:r>
            <w:r w:rsidR="00DB6828">
              <w:t>b</w:t>
            </w:r>
            <w:r w:rsidRPr="00C04168">
              <w:t xml:space="preserve">) </w:t>
            </w:r>
            <w:proofErr w:type="gramStart"/>
            <w:r w:rsidRPr="00C04168">
              <w:t>the</w:t>
            </w:r>
            <w:proofErr w:type="gramEnd"/>
            <w:r w:rsidRPr="00C04168">
              <w:t xml:space="preserve"> service is consistent with the needs identified through the health assessment.</w:t>
            </w:r>
          </w:p>
        </w:tc>
        <w:tc>
          <w:tcPr>
            <w:tcW w:w="832" w:type="pct"/>
            <w:tcBorders>
              <w:top w:val="single" w:sz="4" w:space="0" w:color="auto"/>
              <w:left w:val="nil"/>
              <w:bottom w:val="single" w:sz="4" w:space="0" w:color="auto"/>
              <w:right w:val="nil"/>
            </w:tcBorders>
            <w:hideMark/>
          </w:tcPr>
          <w:p w14:paraId="1924FE92" w14:textId="6499E2BA" w:rsidR="00E7145A" w:rsidRPr="00C04168" w:rsidRDefault="00D7438D">
            <w:pPr>
              <w:pStyle w:val="Tabletext"/>
              <w:jc w:val="right"/>
            </w:pPr>
            <w:r w:rsidRPr="00C04168">
              <w:t>28.70</w:t>
            </w:r>
          </w:p>
        </w:tc>
      </w:tr>
      <w:tr w:rsidR="00C04168" w:rsidRPr="00C04168" w14:paraId="1A31EBDC" w14:textId="77777777" w:rsidTr="0085079F">
        <w:tblPrEx>
          <w:tblCellMar>
            <w:left w:w="108" w:type="dxa"/>
            <w:right w:w="108" w:type="dxa"/>
          </w:tblCellMar>
        </w:tblPrEx>
        <w:trPr>
          <w:gridAfter w:val="1"/>
          <w:wAfter w:w="11" w:type="pct"/>
        </w:trPr>
        <w:tc>
          <w:tcPr>
            <w:tcW w:w="692" w:type="pct"/>
            <w:tcBorders>
              <w:top w:val="single" w:sz="4" w:space="0" w:color="auto"/>
              <w:left w:val="nil"/>
              <w:bottom w:val="single" w:sz="12" w:space="0" w:color="auto"/>
              <w:right w:val="nil"/>
            </w:tcBorders>
            <w:hideMark/>
          </w:tcPr>
          <w:p w14:paraId="28312C04" w14:textId="77777777" w:rsidR="00E7145A" w:rsidRPr="00C04168" w:rsidRDefault="00E7145A">
            <w:pPr>
              <w:pStyle w:val="Tabletext"/>
              <w:rPr>
                <w:snapToGrid w:val="0"/>
                <w:szCs w:val="22"/>
              </w:rPr>
            </w:pPr>
            <w:bookmarkStart w:id="18" w:name="CU_12320909"/>
            <w:bookmarkStart w:id="19" w:name="CU_12318862"/>
            <w:bookmarkEnd w:id="18"/>
            <w:bookmarkEnd w:id="19"/>
            <w:r w:rsidRPr="00C04168">
              <w:rPr>
                <w:snapToGrid w:val="0"/>
                <w:szCs w:val="22"/>
              </w:rPr>
              <w:t>93201</w:t>
            </w:r>
          </w:p>
          <w:p w14:paraId="017254D9" w14:textId="37A3345A" w:rsidR="00E7145A" w:rsidRPr="00C04168" w:rsidRDefault="00E7145A">
            <w:pPr>
              <w:pStyle w:val="Tabletext"/>
              <w:rPr>
                <w:snapToGrid w:val="0"/>
              </w:rPr>
            </w:pPr>
          </w:p>
        </w:tc>
        <w:tc>
          <w:tcPr>
            <w:tcW w:w="3465" w:type="pct"/>
            <w:tcBorders>
              <w:top w:val="single" w:sz="4" w:space="0" w:color="auto"/>
              <w:left w:val="nil"/>
              <w:bottom w:val="single" w:sz="12" w:space="0" w:color="auto"/>
              <w:right w:val="nil"/>
            </w:tcBorders>
            <w:hideMark/>
          </w:tcPr>
          <w:p w14:paraId="1A2DAF93" w14:textId="77777777" w:rsidR="00E7145A" w:rsidRPr="00C04168" w:rsidRDefault="00E7145A">
            <w:pPr>
              <w:pStyle w:val="Tabletext"/>
            </w:pPr>
            <w:r w:rsidRPr="00C04168">
              <w:t>Telehealth attendance provided by a practice nurse or an Aboriginal and Torres Strait Islander health practitioner to a person with a chronic disease if:</w:t>
            </w:r>
          </w:p>
          <w:p w14:paraId="65B54A5B" w14:textId="77777777" w:rsidR="00E7145A" w:rsidRPr="00C04168" w:rsidRDefault="00E7145A">
            <w:pPr>
              <w:pStyle w:val="Tablea"/>
            </w:pPr>
            <w:r w:rsidRPr="00C04168">
              <w:t>(a) the service is provided on behalf of and under the supervision of a medical practitioner; and</w:t>
            </w:r>
          </w:p>
          <w:p w14:paraId="4E589ADC" w14:textId="75741E19" w:rsidR="00E7145A" w:rsidRPr="00C04168" w:rsidRDefault="00E7145A">
            <w:pPr>
              <w:pStyle w:val="Tablea"/>
            </w:pPr>
            <w:r w:rsidRPr="00C04168">
              <w:t>(</w:t>
            </w:r>
            <w:r w:rsidR="0085079F" w:rsidRPr="00C04168">
              <w:t>b</w:t>
            </w:r>
            <w:r w:rsidRPr="00C04168">
              <w:t xml:space="preserve">) </w:t>
            </w:r>
            <w:proofErr w:type="gramStart"/>
            <w:r w:rsidRPr="00C04168">
              <w:t>the</w:t>
            </w:r>
            <w:proofErr w:type="gramEnd"/>
            <w:r w:rsidRPr="00C04168">
              <w:t xml:space="preserve"> person has a GP management plan, team care arrangements or multidisciplinary care plan in place and the service is consistent with the plan or arrangements.</w:t>
            </w:r>
          </w:p>
        </w:tc>
        <w:tc>
          <w:tcPr>
            <w:tcW w:w="832" w:type="pct"/>
            <w:tcBorders>
              <w:top w:val="single" w:sz="4" w:space="0" w:color="auto"/>
              <w:left w:val="nil"/>
              <w:bottom w:val="single" w:sz="12" w:space="0" w:color="auto"/>
              <w:right w:val="nil"/>
            </w:tcBorders>
            <w:hideMark/>
          </w:tcPr>
          <w:p w14:paraId="3839BDC4" w14:textId="2F61C556" w:rsidR="00E7145A" w:rsidRPr="00C04168" w:rsidRDefault="00A876FE">
            <w:pPr>
              <w:pStyle w:val="Tabletext"/>
              <w:jc w:val="right"/>
            </w:pPr>
            <w:r w:rsidRPr="00C04168">
              <w:rPr>
                <w:szCs w:val="22"/>
              </w:rPr>
              <w:t>14.35</w:t>
            </w:r>
          </w:p>
        </w:tc>
      </w:tr>
      <w:tr w:rsidR="00C04168" w:rsidRPr="00C04168" w14:paraId="3FE79F2A" w14:textId="77777777" w:rsidTr="0085079F">
        <w:tc>
          <w:tcPr>
            <w:tcW w:w="5000" w:type="pct"/>
            <w:gridSpan w:val="4"/>
            <w:tcBorders>
              <w:top w:val="single" w:sz="12" w:space="0" w:color="auto"/>
              <w:left w:val="nil"/>
              <w:bottom w:val="single" w:sz="6" w:space="0" w:color="auto"/>
              <w:right w:val="nil"/>
            </w:tcBorders>
            <w:hideMark/>
          </w:tcPr>
          <w:p w14:paraId="540E33D7" w14:textId="3FC2322A" w:rsidR="0085079F" w:rsidRPr="00C04168" w:rsidRDefault="0085079F" w:rsidP="0085079F">
            <w:pPr>
              <w:pStyle w:val="TableHeading"/>
            </w:pPr>
            <w:r w:rsidRPr="00C04168">
              <w:t>Sub</w:t>
            </w:r>
            <w:r w:rsidR="00E92B05" w:rsidRPr="00C04168">
              <w:t>group 24</w:t>
            </w:r>
            <w:r w:rsidRPr="00C04168">
              <w:t xml:space="preserve">—Follow up service provided by a practice nurse or Aboriginal and Torres Strait Islander health practitioner – Phone Services </w:t>
            </w:r>
          </w:p>
        </w:tc>
      </w:tr>
      <w:tr w:rsidR="00C04168" w:rsidRPr="00C04168" w14:paraId="05BE680C" w14:textId="77777777" w:rsidTr="0085079F">
        <w:tblPrEx>
          <w:tblCellMar>
            <w:left w:w="108" w:type="dxa"/>
            <w:right w:w="108" w:type="dxa"/>
          </w:tblCellMar>
        </w:tblPrEx>
        <w:trPr>
          <w:gridAfter w:val="1"/>
          <w:wAfter w:w="11" w:type="pct"/>
        </w:trPr>
        <w:tc>
          <w:tcPr>
            <w:tcW w:w="692" w:type="pct"/>
            <w:tcBorders>
              <w:top w:val="single" w:sz="4" w:space="0" w:color="auto"/>
              <w:left w:val="nil"/>
              <w:bottom w:val="single" w:sz="4" w:space="0" w:color="auto"/>
              <w:right w:val="nil"/>
            </w:tcBorders>
            <w:hideMark/>
          </w:tcPr>
          <w:p w14:paraId="54DD4860" w14:textId="77777777" w:rsidR="00E7145A" w:rsidRPr="00C04168" w:rsidRDefault="00E7145A">
            <w:pPr>
              <w:pStyle w:val="Tabletext"/>
            </w:pPr>
            <w:r w:rsidRPr="00C04168">
              <w:t>93202</w:t>
            </w:r>
          </w:p>
          <w:p w14:paraId="482E7C04" w14:textId="0B1C22DC" w:rsidR="00E7145A" w:rsidRPr="00C04168" w:rsidRDefault="00E7145A">
            <w:pPr>
              <w:pStyle w:val="Tabletext"/>
            </w:pPr>
          </w:p>
        </w:tc>
        <w:tc>
          <w:tcPr>
            <w:tcW w:w="3465" w:type="pct"/>
            <w:tcBorders>
              <w:top w:val="single" w:sz="4" w:space="0" w:color="auto"/>
              <w:left w:val="nil"/>
              <w:bottom w:val="single" w:sz="4" w:space="0" w:color="auto"/>
              <w:right w:val="nil"/>
            </w:tcBorders>
            <w:hideMark/>
          </w:tcPr>
          <w:p w14:paraId="3A5889EF" w14:textId="77777777" w:rsidR="00E7145A" w:rsidRPr="00C04168" w:rsidRDefault="00E7145A">
            <w:pPr>
              <w:pStyle w:val="Tabletext"/>
            </w:pPr>
            <w:r w:rsidRPr="00C04168">
              <w:t>Follow</w:t>
            </w:r>
            <w:r w:rsidRPr="00C04168">
              <w:noBreakHyphen/>
              <w:t>up phone attendance provided by a practice nurse or an Aboriginal and Torres Strait Islander health practitioner, on behalf of a medical practitioner, for an Indigenous person who has received a health check if:</w:t>
            </w:r>
          </w:p>
          <w:p w14:paraId="71B05F8D" w14:textId="77777777" w:rsidR="00E7145A" w:rsidRPr="00C04168" w:rsidRDefault="00E7145A">
            <w:pPr>
              <w:pStyle w:val="Tablea"/>
            </w:pPr>
            <w:r w:rsidRPr="00C04168">
              <w:t>(a) the service is provided on behalf of and under the supervision of a medical practitioner; and</w:t>
            </w:r>
          </w:p>
          <w:p w14:paraId="607FCCEE" w14:textId="63B6392B" w:rsidR="00E7145A" w:rsidRPr="00C04168" w:rsidRDefault="00E7145A">
            <w:pPr>
              <w:pStyle w:val="Tablea"/>
            </w:pPr>
            <w:r w:rsidRPr="00C04168">
              <w:t>(</w:t>
            </w:r>
            <w:r w:rsidR="0085079F" w:rsidRPr="00C04168">
              <w:t>b</w:t>
            </w:r>
            <w:r w:rsidRPr="00C04168">
              <w:t xml:space="preserve">) </w:t>
            </w:r>
            <w:proofErr w:type="gramStart"/>
            <w:r w:rsidRPr="00C04168">
              <w:t>the</w:t>
            </w:r>
            <w:proofErr w:type="gramEnd"/>
            <w:r w:rsidRPr="00C04168">
              <w:t xml:space="preserve"> service is consistent with the needs identified through the health assessment.</w:t>
            </w:r>
          </w:p>
        </w:tc>
        <w:tc>
          <w:tcPr>
            <w:tcW w:w="832" w:type="pct"/>
            <w:tcBorders>
              <w:top w:val="single" w:sz="4" w:space="0" w:color="auto"/>
              <w:left w:val="nil"/>
              <w:bottom w:val="single" w:sz="4" w:space="0" w:color="auto"/>
              <w:right w:val="nil"/>
            </w:tcBorders>
            <w:hideMark/>
          </w:tcPr>
          <w:p w14:paraId="21E5BE33" w14:textId="58919E2F" w:rsidR="00E7145A" w:rsidRPr="00C04168" w:rsidRDefault="00231ACB">
            <w:pPr>
              <w:pStyle w:val="Tabletext"/>
              <w:jc w:val="right"/>
            </w:pPr>
            <w:r w:rsidRPr="00C04168">
              <w:t>28.70</w:t>
            </w:r>
          </w:p>
        </w:tc>
      </w:tr>
      <w:tr w:rsidR="00E7145A" w:rsidRPr="00C04168" w14:paraId="0712A718" w14:textId="77777777" w:rsidTr="0085079F">
        <w:tblPrEx>
          <w:tblCellMar>
            <w:left w:w="108" w:type="dxa"/>
            <w:right w:w="108" w:type="dxa"/>
          </w:tblCellMar>
        </w:tblPrEx>
        <w:trPr>
          <w:gridAfter w:val="1"/>
          <w:wAfter w:w="11" w:type="pct"/>
        </w:trPr>
        <w:tc>
          <w:tcPr>
            <w:tcW w:w="692" w:type="pct"/>
            <w:tcBorders>
              <w:top w:val="single" w:sz="4" w:space="0" w:color="auto"/>
              <w:left w:val="nil"/>
              <w:bottom w:val="single" w:sz="12" w:space="0" w:color="auto"/>
              <w:right w:val="nil"/>
            </w:tcBorders>
            <w:hideMark/>
          </w:tcPr>
          <w:p w14:paraId="74AA4CB4" w14:textId="77777777" w:rsidR="00E7145A" w:rsidRPr="00C04168" w:rsidRDefault="00E7145A">
            <w:pPr>
              <w:pStyle w:val="Tabletext"/>
              <w:rPr>
                <w:snapToGrid w:val="0"/>
                <w:szCs w:val="22"/>
              </w:rPr>
            </w:pPr>
            <w:r w:rsidRPr="00C04168">
              <w:rPr>
                <w:snapToGrid w:val="0"/>
                <w:szCs w:val="22"/>
              </w:rPr>
              <w:t>93203</w:t>
            </w:r>
          </w:p>
          <w:p w14:paraId="444D8602" w14:textId="5172144F" w:rsidR="00E7145A" w:rsidRPr="00C04168" w:rsidRDefault="00E7145A">
            <w:pPr>
              <w:pStyle w:val="Tabletext"/>
              <w:rPr>
                <w:snapToGrid w:val="0"/>
              </w:rPr>
            </w:pPr>
          </w:p>
        </w:tc>
        <w:tc>
          <w:tcPr>
            <w:tcW w:w="3465" w:type="pct"/>
            <w:tcBorders>
              <w:top w:val="single" w:sz="4" w:space="0" w:color="auto"/>
              <w:left w:val="nil"/>
              <w:bottom w:val="single" w:sz="12" w:space="0" w:color="auto"/>
              <w:right w:val="nil"/>
            </w:tcBorders>
            <w:hideMark/>
          </w:tcPr>
          <w:p w14:paraId="6D1AD4DD" w14:textId="77777777" w:rsidR="00E7145A" w:rsidRPr="00C04168" w:rsidRDefault="00E7145A">
            <w:pPr>
              <w:pStyle w:val="Tabletext"/>
            </w:pPr>
            <w:r w:rsidRPr="00C04168">
              <w:t>Phone attendance provided by a practice nurse or an Aboriginal and Torres Strait Islander health practitioner to a person with a chronic disease if:</w:t>
            </w:r>
          </w:p>
          <w:p w14:paraId="6914EC48" w14:textId="77777777" w:rsidR="0085079F" w:rsidRPr="00C04168" w:rsidRDefault="00E7145A">
            <w:pPr>
              <w:pStyle w:val="Tablea"/>
            </w:pPr>
            <w:r w:rsidRPr="00C04168">
              <w:t>(a) the service is provided on behalf of and under the supervision</w:t>
            </w:r>
            <w:r w:rsidR="0085079F" w:rsidRPr="00C04168">
              <w:t xml:space="preserve"> of a medical practitioner; and</w:t>
            </w:r>
          </w:p>
          <w:p w14:paraId="7A7EAAFB" w14:textId="160339C7" w:rsidR="00E7145A" w:rsidRPr="00C04168" w:rsidRDefault="00E7145A">
            <w:pPr>
              <w:pStyle w:val="Tablea"/>
            </w:pPr>
            <w:r w:rsidRPr="00C04168">
              <w:lastRenderedPageBreak/>
              <w:t>(</w:t>
            </w:r>
            <w:r w:rsidR="0085079F" w:rsidRPr="00C04168">
              <w:t>b</w:t>
            </w:r>
            <w:r w:rsidRPr="00C04168">
              <w:t xml:space="preserve">) </w:t>
            </w:r>
            <w:proofErr w:type="gramStart"/>
            <w:r w:rsidRPr="00C04168">
              <w:t>the</w:t>
            </w:r>
            <w:proofErr w:type="gramEnd"/>
            <w:r w:rsidRPr="00C04168">
              <w:t xml:space="preserve"> person has a GP management plan, team care arrangements or multidisciplinary care plan in place and the service is consistent with the plan or arrangements.</w:t>
            </w:r>
          </w:p>
        </w:tc>
        <w:tc>
          <w:tcPr>
            <w:tcW w:w="832" w:type="pct"/>
            <w:tcBorders>
              <w:top w:val="single" w:sz="4" w:space="0" w:color="auto"/>
              <w:left w:val="nil"/>
              <w:bottom w:val="single" w:sz="12" w:space="0" w:color="auto"/>
              <w:right w:val="nil"/>
            </w:tcBorders>
            <w:hideMark/>
          </w:tcPr>
          <w:p w14:paraId="6872617B" w14:textId="6D05B589" w:rsidR="00E7145A" w:rsidRPr="00C04168" w:rsidRDefault="00231ACB">
            <w:pPr>
              <w:pStyle w:val="Tabletext"/>
              <w:jc w:val="right"/>
            </w:pPr>
            <w:r w:rsidRPr="00C04168">
              <w:rPr>
                <w:szCs w:val="22"/>
              </w:rPr>
              <w:lastRenderedPageBreak/>
              <w:t>14.35</w:t>
            </w:r>
          </w:p>
        </w:tc>
      </w:tr>
    </w:tbl>
    <w:p w14:paraId="1954C617" w14:textId="77777777" w:rsidR="00E7145A" w:rsidRPr="00C04168" w:rsidRDefault="00E7145A" w:rsidP="00C7019F">
      <w:pPr>
        <w:pStyle w:val="Blocks"/>
      </w:pPr>
    </w:p>
    <w:sectPr w:rsidR="00E7145A" w:rsidRPr="00C04168" w:rsidSect="00B20990">
      <w:headerReference w:type="even" r:id="rId19"/>
      <w:headerReference w:type="default" r:id="rId20"/>
      <w:footerReference w:type="even" r:id="rId21"/>
      <w:footerReference w:type="default" r:id="rId22"/>
      <w:footerReference w:type="first" r:id="rId23"/>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1F598" w14:textId="77777777" w:rsidR="003113B9" w:rsidRDefault="003113B9" w:rsidP="0048364F">
      <w:pPr>
        <w:spacing w:line="240" w:lineRule="auto"/>
      </w:pPr>
      <w:r>
        <w:separator/>
      </w:r>
    </w:p>
  </w:endnote>
  <w:endnote w:type="continuationSeparator" w:id="0">
    <w:p w14:paraId="28619303" w14:textId="77777777" w:rsidR="003113B9" w:rsidRDefault="003113B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D6732F" w14:paraId="779050BE" w14:textId="77777777" w:rsidTr="00735EFD">
      <w:tc>
        <w:tcPr>
          <w:tcW w:w="5000" w:type="pct"/>
        </w:tcPr>
        <w:p w14:paraId="689A03CA" w14:textId="77777777" w:rsidR="00D6732F" w:rsidRDefault="00D6732F" w:rsidP="00735EFD">
          <w:pPr>
            <w:rPr>
              <w:sz w:val="18"/>
            </w:rPr>
          </w:pPr>
        </w:p>
      </w:tc>
    </w:tr>
  </w:tbl>
  <w:p w14:paraId="76768C98" w14:textId="77777777" w:rsidR="00D6732F" w:rsidRPr="005F1388" w:rsidRDefault="00D6732F"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D6732F" w14:paraId="28EE32BB" w14:textId="77777777" w:rsidTr="00735EFD">
      <w:tc>
        <w:tcPr>
          <w:tcW w:w="5000" w:type="pct"/>
        </w:tcPr>
        <w:p w14:paraId="42DCBA91" w14:textId="77777777" w:rsidR="00D6732F" w:rsidRDefault="00D6732F" w:rsidP="00735EFD">
          <w:pPr>
            <w:rPr>
              <w:sz w:val="18"/>
            </w:rPr>
          </w:pPr>
        </w:p>
      </w:tc>
    </w:tr>
  </w:tbl>
  <w:p w14:paraId="551CF28B" w14:textId="77777777" w:rsidR="00D6732F" w:rsidRPr="006D3667" w:rsidRDefault="00D6732F" w:rsidP="00735E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326F4" w14:textId="77777777" w:rsidR="00D6732F" w:rsidRDefault="00D6732F" w:rsidP="00735EFD">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D6732F" w14:paraId="64572CB3" w14:textId="77777777" w:rsidTr="00735EFD">
      <w:tc>
        <w:tcPr>
          <w:tcW w:w="5000" w:type="pct"/>
        </w:tcPr>
        <w:p w14:paraId="3B2A6450" w14:textId="77777777" w:rsidR="00D6732F" w:rsidRDefault="00D6732F" w:rsidP="00735EFD">
          <w:pPr>
            <w:rPr>
              <w:sz w:val="18"/>
            </w:rPr>
          </w:pPr>
        </w:p>
      </w:tc>
    </w:tr>
  </w:tbl>
  <w:p w14:paraId="7F5AAE7C" w14:textId="77777777" w:rsidR="00D6732F" w:rsidRPr="00486382" w:rsidRDefault="00D6732F"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D08E0" w14:textId="77777777" w:rsidR="00D6732F" w:rsidRPr="00E33C1C" w:rsidRDefault="00D6732F" w:rsidP="00735EFD">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D6732F" w14:paraId="31554127" w14:textId="77777777" w:rsidTr="00735EFD">
      <w:tc>
        <w:tcPr>
          <w:tcW w:w="365" w:type="pct"/>
          <w:tcBorders>
            <w:top w:val="nil"/>
            <w:left w:val="nil"/>
            <w:bottom w:val="nil"/>
            <w:right w:val="nil"/>
          </w:tcBorders>
        </w:tcPr>
        <w:p w14:paraId="097A75C2" w14:textId="77777777" w:rsidR="00D6732F" w:rsidRDefault="00D6732F" w:rsidP="00735EF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3A045B09" w14:textId="71A14804" w:rsidR="00D6732F" w:rsidRDefault="00D6732F" w:rsidP="00735EFD">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6F0CAB">
            <w:rPr>
              <w:i/>
              <w:noProof/>
              <w:sz w:val="18"/>
            </w:rPr>
            <w:t>Health Insurance (Section 3C General Medical Services – COVID-19 Telehealth and Telephone Attendances) Amendment (Bulk-billing Requirement and New Remote Attendance Services) Determination 2020</w:t>
          </w:r>
          <w:r w:rsidRPr="00B20990">
            <w:rPr>
              <w:i/>
              <w:sz w:val="18"/>
            </w:rPr>
            <w:fldChar w:fldCharType="end"/>
          </w:r>
        </w:p>
      </w:tc>
      <w:tc>
        <w:tcPr>
          <w:tcW w:w="947" w:type="pct"/>
          <w:tcBorders>
            <w:top w:val="nil"/>
            <w:left w:val="nil"/>
            <w:bottom w:val="nil"/>
            <w:right w:val="nil"/>
          </w:tcBorders>
        </w:tcPr>
        <w:p w14:paraId="54252DA7" w14:textId="77777777" w:rsidR="00D6732F" w:rsidRDefault="00D6732F" w:rsidP="00735EFD">
          <w:pPr>
            <w:spacing w:line="0" w:lineRule="atLeast"/>
            <w:jc w:val="right"/>
            <w:rPr>
              <w:sz w:val="18"/>
            </w:rPr>
          </w:pPr>
        </w:p>
      </w:tc>
    </w:tr>
    <w:tr w:rsidR="00D6732F" w14:paraId="5F3FDECA" w14:textId="77777777" w:rsidTr="00735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2EB134B5" w14:textId="77777777" w:rsidR="00D6732F" w:rsidRDefault="00D6732F" w:rsidP="00735EFD">
          <w:pPr>
            <w:jc w:val="right"/>
            <w:rPr>
              <w:sz w:val="18"/>
            </w:rPr>
          </w:pPr>
        </w:p>
      </w:tc>
    </w:tr>
  </w:tbl>
  <w:p w14:paraId="3052DFD3" w14:textId="77777777" w:rsidR="00D6732F" w:rsidRPr="00ED79B6" w:rsidRDefault="00D6732F" w:rsidP="00735EFD">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852D1" w14:textId="77777777" w:rsidR="00D6732F" w:rsidRPr="00E33C1C" w:rsidRDefault="00D6732F" w:rsidP="00735EFD">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D6732F" w14:paraId="348A11A5" w14:textId="77777777" w:rsidTr="00735EFD">
      <w:tc>
        <w:tcPr>
          <w:tcW w:w="947" w:type="pct"/>
          <w:tcBorders>
            <w:top w:val="nil"/>
            <w:left w:val="nil"/>
            <w:bottom w:val="nil"/>
            <w:right w:val="nil"/>
          </w:tcBorders>
        </w:tcPr>
        <w:p w14:paraId="3EADD5B2" w14:textId="77777777" w:rsidR="00D6732F" w:rsidRDefault="00D6732F" w:rsidP="00735EFD">
          <w:pPr>
            <w:spacing w:line="0" w:lineRule="atLeast"/>
            <w:rPr>
              <w:sz w:val="18"/>
            </w:rPr>
          </w:pPr>
        </w:p>
      </w:tc>
      <w:tc>
        <w:tcPr>
          <w:tcW w:w="3688" w:type="pct"/>
          <w:tcBorders>
            <w:top w:val="nil"/>
            <w:left w:val="nil"/>
            <w:bottom w:val="nil"/>
            <w:right w:val="nil"/>
          </w:tcBorders>
        </w:tcPr>
        <w:p w14:paraId="2DEBE93A" w14:textId="2D1B13AA" w:rsidR="00D6732F" w:rsidRPr="00B20990" w:rsidRDefault="00D6732F" w:rsidP="00735EFD">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6F0CAB">
            <w:rPr>
              <w:i/>
              <w:noProof/>
              <w:sz w:val="18"/>
            </w:rPr>
            <w:t>Health Insurance (Section 3C General Medical Services – COVID-19 Telehealth and Telephone Attendances) Amendment (Bulk-billing Requirement and New Remote Attendance Services) Determination 2020</w:t>
          </w:r>
          <w:r w:rsidRPr="00B20990">
            <w:rPr>
              <w:i/>
              <w:sz w:val="18"/>
            </w:rPr>
            <w:fldChar w:fldCharType="end"/>
          </w:r>
        </w:p>
      </w:tc>
      <w:tc>
        <w:tcPr>
          <w:tcW w:w="365" w:type="pct"/>
          <w:tcBorders>
            <w:top w:val="nil"/>
            <w:left w:val="nil"/>
            <w:bottom w:val="nil"/>
            <w:right w:val="nil"/>
          </w:tcBorders>
        </w:tcPr>
        <w:p w14:paraId="4E5F2E8F" w14:textId="3985F577" w:rsidR="00D6732F" w:rsidRDefault="00D6732F" w:rsidP="00735EF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F0CAB">
            <w:rPr>
              <w:i/>
              <w:noProof/>
              <w:sz w:val="18"/>
            </w:rPr>
            <w:t>i</w:t>
          </w:r>
          <w:r w:rsidRPr="00ED79B6">
            <w:rPr>
              <w:i/>
              <w:sz w:val="18"/>
            </w:rPr>
            <w:fldChar w:fldCharType="end"/>
          </w:r>
        </w:p>
      </w:tc>
    </w:tr>
    <w:tr w:rsidR="00D6732F" w14:paraId="69248F80" w14:textId="77777777" w:rsidTr="00735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2FD3BDC9" w14:textId="77777777" w:rsidR="00D6732F" w:rsidRDefault="00D6732F" w:rsidP="00735EFD">
          <w:pPr>
            <w:rPr>
              <w:sz w:val="18"/>
            </w:rPr>
          </w:pPr>
        </w:p>
      </w:tc>
    </w:tr>
  </w:tbl>
  <w:p w14:paraId="3AA20647" w14:textId="77777777" w:rsidR="00D6732F" w:rsidRPr="00ED79B6" w:rsidRDefault="00D6732F" w:rsidP="00735EFD">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B730D" w14:textId="77777777" w:rsidR="00D6732F" w:rsidRPr="00E33C1C" w:rsidRDefault="00D6732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6732F" w14:paraId="4A424ADF" w14:textId="77777777" w:rsidTr="007A6863">
      <w:tc>
        <w:tcPr>
          <w:tcW w:w="709" w:type="dxa"/>
          <w:tcBorders>
            <w:top w:val="nil"/>
            <w:left w:val="nil"/>
            <w:bottom w:val="nil"/>
            <w:right w:val="nil"/>
          </w:tcBorders>
        </w:tcPr>
        <w:p w14:paraId="26499882" w14:textId="2886EFA4" w:rsidR="00D6732F" w:rsidRDefault="00D6732F"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F0CAB">
            <w:rPr>
              <w:i/>
              <w:noProof/>
              <w:sz w:val="18"/>
            </w:rPr>
            <w:t>2</w:t>
          </w:r>
          <w:r w:rsidRPr="00ED79B6">
            <w:rPr>
              <w:i/>
              <w:sz w:val="18"/>
            </w:rPr>
            <w:fldChar w:fldCharType="end"/>
          </w:r>
        </w:p>
      </w:tc>
      <w:tc>
        <w:tcPr>
          <w:tcW w:w="6379" w:type="dxa"/>
          <w:tcBorders>
            <w:top w:val="nil"/>
            <w:left w:val="nil"/>
            <w:bottom w:val="nil"/>
            <w:right w:val="nil"/>
          </w:tcBorders>
        </w:tcPr>
        <w:p w14:paraId="706C8472" w14:textId="724680C4" w:rsidR="00D6732F" w:rsidRDefault="00D6732F"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6F0CAB">
            <w:rPr>
              <w:i/>
              <w:noProof/>
              <w:sz w:val="18"/>
            </w:rPr>
            <w:t>Health Insurance (Section 3C General Medical Services – COVID-19 Telehealth and Telephone Attendances) Amendment (Bulk-billing Requirement and New Remote Attendance Services) Determination 2020</w:t>
          </w:r>
          <w:r w:rsidRPr="00B20990">
            <w:rPr>
              <w:i/>
              <w:sz w:val="18"/>
            </w:rPr>
            <w:fldChar w:fldCharType="end"/>
          </w:r>
        </w:p>
      </w:tc>
      <w:tc>
        <w:tcPr>
          <w:tcW w:w="1383" w:type="dxa"/>
          <w:tcBorders>
            <w:top w:val="nil"/>
            <w:left w:val="nil"/>
            <w:bottom w:val="nil"/>
            <w:right w:val="nil"/>
          </w:tcBorders>
        </w:tcPr>
        <w:p w14:paraId="0E2205B9" w14:textId="77777777" w:rsidR="00D6732F" w:rsidRDefault="00D6732F" w:rsidP="00EE57E8">
          <w:pPr>
            <w:spacing w:line="0" w:lineRule="atLeast"/>
            <w:jc w:val="right"/>
            <w:rPr>
              <w:sz w:val="18"/>
            </w:rPr>
          </w:pPr>
        </w:p>
      </w:tc>
    </w:tr>
    <w:tr w:rsidR="00D6732F" w14:paraId="4C5AFB08"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C3F1D7B" w14:textId="77777777" w:rsidR="00D6732F" w:rsidRDefault="00D6732F" w:rsidP="00EE57E8">
          <w:pPr>
            <w:jc w:val="right"/>
            <w:rPr>
              <w:sz w:val="18"/>
            </w:rPr>
          </w:pPr>
        </w:p>
      </w:tc>
    </w:tr>
  </w:tbl>
  <w:p w14:paraId="595D4BC7" w14:textId="77777777" w:rsidR="00D6732F" w:rsidRPr="00ED79B6" w:rsidRDefault="00D6732F"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1FD71" w14:textId="77777777" w:rsidR="00D6732F" w:rsidRPr="00E33C1C" w:rsidRDefault="00D6732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D6732F" w14:paraId="4B58FF27" w14:textId="77777777" w:rsidTr="00EE57E8">
      <w:tc>
        <w:tcPr>
          <w:tcW w:w="1384" w:type="dxa"/>
          <w:tcBorders>
            <w:top w:val="nil"/>
            <w:left w:val="nil"/>
            <w:bottom w:val="nil"/>
            <w:right w:val="nil"/>
          </w:tcBorders>
        </w:tcPr>
        <w:p w14:paraId="5FE4A9CC" w14:textId="77777777" w:rsidR="00D6732F" w:rsidRDefault="00D6732F" w:rsidP="00EE57E8">
          <w:pPr>
            <w:spacing w:line="0" w:lineRule="atLeast"/>
            <w:rPr>
              <w:sz w:val="18"/>
            </w:rPr>
          </w:pPr>
        </w:p>
      </w:tc>
      <w:tc>
        <w:tcPr>
          <w:tcW w:w="6379" w:type="dxa"/>
          <w:tcBorders>
            <w:top w:val="nil"/>
            <w:left w:val="nil"/>
            <w:bottom w:val="nil"/>
            <w:right w:val="nil"/>
          </w:tcBorders>
        </w:tcPr>
        <w:p w14:paraId="6252D777" w14:textId="6EB42820" w:rsidR="00D6732F" w:rsidRDefault="00D6732F"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6F0CAB">
            <w:rPr>
              <w:i/>
              <w:noProof/>
              <w:sz w:val="18"/>
            </w:rPr>
            <w:t>Health Insurance (Section 3C General Medical Services – COVID-19 Telehealth and Telephone Attendances) Amendment (Bulk-billing Requirement and New Remote Attendance Services) Determination 2020</w:t>
          </w:r>
          <w:r w:rsidRPr="00B20990">
            <w:rPr>
              <w:i/>
              <w:sz w:val="18"/>
            </w:rPr>
            <w:fldChar w:fldCharType="end"/>
          </w:r>
        </w:p>
      </w:tc>
      <w:tc>
        <w:tcPr>
          <w:tcW w:w="709" w:type="dxa"/>
          <w:tcBorders>
            <w:top w:val="nil"/>
            <w:left w:val="nil"/>
            <w:bottom w:val="nil"/>
            <w:right w:val="nil"/>
          </w:tcBorders>
        </w:tcPr>
        <w:p w14:paraId="1F20E0B3" w14:textId="57D25401" w:rsidR="00D6732F" w:rsidRDefault="00D6732F"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F0CAB">
            <w:rPr>
              <w:i/>
              <w:noProof/>
              <w:sz w:val="18"/>
            </w:rPr>
            <w:t>9</w:t>
          </w:r>
          <w:r w:rsidRPr="00ED79B6">
            <w:rPr>
              <w:i/>
              <w:sz w:val="18"/>
            </w:rPr>
            <w:fldChar w:fldCharType="end"/>
          </w:r>
        </w:p>
      </w:tc>
    </w:tr>
    <w:tr w:rsidR="00D6732F" w14:paraId="588BDB30"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04169FD" w14:textId="77777777" w:rsidR="00D6732F" w:rsidRDefault="00D6732F" w:rsidP="00EE57E8">
          <w:pPr>
            <w:rPr>
              <w:sz w:val="18"/>
            </w:rPr>
          </w:pPr>
        </w:p>
      </w:tc>
    </w:tr>
  </w:tbl>
  <w:p w14:paraId="086496D5" w14:textId="77777777" w:rsidR="00D6732F" w:rsidRPr="00ED79B6" w:rsidRDefault="00D6732F"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A12A6" w14:textId="77777777" w:rsidR="00D6732F" w:rsidRPr="00E33C1C" w:rsidRDefault="00D6732F"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D6732F" w14:paraId="582B21F2" w14:textId="77777777" w:rsidTr="007A6863">
      <w:tc>
        <w:tcPr>
          <w:tcW w:w="1384" w:type="dxa"/>
          <w:tcBorders>
            <w:top w:val="nil"/>
            <w:left w:val="nil"/>
            <w:bottom w:val="nil"/>
            <w:right w:val="nil"/>
          </w:tcBorders>
        </w:tcPr>
        <w:p w14:paraId="7D7A4DA8" w14:textId="77777777" w:rsidR="00D6732F" w:rsidRDefault="00D6732F" w:rsidP="00EE57E8">
          <w:pPr>
            <w:spacing w:line="0" w:lineRule="atLeast"/>
            <w:rPr>
              <w:sz w:val="18"/>
            </w:rPr>
          </w:pPr>
        </w:p>
      </w:tc>
      <w:tc>
        <w:tcPr>
          <w:tcW w:w="6379" w:type="dxa"/>
          <w:tcBorders>
            <w:top w:val="nil"/>
            <w:left w:val="nil"/>
            <w:bottom w:val="nil"/>
            <w:right w:val="nil"/>
          </w:tcBorders>
        </w:tcPr>
        <w:p w14:paraId="580220B0" w14:textId="12122E83" w:rsidR="00D6732F" w:rsidRDefault="00D6732F"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F0CAB">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64ACE71D" w14:textId="77777777" w:rsidR="00D6732F" w:rsidRDefault="00D6732F"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D6732F" w14:paraId="75C5B894"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9C215A9" w14:textId="311DDE45" w:rsidR="00D6732F" w:rsidRDefault="00D6732F"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6F0CAB">
            <w:rPr>
              <w:i/>
              <w:noProof/>
              <w:sz w:val="18"/>
            </w:rPr>
            <w:t>\\central.health\DfsUserEnv\Users\User_08\martiy\Documents\Team matters\Legislative Instruments &amp; ExCo\17 April\HI (Section 3C - General Medical Services - Telehealth and Telephone Services) Amendment (Bulk-billing Requirement ) Determination.DOCX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6F0CAB">
            <w:rPr>
              <w:i/>
              <w:noProof/>
              <w:sz w:val="18"/>
            </w:rPr>
            <w:t>17/4/2020 6:44 PM</w:t>
          </w:r>
          <w:r w:rsidRPr="00ED79B6">
            <w:rPr>
              <w:i/>
              <w:sz w:val="18"/>
            </w:rPr>
            <w:fldChar w:fldCharType="end"/>
          </w:r>
        </w:p>
      </w:tc>
    </w:tr>
  </w:tbl>
  <w:p w14:paraId="3D46EAD8" w14:textId="77777777" w:rsidR="00D6732F" w:rsidRPr="00ED79B6" w:rsidRDefault="00D6732F"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9347E" w14:textId="77777777" w:rsidR="003113B9" w:rsidRDefault="003113B9" w:rsidP="0048364F">
      <w:pPr>
        <w:spacing w:line="240" w:lineRule="auto"/>
      </w:pPr>
      <w:r>
        <w:separator/>
      </w:r>
    </w:p>
  </w:footnote>
  <w:footnote w:type="continuationSeparator" w:id="0">
    <w:p w14:paraId="28FE1062" w14:textId="77777777" w:rsidR="003113B9" w:rsidRDefault="003113B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2D373" w14:textId="77777777" w:rsidR="00D6732F" w:rsidRPr="005F1388" w:rsidRDefault="00D6732F"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930B0" w14:textId="77777777" w:rsidR="00D6732F" w:rsidRPr="005F1388" w:rsidRDefault="00D6732F"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E2D3B" w14:textId="77777777" w:rsidR="00D6732F" w:rsidRPr="005F1388" w:rsidRDefault="00D6732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20F0D" w14:textId="77777777" w:rsidR="00D6732F" w:rsidRPr="00ED79B6" w:rsidRDefault="00D6732F" w:rsidP="00735EFD">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F0081" w14:textId="77777777" w:rsidR="00D6732F" w:rsidRPr="00ED79B6" w:rsidRDefault="00D6732F" w:rsidP="00735EFD">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38339" w14:textId="77777777" w:rsidR="00D6732F" w:rsidRPr="00ED79B6" w:rsidRDefault="00D6732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03578" w14:textId="77777777" w:rsidR="00D6732F" w:rsidRPr="00A961C4" w:rsidRDefault="00D6732F" w:rsidP="0048364F">
    <w:pPr>
      <w:rPr>
        <w:b/>
        <w:sz w:val="20"/>
      </w:rPr>
    </w:pPr>
  </w:p>
  <w:p w14:paraId="3EA01AC7" w14:textId="77777777" w:rsidR="00D6732F" w:rsidRPr="00A961C4" w:rsidRDefault="00D6732F" w:rsidP="0048364F">
    <w:pPr>
      <w:rPr>
        <w:b/>
        <w:sz w:val="20"/>
      </w:rPr>
    </w:pPr>
  </w:p>
  <w:p w14:paraId="1F302A7F" w14:textId="77777777" w:rsidR="00D6732F" w:rsidRPr="00A961C4" w:rsidRDefault="00D6732F"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B8F88" w14:textId="77777777" w:rsidR="00D6732F" w:rsidRPr="00A961C4" w:rsidRDefault="00D6732F" w:rsidP="0048364F">
    <w:pPr>
      <w:jc w:val="right"/>
      <w:rPr>
        <w:sz w:val="20"/>
      </w:rPr>
    </w:pPr>
  </w:p>
  <w:p w14:paraId="17DE13B9" w14:textId="77777777" w:rsidR="00D6732F" w:rsidRPr="00A961C4" w:rsidRDefault="00D6732F" w:rsidP="0048364F">
    <w:pPr>
      <w:jc w:val="right"/>
      <w:rPr>
        <w:b/>
        <w:sz w:val="20"/>
      </w:rPr>
    </w:pPr>
  </w:p>
  <w:p w14:paraId="3DA76657" w14:textId="77777777" w:rsidR="00D6732F" w:rsidRPr="00A961C4" w:rsidRDefault="00D6732F"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695B6D"/>
    <w:multiLevelType w:val="hybridMultilevel"/>
    <w:tmpl w:val="4D20265E"/>
    <w:lvl w:ilvl="0" w:tplc="2A9C16C0">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79EE6148"/>
    <w:multiLevelType w:val="hybridMultilevel"/>
    <w:tmpl w:val="F13C2CEE"/>
    <w:lvl w:ilvl="0" w:tplc="1E2CFE28">
      <w:start w:val="1"/>
      <w:numFmt w:val="lowerLetter"/>
      <w:lvlText w:val="(%1)"/>
      <w:lvlJc w:val="left"/>
      <w:pPr>
        <w:ind w:left="3545" w:hanging="360"/>
      </w:pPr>
    </w:lvl>
    <w:lvl w:ilvl="1" w:tplc="0C090019">
      <w:start w:val="1"/>
      <w:numFmt w:val="lowerLetter"/>
      <w:lvlText w:val="%2."/>
      <w:lvlJc w:val="left"/>
      <w:pPr>
        <w:ind w:left="4265" w:hanging="360"/>
      </w:pPr>
    </w:lvl>
    <w:lvl w:ilvl="2" w:tplc="0C09001B">
      <w:start w:val="1"/>
      <w:numFmt w:val="lowerRoman"/>
      <w:lvlText w:val="%3."/>
      <w:lvlJc w:val="right"/>
      <w:pPr>
        <w:ind w:left="4985" w:hanging="180"/>
      </w:pPr>
    </w:lvl>
    <w:lvl w:ilvl="3" w:tplc="0C09000F">
      <w:start w:val="1"/>
      <w:numFmt w:val="decimal"/>
      <w:lvlText w:val="%4."/>
      <w:lvlJc w:val="left"/>
      <w:pPr>
        <w:ind w:left="5705" w:hanging="360"/>
      </w:pPr>
    </w:lvl>
    <w:lvl w:ilvl="4" w:tplc="0C090019">
      <w:start w:val="1"/>
      <w:numFmt w:val="lowerLetter"/>
      <w:lvlText w:val="%5."/>
      <w:lvlJc w:val="left"/>
      <w:pPr>
        <w:ind w:left="6425" w:hanging="360"/>
      </w:pPr>
    </w:lvl>
    <w:lvl w:ilvl="5" w:tplc="0C09001B">
      <w:start w:val="1"/>
      <w:numFmt w:val="lowerRoman"/>
      <w:lvlText w:val="%6."/>
      <w:lvlJc w:val="right"/>
      <w:pPr>
        <w:ind w:left="7145" w:hanging="180"/>
      </w:pPr>
    </w:lvl>
    <w:lvl w:ilvl="6" w:tplc="0C09000F">
      <w:start w:val="1"/>
      <w:numFmt w:val="decimal"/>
      <w:lvlText w:val="%7."/>
      <w:lvlJc w:val="left"/>
      <w:pPr>
        <w:ind w:left="7865" w:hanging="360"/>
      </w:pPr>
    </w:lvl>
    <w:lvl w:ilvl="7" w:tplc="0C090019">
      <w:start w:val="1"/>
      <w:numFmt w:val="lowerLetter"/>
      <w:lvlText w:val="%8."/>
      <w:lvlJc w:val="left"/>
      <w:pPr>
        <w:ind w:left="8585" w:hanging="360"/>
      </w:pPr>
    </w:lvl>
    <w:lvl w:ilvl="8" w:tplc="0C09001B">
      <w:start w:val="1"/>
      <w:numFmt w:val="lowerRoman"/>
      <w:lvlText w:val="%9."/>
      <w:lvlJc w:val="right"/>
      <w:pPr>
        <w:ind w:left="930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C46"/>
    <w:rsid w:val="00000263"/>
    <w:rsid w:val="00002B2D"/>
    <w:rsid w:val="00002BCC"/>
    <w:rsid w:val="00007B81"/>
    <w:rsid w:val="000113BC"/>
    <w:rsid w:val="000136AF"/>
    <w:rsid w:val="0004044E"/>
    <w:rsid w:val="0005120E"/>
    <w:rsid w:val="00054577"/>
    <w:rsid w:val="000614BF"/>
    <w:rsid w:val="0007169C"/>
    <w:rsid w:val="00077593"/>
    <w:rsid w:val="00083F48"/>
    <w:rsid w:val="0009431B"/>
    <w:rsid w:val="000A479A"/>
    <w:rsid w:val="000A7DF9"/>
    <w:rsid w:val="000B336E"/>
    <w:rsid w:val="000D05EF"/>
    <w:rsid w:val="000D3FB9"/>
    <w:rsid w:val="000D5485"/>
    <w:rsid w:val="000D7958"/>
    <w:rsid w:val="000E2BB0"/>
    <w:rsid w:val="000E4361"/>
    <w:rsid w:val="000E598E"/>
    <w:rsid w:val="000E5A3D"/>
    <w:rsid w:val="000F0ADA"/>
    <w:rsid w:val="000F21C1"/>
    <w:rsid w:val="00102733"/>
    <w:rsid w:val="0010745C"/>
    <w:rsid w:val="001122FF"/>
    <w:rsid w:val="0011401A"/>
    <w:rsid w:val="00160BD7"/>
    <w:rsid w:val="001643C9"/>
    <w:rsid w:val="00165568"/>
    <w:rsid w:val="00166082"/>
    <w:rsid w:val="00166C2F"/>
    <w:rsid w:val="001716C9"/>
    <w:rsid w:val="00184261"/>
    <w:rsid w:val="00193461"/>
    <w:rsid w:val="001939E1"/>
    <w:rsid w:val="0019452E"/>
    <w:rsid w:val="00195382"/>
    <w:rsid w:val="001A3B9F"/>
    <w:rsid w:val="001A5520"/>
    <w:rsid w:val="001A65C0"/>
    <w:rsid w:val="001B312A"/>
    <w:rsid w:val="001B7A5D"/>
    <w:rsid w:val="001C69C4"/>
    <w:rsid w:val="001E0A8D"/>
    <w:rsid w:val="001E3590"/>
    <w:rsid w:val="001E7407"/>
    <w:rsid w:val="001F1A46"/>
    <w:rsid w:val="00201D27"/>
    <w:rsid w:val="0021153A"/>
    <w:rsid w:val="0022193A"/>
    <w:rsid w:val="002245A6"/>
    <w:rsid w:val="002302EA"/>
    <w:rsid w:val="00231ACB"/>
    <w:rsid w:val="00231C51"/>
    <w:rsid w:val="00237614"/>
    <w:rsid w:val="00240749"/>
    <w:rsid w:val="002468D7"/>
    <w:rsid w:val="00247E97"/>
    <w:rsid w:val="002512CD"/>
    <w:rsid w:val="00256C81"/>
    <w:rsid w:val="00271896"/>
    <w:rsid w:val="00273B12"/>
    <w:rsid w:val="00285C46"/>
    <w:rsid w:val="00285CDD"/>
    <w:rsid w:val="002866EE"/>
    <w:rsid w:val="00291167"/>
    <w:rsid w:val="0029489E"/>
    <w:rsid w:val="00297ECB"/>
    <w:rsid w:val="002C152A"/>
    <w:rsid w:val="002D043A"/>
    <w:rsid w:val="00302217"/>
    <w:rsid w:val="003113B9"/>
    <w:rsid w:val="003145C8"/>
    <w:rsid w:val="00314761"/>
    <w:rsid w:val="0031713F"/>
    <w:rsid w:val="0032206C"/>
    <w:rsid w:val="003222D1"/>
    <w:rsid w:val="00324F50"/>
    <w:rsid w:val="0032750F"/>
    <w:rsid w:val="0033389C"/>
    <w:rsid w:val="00340128"/>
    <w:rsid w:val="003415D3"/>
    <w:rsid w:val="003441AA"/>
    <w:rsid w:val="003442F6"/>
    <w:rsid w:val="00346335"/>
    <w:rsid w:val="00352B0F"/>
    <w:rsid w:val="003561B0"/>
    <w:rsid w:val="00383003"/>
    <w:rsid w:val="00397893"/>
    <w:rsid w:val="003A15AC"/>
    <w:rsid w:val="003B0627"/>
    <w:rsid w:val="003B1AE0"/>
    <w:rsid w:val="003C5F2B"/>
    <w:rsid w:val="003C7D35"/>
    <w:rsid w:val="003D0BFE"/>
    <w:rsid w:val="003D5700"/>
    <w:rsid w:val="003D7261"/>
    <w:rsid w:val="003F6F52"/>
    <w:rsid w:val="004022CA"/>
    <w:rsid w:val="004116CD"/>
    <w:rsid w:val="00414ADE"/>
    <w:rsid w:val="00424CA9"/>
    <w:rsid w:val="004257BB"/>
    <w:rsid w:val="0044291A"/>
    <w:rsid w:val="0045654B"/>
    <w:rsid w:val="004600B0"/>
    <w:rsid w:val="00460499"/>
    <w:rsid w:val="00460FBA"/>
    <w:rsid w:val="004639D8"/>
    <w:rsid w:val="0046672B"/>
    <w:rsid w:val="00474835"/>
    <w:rsid w:val="004819C7"/>
    <w:rsid w:val="004834FA"/>
    <w:rsid w:val="0048364F"/>
    <w:rsid w:val="004877FC"/>
    <w:rsid w:val="00490F2E"/>
    <w:rsid w:val="00492323"/>
    <w:rsid w:val="00496F97"/>
    <w:rsid w:val="004A53EA"/>
    <w:rsid w:val="004B35E7"/>
    <w:rsid w:val="004F1FAC"/>
    <w:rsid w:val="004F676E"/>
    <w:rsid w:val="004F71C0"/>
    <w:rsid w:val="005165B6"/>
    <w:rsid w:val="00516B8D"/>
    <w:rsid w:val="00524D70"/>
    <w:rsid w:val="0052756C"/>
    <w:rsid w:val="00530230"/>
    <w:rsid w:val="00530CC9"/>
    <w:rsid w:val="00531B46"/>
    <w:rsid w:val="00537FBC"/>
    <w:rsid w:val="00541D73"/>
    <w:rsid w:val="00543469"/>
    <w:rsid w:val="00546FA3"/>
    <w:rsid w:val="00557C7A"/>
    <w:rsid w:val="005617EA"/>
    <w:rsid w:val="00562A58"/>
    <w:rsid w:val="0056541A"/>
    <w:rsid w:val="005666F1"/>
    <w:rsid w:val="0057633D"/>
    <w:rsid w:val="00581211"/>
    <w:rsid w:val="00584811"/>
    <w:rsid w:val="00593AA6"/>
    <w:rsid w:val="00594161"/>
    <w:rsid w:val="00594749"/>
    <w:rsid w:val="00594956"/>
    <w:rsid w:val="005A7AF8"/>
    <w:rsid w:val="005B1555"/>
    <w:rsid w:val="005B4067"/>
    <w:rsid w:val="005C3F41"/>
    <w:rsid w:val="005C4EF0"/>
    <w:rsid w:val="005D3BE1"/>
    <w:rsid w:val="005D4CE1"/>
    <w:rsid w:val="005D5EA1"/>
    <w:rsid w:val="005E098C"/>
    <w:rsid w:val="005E1F8D"/>
    <w:rsid w:val="005E317F"/>
    <w:rsid w:val="005E61D3"/>
    <w:rsid w:val="00600219"/>
    <w:rsid w:val="006065DA"/>
    <w:rsid w:val="00606AA4"/>
    <w:rsid w:val="006131BB"/>
    <w:rsid w:val="00624A2B"/>
    <w:rsid w:val="00631F79"/>
    <w:rsid w:val="00640402"/>
    <w:rsid w:val="00640F78"/>
    <w:rsid w:val="00655D6A"/>
    <w:rsid w:val="00656DE9"/>
    <w:rsid w:val="0066346C"/>
    <w:rsid w:val="00672876"/>
    <w:rsid w:val="00675A7D"/>
    <w:rsid w:val="00677CC2"/>
    <w:rsid w:val="00685F42"/>
    <w:rsid w:val="0069207B"/>
    <w:rsid w:val="006A304E"/>
    <w:rsid w:val="006B7006"/>
    <w:rsid w:val="006B703A"/>
    <w:rsid w:val="006C757D"/>
    <w:rsid w:val="006C7F8C"/>
    <w:rsid w:val="006D6400"/>
    <w:rsid w:val="006D7AB9"/>
    <w:rsid w:val="006F0CAB"/>
    <w:rsid w:val="00700B2C"/>
    <w:rsid w:val="00713084"/>
    <w:rsid w:val="00717463"/>
    <w:rsid w:val="00720FC2"/>
    <w:rsid w:val="00722E89"/>
    <w:rsid w:val="00722EE6"/>
    <w:rsid w:val="007246FC"/>
    <w:rsid w:val="00731E00"/>
    <w:rsid w:val="007339C7"/>
    <w:rsid w:val="00734EF4"/>
    <w:rsid w:val="00735EFD"/>
    <w:rsid w:val="007414CC"/>
    <w:rsid w:val="007440B7"/>
    <w:rsid w:val="00747993"/>
    <w:rsid w:val="007532AB"/>
    <w:rsid w:val="00756892"/>
    <w:rsid w:val="007634AD"/>
    <w:rsid w:val="00771220"/>
    <w:rsid w:val="007715C9"/>
    <w:rsid w:val="00774EDD"/>
    <w:rsid w:val="007757EC"/>
    <w:rsid w:val="00776D08"/>
    <w:rsid w:val="007A18F5"/>
    <w:rsid w:val="007A6863"/>
    <w:rsid w:val="007A7D39"/>
    <w:rsid w:val="007B0C4E"/>
    <w:rsid w:val="007C5C46"/>
    <w:rsid w:val="007C78B4"/>
    <w:rsid w:val="007E32B6"/>
    <w:rsid w:val="007E486B"/>
    <w:rsid w:val="007E7D4A"/>
    <w:rsid w:val="007F23BE"/>
    <w:rsid w:val="007F48ED"/>
    <w:rsid w:val="007F5E3F"/>
    <w:rsid w:val="0080297B"/>
    <w:rsid w:val="00812F45"/>
    <w:rsid w:val="00836FE9"/>
    <w:rsid w:val="008410C0"/>
    <w:rsid w:val="0084172C"/>
    <w:rsid w:val="0085079F"/>
    <w:rsid w:val="00850EF3"/>
    <w:rsid w:val="0085175E"/>
    <w:rsid w:val="00852353"/>
    <w:rsid w:val="00856A31"/>
    <w:rsid w:val="00860337"/>
    <w:rsid w:val="008610D5"/>
    <w:rsid w:val="00875389"/>
    <w:rsid w:val="008754D0"/>
    <w:rsid w:val="00877C69"/>
    <w:rsid w:val="00877D48"/>
    <w:rsid w:val="008811A9"/>
    <w:rsid w:val="0088345B"/>
    <w:rsid w:val="008A16A5"/>
    <w:rsid w:val="008A5366"/>
    <w:rsid w:val="008A5C57"/>
    <w:rsid w:val="008C0629"/>
    <w:rsid w:val="008D0EE0"/>
    <w:rsid w:val="008D7A27"/>
    <w:rsid w:val="008E4702"/>
    <w:rsid w:val="008E69AA"/>
    <w:rsid w:val="008F083A"/>
    <w:rsid w:val="008F4F1C"/>
    <w:rsid w:val="0090468E"/>
    <w:rsid w:val="009049DF"/>
    <w:rsid w:val="009069AD"/>
    <w:rsid w:val="00910E64"/>
    <w:rsid w:val="00922764"/>
    <w:rsid w:val="009278C1"/>
    <w:rsid w:val="00932377"/>
    <w:rsid w:val="009346E3"/>
    <w:rsid w:val="0094523D"/>
    <w:rsid w:val="0095519B"/>
    <w:rsid w:val="00976A63"/>
    <w:rsid w:val="009947B1"/>
    <w:rsid w:val="009B2490"/>
    <w:rsid w:val="009B34E9"/>
    <w:rsid w:val="009B50E5"/>
    <w:rsid w:val="009C204E"/>
    <w:rsid w:val="009C3431"/>
    <w:rsid w:val="009C4F32"/>
    <w:rsid w:val="009C5989"/>
    <w:rsid w:val="009C6A32"/>
    <w:rsid w:val="009D08DA"/>
    <w:rsid w:val="00A06860"/>
    <w:rsid w:val="00A136F5"/>
    <w:rsid w:val="00A175A3"/>
    <w:rsid w:val="00A231E2"/>
    <w:rsid w:val="00A2550D"/>
    <w:rsid w:val="00A379BB"/>
    <w:rsid w:val="00A4169B"/>
    <w:rsid w:val="00A50D55"/>
    <w:rsid w:val="00A52FDA"/>
    <w:rsid w:val="00A56E01"/>
    <w:rsid w:val="00A64912"/>
    <w:rsid w:val="00A70A74"/>
    <w:rsid w:val="00A83FE6"/>
    <w:rsid w:val="00A876FE"/>
    <w:rsid w:val="00A91D28"/>
    <w:rsid w:val="00A9231A"/>
    <w:rsid w:val="00A95BC7"/>
    <w:rsid w:val="00AA0343"/>
    <w:rsid w:val="00AA78CE"/>
    <w:rsid w:val="00AA7B26"/>
    <w:rsid w:val="00AB28D1"/>
    <w:rsid w:val="00AC0D3E"/>
    <w:rsid w:val="00AC60AA"/>
    <w:rsid w:val="00AC767C"/>
    <w:rsid w:val="00AD3467"/>
    <w:rsid w:val="00AD3729"/>
    <w:rsid w:val="00AD5641"/>
    <w:rsid w:val="00AF33DB"/>
    <w:rsid w:val="00B032D8"/>
    <w:rsid w:val="00B05D72"/>
    <w:rsid w:val="00B20990"/>
    <w:rsid w:val="00B23FAF"/>
    <w:rsid w:val="00B33B3C"/>
    <w:rsid w:val="00B40D74"/>
    <w:rsid w:val="00B42649"/>
    <w:rsid w:val="00B46467"/>
    <w:rsid w:val="00B52663"/>
    <w:rsid w:val="00B56DCB"/>
    <w:rsid w:val="00B613C2"/>
    <w:rsid w:val="00B61728"/>
    <w:rsid w:val="00B770D2"/>
    <w:rsid w:val="00B93516"/>
    <w:rsid w:val="00B96776"/>
    <w:rsid w:val="00B973E5"/>
    <w:rsid w:val="00BA47A3"/>
    <w:rsid w:val="00BA5026"/>
    <w:rsid w:val="00BA7B5B"/>
    <w:rsid w:val="00BB6E79"/>
    <w:rsid w:val="00BE42C5"/>
    <w:rsid w:val="00BE540E"/>
    <w:rsid w:val="00BE719A"/>
    <w:rsid w:val="00BE720A"/>
    <w:rsid w:val="00BF0723"/>
    <w:rsid w:val="00BF634E"/>
    <w:rsid w:val="00BF6650"/>
    <w:rsid w:val="00C04168"/>
    <w:rsid w:val="00C067E5"/>
    <w:rsid w:val="00C164CA"/>
    <w:rsid w:val="00C26051"/>
    <w:rsid w:val="00C41228"/>
    <w:rsid w:val="00C42BF8"/>
    <w:rsid w:val="00C460AE"/>
    <w:rsid w:val="00C50043"/>
    <w:rsid w:val="00C5015F"/>
    <w:rsid w:val="00C50A0F"/>
    <w:rsid w:val="00C50F4A"/>
    <w:rsid w:val="00C53368"/>
    <w:rsid w:val="00C61404"/>
    <w:rsid w:val="00C64EE1"/>
    <w:rsid w:val="00C7019F"/>
    <w:rsid w:val="00C70F84"/>
    <w:rsid w:val="00C72D10"/>
    <w:rsid w:val="00C7573B"/>
    <w:rsid w:val="00C76CF3"/>
    <w:rsid w:val="00C77F5D"/>
    <w:rsid w:val="00C81946"/>
    <w:rsid w:val="00C93205"/>
    <w:rsid w:val="00C945DC"/>
    <w:rsid w:val="00C96FBC"/>
    <w:rsid w:val="00CA0291"/>
    <w:rsid w:val="00CA7844"/>
    <w:rsid w:val="00CB25FE"/>
    <w:rsid w:val="00CB58EF"/>
    <w:rsid w:val="00CE0A93"/>
    <w:rsid w:val="00CE3F48"/>
    <w:rsid w:val="00CF0BB2"/>
    <w:rsid w:val="00CF77BC"/>
    <w:rsid w:val="00D0531F"/>
    <w:rsid w:val="00D06BE8"/>
    <w:rsid w:val="00D12B0D"/>
    <w:rsid w:val="00D13441"/>
    <w:rsid w:val="00D1467B"/>
    <w:rsid w:val="00D243A3"/>
    <w:rsid w:val="00D33440"/>
    <w:rsid w:val="00D52EFE"/>
    <w:rsid w:val="00D56A0D"/>
    <w:rsid w:val="00D63EF6"/>
    <w:rsid w:val="00D66518"/>
    <w:rsid w:val="00D6732F"/>
    <w:rsid w:val="00D70DFB"/>
    <w:rsid w:val="00D71AF5"/>
    <w:rsid w:val="00D71EEA"/>
    <w:rsid w:val="00D725F1"/>
    <w:rsid w:val="00D735CD"/>
    <w:rsid w:val="00D7438D"/>
    <w:rsid w:val="00D766DF"/>
    <w:rsid w:val="00D90841"/>
    <w:rsid w:val="00DA1458"/>
    <w:rsid w:val="00DA2439"/>
    <w:rsid w:val="00DA6275"/>
    <w:rsid w:val="00DA6F05"/>
    <w:rsid w:val="00DB64FC"/>
    <w:rsid w:val="00DB6828"/>
    <w:rsid w:val="00DD0672"/>
    <w:rsid w:val="00DE149E"/>
    <w:rsid w:val="00DE15A7"/>
    <w:rsid w:val="00DE41D7"/>
    <w:rsid w:val="00E034DB"/>
    <w:rsid w:val="00E05704"/>
    <w:rsid w:val="00E12CDD"/>
    <w:rsid w:val="00E12F1A"/>
    <w:rsid w:val="00E22935"/>
    <w:rsid w:val="00E46240"/>
    <w:rsid w:val="00E54292"/>
    <w:rsid w:val="00E60191"/>
    <w:rsid w:val="00E7145A"/>
    <w:rsid w:val="00E74DC7"/>
    <w:rsid w:val="00E77257"/>
    <w:rsid w:val="00E87699"/>
    <w:rsid w:val="00E92B05"/>
    <w:rsid w:val="00E92E27"/>
    <w:rsid w:val="00E9586B"/>
    <w:rsid w:val="00E97334"/>
    <w:rsid w:val="00EB2DB4"/>
    <w:rsid w:val="00EB3A99"/>
    <w:rsid w:val="00EB65F8"/>
    <w:rsid w:val="00ED4928"/>
    <w:rsid w:val="00ED6A63"/>
    <w:rsid w:val="00EE3FFE"/>
    <w:rsid w:val="00EE57E8"/>
    <w:rsid w:val="00EE6190"/>
    <w:rsid w:val="00EF12F3"/>
    <w:rsid w:val="00EF2E3A"/>
    <w:rsid w:val="00EF6402"/>
    <w:rsid w:val="00F03CB4"/>
    <w:rsid w:val="00F047E2"/>
    <w:rsid w:val="00F04D57"/>
    <w:rsid w:val="00F078DC"/>
    <w:rsid w:val="00F13E86"/>
    <w:rsid w:val="00F20B52"/>
    <w:rsid w:val="00F2536C"/>
    <w:rsid w:val="00F32FCB"/>
    <w:rsid w:val="00F33523"/>
    <w:rsid w:val="00F54761"/>
    <w:rsid w:val="00F6167F"/>
    <w:rsid w:val="00F677A9"/>
    <w:rsid w:val="00F8121C"/>
    <w:rsid w:val="00F8281A"/>
    <w:rsid w:val="00F84CF5"/>
    <w:rsid w:val="00F8555B"/>
    <w:rsid w:val="00F8612E"/>
    <w:rsid w:val="00F94583"/>
    <w:rsid w:val="00FA05E6"/>
    <w:rsid w:val="00FA420B"/>
    <w:rsid w:val="00FB6AEE"/>
    <w:rsid w:val="00FC3EA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0A1F54"/>
  <w15:docId w15:val="{F009FCA9-0379-494A-B0C4-124FA887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character" w:customStyle="1" w:styleId="ActHead5Char">
    <w:name w:val="ActHead 5 Char"/>
    <w:aliases w:val="s Char"/>
    <w:link w:val="ActHead5"/>
    <w:rsid w:val="00735EFD"/>
    <w:rPr>
      <w:rFonts w:eastAsia="Times New Roman" w:cs="Times New Roman"/>
      <w:b/>
      <w:kern w:val="28"/>
      <w:sz w:val="24"/>
      <w:lang w:eastAsia="en-AU"/>
    </w:rPr>
  </w:style>
  <w:style w:type="character" w:customStyle="1" w:styleId="paragraphChar">
    <w:name w:val="paragraph Char"/>
    <w:aliases w:val="a Char"/>
    <w:link w:val="paragraph"/>
    <w:locked/>
    <w:rsid w:val="00735EFD"/>
    <w:rPr>
      <w:rFonts w:eastAsia="Times New Roman" w:cs="Times New Roman"/>
      <w:sz w:val="22"/>
      <w:lang w:eastAsia="en-AU"/>
    </w:rPr>
  </w:style>
  <w:style w:type="character" w:styleId="CommentReference">
    <w:name w:val="annotation reference"/>
    <w:basedOn w:val="DefaultParagraphFont"/>
    <w:uiPriority w:val="99"/>
    <w:semiHidden/>
    <w:unhideWhenUsed/>
    <w:rsid w:val="00735EFD"/>
    <w:rPr>
      <w:sz w:val="16"/>
      <w:szCs w:val="16"/>
    </w:rPr>
  </w:style>
  <w:style w:type="character" w:customStyle="1" w:styleId="TabletextChar">
    <w:name w:val="Tabletext Char"/>
    <w:aliases w:val="tt Char"/>
    <w:basedOn w:val="DefaultParagraphFont"/>
    <w:link w:val="Tabletext"/>
    <w:rsid w:val="00735EFD"/>
    <w:rPr>
      <w:rFonts w:eastAsia="Times New Roman" w:cs="Times New Roman"/>
      <w:lang w:eastAsia="en-AU"/>
    </w:rPr>
  </w:style>
  <w:style w:type="paragraph" w:styleId="CommentText">
    <w:name w:val="annotation text"/>
    <w:basedOn w:val="Normal"/>
    <w:link w:val="CommentTextChar"/>
    <w:uiPriority w:val="99"/>
    <w:semiHidden/>
    <w:unhideWhenUsed/>
    <w:rsid w:val="00735EFD"/>
    <w:pPr>
      <w:spacing w:line="240" w:lineRule="auto"/>
    </w:pPr>
    <w:rPr>
      <w:sz w:val="20"/>
    </w:rPr>
  </w:style>
  <w:style w:type="character" w:customStyle="1" w:styleId="CommentTextChar">
    <w:name w:val="Comment Text Char"/>
    <w:basedOn w:val="DefaultParagraphFont"/>
    <w:link w:val="CommentText"/>
    <w:uiPriority w:val="99"/>
    <w:semiHidden/>
    <w:rsid w:val="00735EFD"/>
  </w:style>
  <w:style w:type="paragraph" w:styleId="CommentSubject">
    <w:name w:val="annotation subject"/>
    <w:basedOn w:val="CommentText"/>
    <w:next w:val="CommentText"/>
    <w:link w:val="CommentSubjectChar"/>
    <w:uiPriority w:val="99"/>
    <w:semiHidden/>
    <w:unhideWhenUsed/>
    <w:rsid w:val="00DD0672"/>
    <w:rPr>
      <w:b/>
      <w:bCs/>
    </w:rPr>
  </w:style>
  <w:style w:type="character" w:customStyle="1" w:styleId="CommentSubjectChar">
    <w:name w:val="Comment Subject Char"/>
    <w:basedOn w:val="CommentTextChar"/>
    <w:link w:val="CommentSubject"/>
    <w:uiPriority w:val="99"/>
    <w:semiHidden/>
    <w:rsid w:val="00DD0672"/>
    <w:rPr>
      <w:b/>
      <w:bCs/>
    </w:rPr>
  </w:style>
  <w:style w:type="paragraph" w:styleId="Revision">
    <w:name w:val="Revision"/>
    <w:hidden/>
    <w:uiPriority w:val="99"/>
    <w:semiHidden/>
    <w:rsid w:val="003145C8"/>
    <w:rPr>
      <w:sz w:val="22"/>
    </w:rPr>
  </w:style>
  <w:style w:type="paragraph" w:customStyle="1" w:styleId="Default">
    <w:name w:val="Default"/>
    <w:rsid w:val="0009431B"/>
    <w:pPr>
      <w:autoSpaceDE w:val="0"/>
      <w:autoSpaceDN w:val="0"/>
      <w:adjustRightInd w:val="0"/>
    </w:pPr>
    <w:rPr>
      <w:rFonts w:cs="Times New Roman"/>
      <w:color w:val="000000"/>
      <w:sz w:val="24"/>
      <w:szCs w:val="24"/>
      <w:lang w:val="en-GB"/>
    </w:rPr>
  </w:style>
  <w:style w:type="paragraph" w:styleId="ListParagraph">
    <w:name w:val="List Paragraph"/>
    <w:basedOn w:val="Normal"/>
    <w:uiPriority w:val="34"/>
    <w:qFormat/>
    <w:rsid w:val="003D7261"/>
    <w:pPr>
      <w:spacing w:after="160" w:line="259" w:lineRule="auto"/>
      <w:ind w:left="720"/>
      <w:contextualSpacing/>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31605">
      <w:bodyDiv w:val="1"/>
      <w:marLeft w:val="0"/>
      <w:marRight w:val="0"/>
      <w:marTop w:val="0"/>
      <w:marBottom w:val="0"/>
      <w:divBdr>
        <w:top w:val="none" w:sz="0" w:space="0" w:color="auto"/>
        <w:left w:val="none" w:sz="0" w:space="0" w:color="auto"/>
        <w:bottom w:val="none" w:sz="0" w:space="0" w:color="auto"/>
        <w:right w:val="none" w:sz="0" w:space="0" w:color="auto"/>
      </w:divBdr>
    </w:div>
    <w:div w:id="350911999">
      <w:bodyDiv w:val="1"/>
      <w:marLeft w:val="0"/>
      <w:marRight w:val="0"/>
      <w:marTop w:val="0"/>
      <w:marBottom w:val="0"/>
      <w:divBdr>
        <w:top w:val="none" w:sz="0" w:space="0" w:color="auto"/>
        <w:left w:val="none" w:sz="0" w:space="0" w:color="auto"/>
        <w:bottom w:val="none" w:sz="0" w:space="0" w:color="auto"/>
        <w:right w:val="none" w:sz="0" w:space="0" w:color="auto"/>
      </w:divBdr>
      <w:divsChild>
        <w:div w:id="601912412">
          <w:marLeft w:val="0"/>
          <w:marRight w:val="0"/>
          <w:marTop w:val="0"/>
          <w:marBottom w:val="0"/>
          <w:divBdr>
            <w:top w:val="none" w:sz="0" w:space="0" w:color="auto"/>
            <w:left w:val="none" w:sz="0" w:space="0" w:color="auto"/>
            <w:bottom w:val="none" w:sz="0" w:space="0" w:color="auto"/>
            <w:right w:val="none" w:sz="0" w:space="0" w:color="auto"/>
          </w:divBdr>
          <w:divsChild>
            <w:div w:id="2137944139">
              <w:marLeft w:val="0"/>
              <w:marRight w:val="0"/>
              <w:marTop w:val="0"/>
              <w:marBottom w:val="0"/>
              <w:divBdr>
                <w:top w:val="none" w:sz="0" w:space="0" w:color="auto"/>
                <w:left w:val="none" w:sz="0" w:space="0" w:color="auto"/>
                <w:bottom w:val="none" w:sz="0" w:space="0" w:color="auto"/>
                <w:right w:val="none" w:sz="0" w:space="0" w:color="auto"/>
              </w:divBdr>
              <w:divsChild>
                <w:div w:id="1004362762">
                  <w:marLeft w:val="0"/>
                  <w:marRight w:val="0"/>
                  <w:marTop w:val="0"/>
                  <w:marBottom w:val="0"/>
                  <w:divBdr>
                    <w:top w:val="none" w:sz="0" w:space="0" w:color="auto"/>
                    <w:left w:val="none" w:sz="0" w:space="0" w:color="auto"/>
                    <w:bottom w:val="none" w:sz="0" w:space="0" w:color="auto"/>
                    <w:right w:val="none" w:sz="0" w:space="0" w:color="auto"/>
                  </w:divBdr>
                  <w:divsChild>
                    <w:div w:id="350031808">
                      <w:marLeft w:val="0"/>
                      <w:marRight w:val="0"/>
                      <w:marTop w:val="0"/>
                      <w:marBottom w:val="0"/>
                      <w:divBdr>
                        <w:top w:val="none" w:sz="0" w:space="0" w:color="auto"/>
                        <w:left w:val="none" w:sz="0" w:space="0" w:color="auto"/>
                        <w:bottom w:val="none" w:sz="0" w:space="0" w:color="auto"/>
                        <w:right w:val="none" w:sz="0" w:space="0" w:color="auto"/>
                      </w:divBdr>
                      <w:divsChild>
                        <w:div w:id="1420904780">
                          <w:marLeft w:val="0"/>
                          <w:marRight w:val="0"/>
                          <w:marTop w:val="0"/>
                          <w:marBottom w:val="0"/>
                          <w:divBdr>
                            <w:top w:val="none" w:sz="0" w:space="0" w:color="auto"/>
                            <w:left w:val="none" w:sz="0" w:space="0" w:color="auto"/>
                            <w:bottom w:val="none" w:sz="0" w:space="0" w:color="auto"/>
                            <w:right w:val="none" w:sz="0" w:space="0" w:color="auto"/>
                          </w:divBdr>
                          <w:divsChild>
                            <w:div w:id="1093361099">
                              <w:marLeft w:val="0"/>
                              <w:marRight w:val="0"/>
                              <w:marTop w:val="0"/>
                              <w:marBottom w:val="0"/>
                              <w:divBdr>
                                <w:top w:val="none" w:sz="0" w:space="0" w:color="auto"/>
                                <w:left w:val="none" w:sz="0" w:space="0" w:color="auto"/>
                                <w:bottom w:val="none" w:sz="0" w:space="0" w:color="auto"/>
                                <w:right w:val="none" w:sz="0" w:space="0" w:color="auto"/>
                              </w:divBdr>
                              <w:divsChild>
                                <w:div w:id="666052078">
                                  <w:marLeft w:val="0"/>
                                  <w:marRight w:val="0"/>
                                  <w:marTop w:val="0"/>
                                  <w:marBottom w:val="0"/>
                                  <w:divBdr>
                                    <w:top w:val="none" w:sz="0" w:space="0" w:color="auto"/>
                                    <w:left w:val="none" w:sz="0" w:space="0" w:color="auto"/>
                                    <w:bottom w:val="none" w:sz="0" w:space="0" w:color="auto"/>
                                    <w:right w:val="none" w:sz="0" w:space="0" w:color="auto"/>
                                  </w:divBdr>
                                  <w:divsChild>
                                    <w:div w:id="1426538521">
                                      <w:marLeft w:val="0"/>
                                      <w:marRight w:val="0"/>
                                      <w:marTop w:val="0"/>
                                      <w:marBottom w:val="0"/>
                                      <w:divBdr>
                                        <w:top w:val="none" w:sz="0" w:space="0" w:color="auto"/>
                                        <w:left w:val="none" w:sz="0" w:space="0" w:color="auto"/>
                                        <w:bottom w:val="none" w:sz="0" w:space="0" w:color="auto"/>
                                        <w:right w:val="none" w:sz="0" w:space="0" w:color="auto"/>
                                      </w:divBdr>
                                      <w:divsChild>
                                        <w:div w:id="799886830">
                                          <w:marLeft w:val="0"/>
                                          <w:marRight w:val="0"/>
                                          <w:marTop w:val="0"/>
                                          <w:marBottom w:val="0"/>
                                          <w:divBdr>
                                            <w:top w:val="none" w:sz="0" w:space="0" w:color="auto"/>
                                            <w:left w:val="none" w:sz="0" w:space="0" w:color="auto"/>
                                            <w:bottom w:val="none" w:sz="0" w:space="0" w:color="auto"/>
                                            <w:right w:val="none" w:sz="0" w:space="0" w:color="auto"/>
                                          </w:divBdr>
                                          <w:divsChild>
                                            <w:div w:id="855927787">
                                              <w:marLeft w:val="0"/>
                                              <w:marRight w:val="0"/>
                                              <w:marTop w:val="0"/>
                                              <w:marBottom w:val="0"/>
                                              <w:divBdr>
                                                <w:top w:val="none" w:sz="0" w:space="0" w:color="auto"/>
                                                <w:left w:val="none" w:sz="0" w:space="0" w:color="auto"/>
                                                <w:bottom w:val="none" w:sz="0" w:space="0" w:color="auto"/>
                                                <w:right w:val="none" w:sz="0" w:space="0" w:color="auto"/>
                                              </w:divBdr>
                                              <w:divsChild>
                                                <w:div w:id="1900554364">
                                                  <w:marLeft w:val="0"/>
                                                  <w:marRight w:val="0"/>
                                                  <w:marTop w:val="0"/>
                                                  <w:marBottom w:val="0"/>
                                                  <w:divBdr>
                                                    <w:top w:val="none" w:sz="0" w:space="0" w:color="auto"/>
                                                    <w:left w:val="none" w:sz="0" w:space="0" w:color="auto"/>
                                                    <w:bottom w:val="none" w:sz="0" w:space="0" w:color="auto"/>
                                                    <w:right w:val="none" w:sz="0" w:space="0" w:color="auto"/>
                                                  </w:divBdr>
                                                  <w:divsChild>
                                                    <w:div w:id="1883322478">
                                                      <w:marLeft w:val="0"/>
                                                      <w:marRight w:val="0"/>
                                                      <w:marTop w:val="0"/>
                                                      <w:marBottom w:val="0"/>
                                                      <w:divBdr>
                                                        <w:top w:val="none" w:sz="0" w:space="0" w:color="auto"/>
                                                        <w:left w:val="none" w:sz="0" w:space="0" w:color="auto"/>
                                                        <w:bottom w:val="none" w:sz="0" w:space="0" w:color="auto"/>
                                                        <w:right w:val="none" w:sz="0" w:space="0" w:color="auto"/>
                                                      </w:divBdr>
                                                      <w:divsChild>
                                                        <w:div w:id="193627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3062767">
      <w:bodyDiv w:val="1"/>
      <w:marLeft w:val="0"/>
      <w:marRight w:val="0"/>
      <w:marTop w:val="0"/>
      <w:marBottom w:val="0"/>
      <w:divBdr>
        <w:top w:val="none" w:sz="0" w:space="0" w:color="auto"/>
        <w:left w:val="none" w:sz="0" w:space="0" w:color="auto"/>
        <w:bottom w:val="none" w:sz="0" w:space="0" w:color="auto"/>
        <w:right w:val="none" w:sz="0" w:space="0" w:color="auto"/>
      </w:divBdr>
    </w:div>
    <w:div w:id="478153893">
      <w:bodyDiv w:val="1"/>
      <w:marLeft w:val="0"/>
      <w:marRight w:val="0"/>
      <w:marTop w:val="0"/>
      <w:marBottom w:val="0"/>
      <w:divBdr>
        <w:top w:val="none" w:sz="0" w:space="0" w:color="auto"/>
        <w:left w:val="none" w:sz="0" w:space="0" w:color="auto"/>
        <w:bottom w:val="none" w:sz="0" w:space="0" w:color="auto"/>
        <w:right w:val="none" w:sz="0" w:space="0" w:color="auto"/>
      </w:divBdr>
    </w:div>
    <w:div w:id="493642822">
      <w:bodyDiv w:val="1"/>
      <w:marLeft w:val="0"/>
      <w:marRight w:val="0"/>
      <w:marTop w:val="0"/>
      <w:marBottom w:val="0"/>
      <w:divBdr>
        <w:top w:val="none" w:sz="0" w:space="0" w:color="auto"/>
        <w:left w:val="none" w:sz="0" w:space="0" w:color="auto"/>
        <w:bottom w:val="none" w:sz="0" w:space="0" w:color="auto"/>
        <w:right w:val="none" w:sz="0" w:space="0" w:color="auto"/>
      </w:divBdr>
    </w:div>
    <w:div w:id="1092818861">
      <w:bodyDiv w:val="1"/>
      <w:marLeft w:val="0"/>
      <w:marRight w:val="0"/>
      <w:marTop w:val="0"/>
      <w:marBottom w:val="0"/>
      <w:divBdr>
        <w:top w:val="none" w:sz="0" w:space="0" w:color="auto"/>
        <w:left w:val="none" w:sz="0" w:space="0" w:color="auto"/>
        <w:bottom w:val="none" w:sz="0" w:space="0" w:color="auto"/>
        <w:right w:val="none" w:sz="0" w:space="0" w:color="auto"/>
      </w:divBdr>
    </w:div>
    <w:div w:id="1138382205">
      <w:bodyDiv w:val="1"/>
      <w:marLeft w:val="0"/>
      <w:marRight w:val="0"/>
      <w:marTop w:val="0"/>
      <w:marBottom w:val="0"/>
      <w:divBdr>
        <w:top w:val="none" w:sz="0" w:space="0" w:color="auto"/>
        <w:left w:val="none" w:sz="0" w:space="0" w:color="auto"/>
        <w:bottom w:val="none" w:sz="0" w:space="0" w:color="auto"/>
        <w:right w:val="none" w:sz="0" w:space="0" w:color="auto"/>
      </w:divBdr>
    </w:div>
    <w:div w:id="1835602978">
      <w:bodyDiv w:val="1"/>
      <w:marLeft w:val="0"/>
      <w:marRight w:val="0"/>
      <w:marTop w:val="0"/>
      <w:marBottom w:val="0"/>
      <w:divBdr>
        <w:top w:val="none" w:sz="0" w:space="0" w:color="auto"/>
        <w:left w:val="none" w:sz="0" w:space="0" w:color="auto"/>
        <w:bottom w:val="none" w:sz="0" w:space="0" w:color="auto"/>
        <w:right w:val="none" w:sz="0" w:space="0" w:color="auto"/>
      </w:divBdr>
      <w:divsChild>
        <w:div w:id="525406849">
          <w:marLeft w:val="0"/>
          <w:marRight w:val="0"/>
          <w:marTop w:val="0"/>
          <w:marBottom w:val="0"/>
          <w:divBdr>
            <w:top w:val="none" w:sz="0" w:space="0" w:color="auto"/>
            <w:left w:val="none" w:sz="0" w:space="0" w:color="auto"/>
            <w:bottom w:val="none" w:sz="0" w:space="0" w:color="auto"/>
            <w:right w:val="none" w:sz="0" w:space="0" w:color="auto"/>
          </w:divBdr>
          <w:divsChild>
            <w:div w:id="115102893">
              <w:marLeft w:val="0"/>
              <w:marRight w:val="0"/>
              <w:marTop w:val="0"/>
              <w:marBottom w:val="0"/>
              <w:divBdr>
                <w:top w:val="none" w:sz="0" w:space="0" w:color="auto"/>
                <w:left w:val="none" w:sz="0" w:space="0" w:color="auto"/>
                <w:bottom w:val="none" w:sz="0" w:space="0" w:color="auto"/>
                <w:right w:val="none" w:sz="0" w:space="0" w:color="auto"/>
              </w:divBdr>
              <w:divsChild>
                <w:div w:id="1648512142">
                  <w:marLeft w:val="0"/>
                  <w:marRight w:val="0"/>
                  <w:marTop w:val="0"/>
                  <w:marBottom w:val="0"/>
                  <w:divBdr>
                    <w:top w:val="none" w:sz="0" w:space="0" w:color="auto"/>
                    <w:left w:val="none" w:sz="0" w:space="0" w:color="auto"/>
                    <w:bottom w:val="none" w:sz="0" w:space="0" w:color="auto"/>
                    <w:right w:val="none" w:sz="0" w:space="0" w:color="auto"/>
                  </w:divBdr>
                  <w:divsChild>
                    <w:div w:id="1237469542">
                      <w:marLeft w:val="0"/>
                      <w:marRight w:val="0"/>
                      <w:marTop w:val="0"/>
                      <w:marBottom w:val="0"/>
                      <w:divBdr>
                        <w:top w:val="none" w:sz="0" w:space="0" w:color="auto"/>
                        <w:left w:val="none" w:sz="0" w:space="0" w:color="auto"/>
                        <w:bottom w:val="none" w:sz="0" w:space="0" w:color="auto"/>
                        <w:right w:val="none" w:sz="0" w:space="0" w:color="auto"/>
                      </w:divBdr>
                      <w:divsChild>
                        <w:div w:id="823282475">
                          <w:marLeft w:val="0"/>
                          <w:marRight w:val="0"/>
                          <w:marTop w:val="0"/>
                          <w:marBottom w:val="0"/>
                          <w:divBdr>
                            <w:top w:val="none" w:sz="0" w:space="0" w:color="auto"/>
                            <w:left w:val="none" w:sz="0" w:space="0" w:color="auto"/>
                            <w:bottom w:val="none" w:sz="0" w:space="0" w:color="auto"/>
                            <w:right w:val="none" w:sz="0" w:space="0" w:color="auto"/>
                          </w:divBdr>
                          <w:divsChild>
                            <w:div w:id="1978950377">
                              <w:marLeft w:val="0"/>
                              <w:marRight w:val="0"/>
                              <w:marTop w:val="0"/>
                              <w:marBottom w:val="0"/>
                              <w:divBdr>
                                <w:top w:val="none" w:sz="0" w:space="0" w:color="auto"/>
                                <w:left w:val="none" w:sz="0" w:space="0" w:color="auto"/>
                                <w:bottom w:val="none" w:sz="0" w:space="0" w:color="auto"/>
                                <w:right w:val="none" w:sz="0" w:space="0" w:color="auto"/>
                              </w:divBdr>
                              <w:divsChild>
                                <w:div w:id="1304192370">
                                  <w:marLeft w:val="0"/>
                                  <w:marRight w:val="0"/>
                                  <w:marTop w:val="0"/>
                                  <w:marBottom w:val="0"/>
                                  <w:divBdr>
                                    <w:top w:val="none" w:sz="0" w:space="0" w:color="auto"/>
                                    <w:left w:val="none" w:sz="0" w:space="0" w:color="auto"/>
                                    <w:bottom w:val="none" w:sz="0" w:space="0" w:color="auto"/>
                                    <w:right w:val="none" w:sz="0" w:space="0" w:color="auto"/>
                                  </w:divBdr>
                                  <w:divsChild>
                                    <w:div w:id="1476027574">
                                      <w:marLeft w:val="0"/>
                                      <w:marRight w:val="0"/>
                                      <w:marTop w:val="0"/>
                                      <w:marBottom w:val="0"/>
                                      <w:divBdr>
                                        <w:top w:val="none" w:sz="0" w:space="0" w:color="auto"/>
                                        <w:left w:val="none" w:sz="0" w:space="0" w:color="auto"/>
                                        <w:bottom w:val="none" w:sz="0" w:space="0" w:color="auto"/>
                                        <w:right w:val="none" w:sz="0" w:space="0" w:color="auto"/>
                                      </w:divBdr>
                                      <w:divsChild>
                                        <w:div w:id="13120364">
                                          <w:marLeft w:val="0"/>
                                          <w:marRight w:val="0"/>
                                          <w:marTop w:val="0"/>
                                          <w:marBottom w:val="0"/>
                                          <w:divBdr>
                                            <w:top w:val="none" w:sz="0" w:space="0" w:color="auto"/>
                                            <w:left w:val="none" w:sz="0" w:space="0" w:color="auto"/>
                                            <w:bottom w:val="none" w:sz="0" w:space="0" w:color="auto"/>
                                            <w:right w:val="none" w:sz="0" w:space="0" w:color="auto"/>
                                          </w:divBdr>
                                          <w:divsChild>
                                            <w:div w:id="16546414">
                                              <w:marLeft w:val="0"/>
                                              <w:marRight w:val="0"/>
                                              <w:marTop w:val="0"/>
                                              <w:marBottom w:val="0"/>
                                              <w:divBdr>
                                                <w:top w:val="none" w:sz="0" w:space="0" w:color="auto"/>
                                                <w:left w:val="none" w:sz="0" w:space="0" w:color="auto"/>
                                                <w:bottom w:val="none" w:sz="0" w:space="0" w:color="auto"/>
                                                <w:right w:val="none" w:sz="0" w:space="0" w:color="auto"/>
                                              </w:divBdr>
                                              <w:divsChild>
                                                <w:div w:id="1248005261">
                                                  <w:marLeft w:val="0"/>
                                                  <w:marRight w:val="0"/>
                                                  <w:marTop w:val="0"/>
                                                  <w:marBottom w:val="0"/>
                                                  <w:divBdr>
                                                    <w:top w:val="none" w:sz="0" w:space="0" w:color="auto"/>
                                                    <w:left w:val="none" w:sz="0" w:space="0" w:color="auto"/>
                                                    <w:bottom w:val="none" w:sz="0" w:space="0" w:color="auto"/>
                                                    <w:right w:val="none" w:sz="0" w:space="0" w:color="auto"/>
                                                  </w:divBdr>
                                                  <w:divsChild>
                                                    <w:div w:id="1471291783">
                                                      <w:marLeft w:val="0"/>
                                                      <w:marRight w:val="0"/>
                                                      <w:marTop w:val="0"/>
                                                      <w:marBottom w:val="0"/>
                                                      <w:divBdr>
                                                        <w:top w:val="none" w:sz="0" w:space="0" w:color="auto"/>
                                                        <w:left w:val="none" w:sz="0" w:space="0" w:color="auto"/>
                                                        <w:bottom w:val="none" w:sz="0" w:space="0" w:color="auto"/>
                                                        <w:right w:val="none" w:sz="0" w:space="0" w:color="auto"/>
                                                      </w:divBdr>
                                                      <w:divsChild>
                                                        <w:div w:id="7628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9152706">
      <w:bodyDiv w:val="1"/>
      <w:marLeft w:val="0"/>
      <w:marRight w:val="0"/>
      <w:marTop w:val="0"/>
      <w:marBottom w:val="0"/>
      <w:divBdr>
        <w:top w:val="none" w:sz="0" w:space="0" w:color="auto"/>
        <w:left w:val="none" w:sz="0" w:space="0" w:color="auto"/>
        <w:bottom w:val="none" w:sz="0" w:space="0" w:color="auto"/>
        <w:right w:val="none" w:sz="0" w:space="0" w:color="auto"/>
      </w:divBdr>
      <w:divsChild>
        <w:div w:id="270629296">
          <w:marLeft w:val="0"/>
          <w:marRight w:val="0"/>
          <w:marTop w:val="240"/>
          <w:marBottom w:val="480"/>
          <w:divBdr>
            <w:top w:val="none" w:sz="0" w:space="0" w:color="auto"/>
            <w:left w:val="none" w:sz="0" w:space="0" w:color="auto"/>
            <w:bottom w:val="none" w:sz="0" w:space="0" w:color="auto"/>
            <w:right w:val="none" w:sz="0" w:space="0" w:color="auto"/>
          </w:divBdr>
          <w:divsChild>
            <w:div w:id="610665439">
              <w:marLeft w:val="0"/>
              <w:marRight w:val="0"/>
              <w:marTop w:val="0"/>
              <w:marBottom w:val="0"/>
              <w:divBdr>
                <w:top w:val="none" w:sz="0" w:space="0" w:color="auto"/>
                <w:left w:val="none" w:sz="0" w:space="0" w:color="auto"/>
                <w:bottom w:val="none" w:sz="0" w:space="0" w:color="auto"/>
                <w:right w:val="none" w:sz="0" w:space="0" w:color="auto"/>
              </w:divBdr>
              <w:divsChild>
                <w:div w:id="656418696">
                  <w:marLeft w:val="0"/>
                  <w:marRight w:val="0"/>
                  <w:marTop w:val="0"/>
                  <w:marBottom w:val="0"/>
                  <w:divBdr>
                    <w:top w:val="none" w:sz="0" w:space="0" w:color="auto"/>
                    <w:left w:val="none" w:sz="0" w:space="0" w:color="auto"/>
                    <w:bottom w:val="none" w:sz="0" w:space="0" w:color="auto"/>
                    <w:right w:val="none" w:sz="0" w:space="0" w:color="auto"/>
                  </w:divBdr>
                  <w:divsChild>
                    <w:div w:id="262349624">
                      <w:marLeft w:val="0"/>
                      <w:marRight w:val="0"/>
                      <w:marTop w:val="0"/>
                      <w:marBottom w:val="0"/>
                      <w:divBdr>
                        <w:top w:val="none" w:sz="0" w:space="0" w:color="auto"/>
                        <w:left w:val="none" w:sz="0" w:space="0" w:color="auto"/>
                        <w:bottom w:val="none" w:sz="0" w:space="0" w:color="auto"/>
                        <w:right w:val="none" w:sz="0" w:space="0" w:color="auto"/>
                      </w:divBdr>
                      <w:divsChild>
                        <w:div w:id="1198159994">
                          <w:marLeft w:val="0"/>
                          <w:marRight w:val="0"/>
                          <w:marTop w:val="0"/>
                          <w:marBottom w:val="0"/>
                          <w:divBdr>
                            <w:top w:val="none" w:sz="0" w:space="0" w:color="auto"/>
                            <w:left w:val="none" w:sz="0" w:space="0" w:color="auto"/>
                            <w:bottom w:val="none" w:sz="0" w:space="0" w:color="auto"/>
                            <w:right w:val="none" w:sz="0" w:space="0" w:color="auto"/>
                          </w:divBdr>
                          <w:divsChild>
                            <w:div w:id="487483631">
                              <w:marLeft w:val="0"/>
                              <w:marRight w:val="0"/>
                              <w:marTop w:val="150"/>
                              <w:marBottom w:val="150"/>
                              <w:divBdr>
                                <w:top w:val="none" w:sz="0" w:space="0" w:color="auto"/>
                                <w:left w:val="none" w:sz="0" w:space="0" w:color="auto"/>
                                <w:bottom w:val="none" w:sz="0" w:space="0" w:color="auto"/>
                                <w:right w:val="none" w:sz="0" w:space="0" w:color="auto"/>
                              </w:divBdr>
                              <w:divsChild>
                                <w:div w:id="219101566">
                                  <w:marLeft w:val="0"/>
                                  <w:marRight w:val="0"/>
                                  <w:marTop w:val="0"/>
                                  <w:marBottom w:val="0"/>
                                  <w:divBdr>
                                    <w:top w:val="none" w:sz="0" w:space="0" w:color="auto"/>
                                    <w:left w:val="none" w:sz="0" w:space="0" w:color="auto"/>
                                    <w:bottom w:val="none" w:sz="0" w:space="0" w:color="auto"/>
                                    <w:right w:val="none" w:sz="0" w:space="0" w:color="auto"/>
                                  </w:divBdr>
                                  <w:divsChild>
                                    <w:div w:id="18963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kju\Documents\template_-_amending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template_-_amending_instrument_0</Template>
  <TotalTime>2</TotalTime>
  <Pages>11</Pages>
  <Words>2685</Words>
  <Characters>15306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Walker, Julia</dc:creator>
  <cp:lastModifiedBy>MARTIN, Yvette</cp:lastModifiedBy>
  <cp:revision>3</cp:revision>
  <cp:lastPrinted>2020-04-14T05:22:00Z</cp:lastPrinted>
  <dcterms:created xsi:type="dcterms:W3CDTF">2020-04-17T08:33:00Z</dcterms:created>
  <dcterms:modified xsi:type="dcterms:W3CDTF">2020-04-17T08:45:00Z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ies>
</file>