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8818" w14:textId="77777777" w:rsidR="00261A62" w:rsidRPr="00865BE4" w:rsidRDefault="00261A62" w:rsidP="00261A62">
      <w:pPr>
        <w:rPr>
          <w:rFonts w:eastAsia="Calibri"/>
        </w:rPr>
      </w:pPr>
    </w:p>
    <w:p w14:paraId="65D5B15B" w14:textId="77777777" w:rsidR="00AD625A" w:rsidRPr="0045443A" w:rsidRDefault="00AD625A" w:rsidP="00AD625A">
      <w:pPr>
        <w:keepNext/>
        <w:ind w:left="284"/>
        <w:jc w:val="center"/>
        <w:outlineLvl w:val="0"/>
        <w:rPr>
          <w:b/>
          <w:u w:val="single"/>
          <w:lang w:eastAsia="en-AU"/>
        </w:rPr>
      </w:pPr>
      <w:r w:rsidRPr="0045443A">
        <w:rPr>
          <w:b/>
          <w:u w:val="single"/>
          <w:lang w:eastAsia="en-AU"/>
        </w:rPr>
        <w:t>EXPLANATORY STATEMENT</w:t>
      </w:r>
    </w:p>
    <w:p w14:paraId="5201D8E2" w14:textId="77777777" w:rsidR="00AD625A" w:rsidRPr="0045443A" w:rsidRDefault="00AD625A" w:rsidP="00AD625A">
      <w:pPr>
        <w:rPr>
          <w:u w:val="single"/>
          <w:lang w:eastAsia="en-AU"/>
        </w:rPr>
      </w:pPr>
    </w:p>
    <w:p w14:paraId="2BEA345D" w14:textId="77777777" w:rsidR="00AD625A" w:rsidRPr="0045443A" w:rsidRDefault="00AD625A" w:rsidP="00AD625A">
      <w:pPr>
        <w:widowControl w:val="0"/>
        <w:tabs>
          <w:tab w:val="left" w:pos="993"/>
          <w:tab w:val="left" w:pos="1418"/>
        </w:tabs>
        <w:jc w:val="center"/>
        <w:rPr>
          <w:i/>
          <w:lang w:eastAsia="en-AU"/>
        </w:rPr>
      </w:pPr>
      <w:r w:rsidRPr="0045443A">
        <w:rPr>
          <w:i/>
          <w:lang w:eastAsia="en-AU"/>
        </w:rPr>
        <w:t>Health Insurance Act 1973</w:t>
      </w:r>
    </w:p>
    <w:p w14:paraId="52E79A97" w14:textId="77777777" w:rsidR="00AD625A" w:rsidRPr="0045443A" w:rsidRDefault="00AD625A" w:rsidP="00AD625A">
      <w:pPr>
        <w:jc w:val="both"/>
        <w:rPr>
          <w:i/>
          <w:lang w:eastAsia="en-AU"/>
        </w:rPr>
      </w:pPr>
    </w:p>
    <w:p w14:paraId="1A2285A6" w14:textId="63F3F289" w:rsidR="00AD625A" w:rsidRPr="0045443A" w:rsidRDefault="00AD625A" w:rsidP="00AD625A">
      <w:pPr>
        <w:jc w:val="center"/>
        <w:rPr>
          <w:i/>
          <w:lang w:eastAsia="en-AU"/>
        </w:rPr>
      </w:pPr>
      <w:r w:rsidRPr="0045443A">
        <w:rPr>
          <w:i/>
          <w:lang w:eastAsia="en-AU"/>
        </w:rPr>
        <w:t xml:space="preserve">Health Insurance (General Medical Services Table) Regulations </w:t>
      </w:r>
      <w:r w:rsidR="00970E2B" w:rsidRPr="0045443A">
        <w:rPr>
          <w:i/>
          <w:lang w:eastAsia="en-AU"/>
        </w:rPr>
        <w:t xml:space="preserve">(No. 1) </w:t>
      </w:r>
      <w:r w:rsidRPr="0045443A">
        <w:rPr>
          <w:i/>
          <w:lang w:eastAsia="en-AU"/>
        </w:rPr>
        <w:t>20</w:t>
      </w:r>
      <w:r w:rsidR="00970E2B" w:rsidRPr="0045443A">
        <w:rPr>
          <w:i/>
          <w:lang w:eastAsia="en-AU"/>
        </w:rPr>
        <w:t>20</w:t>
      </w:r>
    </w:p>
    <w:p w14:paraId="396DEF45" w14:textId="77777777" w:rsidR="00AD625A" w:rsidRPr="0045443A" w:rsidRDefault="00AD625A" w:rsidP="00AD625A">
      <w:pPr>
        <w:jc w:val="both"/>
        <w:rPr>
          <w:lang w:eastAsia="en-AU"/>
        </w:rPr>
      </w:pPr>
    </w:p>
    <w:p w14:paraId="49810C39" w14:textId="77777777" w:rsidR="00AD625A" w:rsidRPr="0045443A" w:rsidRDefault="00AD625A" w:rsidP="00AD625A">
      <w:pPr>
        <w:ind w:right="-483"/>
        <w:rPr>
          <w:lang w:eastAsia="en-AU"/>
        </w:rPr>
      </w:pPr>
      <w:r w:rsidRPr="0045443A">
        <w:rPr>
          <w:lang w:eastAsia="en-AU"/>
        </w:rPr>
        <w:t xml:space="preserve">Subsection 133(1) of the </w:t>
      </w:r>
      <w:r w:rsidRPr="0045443A">
        <w:rPr>
          <w:i/>
          <w:lang w:eastAsia="en-AU"/>
        </w:rPr>
        <w:t>Health Insurance Act 1973</w:t>
      </w:r>
      <w:r w:rsidRPr="0045443A">
        <w:rPr>
          <w:lang w:eastAsia="en-AU"/>
        </w:rPr>
        <w:t xml:space="preserve"> (the Act) provides that the Governor-General may make regulations, not inconsistent with the Act, prescribing all matters required or permitted by the Act to be prescribed, or necessary or convenient to be prescribed for carrying out or giving effect to the Act.</w:t>
      </w:r>
    </w:p>
    <w:p w14:paraId="76BEBE98" w14:textId="77777777" w:rsidR="00AD625A" w:rsidRPr="0045443A" w:rsidRDefault="00AD625A" w:rsidP="00AD625A">
      <w:pPr>
        <w:ind w:right="-483"/>
        <w:rPr>
          <w:color w:val="C0504D" w:themeColor="accent2"/>
          <w:spacing w:val="5"/>
          <w:lang w:eastAsia="en-AU"/>
        </w:rPr>
      </w:pPr>
    </w:p>
    <w:p w14:paraId="0EA2CFE6" w14:textId="77777777" w:rsidR="00AD625A" w:rsidRPr="0045443A" w:rsidRDefault="00AD625A" w:rsidP="00AD625A">
      <w:pPr>
        <w:ind w:right="-483"/>
        <w:rPr>
          <w:lang w:eastAsia="en-AU"/>
        </w:rPr>
      </w:pPr>
      <w:r w:rsidRPr="0045443A">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170E55A4" w14:textId="77777777" w:rsidR="00AD625A" w:rsidRPr="0045443A" w:rsidRDefault="00AD625A" w:rsidP="00AD625A">
      <w:pPr>
        <w:rPr>
          <w:lang w:eastAsia="en-AU"/>
        </w:rPr>
      </w:pPr>
    </w:p>
    <w:p w14:paraId="1BF83911" w14:textId="77777777" w:rsidR="00AD625A" w:rsidRPr="0045443A" w:rsidRDefault="00AD625A" w:rsidP="00AD625A">
      <w:pPr>
        <w:ind w:right="-483"/>
        <w:rPr>
          <w:lang w:eastAsia="en-AU"/>
        </w:rPr>
      </w:pPr>
      <w:r w:rsidRPr="0045443A">
        <w:rPr>
          <w:lang w:eastAsia="en-AU"/>
        </w:rPr>
        <w:t>Subsection 4(1) of the Act provides that regulations may prescribe a table of medical services which sets out items of medical services, the fees applicable for each item, and rules for interpreting the table. The table made under this subsection is referred to as the general medical services table (GMST).</w:t>
      </w:r>
    </w:p>
    <w:p w14:paraId="1CB1F567" w14:textId="77777777" w:rsidR="00AD625A" w:rsidRPr="0045443A" w:rsidRDefault="00AD625A" w:rsidP="00AD625A"/>
    <w:p w14:paraId="72203B0B" w14:textId="21AE4EEF" w:rsidR="00AD625A" w:rsidRPr="0045443A" w:rsidRDefault="00AD625A" w:rsidP="00AD625A">
      <w:r w:rsidRPr="0045443A">
        <w:t>Subsection 4(2) of the Act provides that, unless repealed earlier, the GMST will cease to be in force and will be taken to have been repealed on the day following the 15</w:t>
      </w:r>
      <w:r w:rsidRPr="0045443A">
        <w:rPr>
          <w:vertAlign w:val="superscript"/>
        </w:rPr>
        <w:t>th</w:t>
      </w:r>
      <w:r w:rsidRPr="0045443A">
        <w:t xml:space="preserve"> sitting day of the House of Representatives after the end of a 12 month period which begins on the day when the regulation is registered on the Federal Register of Legislation (FRL). The </w:t>
      </w:r>
      <w:r w:rsidRPr="0045443A">
        <w:rPr>
          <w:i/>
        </w:rPr>
        <w:t>Health Insurance (General Medical Services Table) Regulations 201</w:t>
      </w:r>
      <w:r w:rsidR="00970E2B" w:rsidRPr="0045443A">
        <w:rPr>
          <w:i/>
        </w:rPr>
        <w:t>9</w:t>
      </w:r>
      <w:r w:rsidRPr="0045443A">
        <w:rPr>
          <w:i/>
        </w:rPr>
        <w:t xml:space="preserve"> </w:t>
      </w:r>
      <w:r w:rsidRPr="0045443A">
        <w:t>(the 201</w:t>
      </w:r>
      <w:r w:rsidR="00970E2B" w:rsidRPr="0045443A">
        <w:t>9</w:t>
      </w:r>
      <w:r w:rsidRPr="0045443A">
        <w:t xml:space="preserve"> Regulations) were registered on </w:t>
      </w:r>
      <w:r w:rsidR="00970E2B" w:rsidRPr="0045443A">
        <w:t>9 April 2019</w:t>
      </w:r>
      <w:r w:rsidRPr="0045443A">
        <w:t xml:space="preserve">. </w:t>
      </w:r>
    </w:p>
    <w:p w14:paraId="3716EDB5" w14:textId="52A04B0F" w:rsidR="00D24796" w:rsidRPr="0045443A" w:rsidRDefault="00D24796" w:rsidP="00AD625A"/>
    <w:p w14:paraId="151B0C72" w14:textId="04CEA814" w:rsidR="00D24796" w:rsidRPr="0045443A" w:rsidRDefault="00D24796" w:rsidP="00D24796">
      <w:r w:rsidRPr="0045443A">
        <w:t xml:space="preserve">Subsection 33(3) of the </w:t>
      </w:r>
      <w:r w:rsidRPr="0045443A">
        <w:rPr>
          <w:i/>
          <w:iCs/>
        </w:rPr>
        <w:t xml:space="preserve">Acts Interpretation Act 1901 </w:t>
      </w:r>
      <w:r w:rsidRPr="0045443A">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CE1B5F" w:rsidRPr="0045443A">
        <w:t>.</w:t>
      </w:r>
      <w:r w:rsidRPr="0045443A">
        <w:t xml:space="preserve"> </w:t>
      </w:r>
    </w:p>
    <w:p w14:paraId="598611E6" w14:textId="77777777" w:rsidR="00AD625A" w:rsidRPr="0045443A" w:rsidRDefault="00AD625A" w:rsidP="00AD625A"/>
    <w:p w14:paraId="07699CF8" w14:textId="77777777" w:rsidR="00AD625A" w:rsidRPr="0045443A" w:rsidRDefault="00AD625A" w:rsidP="00AD625A">
      <w:pPr>
        <w:autoSpaceDE w:val="0"/>
        <w:autoSpaceDN w:val="0"/>
        <w:adjustRightInd w:val="0"/>
        <w:rPr>
          <w:b/>
          <w:lang w:eastAsia="en-AU"/>
        </w:rPr>
      </w:pPr>
      <w:r w:rsidRPr="0045443A">
        <w:rPr>
          <w:b/>
          <w:lang w:eastAsia="en-AU"/>
        </w:rPr>
        <w:t>Purpose</w:t>
      </w:r>
    </w:p>
    <w:p w14:paraId="79B78598" w14:textId="52A1F0E1" w:rsidR="00AD625A" w:rsidRPr="0045443A" w:rsidRDefault="00AD625A" w:rsidP="00AD625A">
      <w:pPr>
        <w:rPr>
          <w:lang w:eastAsia="en-AU"/>
        </w:rPr>
      </w:pPr>
      <w:r w:rsidRPr="0045443A">
        <w:rPr>
          <w:lang w:eastAsia="en-AU"/>
        </w:rPr>
        <w:t xml:space="preserve">The purpose of the </w:t>
      </w:r>
      <w:r w:rsidRPr="0045443A">
        <w:rPr>
          <w:i/>
          <w:lang w:eastAsia="en-AU"/>
        </w:rPr>
        <w:t>Health Insurance (General Medical Services Table) Regulations</w:t>
      </w:r>
      <w:r w:rsidR="00970E2B" w:rsidRPr="0045443A">
        <w:rPr>
          <w:i/>
          <w:lang w:eastAsia="en-AU"/>
        </w:rPr>
        <w:t xml:space="preserve"> (No. 1)</w:t>
      </w:r>
      <w:r w:rsidRPr="0045443A">
        <w:rPr>
          <w:i/>
          <w:lang w:eastAsia="en-AU"/>
        </w:rPr>
        <w:t xml:space="preserve"> 20</w:t>
      </w:r>
      <w:r w:rsidR="00970E2B" w:rsidRPr="0045443A">
        <w:rPr>
          <w:i/>
          <w:lang w:eastAsia="en-AU"/>
        </w:rPr>
        <w:t>20</w:t>
      </w:r>
      <w:r w:rsidRPr="0045443A">
        <w:rPr>
          <w:lang w:eastAsia="en-AU"/>
        </w:rPr>
        <w:t xml:space="preserve"> (the Regulations) is to repeal the 201</w:t>
      </w:r>
      <w:r w:rsidR="00970E2B" w:rsidRPr="0045443A">
        <w:rPr>
          <w:lang w:eastAsia="en-AU"/>
        </w:rPr>
        <w:t>9</w:t>
      </w:r>
      <w:r w:rsidRPr="0045443A">
        <w:rPr>
          <w:lang w:eastAsia="en-AU"/>
        </w:rPr>
        <w:t xml:space="preserve"> Regulations and prescribe a new table of medical services from 1 </w:t>
      </w:r>
      <w:r w:rsidR="00970E2B" w:rsidRPr="0045443A">
        <w:rPr>
          <w:lang w:eastAsia="en-AU"/>
        </w:rPr>
        <w:t xml:space="preserve">May </w:t>
      </w:r>
      <w:r w:rsidRPr="0045443A">
        <w:rPr>
          <w:lang w:eastAsia="en-AU"/>
        </w:rPr>
        <w:t>20</w:t>
      </w:r>
      <w:r w:rsidR="00970E2B" w:rsidRPr="0045443A">
        <w:rPr>
          <w:lang w:eastAsia="en-AU"/>
        </w:rPr>
        <w:t>20</w:t>
      </w:r>
      <w:r w:rsidRPr="0045443A">
        <w:rPr>
          <w:lang w:eastAsia="en-AU"/>
        </w:rPr>
        <w:t xml:space="preserve">. This will ensure that Medicare benefits continue to be payable for medical services performed by general practitioners (GPs), specialists and consultant physicians. </w:t>
      </w:r>
    </w:p>
    <w:p w14:paraId="38790185" w14:textId="10F0C77C" w:rsidR="00970E2B" w:rsidRPr="0045443A" w:rsidRDefault="00970E2B" w:rsidP="00AD625A">
      <w:pPr>
        <w:rPr>
          <w:lang w:eastAsia="en-AU"/>
        </w:rPr>
      </w:pPr>
    </w:p>
    <w:p w14:paraId="58826621" w14:textId="02FA347E" w:rsidR="00A56090" w:rsidRPr="0045443A" w:rsidRDefault="00EE77DB" w:rsidP="00EE77DB">
      <w:pPr>
        <w:rPr>
          <w:lang w:eastAsia="en-AU"/>
        </w:rPr>
      </w:pPr>
      <w:r w:rsidRPr="0045443A">
        <w:rPr>
          <w:lang w:eastAsia="en-AU"/>
        </w:rPr>
        <w:t xml:space="preserve">The Regulations will </w:t>
      </w:r>
      <w:r w:rsidR="00756420" w:rsidRPr="0045443A">
        <w:rPr>
          <w:lang w:eastAsia="en-AU"/>
        </w:rPr>
        <w:t xml:space="preserve">also </w:t>
      </w:r>
      <w:r w:rsidR="00D972BB" w:rsidRPr="0045443A">
        <w:rPr>
          <w:lang w:eastAsia="en-AU"/>
        </w:rPr>
        <w:t xml:space="preserve">implement </w:t>
      </w:r>
      <w:r w:rsidR="00801C4F" w:rsidRPr="0045443A">
        <w:rPr>
          <w:lang w:eastAsia="en-AU"/>
        </w:rPr>
        <w:t xml:space="preserve">changes to </w:t>
      </w:r>
      <w:r w:rsidR="00D972BB" w:rsidRPr="0045443A">
        <w:rPr>
          <w:lang w:eastAsia="en-AU"/>
        </w:rPr>
        <w:t xml:space="preserve">Government policy and </w:t>
      </w:r>
      <w:r w:rsidR="00756420" w:rsidRPr="0045443A">
        <w:rPr>
          <w:lang w:eastAsia="en-AU"/>
        </w:rPr>
        <w:t>make a number of editorial drafting improvements</w:t>
      </w:r>
      <w:r w:rsidR="00D972BB" w:rsidRPr="0045443A">
        <w:rPr>
          <w:lang w:eastAsia="en-AU"/>
        </w:rPr>
        <w:t xml:space="preserve"> and machinery </w:t>
      </w:r>
      <w:r w:rsidR="00801C4F" w:rsidRPr="0045443A">
        <w:rPr>
          <w:lang w:eastAsia="en-AU"/>
        </w:rPr>
        <w:t>amendments</w:t>
      </w:r>
      <w:r w:rsidR="00D972BB" w:rsidRPr="0045443A">
        <w:rPr>
          <w:lang w:eastAsia="en-AU"/>
        </w:rPr>
        <w:t>. The changes to Government policy include</w:t>
      </w:r>
      <w:r w:rsidR="00A56090" w:rsidRPr="0045443A">
        <w:rPr>
          <w:lang w:eastAsia="en-AU"/>
        </w:rPr>
        <w:t>:</w:t>
      </w:r>
    </w:p>
    <w:p w14:paraId="06D5EB86" w14:textId="3068588F" w:rsidR="00A56090" w:rsidRPr="0045443A" w:rsidRDefault="007A353A" w:rsidP="008207B6">
      <w:pPr>
        <w:pStyle w:val="ListParagraph"/>
        <w:numPr>
          <w:ilvl w:val="0"/>
          <w:numId w:val="18"/>
        </w:numPr>
      </w:pPr>
      <w:r w:rsidRPr="0045443A">
        <w:rPr>
          <w:lang w:eastAsia="en-AU"/>
        </w:rPr>
        <w:t>r</w:t>
      </w:r>
      <w:r w:rsidR="00801C4F" w:rsidRPr="0045443A">
        <w:rPr>
          <w:lang w:eastAsia="en-AU"/>
        </w:rPr>
        <w:t>emoving obsolete nuclear medicine items, preventing radiologists co-claiming certain attendance items with specified diagnostic imaging services, and changing breast biopsy items</w:t>
      </w:r>
      <w:r w:rsidRPr="0045443A">
        <w:rPr>
          <w:lang w:eastAsia="en-AU"/>
        </w:rPr>
        <w:t>;</w:t>
      </w:r>
      <w:r w:rsidR="00801C4F" w:rsidRPr="0045443A">
        <w:rPr>
          <w:lang w:eastAsia="en-AU"/>
        </w:rPr>
        <w:t xml:space="preserve"> </w:t>
      </w:r>
      <w:r w:rsidR="00A56090" w:rsidRPr="0045443A">
        <w:rPr>
          <w:lang w:eastAsia="en-AU"/>
        </w:rPr>
        <w:t>as recommended by the Medicare Benefits Schedule (MBS) Review Taskforce;</w:t>
      </w:r>
    </w:p>
    <w:p w14:paraId="5CC967B2" w14:textId="37ECCCDB" w:rsidR="00A56090" w:rsidRPr="0045443A" w:rsidRDefault="00A56090" w:rsidP="008207B6">
      <w:pPr>
        <w:pStyle w:val="ListParagraph"/>
        <w:numPr>
          <w:ilvl w:val="0"/>
          <w:numId w:val="18"/>
        </w:numPr>
      </w:pPr>
      <w:r w:rsidRPr="0045443A">
        <w:rPr>
          <w:lang w:eastAsia="en-AU"/>
        </w:rPr>
        <w:t>increasing the fee for prostate ablation</w:t>
      </w:r>
      <w:r w:rsidR="001D23A8" w:rsidRPr="0045443A">
        <w:rPr>
          <w:lang w:eastAsia="en-AU"/>
        </w:rPr>
        <w:t>,</w:t>
      </w:r>
      <w:r w:rsidRPr="0045443A">
        <w:rPr>
          <w:lang w:eastAsia="en-AU"/>
        </w:rPr>
        <w:t xml:space="preserve"> as recommended by the Medical Services Advisory Committee (MSAC);</w:t>
      </w:r>
    </w:p>
    <w:p w14:paraId="1DD8D33D" w14:textId="764CDF28" w:rsidR="00A56090" w:rsidRPr="0045443A" w:rsidRDefault="00A56090" w:rsidP="008207B6">
      <w:pPr>
        <w:pStyle w:val="ListParagraph"/>
        <w:numPr>
          <w:ilvl w:val="0"/>
          <w:numId w:val="18"/>
        </w:numPr>
      </w:pPr>
      <w:r w:rsidRPr="0045443A">
        <w:rPr>
          <w:lang w:eastAsia="en-AU"/>
        </w:rPr>
        <w:t>listing a new MRI-guided biopsy of the prostrate service</w:t>
      </w:r>
      <w:r w:rsidR="001D23A8" w:rsidRPr="0045443A">
        <w:rPr>
          <w:lang w:eastAsia="en-AU"/>
        </w:rPr>
        <w:t>,</w:t>
      </w:r>
      <w:r w:rsidRPr="0045443A">
        <w:rPr>
          <w:lang w:eastAsia="en-AU"/>
        </w:rPr>
        <w:t xml:space="preserve"> as recommended by MSAC</w:t>
      </w:r>
      <w:r w:rsidR="0046601A" w:rsidRPr="0045443A">
        <w:rPr>
          <w:lang w:eastAsia="en-AU"/>
        </w:rPr>
        <w:t xml:space="preserve"> executive</w:t>
      </w:r>
      <w:r w:rsidRPr="0045443A">
        <w:rPr>
          <w:lang w:eastAsia="en-AU"/>
        </w:rPr>
        <w:t>;</w:t>
      </w:r>
    </w:p>
    <w:p w14:paraId="7D171FE0" w14:textId="750E8F39" w:rsidR="00A56090" w:rsidRPr="0045443A" w:rsidRDefault="00A56090" w:rsidP="008207B6">
      <w:pPr>
        <w:pStyle w:val="ListParagraph"/>
        <w:numPr>
          <w:ilvl w:val="0"/>
          <w:numId w:val="18"/>
        </w:numPr>
      </w:pPr>
      <w:r w:rsidRPr="0045443A">
        <w:rPr>
          <w:lang w:eastAsia="en-AU"/>
        </w:rPr>
        <w:lastRenderedPageBreak/>
        <w:t>listing a new glaucoma surgery service for insertion of micro-stents in the eye</w:t>
      </w:r>
      <w:r w:rsidR="001D23A8" w:rsidRPr="0045443A">
        <w:rPr>
          <w:lang w:eastAsia="en-AU"/>
        </w:rPr>
        <w:t>,</w:t>
      </w:r>
      <w:r w:rsidRPr="0045443A">
        <w:rPr>
          <w:lang w:eastAsia="en-AU"/>
        </w:rPr>
        <w:t xml:space="preserve"> as recommended by MSAC; and</w:t>
      </w:r>
    </w:p>
    <w:p w14:paraId="73B39D49" w14:textId="41C09275" w:rsidR="00A56090" w:rsidRPr="0045443A" w:rsidRDefault="00A56090" w:rsidP="008207B6">
      <w:pPr>
        <w:pStyle w:val="ListParagraph"/>
        <w:numPr>
          <w:ilvl w:val="0"/>
          <w:numId w:val="18"/>
        </w:numPr>
      </w:pPr>
      <w:r w:rsidRPr="0045443A">
        <w:rPr>
          <w:lang w:eastAsia="en-AU"/>
        </w:rPr>
        <w:t xml:space="preserve">including eye movement desensitisation and reprocessing as a </w:t>
      </w:r>
      <w:r w:rsidR="001D23A8" w:rsidRPr="0045443A">
        <w:rPr>
          <w:lang w:eastAsia="en-AU"/>
        </w:rPr>
        <w:t xml:space="preserve">psychological </w:t>
      </w:r>
      <w:r w:rsidRPr="0045443A">
        <w:rPr>
          <w:lang w:eastAsia="en-AU"/>
        </w:rPr>
        <w:t>therapy under items 2721, 2723, 2725 and 2727, as recommended by MSAC.</w:t>
      </w:r>
    </w:p>
    <w:p w14:paraId="51DA7A6D" w14:textId="77777777" w:rsidR="00970E2B" w:rsidRPr="0045443A" w:rsidRDefault="00970E2B" w:rsidP="00970E2B">
      <w:pPr>
        <w:shd w:val="clear" w:color="auto" w:fill="FFFFFF"/>
        <w:rPr>
          <w:rFonts w:ascii="Helvetica Neue" w:hAnsi="Helvetica Neue"/>
          <w:bCs/>
        </w:rPr>
      </w:pPr>
    </w:p>
    <w:p w14:paraId="11BF303B" w14:textId="77777777" w:rsidR="00AD625A" w:rsidRPr="0045443A" w:rsidRDefault="00AD625A" w:rsidP="00AD625A">
      <w:pPr>
        <w:rPr>
          <w:b/>
        </w:rPr>
      </w:pPr>
      <w:r w:rsidRPr="0045443A">
        <w:rPr>
          <w:b/>
        </w:rPr>
        <w:t>Consultation</w:t>
      </w:r>
    </w:p>
    <w:p w14:paraId="3FC6499A" w14:textId="7A8074A7" w:rsidR="0048145B" w:rsidRPr="0045443A" w:rsidRDefault="008207B6" w:rsidP="0048145B">
      <w:pPr>
        <w:rPr>
          <w:lang w:eastAsia="en-AU"/>
        </w:rPr>
      </w:pPr>
      <w:r w:rsidRPr="0045443A">
        <w:rPr>
          <w:lang w:eastAsia="en-AU"/>
        </w:rPr>
        <w:t>Consultation was not undertaken in relation to the remake of the GMST as this exercise is machinery in nature and does not alter existing arrangements</w:t>
      </w:r>
      <w:r w:rsidR="00A56090" w:rsidRPr="0045443A">
        <w:rPr>
          <w:lang w:eastAsia="en-AU"/>
        </w:rPr>
        <w:t xml:space="preserve">. </w:t>
      </w:r>
    </w:p>
    <w:p w14:paraId="0FD2405B" w14:textId="77777777" w:rsidR="0048145B" w:rsidRPr="0045443A" w:rsidRDefault="0048145B" w:rsidP="0048145B">
      <w:pPr>
        <w:rPr>
          <w:lang w:eastAsia="en-AU"/>
        </w:rPr>
      </w:pPr>
    </w:p>
    <w:p w14:paraId="24392675" w14:textId="7674AEDB" w:rsidR="0048145B" w:rsidRPr="0045443A" w:rsidRDefault="0048145B" w:rsidP="0048145B">
      <w:pPr>
        <w:rPr>
          <w:lang w:eastAsia="en-AU"/>
        </w:rPr>
      </w:pPr>
      <w:r w:rsidRPr="0045443A">
        <w:rPr>
          <w:lang w:eastAsia="en-AU"/>
        </w:rPr>
        <w:t xml:space="preserve">Consultation was undertaken on the changes to diagnostic services that were recommended by the MBS Review Taskforce, and announced in the 2019-20 Budget under the </w:t>
      </w:r>
      <w:r w:rsidRPr="0045443A">
        <w:rPr>
          <w:i/>
          <w:lang w:eastAsia="en-AU"/>
        </w:rPr>
        <w:t>Guaranteeing Medicare – Medicare Benefits Schedule – new and amended listings</w:t>
      </w:r>
      <w:r w:rsidRPr="0045443A">
        <w:rPr>
          <w:lang w:eastAsia="en-AU"/>
        </w:rPr>
        <w:t xml:space="preserve"> measure. </w:t>
      </w:r>
    </w:p>
    <w:p w14:paraId="3F851465" w14:textId="77777777" w:rsidR="0048145B" w:rsidRPr="0045443A" w:rsidRDefault="0048145B" w:rsidP="0048145B">
      <w:pPr>
        <w:rPr>
          <w:lang w:eastAsia="en-AU"/>
        </w:rPr>
      </w:pPr>
    </w:p>
    <w:p w14:paraId="6F6C41E0" w14:textId="346EF2BD" w:rsidR="0048145B" w:rsidRPr="0045443A" w:rsidRDefault="0048145B" w:rsidP="0048145B">
      <w:pPr>
        <w:rPr>
          <w:lang w:eastAsia="en-AU"/>
        </w:rPr>
      </w:pPr>
      <w:r w:rsidRPr="0045443A">
        <w:rPr>
          <w:lang w:eastAsia="en-AU"/>
        </w:rPr>
        <w:t xml:space="preserve">The MBS Review is conducted by expert committees and working groups focusing on specific areas of the MBS. </w:t>
      </w:r>
      <w:r w:rsidR="008207B6" w:rsidRPr="0045443A">
        <w:rPr>
          <w:lang w:eastAsia="en-AU"/>
        </w:rPr>
        <w:t>Clinical committee reports are released for public consultation to inform the final Taskforce reports and recommendations to Government.</w:t>
      </w:r>
    </w:p>
    <w:p w14:paraId="272830C1" w14:textId="77777777" w:rsidR="0048145B" w:rsidRPr="0045443A" w:rsidRDefault="0048145B" w:rsidP="0048145B">
      <w:pPr>
        <w:rPr>
          <w:lang w:eastAsia="en-AU"/>
        </w:rPr>
      </w:pPr>
    </w:p>
    <w:p w14:paraId="3FD5AB03" w14:textId="01BE9B74" w:rsidR="008207B6" w:rsidRPr="0045443A" w:rsidRDefault="0048145B" w:rsidP="008207B6">
      <w:pPr>
        <w:rPr>
          <w:rFonts w:eastAsiaTheme="minorHAnsi"/>
          <w:lang w:val="en-US"/>
        </w:rPr>
      </w:pPr>
      <w:r w:rsidRPr="0045443A">
        <w:rPr>
          <w:rFonts w:eastAsiaTheme="minorHAnsi"/>
        </w:rPr>
        <w:t>Consultation was undertaken</w:t>
      </w:r>
      <w:r w:rsidR="007A353A" w:rsidRPr="0045443A">
        <w:rPr>
          <w:rFonts w:eastAsiaTheme="minorHAnsi"/>
        </w:rPr>
        <w:t xml:space="preserve"> on MSAC </w:t>
      </w:r>
      <w:r w:rsidRPr="0045443A">
        <w:rPr>
          <w:rFonts w:eastAsiaTheme="minorHAnsi"/>
        </w:rPr>
        <w:t>recommended changes as part of the application process. MSAC reviews new or existing medical services or technology, and the circumstances under which public funding should be supported through listing on the MBS.</w:t>
      </w:r>
      <w:r w:rsidR="008207B6" w:rsidRPr="0045443A">
        <w:rPr>
          <w:rFonts w:eastAsiaTheme="minorHAnsi"/>
        </w:rPr>
        <w:t xml:space="preserve"> As part of the MSAC process, consultation is undertaken with professional bodies, consumer groups, the public and clinical experts for applications put forward for consideration.</w:t>
      </w:r>
    </w:p>
    <w:p w14:paraId="2308142A" w14:textId="77777777" w:rsidR="00970E2B" w:rsidRPr="0045443A" w:rsidRDefault="00970E2B" w:rsidP="00AD625A">
      <w:pPr>
        <w:rPr>
          <w:lang w:eastAsia="en-AU"/>
        </w:rPr>
      </w:pPr>
    </w:p>
    <w:p w14:paraId="6299FA70" w14:textId="77777777" w:rsidR="00AD625A" w:rsidRPr="0045443A" w:rsidRDefault="00AD625A" w:rsidP="00AD625A">
      <w:pPr>
        <w:rPr>
          <w:lang w:eastAsia="en-AU"/>
        </w:rPr>
      </w:pPr>
      <w:r w:rsidRPr="0045443A">
        <w:rPr>
          <w:lang w:eastAsia="en-AU"/>
        </w:rPr>
        <w:t>Details of the Regulations</w:t>
      </w:r>
      <w:r w:rsidRPr="0045443A">
        <w:rPr>
          <w:i/>
          <w:lang w:eastAsia="en-AU"/>
        </w:rPr>
        <w:t xml:space="preserve"> </w:t>
      </w:r>
      <w:r w:rsidRPr="0045443A">
        <w:rPr>
          <w:lang w:eastAsia="en-AU"/>
        </w:rPr>
        <w:t xml:space="preserve">are set out in the </w:t>
      </w:r>
      <w:r w:rsidRPr="0045443A">
        <w:rPr>
          <w:u w:val="single"/>
          <w:lang w:eastAsia="en-AU"/>
        </w:rPr>
        <w:t>Attachment</w:t>
      </w:r>
      <w:r w:rsidRPr="0045443A">
        <w:rPr>
          <w:lang w:eastAsia="en-AU"/>
        </w:rPr>
        <w:t>.</w:t>
      </w:r>
    </w:p>
    <w:p w14:paraId="482985FC" w14:textId="77777777" w:rsidR="00AD625A" w:rsidRPr="0045443A" w:rsidRDefault="00AD625A" w:rsidP="00AD625A">
      <w:pPr>
        <w:rPr>
          <w:lang w:eastAsia="en-AU"/>
        </w:rPr>
      </w:pPr>
    </w:p>
    <w:p w14:paraId="7C05F294" w14:textId="77777777" w:rsidR="00AD625A" w:rsidRPr="0045443A" w:rsidRDefault="00AD625A" w:rsidP="00AD625A">
      <w:pPr>
        <w:rPr>
          <w:szCs w:val="20"/>
          <w:lang w:eastAsia="en-AU"/>
        </w:rPr>
      </w:pPr>
      <w:r w:rsidRPr="0045443A">
        <w:rPr>
          <w:szCs w:val="20"/>
          <w:lang w:eastAsia="en-AU"/>
        </w:rPr>
        <w:t xml:space="preserve">The Regulations are a legislative instrument for the purposes of the </w:t>
      </w:r>
      <w:r w:rsidRPr="0045443A">
        <w:rPr>
          <w:i/>
          <w:iCs/>
          <w:szCs w:val="20"/>
          <w:lang w:eastAsia="en-AU"/>
        </w:rPr>
        <w:t>Legislation Act 2003</w:t>
      </w:r>
      <w:r w:rsidRPr="0045443A">
        <w:rPr>
          <w:szCs w:val="20"/>
          <w:lang w:eastAsia="en-AU"/>
        </w:rPr>
        <w:t>.</w:t>
      </w:r>
    </w:p>
    <w:p w14:paraId="0B381666" w14:textId="77777777" w:rsidR="00AD625A" w:rsidRPr="0045443A" w:rsidRDefault="00AD625A" w:rsidP="00AD625A">
      <w:pPr>
        <w:rPr>
          <w:iCs/>
          <w:lang w:eastAsia="en-AU"/>
        </w:rPr>
      </w:pPr>
    </w:p>
    <w:p w14:paraId="01BFF9A3" w14:textId="69C20309" w:rsidR="00AD625A" w:rsidRPr="0045443A" w:rsidRDefault="00AD625A" w:rsidP="00AD625A">
      <w:pPr>
        <w:rPr>
          <w:lang w:eastAsia="en-AU"/>
        </w:rPr>
      </w:pPr>
      <w:r w:rsidRPr="0045443A">
        <w:rPr>
          <w:lang w:eastAsia="en-AU"/>
        </w:rPr>
        <w:t xml:space="preserve">The Regulations commence on 1 </w:t>
      </w:r>
      <w:r w:rsidR="00970E2B" w:rsidRPr="0045443A">
        <w:rPr>
          <w:lang w:eastAsia="en-AU"/>
        </w:rPr>
        <w:t>May 2020</w:t>
      </w:r>
      <w:r w:rsidRPr="0045443A">
        <w:rPr>
          <w:lang w:eastAsia="en-AU"/>
        </w:rPr>
        <w:t xml:space="preserve">.  </w:t>
      </w:r>
    </w:p>
    <w:p w14:paraId="3CD886A1" w14:textId="77777777" w:rsidR="00AD625A" w:rsidRPr="0045443A" w:rsidRDefault="00AD625A" w:rsidP="00AD625A">
      <w:pPr>
        <w:rPr>
          <w:lang w:eastAsia="en-AU"/>
        </w:rPr>
      </w:pPr>
    </w:p>
    <w:p w14:paraId="59B1B2F8" w14:textId="77777777" w:rsidR="00AD625A" w:rsidRPr="0045443A" w:rsidRDefault="00AD625A" w:rsidP="00AD625A">
      <w:pPr>
        <w:tabs>
          <w:tab w:val="left" w:pos="4395"/>
          <w:tab w:val="left" w:pos="5670"/>
        </w:tabs>
        <w:ind w:left="5670" w:hanging="1275"/>
        <w:jc w:val="center"/>
        <w:rPr>
          <w:lang w:eastAsia="en-AU"/>
        </w:rPr>
      </w:pPr>
      <w:r w:rsidRPr="0045443A">
        <w:rPr>
          <w:u w:val="single"/>
          <w:lang w:eastAsia="en-AU"/>
        </w:rPr>
        <w:t>Authority</w:t>
      </w:r>
      <w:r w:rsidRPr="0045443A">
        <w:rPr>
          <w:lang w:eastAsia="en-AU"/>
        </w:rPr>
        <w:t xml:space="preserve">:   Subsection 133(1) of the </w:t>
      </w:r>
      <w:r w:rsidRPr="0045443A">
        <w:rPr>
          <w:i/>
          <w:lang w:eastAsia="en-AU"/>
        </w:rPr>
        <w:t>Health Insurance Act 1973</w:t>
      </w:r>
      <w:r w:rsidRPr="0045443A">
        <w:rPr>
          <w:lang w:eastAsia="en-AU"/>
        </w:rPr>
        <w:t xml:space="preserve">  </w:t>
      </w:r>
    </w:p>
    <w:p w14:paraId="112BB4D4" w14:textId="77777777" w:rsidR="00AD625A" w:rsidRPr="0045443A" w:rsidRDefault="00AD625A" w:rsidP="00AD625A">
      <w:pPr>
        <w:ind w:left="284"/>
        <w:rPr>
          <w:lang w:eastAsia="en-AU"/>
        </w:rPr>
        <w:sectPr w:rsidR="00AD625A" w:rsidRPr="0045443A" w:rsidSect="00C502D3">
          <w:headerReference w:type="default" r:id="rId11"/>
          <w:pgSz w:w="11906" w:h="16838"/>
          <w:pgMar w:top="1440" w:right="1800" w:bottom="993" w:left="1800" w:header="708" w:footer="708" w:gutter="0"/>
          <w:cols w:space="708"/>
          <w:docGrid w:linePitch="360"/>
        </w:sectPr>
      </w:pPr>
      <w:r w:rsidRPr="0045443A">
        <w:rPr>
          <w:lang w:eastAsia="en-AU"/>
        </w:rPr>
        <w:br w:type="page"/>
      </w:r>
    </w:p>
    <w:p w14:paraId="54C4EF99" w14:textId="77777777" w:rsidR="00AD625A" w:rsidRPr="0045443A" w:rsidRDefault="00AD625A" w:rsidP="00AD625A">
      <w:pPr>
        <w:ind w:left="284"/>
        <w:rPr>
          <w:lang w:eastAsia="en-AU"/>
        </w:rPr>
      </w:pPr>
    </w:p>
    <w:p w14:paraId="22289E78" w14:textId="77777777" w:rsidR="00AD625A" w:rsidRPr="0045443A" w:rsidRDefault="00AD625A" w:rsidP="00AD625A">
      <w:pPr>
        <w:jc w:val="right"/>
        <w:rPr>
          <w:b/>
          <w:lang w:eastAsia="en-AU"/>
        </w:rPr>
      </w:pPr>
      <w:r w:rsidRPr="0045443A">
        <w:rPr>
          <w:b/>
          <w:lang w:eastAsia="en-AU"/>
        </w:rPr>
        <w:t xml:space="preserve">ATTACHMENT </w:t>
      </w:r>
    </w:p>
    <w:p w14:paraId="0B542BED" w14:textId="77777777" w:rsidR="00AD625A" w:rsidRPr="0045443A" w:rsidRDefault="00AD625A" w:rsidP="00AD625A">
      <w:pPr>
        <w:rPr>
          <w:b/>
          <w:lang w:eastAsia="en-AU"/>
        </w:rPr>
      </w:pPr>
    </w:p>
    <w:p w14:paraId="36ACB747" w14:textId="56F61D03" w:rsidR="00970E2B" w:rsidRPr="0045443A" w:rsidRDefault="00970E2B" w:rsidP="00970E2B">
      <w:pPr>
        <w:rPr>
          <w:b/>
          <w:i/>
          <w:lang w:eastAsia="en-AU"/>
        </w:rPr>
      </w:pPr>
      <w:r w:rsidRPr="0045443A">
        <w:rPr>
          <w:b/>
          <w:lang w:eastAsia="en-AU"/>
        </w:rPr>
        <w:t xml:space="preserve">Details of the </w:t>
      </w:r>
      <w:r w:rsidRPr="0045443A">
        <w:rPr>
          <w:b/>
          <w:i/>
          <w:lang w:eastAsia="en-AU"/>
        </w:rPr>
        <w:t>Health Insurance (General Medical Services Table) Regulations (No.</w:t>
      </w:r>
      <w:r w:rsidR="004A21DE" w:rsidRPr="0045443A">
        <w:rPr>
          <w:b/>
          <w:i/>
          <w:lang w:eastAsia="en-AU"/>
        </w:rPr>
        <w:t xml:space="preserve"> </w:t>
      </w:r>
      <w:r w:rsidRPr="0045443A">
        <w:rPr>
          <w:b/>
          <w:i/>
          <w:lang w:eastAsia="en-AU"/>
        </w:rPr>
        <w:t>1) 2020</w:t>
      </w:r>
    </w:p>
    <w:p w14:paraId="1AFFFFD4" w14:textId="77777777" w:rsidR="00970E2B" w:rsidRPr="0045443A" w:rsidRDefault="00970E2B" w:rsidP="00970E2B">
      <w:pPr>
        <w:rPr>
          <w:b/>
          <w:i/>
          <w:lang w:eastAsia="en-AU"/>
        </w:rPr>
      </w:pPr>
    </w:p>
    <w:p w14:paraId="6A06241B" w14:textId="77777777" w:rsidR="00970E2B" w:rsidRPr="0045443A" w:rsidRDefault="00970E2B" w:rsidP="00A67520">
      <w:pPr>
        <w:rPr>
          <w:u w:val="single"/>
          <w:lang w:eastAsia="en-AU"/>
        </w:rPr>
      </w:pPr>
      <w:r w:rsidRPr="0045443A">
        <w:rPr>
          <w:u w:val="single"/>
          <w:lang w:eastAsia="en-AU"/>
        </w:rPr>
        <w:t xml:space="preserve">Section 1 – Name </w:t>
      </w:r>
    </w:p>
    <w:p w14:paraId="08A41394" w14:textId="77777777" w:rsidR="00970E2B" w:rsidRPr="0045443A" w:rsidRDefault="00970E2B" w:rsidP="00A67520">
      <w:pPr>
        <w:rPr>
          <w:lang w:eastAsia="en-AU"/>
        </w:rPr>
      </w:pPr>
    </w:p>
    <w:p w14:paraId="198FBA3C" w14:textId="3955CA7C" w:rsidR="00970E2B" w:rsidRPr="0045443A" w:rsidRDefault="00970E2B" w:rsidP="00A67520">
      <w:pPr>
        <w:rPr>
          <w:lang w:eastAsia="en-AU"/>
        </w:rPr>
      </w:pPr>
      <w:r w:rsidRPr="0045443A">
        <w:rPr>
          <w:lang w:eastAsia="en-AU"/>
        </w:rPr>
        <w:t>This section provides for the Regulations to be referred to as the</w:t>
      </w:r>
      <w:r w:rsidRPr="0045443A">
        <w:rPr>
          <w:i/>
          <w:lang w:eastAsia="en-AU"/>
        </w:rPr>
        <w:t xml:space="preserve"> Health Insurance (General Medical Services Table) Regulations (No.</w:t>
      </w:r>
      <w:r w:rsidR="004A21DE" w:rsidRPr="0045443A">
        <w:rPr>
          <w:i/>
          <w:lang w:eastAsia="en-AU"/>
        </w:rPr>
        <w:t xml:space="preserve"> </w:t>
      </w:r>
      <w:r w:rsidRPr="0045443A">
        <w:rPr>
          <w:i/>
          <w:lang w:eastAsia="en-AU"/>
        </w:rPr>
        <w:t>1) 2020.</w:t>
      </w:r>
    </w:p>
    <w:p w14:paraId="39E83C61" w14:textId="77777777" w:rsidR="00970E2B" w:rsidRPr="0045443A" w:rsidRDefault="00970E2B" w:rsidP="00970E2B">
      <w:pPr>
        <w:rPr>
          <w:lang w:eastAsia="en-AU"/>
        </w:rPr>
      </w:pPr>
    </w:p>
    <w:p w14:paraId="1D613200" w14:textId="77777777" w:rsidR="00970E2B" w:rsidRPr="0045443A" w:rsidRDefault="00970E2B" w:rsidP="00970E2B">
      <w:pPr>
        <w:rPr>
          <w:u w:val="single"/>
          <w:lang w:eastAsia="en-AU"/>
        </w:rPr>
      </w:pPr>
      <w:r w:rsidRPr="0045443A">
        <w:rPr>
          <w:u w:val="single"/>
          <w:lang w:eastAsia="en-AU"/>
        </w:rPr>
        <w:t xml:space="preserve">Section 2 – Commencement </w:t>
      </w:r>
    </w:p>
    <w:p w14:paraId="34C7FEE5" w14:textId="77777777" w:rsidR="00970E2B" w:rsidRPr="0045443A" w:rsidRDefault="00970E2B" w:rsidP="00970E2B">
      <w:pPr>
        <w:rPr>
          <w:lang w:eastAsia="en-AU"/>
        </w:rPr>
      </w:pPr>
    </w:p>
    <w:p w14:paraId="778A694F" w14:textId="77777777" w:rsidR="00970E2B" w:rsidRPr="0045443A" w:rsidRDefault="00970E2B" w:rsidP="00970E2B">
      <w:pPr>
        <w:rPr>
          <w:lang w:eastAsia="en-AU"/>
        </w:rPr>
      </w:pPr>
      <w:r w:rsidRPr="0045443A">
        <w:rPr>
          <w:lang w:eastAsia="en-AU"/>
        </w:rPr>
        <w:t>This section provides for the Regulations to commence on 1 May 2020.</w:t>
      </w:r>
    </w:p>
    <w:p w14:paraId="13F6FEE7" w14:textId="77777777" w:rsidR="00970E2B" w:rsidRPr="0045443A" w:rsidRDefault="00970E2B" w:rsidP="00970E2B">
      <w:pPr>
        <w:rPr>
          <w:lang w:eastAsia="en-AU"/>
        </w:rPr>
      </w:pPr>
    </w:p>
    <w:p w14:paraId="059D997F" w14:textId="77777777" w:rsidR="00970E2B" w:rsidRPr="0045443A" w:rsidRDefault="00970E2B" w:rsidP="00970E2B">
      <w:pPr>
        <w:rPr>
          <w:u w:val="single"/>
          <w:lang w:eastAsia="en-AU"/>
        </w:rPr>
      </w:pPr>
      <w:r w:rsidRPr="0045443A">
        <w:rPr>
          <w:u w:val="single"/>
          <w:lang w:eastAsia="en-AU"/>
        </w:rPr>
        <w:t xml:space="preserve">Section 3 – Authority  </w:t>
      </w:r>
    </w:p>
    <w:p w14:paraId="0A164BBF" w14:textId="77777777" w:rsidR="00970E2B" w:rsidRPr="0045443A" w:rsidRDefault="00970E2B" w:rsidP="00970E2B">
      <w:pPr>
        <w:rPr>
          <w:lang w:eastAsia="en-AU"/>
        </w:rPr>
      </w:pPr>
    </w:p>
    <w:p w14:paraId="1464911E" w14:textId="77777777" w:rsidR="00970E2B" w:rsidRPr="0045443A" w:rsidRDefault="00970E2B" w:rsidP="00970E2B">
      <w:pPr>
        <w:ind w:right="-483"/>
        <w:rPr>
          <w:lang w:eastAsia="en-AU"/>
        </w:rPr>
      </w:pPr>
      <w:r w:rsidRPr="0045443A">
        <w:rPr>
          <w:szCs w:val="20"/>
          <w:lang w:eastAsia="en-AU"/>
        </w:rPr>
        <w:t xml:space="preserve">This section provides that the Regulations are made under the </w:t>
      </w:r>
      <w:r w:rsidRPr="0045443A">
        <w:rPr>
          <w:i/>
          <w:szCs w:val="20"/>
          <w:lang w:eastAsia="en-AU"/>
        </w:rPr>
        <w:t>Health Insurance Act 1973</w:t>
      </w:r>
      <w:r w:rsidRPr="0045443A">
        <w:rPr>
          <w:lang w:eastAsia="en-AU"/>
        </w:rPr>
        <w:t>.</w:t>
      </w:r>
    </w:p>
    <w:p w14:paraId="711FDE3F" w14:textId="77777777" w:rsidR="00970E2B" w:rsidRPr="0045443A" w:rsidRDefault="00970E2B" w:rsidP="00970E2B">
      <w:pPr>
        <w:tabs>
          <w:tab w:val="num" w:pos="1080"/>
        </w:tabs>
        <w:rPr>
          <w:lang w:eastAsia="en-AU"/>
        </w:rPr>
      </w:pPr>
    </w:p>
    <w:p w14:paraId="6E9E197C" w14:textId="0FEC3D00" w:rsidR="00970E2B" w:rsidRPr="0045443A" w:rsidRDefault="00970E2B" w:rsidP="00970E2B">
      <w:pPr>
        <w:tabs>
          <w:tab w:val="num" w:pos="1080"/>
        </w:tabs>
        <w:rPr>
          <w:u w:val="single"/>
          <w:lang w:eastAsia="en-AU"/>
        </w:rPr>
      </w:pPr>
      <w:r w:rsidRPr="0045443A">
        <w:rPr>
          <w:u w:val="single"/>
          <w:lang w:eastAsia="en-AU"/>
        </w:rPr>
        <w:t xml:space="preserve">Section 4 – General </w:t>
      </w:r>
      <w:r w:rsidR="004A21DE" w:rsidRPr="0045443A">
        <w:rPr>
          <w:u w:val="single"/>
          <w:lang w:eastAsia="en-AU"/>
        </w:rPr>
        <w:t>m</w:t>
      </w:r>
      <w:r w:rsidRPr="0045443A">
        <w:rPr>
          <w:u w:val="single"/>
          <w:lang w:eastAsia="en-AU"/>
        </w:rPr>
        <w:t xml:space="preserve">edical </w:t>
      </w:r>
      <w:r w:rsidR="004A21DE" w:rsidRPr="0045443A">
        <w:rPr>
          <w:u w:val="single"/>
          <w:lang w:eastAsia="en-AU"/>
        </w:rPr>
        <w:t>s</w:t>
      </w:r>
      <w:r w:rsidRPr="0045443A">
        <w:rPr>
          <w:u w:val="single"/>
          <w:lang w:eastAsia="en-AU"/>
        </w:rPr>
        <w:t xml:space="preserve">ervices </w:t>
      </w:r>
      <w:r w:rsidR="004A21DE" w:rsidRPr="0045443A">
        <w:rPr>
          <w:u w:val="single"/>
          <w:lang w:eastAsia="en-AU"/>
        </w:rPr>
        <w:t>t</w:t>
      </w:r>
      <w:r w:rsidRPr="0045443A">
        <w:rPr>
          <w:u w:val="single"/>
          <w:lang w:eastAsia="en-AU"/>
        </w:rPr>
        <w:t>able</w:t>
      </w:r>
    </w:p>
    <w:p w14:paraId="42449AF7" w14:textId="77777777" w:rsidR="00970E2B" w:rsidRPr="0045443A" w:rsidRDefault="00970E2B" w:rsidP="00970E2B">
      <w:pPr>
        <w:tabs>
          <w:tab w:val="num" w:pos="1080"/>
        </w:tabs>
        <w:rPr>
          <w:lang w:eastAsia="en-AU"/>
        </w:rPr>
      </w:pPr>
    </w:p>
    <w:p w14:paraId="5CF9C561" w14:textId="77777777" w:rsidR="00970E2B" w:rsidRPr="0045443A" w:rsidRDefault="00970E2B" w:rsidP="00970E2B">
      <w:pPr>
        <w:ind w:right="-483"/>
        <w:rPr>
          <w:szCs w:val="20"/>
          <w:lang w:eastAsia="en-AU"/>
        </w:rPr>
      </w:pPr>
      <w:r w:rsidRPr="0045443A">
        <w:rPr>
          <w:szCs w:val="20"/>
          <w:lang w:eastAsia="en-AU"/>
        </w:rPr>
        <w:t>This section provides that Schedule 1 to the Regulations sets out the table of medical services for the purposes of subsection 4(1) of the Act.</w:t>
      </w:r>
    </w:p>
    <w:p w14:paraId="7515F74C" w14:textId="77777777" w:rsidR="00970E2B" w:rsidRPr="0045443A" w:rsidRDefault="00970E2B" w:rsidP="00970E2B">
      <w:pPr>
        <w:ind w:right="-483"/>
        <w:rPr>
          <w:szCs w:val="20"/>
          <w:lang w:eastAsia="en-AU"/>
        </w:rPr>
      </w:pPr>
    </w:p>
    <w:p w14:paraId="66BD0F60" w14:textId="77777777" w:rsidR="00970E2B" w:rsidRPr="0045443A" w:rsidRDefault="00970E2B" w:rsidP="00970E2B">
      <w:pPr>
        <w:ind w:right="-483"/>
        <w:rPr>
          <w:szCs w:val="20"/>
          <w:u w:val="single"/>
          <w:lang w:eastAsia="en-AU"/>
        </w:rPr>
      </w:pPr>
      <w:r w:rsidRPr="0045443A">
        <w:rPr>
          <w:szCs w:val="20"/>
          <w:u w:val="single"/>
          <w:lang w:eastAsia="en-AU"/>
        </w:rPr>
        <w:t>Section 5 – Schedule 2</w:t>
      </w:r>
    </w:p>
    <w:p w14:paraId="7E03BDF2" w14:textId="77777777" w:rsidR="00970E2B" w:rsidRPr="0045443A" w:rsidRDefault="00970E2B" w:rsidP="00970E2B">
      <w:pPr>
        <w:ind w:right="-483"/>
        <w:rPr>
          <w:szCs w:val="20"/>
          <w:lang w:eastAsia="en-AU"/>
        </w:rPr>
      </w:pPr>
    </w:p>
    <w:p w14:paraId="709AF894" w14:textId="77777777" w:rsidR="00970E2B" w:rsidRPr="0045443A" w:rsidRDefault="00970E2B" w:rsidP="00970E2B">
      <w:pPr>
        <w:ind w:right="-483"/>
        <w:rPr>
          <w:szCs w:val="20"/>
          <w:lang w:eastAsia="en-AU"/>
        </w:rPr>
      </w:pPr>
      <w:r w:rsidRPr="0045443A">
        <w:rPr>
          <w:szCs w:val="20"/>
          <w:lang w:eastAsia="en-AU"/>
        </w:rPr>
        <w:t>This section provides that instruments set out in Schedule 2 are amended or repealed as detailed in that Schedule.</w:t>
      </w:r>
    </w:p>
    <w:p w14:paraId="6DDAB21E" w14:textId="3003EEAE" w:rsidR="00970E2B" w:rsidRPr="0045443A" w:rsidRDefault="00970E2B" w:rsidP="00970E2B">
      <w:pPr>
        <w:rPr>
          <w:lang w:eastAsia="en-AU"/>
        </w:rPr>
      </w:pPr>
      <w:r w:rsidRPr="0045443A">
        <w:rPr>
          <w:lang w:eastAsia="en-AU"/>
        </w:rPr>
        <w:t xml:space="preserve">  </w:t>
      </w:r>
    </w:p>
    <w:p w14:paraId="79F02534" w14:textId="59005D13" w:rsidR="00970E2B" w:rsidRPr="0045443A" w:rsidRDefault="0052685D" w:rsidP="00970E2B">
      <w:pPr>
        <w:rPr>
          <w:u w:val="single"/>
          <w:lang w:eastAsia="en-AU"/>
        </w:rPr>
      </w:pPr>
      <w:r w:rsidRPr="0045443A">
        <w:rPr>
          <w:u w:val="single"/>
          <w:lang w:eastAsia="en-AU"/>
        </w:rPr>
        <w:t>Schedule 1 – General medical services t</w:t>
      </w:r>
      <w:r w:rsidR="00970E2B" w:rsidRPr="0045443A">
        <w:rPr>
          <w:u w:val="single"/>
          <w:lang w:eastAsia="en-AU"/>
        </w:rPr>
        <w:t>able</w:t>
      </w:r>
    </w:p>
    <w:p w14:paraId="0CD022EC" w14:textId="77777777" w:rsidR="00970E2B" w:rsidRPr="0045443A" w:rsidRDefault="00970E2B" w:rsidP="00970E2B">
      <w:pPr>
        <w:rPr>
          <w:lang w:eastAsia="en-AU"/>
        </w:rPr>
      </w:pPr>
    </w:p>
    <w:p w14:paraId="164CF260" w14:textId="67054B13" w:rsidR="00AD625A" w:rsidRPr="0045443A" w:rsidRDefault="00AD625A" w:rsidP="00AD625A">
      <w:r w:rsidRPr="0045443A">
        <w:t xml:space="preserve">This part of the Regulations remakes the existing general medical services table, which is currently prescribed by the </w:t>
      </w:r>
      <w:r w:rsidRPr="0045443A">
        <w:rPr>
          <w:i/>
        </w:rPr>
        <w:t>Health Insurance (General Medical Services Table) Regulations 201</w:t>
      </w:r>
      <w:r w:rsidR="00970E2B" w:rsidRPr="0045443A">
        <w:rPr>
          <w:i/>
        </w:rPr>
        <w:t>9</w:t>
      </w:r>
      <w:r w:rsidRPr="0045443A">
        <w:t xml:space="preserve">. </w:t>
      </w:r>
    </w:p>
    <w:p w14:paraId="20FB0AB1" w14:textId="7DCEEC90" w:rsidR="00AD625A" w:rsidRPr="0045443A" w:rsidRDefault="00AD625A" w:rsidP="00AD625A"/>
    <w:p w14:paraId="16CA3BD4" w14:textId="3A58447A" w:rsidR="00D972BB" w:rsidRPr="0045443A" w:rsidRDefault="00D972BB" w:rsidP="00D972BB">
      <w:pPr>
        <w:rPr>
          <w:lang w:eastAsia="en-AU"/>
        </w:rPr>
      </w:pPr>
      <w:r w:rsidRPr="0045443A">
        <w:rPr>
          <w:lang w:eastAsia="en-AU"/>
        </w:rPr>
        <w:t xml:space="preserve">The Regulations will also implement </w:t>
      </w:r>
      <w:r w:rsidR="00AB77D2" w:rsidRPr="0045443A">
        <w:rPr>
          <w:lang w:eastAsia="en-AU"/>
        </w:rPr>
        <w:t xml:space="preserve">changes to </w:t>
      </w:r>
      <w:r w:rsidRPr="0045443A">
        <w:rPr>
          <w:lang w:eastAsia="en-AU"/>
        </w:rPr>
        <w:t xml:space="preserve">Government policy and make a number of editorial drafting improvements and machinery </w:t>
      </w:r>
      <w:r w:rsidR="00AB77D2" w:rsidRPr="0045443A">
        <w:rPr>
          <w:lang w:eastAsia="en-AU"/>
        </w:rPr>
        <w:t>amendments</w:t>
      </w:r>
      <w:r w:rsidRPr="0045443A">
        <w:rPr>
          <w:lang w:eastAsia="en-AU"/>
        </w:rPr>
        <w:t>.</w:t>
      </w:r>
      <w:r w:rsidR="00AB77D2" w:rsidRPr="0045443A">
        <w:rPr>
          <w:lang w:eastAsia="en-AU"/>
        </w:rPr>
        <w:t xml:space="preserve"> These are outlined in detailed below.</w:t>
      </w:r>
      <w:r w:rsidRPr="0045443A">
        <w:rPr>
          <w:lang w:eastAsia="en-AU"/>
        </w:rPr>
        <w:t xml:space="preserve"> </w:t>
      </w:r>
    </w:p>
    <w:p w14:paraId="01455A74" w14:textId="5F1BB308" w:rsidR="00AD625A" w:rsidRPr="0045443A" w:rsidRDefault="00AD625A" w:rsidP="00AD625A"/>
    <w:p w14:paraId="44B01FCF" w14:textId="1401122D" w:rsidR="00D972BB" w:rsidRPr="0045443A" w:rsidRDefault="00D972BB" w:rsidP="00D972BB">
      <w:pPr>
        <w:pStyle w:val="ListParagraph"/>
        <w:numPr>
          <w:ilvl w:val="0"/>
          <w:numId w:val="21"/>
        </w:numPr>
        <w:rPr>
          <w:b/>
        </w:rPr>
      </w:pPr>
      <w:r w:rsidRPr="0045443A">
        <w:rPr>
          <w:b/>
        </w:rPr>
        <w:t>POLICY CHANGES</w:t>
      </w:r>
    </w:p>
    <w:p w14:paraId="72DA5131" w14:textId="77777777" w:rsidR="00D972BB" w:rsidRPr="0045443A" w:rsidRDefault="00D972BB" w:rsidP="00AD625A"/>
    <w:p w14:paraId="2C460393" w14:textId="0A84319F" w:rsidR="00E1689E" w:rsidRPr="0045443A" w:rsidRDefault="00E1689E" w:rsidP="00E1689E">
      <w:pPr>
        <w:rPr>
          <w:b/>
          <w:i/>
        </w:rPr>
      </w:pPr>
      <w:r w:rsidRPr="0045443A">
        <w:rPr>
          <w:b/>
          <w:i/>
        </w:rPr>
        <w:t>Diagnostic changes</w:t>
      </w:r>
    </w:p>
    <w:p w14:paraId="0FC3DD04" w14:textId="7EA2C1D3" w:rsidR="00E1689E" w:rsidRPr="0045443A" w:rsidRDefault="00E1689E" w:rsidP="00E1689E">
      <w:r w:rsidRPr="0045443A">
        <w:t>In the 2019</w:t>
      </w:r>
      <w:r w:rsidRPr="0045443A">
        <w:rPr>
          <w:iCs/>
        </w:rPr>
        <w:t xml:space="preserve">-20 Budget, the Government accepted recommendations from the MBS Review Taskforce regarding diagnostic imaging services listed in both the Diagnostic Imaging Services Table (DIST) and the GMST. The changes were announced in the </w:t>
      </w:r>
      <w:r w:rsidRPr="0045443A">
        <w:rPr>
          <w:i/>
          <w:iCs/>
        </w:rPr>
        <w:t xml:space="preserve">Guaranteeing Medicare – improved access to diagnostics </w:t>
      </w:r>
      <w:r w:rsidRPr="0045443A">
        <w:t>measure. The Regulations will make the following changes to implement the GMST component of the measure:</w:t>
      </w:r>
    </w:p>
    <w:p w14:paraId="68029687" w14:textId="77777777" w:rsidR="00E1689E" w:rsidRPr="0045443A" w:rsidRDefault="00E1689E" w:rsidP="00E1689E">
      <w:pPr>
        <w:pStyle w:val="ListParagraph"/>
        <w:numPr>
          <w:ilvl w:val="0"/>
          <w:numId w:val="19"/>
        </w:numPr>
      </w:pPr>
      <w:r w:rsidRPr="0045443A">
        <w:t>The removal of eight obsolete nuclear medicine items (12503, 12506, 12509, 12512, 12515, 12518, 12521 and 12530) as they no longer reflect clinical practice.</w:t>
      </w:r>
    </w:p>
    <w:p w14:paraId="46559C19" w14:textId="79ED4058" w:rsidR="00E1689E" w:rsidRPr="0045443A" w:rsidRDefault="00E1689E" w:rsidP="00E1689E">
      <w:pPr>
        <w:pStyle w:val="ListParagraph"/>
        <w:numPr>
          <w:ilvl w:val="0"/>
          <w:numId w:val="19"/>
        </w:numPr>
      </w:pPr>
      <w:r w:rsidRPr="0045443A">
        <w:rPr>
          <w:bCs/>
        </w:rPr>
        <w:t>Insertion of</w:t>
      </w:r>
      <w:r w:rsidR="00561044" w:rsidRPr="0045443A">
        <w:rPr>
          <w:bCs/>
        </w:rPr>
        <w:t xml:space="preserve"> clause </w:t>
      </w:r>
      <w:r w:rsidR="00742525" w:rsidRPr="0045443A">
        <w:rPr>
          <w:bCs/>
        </w:rPr>
        <w:t>1.2.3</w:t>
      </w:r>
      <w:r w:rsidRPr="0045443A">
        <w:rPr>
          <w:bCs/>
        </w:rPr>
        <w:t xml:space="preserve"> </w:t>
      </w:r>
      <w:r w:rsidR="00561044" w:rsidRPr="0045443A">
        <w:rPr>
          <w:bCs/>
        </w:rPr>
        <w:t>to prevent</w:t>
      </w:r>
      <w:r w:rsidRPr="0045443A">
        <w:rPr>
          <w:bCs/>
        </w:rPr>
        <w:t xml:space="preserve"> specialist radiologist</w:t>
      </w:r>
      <w:r w:rsidR="00561044" w:rsidRPr="0045443A">
        <w:rPr>
          <w:bCs/>
        </w:rPr>
        <w:t>s from</w:t>
      </w:r>
      <w:r w:rsidRPr="0045443A">
        <w:rPr>
          <w:bCs/>
        </w:rPr>
        <w:t xml:space="preserve"> co-claim consultation items </w:t>
      </w:r>
      <w:r w:rsidRPr="0045443A">
        <w:t xml:space="preserve">52, 53, 54, 57, 104 and 105 in the </w:t>
      </w:r>
      <w:r w:rsidR="00561044" w:rsidRPr="0045443A">
        <w:t>GMST</w:t>
      </w:r>
      <w:r w:rsidRPr="0045443A">
        <w:t xml:space="preserve"> with </w:t>
      </w:r>
      <w:r w:rsidRPr="0045443A">
        <w:rPr>
          <w:bCs/>
        </w:rPr>
        <w:t xml:space="preserve">specified musculoskeletal ultrasound and diagnostic radiology items in the DIST. </w:t>
      </w:r>
      <w:r w:rsidRPr="0045443A">
        <w:t>Where an attendance is necessary for, and intrinsic to, a procedure (the scan), the attendance should not be co-claimed as a separate service to the diagnostic imaging item. The restriction does not apply to other doctors (such as cardiologists or obstetricians) who may perform diagnostic imaging services.</w:t>
      </w:r>
    </w:p>
    <w:p w14:paraId="5D5249DD" w14:textId="77777777" w:rsidR="00E1689E" w:rsidRPr="0045443A" w:rsidRDefault="00E1689E" w:rsidP="00E1689E">
      <w:pPr>
        <w:pStyle w:val="ListParagraph"/>
        <w:numPr>
          <w:ilvl w:val="0"/>
          <w:numId w:val="19"/>
        </w:numPr>
      </w:pPr>
      <w:r w:rsidRPr="0045443A">
        <w:t xml:space="preserve">The removal of three bore-enbloc stereotactic biopsy breast biopsy items (31539, 31542 and 31545) as they no longer reflect clinical practice. </w:t>
      </w:r>
    </w:p>
    <w:p w14:paraId="38E89ADF" w14:textId="6366848A" w:rsidR="00E1689E" w:rsidRPr="0045443A" w:rsidRDefault="00E1689E" w:rsidP="00E1689E">
      <w:pPr>
        <w:pStyle w:val="ListParagraph"/>
        <w:numPr>
          <w:ilvl w:val="0"/>
          <w:numId w:val="19"/>
        </w:numPr>
      </w:pPr>
      <w:r w:rsidRPr="0045443A">
        <w:t>An increase in the schedule fee for mechanical breast biopsy item 31548 (from $140.10 to $200.00) to reflect the higher costs, clinical superiority and technical difficulty of mechanical breast biopsy compared to fine needle aspiration</w:t>
      </w:r>
      <w:r w:rsidR="008E5658" w:rsidRPr="0045443A">
        <w:t xml:space="preserve"> biopsy</w:t>
      </w:r>
      <w:r w:rsidRPr="0045443A">
        <w:t xml:space="preserve">. </w:t>
      </w:r>
      <w:r w:rsidR="00CD7080" w:rsidRPr="0045443A">
        <w:t>This will increase the Medicare benefit for patients requiring this service.</w:t>
      </w:r>
      <w:r w:rsidR="00CD7080" w:rsidRPr="0045443A">
        <w:br/>
      </w:r>
    </w:p>
    <w:p w14:paraId="2A3930F5" w14:textId="77777777" w:rsidR="008207B6" w:rsidRPr="0045443A" w:rsidRDefault="008207B6" w:rsidP="008207B6">
      <w:pPr>
        <w:rPr>
          <w:b/>
          <w:i/>
        </w:rPr>
      </w:pPr>
      <w:r w:rsidRPr="0045443A">
        <w:rPr>
          <w:b/>
          <w:i/>
        </w:rPr>
        <w:t>Prostate ablation</w:t>
      </w:r>
    </w:p>
    <w:p w14:paraId="6F17F11B" w14:textId="5EF6C395" w:rsidR="008207B6" w:rsidRPr="0045443A" w:rsidRDefault="008207B6" w:rsidP="008207B6">
      <w:pPr>
        <w:rPr>
          <w:bCs/>
          <w:iCs/>
        </w:rPr>
      </w:pPr>
      <w:r w:rsidRPr="0045443A">
        <w:t xml:space="preserve">This change </w:t>
      </w:r>
      <w:r w:rsidRPr="0045443A">
        <w:rPr>
          <w:bCs/>
          <w:iCs/>
        </w:rPr>
        <w:t xml:space="preserve">is the result of an MSAC recommendation (application 1518) to Government. </w:t>
      </w:r>
      <w:r w:rsidR="0046601A" w:rsidRPr="0045443A">
        <w:rPr>
          <w:bCs/>
          <w:iCs/>
        </w:rPr>
        <w:t xml:space="preserve">MSAC recommended that </w:t>
      </w:r>
      <w:r w:rsidRPr="0045443A">
        <w:rPr>
          <w:bCs/>
          <w:iCs/>
        </w:rPr>
        <w:t xml:space="preserve">the fees for </w:t>
      </w:r>
      <w:r w:rsidR="0046601A" w:rsidRPr="0045443A">
        <w:rPr>
          <w:bCs/>
          <w:iCs/>
        </w:rPr>
        <w:t xml:space="preserve">visual laser </w:t>
      </w:r>
      <w:r w:rsidRPr="0045443A">
        <w:t xml:space="preserve">ablation </w:t>
      </w:r>
      <w:r w:rsidR="0046601A" w:rsidRPr="0045443A">
        <w:t xml:space="preserve">of the prostate should be aligned </w:t>
      </w:r>
      <w:r w:rsidRPr="0045443A">
        <w:rPr>
          <w:bCs/>
          <w:iCs/>
        </w:rPr>
        <w:t xml:space="preserve">with </w:t>
      </w:r>
      <w:r w:rsidR="0046601A" w:rsidRPr="0045443A">
        <w:rPr>
          <w:bCs/>
          <w:iCs/>
        </w:rPr>
        <w:t xml:space="preserve">the fees for </w:t>
      </w:r>
      <w:r w:rsidRPr="0045443A">
        <w:rPr>
          <w:bCs/>
          <w:iCs/>
        </w:rPr>
        <w:t>transurethral resection of the prostate, due to the similar complexity and technique</w:t>
      </w:r>
      <w:r w:rsidR="00821C2A" w:rsidRPr="0045443A">
        <w:rPr>
          <w:bCs/>
          <w:iCs/>
        </w:rPr>
        <w:t xml:space="preserve"> of the procedures</w:t>
      </w:r>
      <w:r w:rsidRPr="0045443A">
        <w:rPr>
          <w:bCs/>
          <w:iCs/>
        </w:rPr>
        <w:t>.</w:t>
      </w:r>
    </w:p>
    <w:p w14:paraId="04898B4E" w14:textId="77777777" w:rsidR="008207B6" w:rsidRPr="0045443A" w:rsidRDefault="008207B6" w:rsidP="008207B6"/>
    <w:p w14:paraId="2BB1D16E" w14:textId="3D383874" w:rsidR="008207B6" w:rsidRPr="0045443A" w:rsidRDefault="004515AA" w:rsidP="008207B6">
      <w:r w:rsidRPr="0045443A">
        <w:t>The</w:t>
      </w:r>
      <w:r w:rsidR="008207B6" w:rsidRPr="0045443A">
        <w:t xml:space="preserve"> change </w:t>
      </w:r>
      <w:r w:rsidRPr="0045443A">
        <w:t xml:space="preserve">will </w:t>
      </w:r>
      <w:r w:rsidR="008207B6" w:rsidRPr="0045443A">
        <w:t xml:space="preserve">increase the fees for prostate ablation items 37207 (from $880.30 to $1,058.80) and 37208 (from $422.70 to $567.05). </w:t>
      </w:r>
      <w:r w:rsidR="00CD7080" w:rsidRPr="0045443A">
        <w:t>This will increase the Medicare benefit for patients requiring these services.</w:t>
      </w:r>
    </w:p>
    <w:p w14:paraId="5FBC353D" w14:textId="77777777" w:rsidR="008207B6" w:rsidRPr="0045443A" w:rsidRDefault="008207B6" w:rsidP="008207B6"/>
    <w:p w14:paraId="52533B8D" w14:textId="77777777" w:rsidR="008207B6" w:rsidRPr="0045443A" w:rsidRDefault="008207B6" w:rsidP="008207B6">
      <w:r w:rsidRPr="0045443A">
        <w:rPr>
          <w:bCs/>
          <w:iCs/>
        </w:rPr>
        <w:t>Government announced this change in the 2019-20</w:t>
      </w:r>
      <w:r w:rsidRPr="0045443A">
        <w:t xml:space="preserve"> </w:t>
      </w:r>
      <w:r w:rsidRPr="0045443A">
        <w:rPr>
          <w:bCs/>
          <w:iCs/>
        </w:rPr>
        <w:t xml:space="preserve">Mid-Year Economic and Fiscal Outlook as part of the </w:t>
      </w:r>
      <w:r w:rsidRPr="0045443A">
        <w:rPr>
          <w:bCs/>
          <w:i/>
          <w:iCs/>
        </w:rPr>
        <w:t>Guaranteeing Medicare — Medicare Benefits Schedule — new and amended listings</w:t>
      </w:r>
      <w:r w:rsidRPr="0045443A">
        <w:rPr>
          <w:bCs/>
          <w:iCs/>
        </w:rPr>
        <w:t xml:space="preserve"> measure.  </w:t>
      </w:r>
    </w:p>
    <w:p w14:paraId="5E207A9F" w14:textId="77777777" w:rsidR="008207B6" w:rsidRPr="0045443A" w:rsidRDefault="008207B6" w:rsidP="008207B6"/>
    <w:p w14:paraId="1F0CFCE8" w14:textId="77777777" w:rsidR="008207B6" w:rsidRPr="0045443A" w:rsidRDefault="008207B6" w:rsidP="008207B6">
      <w:pPr>
        <w:rPr>
          <w:b/>
          <w:i/>
        </w:rPr>
      </w:pPr>
      <w:r w:rsidRPr="0045443A">
        <w:rPr>
          <w:b/>
          <w:i/>
        </w:rPr>
        <w:t>MRI-guided biopsy of prostate</w:t>
      </w:r>
    </w:p>
    <w:p w14:paraId="05FB6B6E" w14:textId="77777777" w:rsidR="00BB3F39" w:rsidRPr="0045443A" w:rsidRDefault="00A63B48" w:rsidP="00BB3F39">
      <w:r w:rsidRPr="0045443A">
        <w:t>The</w:t>
      </w:r>
      <w:r w:rsidR="008207B6" w:rsidRPr="0045443A">
        <w:t xml:space="preserve"> change adds a new item for biopsy of the prostate when guided by </w:t>
      </w:r>
      <w:r w:rsidRPr="0045443A">
        <w:t xml:space="preserve">magnetic resonance imaging </w:t>
      </w:r>
      <w:r w:rsidR="008207B6" w:rsidRPr="0045443A">
        <w:t>(item 37226). The fee</w:t>
      </w:r>
      <w:r w:rsidRPr="0045443A">
        <w:t xml:space="preserve"> of</w:t>
      </w:r>
      <w:r w:rsidR="008207B6" w:rsidRPr="0045443A">
        <w:t xml:space="preserve"> </w:t>
      </w:r>
      <w:r w:rsidRPr="0045443A">
        <w:t xml:space="preserve">$285.35 </w:t>
      </w:r>
      <w:r w:rsidR="008207B6" w:rsidRPr="0045443A">
        <w:t xml:space="preserve">is equivalent to </w:t>
      </w:r>
      <w:r w:rsidR="0046601A" w:rsidRPr="0045443A">
        <w:t xml:space="preserve">the </w:t>
      </w:r>
      <w:r w:rsidR="008207B6" w:rsidRPr="0045443A">
        <w:t xml:space="preserve">existing ultrasound-guided prostate biopsy item in the </w:t>
      </w:r>
      <w:r w:rsidR="0046601A" w:rsidRPr="0045443A">
        <w:t>GMST</w:t>
      </w:r>
      <w:r w:rsidR="008207B6" w:rsidRPr="0045443A">
        <w:t xml:space="preserve"> (</w:t>
      </w:r>
      <w:r w:rsidRPr="0045443A">
        <w:t xml:space="preserve">item </w:t>
      </w:r>
      <w:r w:rsidR="008207B6" w:rsidRPr="0045443A">
        <w:t xml:space="preserve">37219). The new MRI-guided prostate biopsy item will provide doctors with flexibility to choose the most appropriate </w:t>
      </w:r>
      <w:r w:rsidRPr="0045443A">
        <w:t xml:space="preserve">image </w:t>
      </w:r>
      <w:r w:rsidR="008207B6" w:rsidRPr="0045443A">
        <w:t xml:space="preserve">modality to guide biopsy. </w:t>
      </w:r>
      <w:r w:rsidR="00BB3F39" w:rsidRPr="0045443A">
        <w:t xml:space="preserve">This change </w:t>
      </w:r>
      <w:r w:rsidR="00BB3F39" w:rsidRPr="0045443A">
        <w:rPr>
          <w:bCs/>
          <w:iCs/>
        </w:rPr>
        <w:t>is the result of an MSAC executive recommendation to Government.</w:t>
      </w:r>
    </w:p>
    <w:p w14:paraId="7669A823" w14:textId="77777777" w:rsidR="008207B6" w:rsidRPr="0045443A" w:rsidRDefault="008207B6" w:rsidP="008207B6"/>
    <w:p w14:paraId="4E6445F1" w14:textId="77777777" w:rsidR="008207B6" w:rsidRPr="0045443A" w:rsidRDefault="008207B6" w:rsidP="008207B6">
      <w:r w:rsidRPr="0045443A">
        <w:rPr>
          <w:bCs/>
          <w:iCs/>
        </w:rPr>
        <w:t>Government announced this change in the 2019-20</w:t>
      </w:r>
      <w:r w:rsidRPr="0045443A">
        <w:t xml:space="preserve"> </w:t>
      </w:r>
      <w:r w:rsidRPr="0045443A">
        <w:rPr>
          <w:bCs/>
          <w:iCs/>
        </w:rPr>
        <w:t xml:space="preserve">Mid-Year Economic and Fiscal Outlook as part of the </w:t>
      </w:r>
      <w:r w:rsidRPr="0045443A">
        <w:rPr>
          <w:bCs/>
          <w:i/>
          <w:iCs/>
        </w:rPr>
        <w:t>Guaranteeing Medicare — Medicare Benefits Schedule — new and amended listings</w:t>
      </w:r>
      <w:r w:rsidRPr="0045443A">
        <w:rPr>
          <w:bCs/>
          <w:iCs/>
        </w:rPr>
        <w:t xml:space="preserve"> measure.  </w:t>
      </w:r>
    </w:p>
    <w:p w14:paraId="15ED9E96" w14:textId="08491C2B" w:rsidR="008207B6" w:rsidRPr="0045443A" w:rsidRDefault="008207B6" w:rsidP="008207B6"/>
    <w:p w14:paraId="21592346" w14:textId="77777777" w:rsidR="0046601A" w:rsidRPr="0045443A" w:rsidRDefault="0046601A" w:rsidP="0046601A">
      <w:pPr>
        <w:rPr>
          <w:b/>
          <w:i/>
        </w:rPr>
      </w:pPr>
      <w:r w:rsidRPr="0045443A">
        <w:rPr>
          <w:b/>
          <w:i/>
        </w:rPr>
        <w:t>New glaucoma surgery for insertion of micro-stents in the eye\</w:t>
      </w:r>
    </w:p>
    <w:p w14:paraId="7F09F681" w14:textId="6BBA6B10" w:rsidR="0046601A" w:rsidRPr="0045443A" w:rsidRDefault="0046601A" w:rsidP="0046601A">
      <w:r w:rsidRPr="0045443A">
        <w:t xml:space="preserve">This change inserts a new glaucoma item (42504) for the insertion of micro-stents in the eye. The new item is for patients with open angle glaucoma for whom conservative treatment has failed or is contraindicated. </w:t>
      </w:r>
      <w:r w:rsidR="00BB3F39" w:rsidRPr="0045443A">
        <w:t xml:space="preserve">This change </w:t>
      </w:r>
      <w:r w:rsidR="00BB3F39" w:rsidRPr="0045443A">
        <w:rPr>
          <w:bCs/>
          <w:iCs/>
        </w:rPr>
        <w:t xml:space="preserve">is the result of an MSAC recommendation (application 1541) to Government. </w:t>
      </w:r>
      <w:r w:rsidRPr="0045443A">
        <w:rPr>
          <w:rFonts w:cstheme="minorHAnsi"/>
          <w:bCs/>
        </w:rPr>
        <w:t>MSAC determined that the micro-bypass glaucoma surgery procedure has an acceptable safety profile and may delay or avoid the need for trabeculectomy (a more invasive procedure) in some patients not adequately controlled with medical therapy.</w:t>
      </w:r>
    </w:p>
    <w:p w14:paraId="3C429FD0" w14:textId="77777777" w:rsidR="0046601A" w:rsidRPr="0045443A" w:rsidRDefault="0046601A" w:rsidP="0046601A">
      <w:pPr>
        <w:rPr>
          <w:rFonts w:cstheme="minorHAnsi"/>
          <w:bCs/>
        </w:rPr>
      </w:pPr>
    </w:p>
    <w:p w14:paraId="62F9BD29" w14:textId="77777777" w:rsidR="0046601A" w:rsidRPr="0045443A" w:rsidRDefault="0046601A" w:rsidP="0046601A">
      <w:pPr>
        <w:rPr>
          <w:rFonts w:cstheme="minorHAnsi"/>
          <w:bCs/>
        </w:rPr>
      </w:pPr>
      <w:r w:rsidRPr="0045443A">
        <w:rPr>
          <w:rFonts w:cstheme="minorHAnsi"/>
          <w:bCs/>
        </w:rPr>
        <w:t>The new item can be performed by specialists and consultant physicians who have certification and training recognised by the Conjoint Committee for the Recognition of Training in Micro-Bypass Glaucoma Surgery. The Conjoint Committee comprises representatives from the Australian and New Zealand Glaucoma Society and the Royal Australian and New Zealand College of Ophthalmologists.</w:t>
      </w:r>
    </w:p>
    <w:p w14:paraId="21DABC7E" w14:textId="77777777" w:rsidR="0046601A" w:rsidRPr="0045443A" w:rsidRDefault="0046601A" w:rsidP="0046601A">
      <w:pPr>
        <w:rPr>
          <w:rFonts w:cstheme="minorHAnsi"/>
          <w:bCs/>
        </w:rPr>
      </w:pPr>
    </w:p>
    <w:p w14:paraId="5F7DE525" w14:textId="77777777" w:rsidR="0046601A" w:rsidRPr="0045443A" w:rsidRDefault="0046601A" w:rsidP="0046601A">
      <w:pPr>
        <w:rPr>
          <w:bCs/>
          <w:iCs/>
        </w:rPr>
      </w:pPr>
      <w:r w:rsidRPr="0045443A">
        <w:rPr>
          <w:bCs/>
          <w:iCs/>
        </w:rPr>
        <w:t>Government announced this change in the 2019-20</w:t>
      </w:r>
      <w:r w:rsidRPr="0045443A">
        <w:t xml:space="preserve"> </w:t>
      </w:r>
      <w:r w:rsidRPr="0045443A">
        <w:rPr>
          <w:bCs/>
          <w:iCs/>
        </w:rPr>
        <w:t xml:space="preserve">Mid-Year Economic and Fiscal Outlook as part of the </w:t>
      </w:r>
      <w:r w:rsidRPr="0045443A">
        <w:rPr>
          <w:bCs/>
          <w:i/>
          <w:iCs/>
        </w:rPr>
        <w:t>Guaranteeing Medicare — Medicare Benefits Schedule — new and amended listings</w:t>
      </w:r>
      <w:r w:rsidRPr="0045443A">
        <w:rPr>
          <w:bCs/>
          <w:iCs/>
        </w:rPr>
        <w:t xml:space="preserve"> measure.  </w:t>
      </w:r>
    </w:p>
    <w:p w14:paraId="7BCC9F32" w14:textId="77777777" w:rsidR="0046601A" w:rsidRPr="0045443A" w:rsidRDefault="0046601A" w:rsidP="0046601A">
      <w:pPr>
        <w:rPr>
          <w:rFonts w:cstheme="minorHAnsi"/>
          <w:bCs/>
        </w:rPr>
      </w:pPr>
    </w:p>
    <w:p w14:paraId="74042A6F" w14:textId="77777777" w:rsidR="0046601A" w:rsidRPr="0045443A" w:rsidRDefault="0046601A" w:rsidP="0046601A">
      <w:pPr>
        <w:keepNext/>
        <w:keepLines/>
        <w:rPr>
          <w:b/>
          <w:i/>
        </w:rPr>
      </w:pPr>
      <w:r w:rsidRPr="0045443A">
        <w:rPr>
          <w:b/>
          <w:i/>
        </w:rPr>
        <w:t>Amendment to the definition of focussed psychological strategies</w:t>
      </w:r>
    </w:p>
    <w:p w14:paraId="5EDCEC78" w14:textId="3FB89DD5" w:rsidR="0046601A" w:rsidRPr="0045443A" w:rsidRDefault="0046601A" w:rsidP="0046601A">
      <w:pPr>
        <w:keepNext/>
        <w:keepLines/>
      </w:pPr>
      <w:r w:rsidRPr="0045443A">
        <w:t xml:space="preserve">This change amends the definition of </w:t>
      </w:r>
      <w:r w:rsidRPr="0045443A">
        <w:rPr>
          <w:i/>
        </w:rPr>
        <w:t>focussed psychological strategies</w:t>
      </w:r>
      <w:r w:rsidRPr="0045443A">
        <w:t xml:space="preserve"> to include </w:t>
      </w:r>
      <w:r w:rsidR="00885FCD" w:rsidRPr="0045443A">
        <w:t>eye m</w:t>
      </w:r>
      <w:r w:rsidRPr="0045443A">
        <w:t xml:space="preserve">ovement </w:t>
      </w:r>
      <w:r w:rsidR="00885FCD" w:rsidRPr="0045443A">
        <w:t>desensitisation and r</w:t>
      </w:r>
      <w:r w:rsidRPr="0045443A">
        <w:t xml:space="preserve">eprocessing (a therapy used to treat post-traumatic stress disorder). The addition of </w:t>
      </w:r>
      <w:r w:rsidR="00885FCD" w:rsidRPr="0045443A">
        <w:t>eye movement desensitisation and r</w:t>
      </w:r>
      <w:r w:rsidRPr="0045443A">
        <w:t>eprocessing (EMDR) to this definition will clarify that eligible patients can access EMDR</w:t>
      </w:r>
      <w:r w:rsidR="00885FCD" w:rsidRPr="0045443A">
        <w:t xml:space="preserve"> therapy</w:t>
      </w:r>
      <w:r w:rsidRPr="0045443A">
        <w:t xml:space="preserve"> under items 2721, 2723, 2725 and 2727 in the GMST.</w:t>
      </w:r>
    </w:p>
    <w:p w14:paraId="5C689314" w14:textId="77777777" w:rsidR="0046601A" w:rsidRPr="0045443A" w:rsidRDefault="0046601A" w:rsidP="0046601A">
      <w:pPr>
        <w:keepNext/>
        <w:keepLines/>
      </w:pPr>
    </w:p>
    <w:p w14:paraId="32DF5E27" w14:textId="0C83EDE3" w:rsidR="0046601A" w:rsidRPr="0045443A" w:rsidRDefault="0046601A" w:rsidP="0046601A">
      <w:pPr>
        <w:keepNext/>
        <w:keepLines/>
      </w:pPr>
      <w:r w:rsidRPr="0045443A">
        <w:t xml:space="preserve">This change will also be applied to the </w:t>
      </w:r>
      <w:r w:rsidRPr="0045443A">
        <w:rPr>
          <w:i/>
        </w:rPr>
        <w:t xml:space="preserve">focussed psychological strategies </w:t>
      </w:r>
      <w:r w:rsidRPr="0045443A">
        <w:t xml:space="preserve">Medicare items 80100 to 80170 (allied health </w:t>
      </w:r>
      <w:r w:rsidR="00885FCD" w:rsidRPr="0045443A">
        <w:t>services</w:t>
      </w:r>
      <w:r w:rsidRPr="0045443A">
        <w:t xml:space="preserve">) and </w:t>
      </w:r>
      <w:r w:rsidR="00885FCD" w:rsidRPr="0045443A">
        <w:t xml:space="preserve">items </w:t>
      </w:r>
      <w:r w:rsidRPr="0045443A">
        <w:t xml:space="preserve">283, 285, 286, 287, 371 and 372 (other medical practitioner </w:t>
      </w:r>
      <w:r w:rsidR="00885FCD" w:rsidRPr="0045443A">
        <w:t>services</w:t>
      </w:r>
      <w:r w:rsidRPr="0045443A">
        <w:t xml:space="preserve">) which are listed in determinations made under </w:t>
      </w:r>
      <w:r w:rsidR="00387962" w:rsidRPr="0045443A">
        <w:t>section 3C</w:t>
      </w:r>
      <w:r w:rsidRPr="0045443A">
        <w:t xml:space="preserve"> of the Act. </w:t>
      </w:r>
    </w:p>
    <w:p w14:paraId="77CA42A2" w14:textId="1F23D226" w:rsidR="0046601A" w:rsidRPr="0045443A" w:rsidRDefault="0046601A" w:rsidP="008207B6"/>
    <w:p w14:paraId="5BEB9BD9" w14:textId="13A6CD26" w:rsidR="0046601A" w:rsidRPr="0045443A" w:rsidRDefault="00D972BB" w:rsidP="00D972BB">
      <w:pPr>
        <w:pStyle w:val="ListParagraph"/>
        <w:numPr>
          <w:ilvl w:val="0"/>
          <w:numId w:val="21"/>
        </w:numPr>
        <w:rPr>
          <w:b/>
        </w:rPr>
      </w:pPr>
      <w:r w:rsidRPr="0045443A">
        <w:rPr>
          <w:b/>
        </w:rPr>
        <w:t>EDITORIAL AND MACHINERY CHANGES</w:t>
      </w:r>
    </w:p>
    <w:p w14:paraId="79085AF2" w14:textId="77777777" w:rsidR="009D02E2" w:rsidRPr="0045443A" w:rsidRDefault="009D02E2" w:rsidP="0046601A">
      <w:pPr>
        <w:rPr>
          <w:b/>
          <w:i/>
          <w:color w:val="FF0000"/>
        </w:rPr>
      </w:pPr>
    </w:p>
    <w:p w14:paraId="3E28DFF0" w14:textId="77777777" w:rsidR="009D447A" w:rsidRPr="0045443A" w:rsidRDefault="009D447A" w:rsidP="009D447A">
      <w:pPr>
        <w:rPr>
          <w:b/>
          <w:i/>
        </w:rPr>
      </w:pPr>
      <w:r w:rsidRPr="0045443A">
        <w:rPr>
          <w:b/>
          <w:i/>
        </w:rPr>
        <w:t>Removal of item 18365</w:t>
      </w:r>
    </w:p>
    <w:p w14:paraId="4123DCB8" w14:textId="7862773A" w:rsidR="009D447A" w:rsidRPr="0045443A" w:rsidRDefault="009D447A" w:rsidP="009D447A">
      <w:r w:rsidRPr="0045443A">
        <w:t xml:space="preserve">This machinery change removes </w:t>
      </w:r>
      <w:r w:rsidR="00FE4D9F" w:rsidRPr="0045443A">
        <w:t xml:space="preserve">the duplication of </w:t>
      </w:r>
      <w:r w:rsidRPr="0045443A">
        <w:t xml:space="preserve">the item for the treatment of severe spasticity of the upper limb following a stroke (18365) from the GMST. Patients </w:t>
      </w:r>
      <w:r w:rsidR="00387962" w:rsidRPr="0045443A">
        <w:t>can</w:t>
      </w:r>
      <w:r w:rsidRPr="0045443A">
        <w:t xml:space="preserve"> continue to access the service </w:t>
      </w:r>
      <w:r w:rsidR="00387962" w:rsidRPr="0045443A">
        <w:t xml:space="preserve">under Medicare </w:t>
      </w:r>
      <w:r w:rsidR="00FE4D9F" w:rsidRPr="0045443A">
        <w:t>as the item will be listed</w:t>
      </w:r>
      <w:r w:rsidRPr="0045443A">
        <w:t xml:space="preserve"> in a determination made under section 3C of the Act from 1 May 2020</w:t>
      </w:r>
      <w:r w:rsidRPr="0045443A">
        <w:rPr>
          <w:i/>
        </w:rPr>
        <w:t xml:space="preserve">. </w:t>
      </w:r>
    </w:p>
    <w:p w14:paraId="17D75337" w14:textId="77777777" w:rsidR="009D447A" w:rsidRPr="0045443A" w:rsidRDefault="009D447A" w:rsidP="009D447A">
      <w:pPr>
        <w:rPr>
          <w:color w:val="FF0000"/>
        </w:rPr>
      </w:pPr>
    </w:p>
    <w:p w14:paraId="3AA02CB0" w14:textId="77777777" w:rsidR="009D447A" w:rsidRPr="0045443A" w:rsidRDefault="009D447A" w:rsidP="009D447A">
      <w:pPr>
        <w:rPr>
          <w:b/>
          <w:i/>
        </w:rPr>
      </w:pPr>
      <w:r w:rsidRPr="0045443A">
        <w:rPr>
          <w:b/>
          <w:i/>
        </w:rPr>
        <w:t>Anaesthesia items</w:t>
      </w:r>
    </w:p>
    <w:p w14:paraId="2DDF2F42" w14:textId="72139945" w:rsidR="009D447A" w:rsidRPr="0045443A" w:rsidRDefault="009D447A" w:rsidP="009D447A">
      <w:r w:rsidRPr="0045443A">
        <w:t xml:space="preserve">This machinery change removes item 25015 and replaces it with two new anaesthesia items 25013 and 25014 to clarify the ages of eligible patients. </w:t>
      </w:r>
    </w:p>
    <w:p w14:paraId="6624D037" w14:textId="77777777" w:rsidR="009D447A" w:rsidRPr="0045443A" w:rsidRDefault="009D447A" w:rsidP="009D447A"/>
    <w:p w14:paraId="2D54B4A2" w14:textId="5EB45351" w:rsidR="009D447A" w:rsidRPr="0045443A" w:rsidRDefault="009D447A" w:rsidP="009D447A">
      <w:pPr>
        <w:shd w:val="clear" w:color="auto" w:fill="FFFFFF"/>
        <w:rPr>
          <w:noProof/>
        </w:rPr>
      </w:pPr>
      <w:r w:rsidRPr="0045443A">
        <w:t xml:space="preserve">Item </w:t>
      </w:r>
      <w:r w:rsidR="006E1FAC" w:rsidRPr="0045443A">
        <w:rPr>
          <w:noProof/>
        </w:rPr>
        <w:t xml:space="preserve">25015 </w:t>
      </w:r>
      <w:r w:rsidRPr="0045443A">
        <w:rPr>
          <w:noProof/>
        </w:rPr>
        <w:t xml:space="preserve">was amended on 1 November 2019 to expand the eligible age group from </w:t>
      </w:r>
      <w:r w:rsidRPr="0045443A">
        <w:rPr>
          <w:shd w:val="clear" w:color="auto" w:fill="FFFFFF"/>
        </w:rPr>
        <w:t xml:space="preserve">patients who are less than 12 months or 70 years and older, to patients who are aged 3 years or less or at least 75 years old. </w:t>
      </w:r>
      <w:r w:rsidRPr="0045443A">
        <w:rPr>
          <w:noProof/>
        </w:rPr>
        <w:t>It was intended</w:t>
      </w:r>
      <w:r w:rsidRPr="0045443A">
        <w:rPr>
          <w:rFonts w:ascii="Helvetica Neue" w:hAnsi="Helvetica Neue"/>
          <w:bCs/>
        </w:rPr>
        <w:t xml:space="preserve"> that this item would cover patients up to and including the day before their fourth birthday.</w:t>
      </w:r>
    </w:p>
    <w:p w14:paraId="25A27ED9" w14:textId="77777777" w:rsidR="009D447A" w:rsidRPr="0045443A" w:rsidRDefault="009D447A" w:rsidP="009D447A">
      <w:pPr>
        <w:pStyle w:val="ListParagraph"/>
        <w:shd w:val="clear" w:color="auto" w:fill="FFFFFF"/>
        <w:rPr>
          <w:rFonts w:ascii="Helvetica Neue" w:hAnsi="Helvetica Neue"/>
          <w:bCs/>
        </w:rPr>
      </w:pPr>
    </w:p>
    <w:p w14:paraId="7E67A0BC" w14:textId="5951D578" w:rsidR="006E1FAC" w:rsidRPr="0045443A" w:rsidRDefault="007F6CE7" w:rsidP="006E1FAC">
      <w:pPr>
        <w:shd w:val="clear" w:color="auto" w:fill="FFFFFF"/>
        <w:rPr>
          <w:rFonts w:ascii="Helvetica Neue" w:hAnsi="Helvetica Neue"/>
          <w:bCs/>
        </w:rPr>
      </w:pPr>
      <w:r w:rsidRPr="0045443A">
        <w:rPr>
          <w:rFonts w:ascii="Helvetica Neue" w:hAnsi="Helvetica Neue"/>
          <w:bCs/>
        </w:rPr>
        <w:t>Following implementation</w:t>
      </w:r>
      <w:r w:rsidR="009D447A" w:rsidRPr="0045443A">
        <w:rPr>
          <w:rFonts w:ascii="Helvetica Neue" w:hAnsi="Helvetica Neue"/>
          <w:bCs/>
        </w:rPr>
        <w:t xml:space="preserve">, an ambiguity emerged concerning </w:t>
      </w:r>
      <w:r w:rsidRPr="0045443A">
        <w:rPr>
          <w:rFonts w:ascii="Helvetica Neue" w:hAnsi="Helvetica Neue"/>
          <w:bCs/>
        </w:rPr>
        <w:t>the</w:t>
      </w:r>
      <w:r w:rsidR="009D447A" w:rsidRPr="0045443A">
        <w:rPr>
          <w:rFonts w:ascii="Helvetica Neue" w:hAnsi="Helvetica Neue"/>
          <w:bCs/>
        </w:rPr>
        <w:t xml:space="preserve"> item’s coverage of patients aged between three and four years.  </w:t>
      </w:r>
      <w:r w:rsidR="006E1FAC" w:rsidRPr="0045443A">
        <w:rPr>
          <w:rFonts w:ascii="Helvetica Neue" w:hAnsi="Helvetica Neue"/>
          <w:bCs/>
        </w:rPr>
        <w:t xml:space="preserve">As an interim measure, item 25012 was created through </w:t>
      </w:r>
      <w:r w:rsidR="006E1FAC" w:rsidRPr="0045443A">
        <w:t xml:space="preserve">the </w:t>
      </w:r>
      <w:r w:rsidR="006E1FAC" w:rsidRPr="0045443A">
        <w:rPr>
          <w:i/>
        </w:rPr>
        <w:t>Health Insurance (Section 3C General Medical Services – Childhood Access to Anaesthesia) Determination 2019</w:t>
      </w:r>
      <w:r w:rsidR="006E1FAC" w:rsidRPr="0045443A">
        <w:rPr>
          <w:rFonts w:ascii="Helvetica Neue" w:hAnsi="Helvetica Neue"/>
          <w:bCs/>
        </w:rPr>
        <w:t xml:space="preserve"> to provide for coverage for three to four year olds. This determination ceased on 30 April 2020.</w:t>
      </w:r>
    </w:p>
    <w:p w14:paraId="65E9160F" w14:textId="0E2E688B" w:rsidR="009D447A" w:rsidRPr="0045443A" w:rsidRDefault="006E1FAC" w:rsidP="009D447A">
      <w:pPr>
        <w:shd w:val="clear" w:color="auto" w:fill="FFFFFF"/>
        <w:rPr>
          <w:rFonts w:ascii="Helvetica Neue" w:hAnsi="Helvetica Neue"/>
          <w:bCs/>
        </w:rPr>
      </w:pPr>
      <w:r w:rsidRPr="0045443A">
        <w:rPr>
          <w:rFonts w:ascii="Helvetica Neue" w:hAnsi="Helvetica Neue"/>
          <w:bCs/>
        </w:rPr>
        <w:br/>
      </w:r>
      <w:r w:rsidR="009D447A" w:rsidRPr="0045443A">
        <w:rPr>
          <w:rFonts w:ascii="Helvetica Neue" w:hAnsi="Helvetica Neue"/>
          <w:bCs/>
        </w:rPr>
        <w:t xml:space="preserve">To </w:t>
      </w:r>
      <w:r w:rsidR="007F6CE7" w:rsidRPr="0045443A">
        <w:rPr>
          <w:rFonts w:ascii="Helvetica Neue" w:hAnsi="Helvetica Neue"/>
          <w:bCs/>
        </w:rPr>
        <w:t>clarify the eligible</w:t>
      </w:r>
      <w:r w:rsidR="009D447A" w:rsidRPr="0045443A">
        <w:rPr>
          <w:rFonts w:ascii="Helvetica Neue" w:hAnsi="Helvetica Neue"/>
          <w:bCs/>
        </w:rPr>
        <w:t xml:space="preserve"> age cohort</w:t>
      </w:r>
      <w:r w:rsidR="007F6CE7" w:rsidRPr="0045443A">
        <w:rPr>
          <w:rFonts w:ascii="Helvetica Neue" w:hAnsi="Helvetica Neue"/>
          <w:bCs/>
        </w:rPr>
        <w:t>s</w:t>
      </w:r>
      <w:r w:rsidR="009D447A" w:rsidRPr="0045443A">
        <w:rPr>
          <w:rFonts w:ascii="Helvetica Neue" w:hAnsi="Helvetica Neue"/>
          <w:bCs/>
        </w:rPr>
        <w:t xml:space="preserve">, </w:t>
      </w:r>
      <w:r w:rsidR="007F6CE7" w:rsidRPr="0045443A">
        <w:rPr>
          <w:rFonts w:ascii="Helvetica Neue" w:hAnsi="Helvetica Neue"/>
          <w:bCs/>
        </w:rPr>
        <w:t xml:space="preserve">the Regulations remove </w:t>
      </w:r>
      <w:r w:rsidR="009D447A" w:rsidRPr="0045443A">
        <w:rPr>
          <w:rFonts w:ascii="Helvetica Neue" w:hAnsi="Helvetica Neue"/>
          <w:bCs/>
        </w:rPr>
        <w:t xml:space="preserve">item 25015 </w:t>
      </w:r>
      <w:r w:rsidR="007F6CE7" w:rsidRPr="0045443A">
        <w:rPr>
          <w:rFonts w:ascii="Helvetica Neue" w:hAnsi="Helvetica Neue"/>
          <w:bCs/>
        </w:rPr>
        <w:t>and</w:t>
      </w:r>
      <w:r w:rsidR="009D447A" w:rsidRPr="0045443A">
        <w:rPr>
          <w:rFonts w:ascii="Helvetica Neue" w:hAnsi="Helvetica Neue"/>
          <w:bCs/>
        </w:rPr>
        <w:t xml:space="preserve"> </w:t>
      </w:r>
      <w:r w:rsidR="007F6CE7" w:rsidRPr="0045443A">
        <w:rPr>
          <w:rFonts w:ascii="Helvetica Neue" w:hAnsi="Helvetica Neue"/>
          <w:bCs/>
        </w:rPr>
        <w:t>list i</w:t>
      </w:r>
      <w:r w:rsidRPr="0045443A">
        <w:rPr>
          <w:rFonts w:ascii="Helvetica Neue" w:hAnsi="Helvetica Neue"/>
          <w:bCs/>
        </w:rPr>
        <w:t>tem</w:t>
      </w:r>
      <w:r w:rsidR="009D447A" w:rsidRPr="0045443A">
        <w:rPr>
          <w:rFonts w:ascii="Helvetica Neue" w:hAnsi="Helvetica Neue"/>
          <w:bCs/>
        </w:rPr>
        <w:t xml:space="preserve"> </w:t>
      </w:r>
      <w:r w:rsidRPr="0045443A">
        <w:t xml:space="preserve">25013 </w:t>
      </w:r>
      <w:r w:rsidR="007F6CE7" w:rsidRPr="0045443A">
        <w:t>for</w:t>
      </w:r>
      <w:r w:rsidRPr="0045443A">
        <w:t xml:space="preserve"> patients under 4 years </w:t>
      </w:r>
      <w:r w:rsidR="009D447A" w:rsidRPr="0045443A">
        <w:t xml:space="preserve">and </w:t>
      </w:r>
      <w:r w:rsidRPr="0045443A">
        <w:t xml:space="preserve">item </w:t>
      </w:r>
      <w:r w:rsidR="009D447A" w:rsidRPr="0045443A">
        <w:t>25014</w:t>
      </w:r>
      <w:r w:rsidRPr="0045443A">
        <w:t xml:space="preserve"> </w:t>
      </w:r>
      <w:r w:rsidR="007F6CE7" w:rsidRPr="0045443A">
        <w:t>for</w:t>
      </w:r>
      <w:r w:rsidRPr="0045443A">
        <w:t xml:space="preserve"> </w:t>
      </w:r>
      <w:r w:rsidR="009D447A" w:rsidRPr="0045443A">
        <w:t>p</w:t>
      </w:r>
      <w:r w:rsidRPr="0045443A">
        <w:t>atients 75 years or over</w:t>
      </w:r>
      <w:r w:rsidR="009D447A" w:rsidRPr="0045443A">
        <w:t xml:space="preserve">. </w:t>
      </w:r>
    </w:p>
    <w:p w14:paraId="3F043B6C" w14:textId="77777777" w:rsidR="009D447A" w:rsidRPr="0045443A" w:rsidRDefault="009D447A" w:rsidP="009D447A">
      <w:pPr>
        <w:pStyle w:val="ListParagraph"/>
        <w:rPr>
          <w:color w:val="FF0000"/>
        </w:rPr>
      </w:pPr>
    </w:p>
    <w:p w14:paraId="2068662B" w14:textId="39B058E9" w:rsidR="009D447A" w:rsidRPr="0045443A" w:rsidRDefault="006E6579" w:rsidP="009D447A">
      <w:pPr>
        <w:rPr>
          <w:b/>
          <w:i/>
        </w:rPr>
      </w:pPr>
      <w:r w:rsidRPr="0045443A">
        <w:rPr>
          <w:b/>
          <w:i/>
        </w:rPr>
        <w:t>C</w:t>
      </w:r>
      <w:r w:rsidR="009D447A" w:rsidRPr="0045443A">
        <w:rPr>
          <w:b/>
          <w:i/>
        </w:rPr>
        <w:t xml:space="preserve">olonoscopy </w:t>
      </w:r>
      <w:r w:rsidRPr="0045443A">
        <w:rPr>
          <w:b/>
          <w:i/>
        </w:rPr>
        <w:t>items</w:t>
      </w:r>
    </w:p>
    <w:p w14:paraId="6024417B" w14:textId="77777777" w:rsidR="009D447A" w:rsidRPr="0045443A" w:rsidRDefault="009D447A" w:rsidP="009D447A">
      <w:r w:rsidRPr="0045443A">
        <w:t>In November 2019, changes were made to colonoscopy items to distinguish eligible patient cohorts by appropriate interval screenings, as recommended by the MBS Review Taskforce.</w:t>
      </w:r>
    </w:p>
    <w:p w14:paraId="69F0FEEC" w14:textId="77777777" w:rsidR="009D447A" w:rsidRPr="0045443A" w:rsidRDefault="009D447A" w:rsidP="009D447A"/>
    <w:p w14:paraId="5D708B82" w14:textId="77777777" w:rsidR="009D447A" w:rsidRPr="0045443A" w:rsidRDefault="009D447A" w:rsidP="009D447A">
      <w:r w:rsidRPr="0045443A">
        <w:t>The following machinery changes have been made to items 32084, 32087 and 32224 to clarify their intended purpose and to remove redundant terminology:</w:t>
      </w:r>
    </w:p>
    <w:p w14:paraId="41A4EA05" w14:textId="77777777" w:rsidR="009D447A" w:rsidRPr="0045443A" w:rsidRDefault="009D447A" w:rsidP="009D447A">
      <w:pPr>
        <w:pStyle w:val="ListParagraph"/>
        <w:numPr>
          <w:ilvl w:val="0"/>
          <w:numId w:val="20"/>
        </w:numPr>
      </w:pPr>
      <w:r w:rsidRPr="0045443A">
        <w:t xml:space="preserve">amendment to items 32084 and 32087 to remove the requirement that sigmoidoscopies and colonoscopies must be ‘flexible’ or ‘fibreoptic’. These terms are redundant as all contemporary colonoscopies and sigmoidoscopy use flexible endoscopes with digital technology; </w:t>
      </w:r>
    </w:p>
    <w:p w14:paraId="6EB29BF4" w14:textId="0608BE7A" w:rsidR="009D447A" w:rsidRPr="0045443A" w:rsidRDefault="009D447A" w:rsidP="009D447A">
      <w:pPr>
        <w:pStyle w:val="ListParagraph"/>
        <w:numPr>
          <w:ilvl w:val="0"/>
          <w:numId w:val="20"/>
        </w:numPr>
      </w:pPr>
      <w:r w:rsidRPr="0045443A">
        <w:t xml:space="preserve">item 32087 </w:t>
      </w:r>
      <w:r w:rsidR="00484608" w:rsidRPr="0045443A">
        <w:t>is further amended by deleting “</w:t>
      </w:r>
      <w:r w:rsidRPr="0045443A">
        <w:t>the treatment of radiation proctitis, angiodysplasia or post-polypectomy bleeding by argon plasma coagulation</w:t>
      </w:r>
      <w:r w:rsidR="00484608" w:rsidRPr="0045443A">
        <w:t>”</w:t>
      </w:r>
      <w:r w:rsidRPr="0045443A">
        <w:t xml:space="preserve"> in the descriptor. </w:t>
      </w:r>
      <w:r w:rsidR="008C3818" w:rsidRPr="0045443A">
        <w:t xml:space="preserve">This change will clarify that </w:t>
      </w:r>
      <w:r w:rsidR="007C384B" w:rsidRPr="0045443A">
        <w:t xml:space="preserve">doctors should generally be claiming item 32227 for </w:t>
      </w:r>
      <w:r w:rsidR="007C384B" w:rsidRPr="0045443A">
        <w:rPr>
          <w:lang w:val="en-US"/>
        </w:rPr>
        <w:t xml:space="preserve">therapeutic colonoscopy </w:t>
      </w:r>
      <w:r w:rsidR="007C384B" w:rsidRPr="0045443A">
        <w:t>service for the treatment of radiation proctitis, angiodysplasia or post-polypectomy bleeding</w:t>
      </w:r>
      <w:r w:rsidRPr="0045443A">
        <w:t>; and</w:t>
      </w:r>
    </w:p>
    <w:p w14:paraId="5515CD2F" w14:textId="77777777" w:rsidR="009D447A" w:rsidRPr="0045443A" w:rsidRDefault="009D447A" w:rsidP="009D447A">
      <w:pPr>
        <w:pStyle w:val="ListParagraph"/>
        <w:numPr>
          <w:ilvl w:val="0"/>
          <w:numId w:val="20"/>
        </w:numPr>
      </w:pPr>
      <w:r w:rsidRPr="0045443A">
        <w:t xml:space="preserve">amendment to item 32224 to ensure patient entitlement where a certain adenoma is exactly 10 mm in diameter. </w:t>
      </w:r>
    </w:p>
    <w:p w14:paraId="406D737E" w14:textId="56746CE7" w:rsidR="009D447A" w:rsidRPr="0045443A" w:rsidRDefault="009D447A" w:rsidP="009D447A"/>
    <w:p w14:paraId="4A643253" w14:textId="77777777" w:rsidR="009D447A" w:rsidRPr="0045443A" w:rsidRDefault="009D447A" w:rsidP="009D447A">
      <w:pPr>
        <w:rPr>
          <w:b/>
          <w:i/>
        </w:rPr>
      </w:pPr>
      <w:r w:rsidRPr="0045443A">
        <w:rPr>
          <w:b/>
          <w:i/>
        </w:rPr>
        <w:t>Integration of section 3C instruments</w:t>
      </w:r>
    </w:p>
    <w:p w14:paraId="00EB6AB4" w14:textId="445D3E84" w:rsidR="009D447A" w:rsidRPr="0045443A" w:rsidRDefault="002612B3" w:rsidP="009D447A">
      <w:pPr>
        <w:ind w:right="-755"/>
      </w:pPr>
      <w:r w:rsidRPr="0045443A">
        <w:t>Section 3C of the Act provides that the Minister may, by legislative instrument, determine that a health service not specified in an item in the GMST shall, in specified circumstances and for specified statutory provisions, be treated as if it were specified in the GMST</w:t>
      </w:r>
      <w:r w:rsidR="00E7454A" w:rsidRPr="0045443A">
        <w:t xml:space="preserve">. </w:t>
      </w:r>
      <w:r w:rsidR="009D447A" w:rsidRPr="0045443A">
        <w:t xml:space="preserve">As a machinery change, the contents of the following section 3C </w:t>
      </w:r>
      <w:r w:rsidR="00E7454A" w:rsidRPr="0045443A">
        <w:t>d</w:t>
      </w:r>
      <w:r w:rsidR="009D447A" w:rsidRPr="0045443A">
        <w:t>eterminations are integrated into the GMST:</w:t>
      </w:r>
    </w:p>
    <w:p w14:paraId="626938FB" w14:textId="77777777" w:rsidR="009D447A" w:rsidRPr="0045443A" w:rsidRDefault="0045443A" w:rsidP="009D447A">
      <w:pPr>
        <w:pStyle w:val="ListParagraph"/>
        <w:numPr>
          <w:ilvl w:val="0"/>
          <w:numId w:val="22"/>
        </w:numPr>
        <w:ind w:right="-755"/>
        <w:rPr>
          <w:rStyle w:val="Hyperlink"/>
        </w:rPr>
      </w:pPr>
      <w:hyperlink r:id="rId12" w:history="1">
        <w:r w:rsidR="009D447A" w:rsidRPr="0045443A">
          <w:rPr>
            <w:rStyle w:val="Hyperlink"/>
            <w:i/>
          </w:rPr>
          <w:t>Health Insurance (Section 3C General Medical Services – Blue Light Cystoscopy) Determination 2019</w:t>
        </w:r>
      </w:hyperlink>
    </w:p>
    <w:p w14:paraId="79BBDADC" w14:textId="77777777" w:rsidR="009D447A" w:rsidRPr="0045443A" w:rsidRDefault="0045443A" w:rsidP="009D447A">
      <w:pPr>
        <w:pStyle w:val="ListParagraph"/>
        <w:numPr>
          <w:ilvl w:val="0"/>
          <w:numId w:val="22"/>
        </w:numPr>
        <w:ind w:right="-755"/>
        <w:rPr>
          <w:rStyle w:val="Hyperlink"/>
        </w:rPr>
      </w:pPr>
      <w:hyperlink r:id="rId13" w:history="1">
        <w:r w:rsidR="009D447A" w:rsidRPr="0045443A">
          <w:rPr>
            <w:rStyle w:val="Hyperlink"/>
            <w:i/>
          </w:rPr>
          <w:t>Health Insurance (Section 3C General Medical Services – Cryopreservation of Semen) Determination 2018</w:t>
        </w:r>
      </w:hyperlink>
    </w:p>
    <w:p w14:paraId="36C821E2" w14:textId="77777777" w:rsidR="009D447A" w:rsidRPr="0045443A" w:rsidRDefault="0045443A" w:rsidP="009D447A">
      <w:pPr>
        <w:pStyle w:val="ListParagraph"/>
        <w:numPr>
          <w:ilvl w:val="0"/>
          <w:numId w:val="22"/>
        </w:numPr>
        <w:ind w:right="-755"/>
        <w:rPr>
          <w:i/>
        </w:rPr>
      </w:pPr>
      <w:hyperlink r:id="rId14" w:history="1">
        <w:r w:rsidR="009D447A" w:rsidRPr="0045443A">
          <w:rPr>
            <w:rStyle w:val="Hyperlink"/>
            <w:rFonts w:ascii="Helvetica Neue" w:hAnsi="Helvetica Neue"/>
            <w:bCs/>
            <w:i/>
            <w:lang w:eastAsia="en-AU"/>
          </w:rPr>
          <w:t>Health Insurance (Section 3C General Medical Services – MIGS Stent Implantation) Determination 2018</w:t>
        </w:r>
      </w:hyperlink>
    </w:p>
    <w:p w14:paraId="36C8AD99" w14:textId="77777777" w:rsidR="009D447A" w:rsidRPr="0045443A" w:rsidRDefault="0045443A" w:rsidP="009D447A">
      <w:pPr>
        <w:pStyle w:val="ListParagraph"/>
        <w:numPr>
          <w:ilvl w:val="0"/>
          <w:numId w:val="22"/>
        </w:numPr>
        <w:ind w:right="-755"/>
        <w:rPr>
          <w:rStyle w:val="Hyperlink"/>
          <w:i/>
        </w:rPr>
      </w:pPr>
      <w:hyperlink r:id="rId15" w:history="1">
        <w:r w:rsidR="009D447A" w:rsidRPr="0045443A">
          <w:rPr>
            <w:rStyle w:val="Hyperlink"/>
            <w:i/>
          </w:rPr>
          <w:t>Health Insurance (Section 3C General Medical Services – Unscheduled specialist attendance) Determination 2019</w:t>
        </w:r>
      </w:hyperlink>
    </w:p>
    <w:p w14:paraId="4BB89FE5" w14:textId="77777777" w:rsidR="009D447A" w:rsidRPr="0045443A" w:rsidRDefault="0045443A" w:rsidP="009D447A">
      <w:pPr>
        <w:pStyle w:val="ListParagraph"/>
        <w:numPr>
          <w:ilvl w:val="0"/>
          <w:numId w:val="22"/>
        </w:numPr>
        <w:ind w:right="-755"/>
        <w:rPr>
          <w:i/>
        </w:rPr>
      </w:pPr>
      <w:hyperlink r:id="rId16" w:history="1">
        <w:r w:rsidR="009D447A" w:rsidRPr="0045443A">
          <w:rPr>
            <w:rStyle w:val="Hyperlink"/>
            <w:i/>
          </w:rPr>
          <w:t>Health Insurance (Section 3C General Medical Services – Vigilance Testing) Determination 2018</w:t>
        </w:r>
      </w:hyperlink>
      <w:r w:rsidR="009D447A" w:rsidRPr="0045443A">
        <w:rPr>
          <w:i/>
        </w:rPr>
        <w:t xml:space="preserve"> </w:t>
      </w:r>
    </w:p>
    <w:p w14:paraId="21125058" w14:textId="77777777" w:rsidR="009D447A" w:rsidRPr="0045443A" w:rsidRDefault="009D447A" w:rsidP="0046601A">
      <w:pPr>
        <w:rPr>
          <w:b/>
          <w:i/>
        </w:rPr>
      </w:pPr>
    </w:p>
    <w:p w14:paraId="321DF2C8" w14:textId="512A6204" w:rsidR="0046601A" w:rsidRPr="0045443A" w:rsidRDefault="0046601A" w:rsidP="0046601A">
      <w:pPr>
        <w:rPr>
          <w:b/>
          <w:i/>
        </w:rPr>
      </w:pPr>
      <w:r w:rsidRPr="0045443A">
        <w:rPr>
          <w:b/>
          <w:i/>
        </w:rPr>
        <w:t xml:space="preserve">Removal of subclause 2.22.6(6) and </w:t>
      </w:r>
      <w:r w:rsidR="00781734" w:rsidRPr="0045443A">
        <w:rPr>
          <w:b/>
          <w:i/>
        </w:rPr>
        <w:t>amend</w:t>
      </w:r>
      <w:r w:rsidRPr="0045443A">
        <w:rPr>
          <w:b/>
          <w:i/>
        </w:rPr>
        <w:t xml:space="preserve"> item 2713</w:t>
      </w:r>
    </w:p>
    <w:p w14:paraId="1C872889" w14:textId="256C0C3B" w:rsidR="00781734" w:rsidRPr="0045443A" w:rsidRDefault="00781734" w:rsidP="0046601A">
      <w:r w:rsidRPr="0045443A">
        <w:t>This editorial change deletes subclause 2.22.6(6) and amends the descriptor of item 2713 to remove duplication and outdated terminology. There is no change to the requirements of the item. This include</w:t>
      </w:r>
      <w:r w:rsidR="007103A6" w:rsidRPr="0045443A">
        <w:t>s</w:t>
      </w:r>
      <w:r w:rsidRPr="0045443A">
        <w:t xml:space="preserve"> the time requirement (the service must last at least 20 minutes) and the location of the service (consulting rooms).</w:t>
      </w:r>
    </w:p>
    <w:p w14:paraId="0981E4DE" w14:textId="7870DB5B" w:rsidR="002701EE" w:rsidRPr="0045443A" w:rsidRDefault="002701EE" w:rsidP="008207B6"/>
    <w:p w14:paraId="1C9C2F1E" w14:textId="55E24933" w:rsidR="002701EE" w:rsidRPr="0045443A" w:rsidRDefault="001B21CA" w:rsidP="008207B6">
      <w:pPr>
        <w:rPr>
          <w:b/>
        </w:rPr>
      </w:pPr>
      <w:r w:rsidRPr="0045443A">
        <w:rPr>
          <w:b/>
        </w:rPr>
        <w:t>General formatting changes</w:t>
      </w:r>
    </w:p>
    <w:p w14:paraId="0945917E" w14:textId="4974AEDE" w:rsidR="009D447A" w:rsidRPr="0045443A" w:rsidRDefault="006B294B" w:rsidP="00C51FEE">
      <w:r w:rsidRPr="0045443A">
        <w:t>A general</w:t>
      </w:r>
      <w:r w:rsidR="009D447A" w:rsidRPr="0045443A">
        <w:t xml:space="preserve"> editorial change has been made to restructure the</w:t>
      </w:r>
      <w:r w:rsidR="00C51FEE" w:rsidRPr="0045443A">
        <w:t xml:space="preserve"> GMST to improve the legal effectiveness, clarity, and intelligibility to anticipated users. </w:t>
      </w:r>
    </w:p>
    <w:p w14:paraId="6F4907C3" w14:textId="77777777" w:rsidR="009D447A" w:rsidRPr="0045443A" w:rsidRDefault="009D447A" w:rsidP="00C51FEE"/>
    <w:p w14:paraId="188A5DDD" w14:textId="659E5B10" w:rsidR="009D447A" w:rsidRPr="0045443A" w:rsidRDefault="009D447A" w:rsidP="00C51FEE">
      <w:r w:rsidRPr="0045443A">
        <w:t>In the 2019 Regulations, all items in the GMST (approximately 4,000 in total) were included in Part 2. This has been restructured in to six difference parts:</w:t>
      </w:r>
    </w:p>
    <w:p w14:paraId="5AFD203C" w14:textId="7ED3D07A" w:rsidR="009D447A" w:rsidRPr="0045443A" w:rsidRDefault="009D447A" w:rsidP="009D447A">
      <w:pPr>
        <w:pStyle w:val="ListParagraph"/>
        <w:numPr>
          <w:ilvl w:val="0"/>
          <w:numId w:val="23"/>
        </w:numPr>
      </w:pPr>
      <w:r w:rsidRPr="0045443A">
        <w:t>Part 2 (Attendances).</w:t>
      </w:r>
    </w:p>
    <w:p w14:paraId="411F8762" w14:textId="021E9D69" w:rsidR="009D447A" w:rsidRPr="0045443A" w:rsidRDefault="009D447A" w:rsidP="009D447A">
      <w:pPr>
        <w:pStyle w:val="ListParagraph"/>
        <w:numPr>
          <w:ilvl w:val="0"/>
          <w:numId w:val="23"/>
        </w:numPr>
      </w:pPr>
      <w:r w:rsidRPr="0045443A">
        <w:t>Part 3 (Miscellaneous services).</w:t>
      </w:r>
    </w:p>
    <w:p w14:paraId="1AF4CBEC" w14:textId="18921861" w:rsidR="009D447A" w:rsidRPr="0045443A" w:rsidRDefault="009D447A" w:rsidP="009D447A">
      <w:pPr>
        <w:pStyle w:val="ListParagraph"/>
        <w:numPr>
          <w:ilvl w:val="0"/>
          <w:numId w:val="23"/>
        </w:numPr>
      </w:pPr>
      <w:r w:rsidRPr="0045443A">
        <w:t xml:space="preserve">Part </w:t>
      </w:r>
      <w:r w:rsidR="00C51FEE" w:rsidRPr="0045443A">
        <w:t xml:space="preserve">4 (Diagnostic </w:t>
      </w:r>
      <w:r w:rsidRPr="0045443A">
        <w:t>procedures and investigations).</w:t>
      </w:r>
    </w:p>
    <w:p w14:paraId="39D5F6A6" w14:textId="0B9C8653" w:rsidR="009D447A" w:rsidRPr="0045443A" w:rsidRDefault="009D447A" w:rsidP="009D447A">
      <w:pPr>
        <w:pStyle w:val="ListParagraph"/>
        <w:numPr>
          <w:ilvl w:val="0"/>
          <w:numId w:val="23"/>
        </w:numPr>
      </w:pPr>
      <w:r w:rsidRPr="0045443A">
        <w:t>Part 5 (Therapeutic procedures).</w:t>
      </w:r>
      <w:r w:rsidR="00C51FEE" w:rsidRPr="0045443A">
        <w:t xml:space="preserve"> </w:t>
      </w:r>
    </w:p>
    <w:p w14:paraId="022808D5" w14:textId="7FE5BA57" w:rsidR="009D447A" w:rsidRPr="0045443A" w:rsidRDefault="009D447A" w:rsidP="009D447A">
      <w:pPr>
        <w:pStyle w:val="ListParagraph"/>
        <w:numPr>
          <w:ilvl w:val="0"/>
          <w:numId w:val="23"/>
        </w:numPr>
      </w:pPr>
      <w:r w:rsidRPr="0045443A">
        <w:t>Part 6 (Oral and m</w:t>
      </w:r>
      <w:r w:rsidR="00C51FEE" w:rsidRPr="0045443A">
        <w:t xml:space="preserve">axillofacial services). </w:t>
      </w:r>
    </w:p>
    <w:p w14:paraId="3FE6F9B8" w14:textId="77777777" w:rsidR="009D447A" w:rsidRPr="0045443A" w:rsidRDefault="009D447A" w:rsidP="009D447A">
      <w:pPr>
        <w:ind w:left="360"/>
      </w:pPr>
    </w:p>
    <w:p w14:paraId="3A0E0A21" w14:textId="1273383E" w:rsidR="002E281E" w:rsidRPr="0045443A" w:rsidRDefault="009D447A" w:rsidP="009D447A">
      <w:r w:rsidRPr="0045443A">
        <w:t xml:space="preserve">Part 7 of the Regulations </w:t>
      </w:r>
      <w:r w:rsidR="00C51FEE" w:rsidRPr="0045443A">
        <w:t xml:space="preserve">is the Dictionary </w:t>
      </w:r>
      <w:r w:rsidRPr="0045443A">
        <w:t>(was Part 3 in the 2019 Regulations)</w:t>
      </w:r>
      <w:r w:rsidR="002E281E" w:rsidRPr="0045443A">
        <w:t xml:space="preserve">. </w:t>
      </w:r>
      <w:r w:rsidRPr="0045443A">
        <w:t>Clauses have been renumbered to reflect the restructure.</w:t>
      </w:r>
      <w:r w:rsidR="001E66AD" w:rsidRPr="0045443A">
        <w:t xml:space="preserve"> </w:t>
      </w:r>
    </w:p>
    <w:p w14:paraId="2F13197A" w14:textId="09A0C3D0" w:rsidR="002E281E" w:rsidRPr="0045443A" w:rsidRDefault="002E281E" w:rsidP="009D447A"/>
    <w:p w14:paraId="7784B85C" w14:textId="40397CB8" w:rsidR="001B21CA" w:rsidRPr="0045443A" w:rsidRDefault="009953B4" w:rsidP="009D447A">
      <w:pPr>
        <w:rPr>
          <w:b/>
        </w:rPr>
      </w:pPr>
      <w:r w:rsidRPr="0045443A">
        <w:rPr>
          <w:b/>
        </w:rPr>
        <w:t>Editorial</w:t>
      </w:r>
      <w:r w:rsidR="001B21CA" w:rsidRPr="0045443A">
        <w:rPr>
          <w:b/>
        </w:rPr>
        <w:t xml:space="preserve"> </w:t>
      </w:r>
      <w:r w:rsidRPr="0045443A">
        <w:rPr>
          <w:b/>
        </w:rPr>
        <w:t>changes to attendance descriptors</w:t>
      </w:r>
    </w:p>
    <w:p w14:paraId="4A2732D7" w14:textId="4AB6CCE0" w:rsidR="006B294B" w:rsidRPr="0045443A" w:rsidRDefault="006B294B" w:rsidP="009D447A">
      <w:r w:rsidRPr="0045443A">
        <w:t>Minor editorial changes have been made to the descriptors of most attendance items in the GMST to improve the legal effectiveness, clarity, and intelligibility to anticipated users. This includes:</w:t>
      </w:r>
    </w:p>
    <w:p w14:paraId="37A67278" w14:textId="2EF7441F" w:rsidR="006B294B" w:rsidRPr="0045443A" w:rsidRDefault="006B294B" w:rsidP="006B294B">
      <w:pPr>
        <w:pStyle w:val="ListParagraph"/>
        <w:numPr>
          <w:ilvl w:val="0"/>
          <w:numId w:val="24"/>
        </w:numPr>
        <w:rPr>
          <w:rFonts w:cstheme="minorHAnsi"/>
          <w:bCs/>
        </w:rPr>
      </w:pPr>
      <w:r w:rsidRPr="0045443A">
        <w:rPr>
          <w:rFonts w:cstheme="minorHAnsi"/>
          <w:bCs/>
        </w:rPr>
        <w:t xml:space="preserve">standardising the way residential aged care facilities and a person in a residential aged care facility are described in the GMST. The terms </w:t>
      </w:r>
      <w:r w:rsidRPr="0045443A">
        <w:t xml:space="preserve">“residential aged care facility” and “care recipient” are to replace the multiple expressions used in the 2019 Regulations to describe a person residing in a residential aged care facility. </w:t>
      </w:r>
      <w:r w:rsidRPr="0045443A">
        <w:rPr>
          <w:rFonts w:cstheme="minorHAnsi"/>
          <w:bCs/>
        </w:rPr>
        <w:t xml:space="preserve">This change will also align the terms used in the GMST with the definition contained in section 41-3 of the </w:t>
      </w:r>
      <w:r w:rsidRPr="0045443A">
        <w:rPr>
          <w:rFonts w:cstheme="minorHAnsi"/>
          <w:bCs/>
          <w:i/>
        </w:rPr>
        <w:t>Aged Care Act 1997</w:t>
      </w:r>
      <w:r w:rsidRPr="0045443A">
        <w:rPr>
          <w:rFonts w:cstheme="minorHAnsi"/>
          <w:bCs/>
        </w:rPr>
        <w:t xml:space="preserve">;  </w:t>
      </w:r>
    </w:p>
    <w:p w14:paraId="3C0BF0DE" w14:textId="31702E21" w:rsidR="002E281E" w:rsidRPr="0045443A" w:rsidRDefault="00484D53" w:rsidP="002E281E">
      <w:pPr>
        <w:pStyle w:val="ListParagraph"/>
        <w:numPr>
          <w:ilvl w:val="0"/>
          <w:numId w:val="24"/>
        </w:numPr>
      </w:pPr>
      <w:r w:rsidRPr="0045443A">
        <w:t xml:space="preserve">replacing the phrasing used to describe the length of a consultation (replacing </w:t>
      </w:r>
      <w:r w:rsidR="002E281E" w:rsidRPr="0045443A">
        <w:t>“</w:t>
      </w:r>
      <w:r w:rsidRPr="0045443A">
        <w:t>duration</w:t>
      </w:r>
      <w:r w:rsidR="002E281E" w:rsidRPr="0045443A">
        <w:t>”</w:t>
      </w:r>
      <w:r w:rsidRPr="0045443A">
        <w:t xml:space="preserve"> with </w:t>
      </w:r>
      <w:r w:rsidR="002E281E" w:rsidRPr="0045443A">
        <w:t>“</w:t>
      </w:r>
      <w:r w:rsidRPr="0045443A">
        <w:t>lasting</w:t>
      </w:r>
      <w:r w:rsidR="002E281E" w:rsidRPr="0045443A">
        <w:t>”);</w:t>
      </w:r>
    </w:p>
    <w:p w14:paraId="28353565" w14:textId="77777777" w:rsidR="002E281E" w:rsidRPr="0045443A" w:rsidRDefault="002E281E" w:rsidP="002E281E">
      <w:pPr>
        <w:pStyle w:val="ListParagraph"/>
        <w:numPr>
          <w:ilvl w:val="0"/>
          <w:numId w:val="24"/>
        </w:numPr>
      </w:pPr>
      <w:r w:rsidRPr="0045443A">
        <w:t xml:space="preserve">removing redundant language, including: </w:t>
      </w:r>
    </w:p>
    <w:p w14:paraId="6E8B4DA7" w14:textId="77777777" w:rsidR="002E281E" w:rsidRPr="0045443A" w:rsidRDefault="002E281E" w:rsidP="002E281E">
      <w:pPr>
        <w:pStyle w:val="ListParagraph"/>
        <w:numPr>
          <w:ilvl w:val="1"/>
          <w:numId w:val="24"/>
        </w:numPr>
      </w:pPr>
      <w:r w:rsidRPr="0045443A">
        <w:t xml:space="preserve">removing “each attendance” in items where “attendance” is already specified; </w:t>
      </w:r>
    </w:p>
    <w:p w14:paraId="4B284EA2" w14:textId="662AAD18" w:rsidR="002E281E" w:rsidRPr="0045443A" w:rsidRDefault="002E281E" w:rsidP="002E281E">
      <w:pPr>
        <w:pStyle w:val="ListParagraph"/>
        <w:numPr>
          <w:ilvl w:val="1"/>
          <w:numId w:val="24"/>
        </w:numPr>
      </w:pPr>
      <w:r w:rsidRPr="0045443A">
        <w:t xml:space="preserve">deleting “following an initial attendance” after </w:t>
      </w:r>
      <w:r w:rsidR="00EC65DA" w:rsidRPr="0045443A">
        <w:t>“</w:t>
      </w:r>
      <w:r w:rsidRPr="0045443A">
        <w:t>minor attendance</w:t>
      </w:r>
      <w:r w:rsidR="00EC65DA" w:rsidRPr="0045443A">
        <w:t>”, which already forms part of the definition of a minor attendance in Part 7 of the GMST</w:t>
      </w:r>
      <w:r w:rsidRPr="0045443A">
        <w:t xml:space="preserve">; and </w:t>
      </w:r>
    </w:p>
    <w:p w14:paraId="2B4D16D0" w14:textId="77777777" w:rsidR="00EC65DA" w:rsidRPr="0045443A" w:rsidRDefault="002E281E" w:rsidP="002E281E">
      <w:pPr>
        <w:pStyle w:val="ListParagraph"/>
        <w:numPr>
          <w:ilvl w:val="0"/>
          <w:numId w:val="24"/>
        </w:numPr>
      </w:pPr>
      <w:r w:rsidRPr="0045443A">
        <w:t xml:space="preserve">clarifying language (replacing </w:t>
      </w:r>
      <w:r w:rsidR="00EC65DA" w:rsidRPr="0045443A">
        <w:t>“</w:t>
      </w:r>
      <w:r w:rsidRPr="0045443A">
        <w:t>first</w:t>
      </w:r>
      <w:r w:rsidR="00EC65DA" w:rsidRPr="0045443A">
        <w:t>”</w:t>
      </w:r>
      <w:r w:rsidRPr="0045443A">
        <w:t xml:space="preserve">, </w:t>
      </w:r>
      <w:r w:rsidR="00EC65DA" w:rsidRPr="0045443A">
        <w:t>“</w:t>
      </w:r>
      <w:r w:rsidRPr="0045443A">
        <w:t>second</w:t>
      </w:r>
      <w:r w:rsidR="00EC65DA" w:rsidRPr="0045443A">
        <w:t>”</w:t>
      </w:r>
      <w:r w:rsidRPr="0045443A">
        <w:t xml:space="preserve"> or </w:t>
      </w:r>
      <w:r w:rsidR="00EC65DA" w:rsidRPr="0045443A">
        <w:t>“</w:t>
      </w:r>
      <w:r w:rsidRPr="0045443A">
        <w:t>subsequent</w:t>
      </w:r>
      <w:r w:rsidR="00EC65DA" w:rsidRPr="0045443A">
        <w:t>”</w:t>
      </w:r>
      <w:r w:rsidRPr="0045443A">
        <w:t xml:space="preserve"> attendance with </w:t>
      </w:r>
      <w:r w:rsidR="00EC65DA" w:rsidRPr="0045443A">
        <w:t>“</w:t>
      </w:r>
      <w:r w:rsidRPr="0045443A">
        <w:t>initial</w:t>
      </w:r>
      <w:r w:rsidR="00EC65DA" w:rsidRPr="0045443A">
        <w:t>”</w:t>
      </w:r>
      <w:r w:rsidRPr="0045443A">
        <w:t xml:space="preserve"> or </w:t>
      </w:r>
      <w:r w:rsidR="00EC65DA" w:rsidRPr="0045443A">
        <w:t>“</w:t>
      </w:r>
      <w:r w:rsidRPr="0045443A">
        <w:t>other than initial</w:t>
      </w:r>
      <w:r w:rsidR="00EC65DA" w:rsidRPr="0045443A">
        <w:t>”</w:t>
      </w:r>
      <w:r w:rsidRPr="0045443A">
        <w:t xml:space="preserve"> attendance)</w:t>
      </w:r>
      <w:r w:rsidR="00EC65DA" w:rsidRPr="0045443A">
        <w:t>.</w:t>
      </w:r>
      <w:r w:rsidR="00984B4C" w:rsidRPr="0045443A">
        <w:br/>
      </w:r>
    </w:p>
    <w:p w14:paraId="09EBC07A" w14:textId="3B57D576" w:rsidR="00EC65DA" w:rsidRPr="0045443A" w:rsidRDefault="00EC65DA" w:rsidP="00EC65DA">
      <w:r w:rsidRPr="0045443A">
        <w:t xml:space="preserve">The minor textual changes apply to </w:t>
      </w:r>
      <w:r w:rsidR="001B21CA" w:rsidRPr="0045443A">
        <w:t>general practice</w:t>
      </w:r>
      <w:r w:rsidRPr="0045443A">
        <w:t xml:space="preserve"> attendance items in Groups A1, </w:t>
      </w:r>
      <w:r w:rsidR="001B21CA" w:rsidRPr="0045443A">
        <w:t>A2, A6, A17, A30, A19, A20, A27, A22, A23 and A35, and specialist and consultant physician attendance items in Groups A3, A4, A29, A28, A6, A8, A12, A24, A26, A31 and A32.</w:t>
      </w:r>
    </w:p>
    <w:p w14:paraId="05B74DC6" w14:textId="7E2B87F8" w:rsidR="009D447A" w:rsidRPr="0045443A" w:rsidRDefault="009D447A" w:rsidP="00AD625A">
      <w:pPr>
        <w:pStyle w:val="BodyText"/>
        <w:rPr>
          <w:b w:val="0"/>
          <w:u w:val="single"/>
        </w:rPr>
      </w:pPr>
    </w:p>
    <w:p w14:paraId="5037CDD3" w14:textId="77777777" w:rsidR="00B231C0" w:rsidRPr="0045443A" w:rsidRDefault="00B231C0" w:rsidP="00B231C0">
      <w:pPr>
        <w:tabs>
          <w:tab w:val="num" w:pos="2289"/>
        </w:tabs>
        <w:rPr>
          <w:i/>
          <w:lang w:val="en-US"/>
        </w:rPr>
      </w:pPr>
      <w:r w:rsidRPr="0045443A">
        <w:rPr>
          <w:i/>
          <w:lang w:val="en-US"/>
        </w:rPr>
        <w:t>Incorporation of documents by reference</w:t>
      </w:r>
    </w:p>
    <w:p w14:paraId="2679D571" w14:textId="7A849E1B" w:rsidR="00D016E6" w:rsidRPr="0045443A" w:rsidRDefault="00B231C0" w:rsidP="00D016E6">
      <w:pPr>
        <w:rPr>
          <w:lang w:eastAsia="en-AU"/>
        </w:rPr>
      </w:pPr>
      <w:r w:rsidRPr="0045443A">
        <w:rPr>
          <w:lang w:eastAsia="en-AU"/>
        </w:rPr>
        <w:t xml:space="preserve">Paragraph 15J(2)(c) of the </w:t>
      </w:r>
      <w:r w:rsidRPr="0045443A">
        <w:rPr>
          <w:i/>
          <w:lang w:eastAsia="en-AU"/>
        </w:rPr>
        <w:t>Legislation Act 2003</w:t>
      </w:r>
      <w:r w:rsidRPr="0045443A">
        <w:rPr>
          <w:lang w:eastAsia="en-AU"/>
        </w:rPr>
        <w:t xml:space="preserve"> provides that all documents referred to in instruments must be described, and an indication given as to how they can be obtained.  The following documents have</w:t>
      </w:r>
      <w:r w:rsidR="00E00FBB" w:rsidRPr="0045443A">
        <w:rPr>
          <w:lang w:eastAsia="en-AU"/>
        </w:rPr>
        <w:t xml:space="preserve"> been</w:t>
      </w:r>
      <w:r w:rsidRPr="0045443A">
        <w:rPr>
          <w:lang w:eastAsia="en-AU"/>
        </w:rPr>
        <w:t xml:space="preserve"> incorporated by reference into the Regulations, and brief descriptions and access details follow.</w:t>
      </w:r>
    </w:p>
    <w:p w14:paraId="32A985A9" w14:textId="77777777" w:rsidR="00D016E6" w:rsidRPr="0045443A" w:rsidRDefault="00D016E6" w:rsidP="00D016E6">
      <w:pPr>
        <w:rPr>
          <w:lang w:eastAsia="en-AU"/>
        </w:rPr>
      </w:pPr>
    </w:p>
    <w:p w14:paraId="753C93B6" w14:textId="4B42BD27" w:rsidR="00D016E6" w:rsidRPr="0045443A" w:rsidRDefault="00D016E6" w:rsidP="00D016E6">
      <w:pPr>
        <w:pStyle w:val="ListParagraph"/>
        <w:numPr>
          <w:ilvl w:val="0"/>
          <w:numId w:val="25"/>
        </w:numPr>
        <w:rPr>
          <w:lang w:eastAsia="en-AU"/>
        </w:rPr>
      </w:pPr>
      <w:r w:rsidRPr="0045443A">
        <w:rPr>
          <w:lang w:eastAsia="en-AU"/>
        </w:rPr>
        <w:t>Health assessment incorporated documents (Group A14)</w:t>
      </w:r>
    </w:p>
    <w:p w14:paraId="4BB462B1" w14:textId="7E056E87" w:rsidR="00D016E6" w:rsidRPr="0045443A" w:rsidRDefault="00D016E6" w:rsidP="00D016E6">
      <w:r w:rsidRPr="0045443A">
        <w:t>The following screening tools and clinical documents are relevant for the health assessment attendance items in Group A14.</w:t>
      </w:r>
    </w:p>
    <w:p w14:paraId="357ABC54" w14:textId="77777777" w:rsidR="00D016E6" w:rsidRPr="0045443A" w:rsidRDefault="00D016E6" w:rsidP="00D016E6"/>
    <w:p w14:paraId="4B8888DC" w14:textId="033F7BBD" w:rsidR="00D24796" w:rsidRPr="0045443A" w:rsidRDefault="00D24796" w:rsidP="00D016E6">
      <w:pPr>
        <w:rPr>
          <w:lang w:eastAsia="en-AU"/>
        </w:rPr>
      </w:pPr>
      <w:r w:rsidRPr="0045443A">
        <w:t xml:space="preserve">The </w:t>
      </w:r>
      <w:r w:rsidR="00A43B32" w:rsidRPr="0045443A">
        <w:rPr>
          <w:i/>
        </w:rPr>
        <w:t>‘</w:t>
      </w:r>
      <w:r w:rsidRPr="0045443A">
        <w:t>Australian Type 2 Diabetes Risk Assessment Tool</w:t>
      </w:r>
      <w:r w:rsidR="00A43B32" w:rsidRPr="0045443A">
        <w:t>’</w:t>
      </w:r>
      <w:r w:rsidR="00D016E6" w:rsidRPr="0045443A">
        <w:t xml:space="preserve"> as defined in Part 7 of the Regulations. It is a tool </w:t>
      </w:r>
      <w:r w:rsidRPr="0045443A">
        <w:t>developed by the Bake</w:t>
      </w:r>
      <w:r w:rsidR="006E37BC" w:rsidRPr="0045443A">
        <w:t xml:space="preserve">r Heart and Diabetes Institute, </w:t>
      </w:r>
      <w:r w:rsidRPr="0045443A">
        <w:t>as existing on 1 May 2020</w:t>
      </w:r>
      <w:r w:rsidR="00D016E6" w:rsidRPr="0045443A">
        <w:t>, to identify patients at high risk of type 2 diabetes</w:t>
      </w:r>
      <w:r w:rsidR="006E37BC" w:rsidRPr="0045443A">
        <w:t>. It can be viewed at</w:t>
      </w:r>
      <w:r w:rsidRPr="0045443A">
        <w:t xml:space="preserve"> </w:t>
      </w:r>
      <w:hyperlink r:id="rId17" w:history="1">
        <w:r w:rsidRPr="0045443A">
          <w:rPr>
            <w:rStyle w:val="Hyperlink"/>
            <w:color w:val="auto"/>
            <w:u w:val="none"/>
          </w:rPr>
          <w:t>www.health.gov.au</w:t>
        </w:r>
      </w:hyperlink>
      <w:r w:rsidRPr="0045443A">
        <w:t xml:space="preserve">.  </w:t>
      </w:r>
    </w:p>
    <w:p w14:paraId="7CD38402" w14:textId="77777777" w:rsidR="00E9366C" w:rsidRPr="0045443A" w:rsidRDefault="00E9366C" w:rsidP="00E9366C">
      <w:pPr>
        <w:pStyle w:val="notedraft"/>
        <w:spacing w:before="0"/>
        <w:ind w:left="0" w:firstLine="0"/>
        <w:rPr>
          <w:i w:val="0"/>
        </w:rPr>
      </w:pPr>
    </w:p>
    <w:p w14:paraId="4B58A817" w14:textId="73CF7A07" w:rsidR="00B231C0" w:rsidRPr="0045443A" w:rsidRDefault="00D016E6" w:rsidP="00E9366C">
      <w:pPr>
        <w:pStyle w:val="notedraft"/>
        <w:spacing w:before="0"/>
        <w:ind w:left="0" w:firstLine="0"/>
        <w:rPr>
          <w:i w:val="0"/>
        </w:rPr>
      </w:pPr>
      <w:r w:rsidRPr="0045443A">
        <w:rPr>
          <w:i w:val="0"/>
        </w:rPr>
        <w:t>The ‘</w:t>
      </w:r>
      <w:r w:rsidR="00D24796" w:rsidRPr="0045443A">
        <w:rPr>
          <w:i w:val="0"/>
        </w:rPr>
        <w:t>ADF Post</w:t>
      </w:r>
      <w:r w:rsidR="00D24796" w:rsidRPr="0045443A">
        <w:rPr>
          <w:i w:val="0"/>
        </w:rPr>
        <w:noBreakHyphen/>
        <w:t>discharge GP Health Assessment Tool</w:t>
      </w:r>
      <w:r w:rsidRPr="0045443A">
        <w:rPr>
          <w:i w:val="0"/>
        </w:rPr>
        <w:t>’ as</w:t>
      </w:r>
      <w:r w:rsidRPr="0045443A">
        <w:t xml:space="preserve"> </w:t>
      </w:r>
      <w:r w:rsidRPr="0045443A">
        <w:rPr>
          <w:i w:val="0"/>
        </w:rPr>
        <w:t>described in clause 2.15.10 of the Regulations</w:t>
      </w:r>
      <w:r w:rsidR="00E9366C" w:rsidRPr="0045443A">
        <w:t xml:space="preserve">. </w:t>
      </w:r>
      <w:r w:rsidR="00B231C0" w:rsidRPr="0045443A">
        <w:rPr>
          <w:i w:val="0"/>
        </w:rPr>
        <w:t>This document</w:t>
      </w:r>
      <w:r w:rsidR="00E9366C" w:rsidRPr="0045443A">
        <w:rPr>
          <w:i w:val="0"/>
        </w:rPr>
        <w:t>, as existing at 1 May 2020,</w:t>
      </w:r>
      <w:r w:rsidR="00B231C0" w:rsidRPr="0045443A">
        <w:rPr>
          <w:i w:val="0"/>
        </w:rPr>
        <w:t xml:space="preserve"> is a post-discharge health assessment tool designed to assist </w:t>
      </w:r>
      <w:r w:rsidR="00E9366C" w:rsidRPr="0045443A">
        <w:rPr>
          <w:i w:val="0"/>
        </w:rPr>
        <w:t>GPs to identify and diagnose the early onset of physical and/or mental health problems among former serving Australian Defence Force members.</w:t>
      </w:r>
      <w:r w:rsidR="00E9366C" w:rsidRPr="0045443A">
        <w:t xml:space="preserve"> </w:t>
      </w:r>
      <w:r w:rsidR="00E9366C" w:rsidRPr="0045443A">
        <w:rPr>
          <w:i w:val="0"/>
        </w:rPr>
        <w:t>It can be viewed at http://at</w:t>
      </w:r>
      <w:r w:rsidR="00E9366C" w:rsidRPr="0045443A">
        <w:rPr>
          <w:i w:val="0"/>
        </w:rPr>
        <w:noBreakHyphen/>
        <w:t>ease.dva.gov.au</w:t>
      </w:r>
      <w:r w:rsidR="00B231C0" w:rsidRPr="0045443A">
        <w:rPr>
          <w:i w:val="0"/>
        </w:rPr>
        <w:t xml:space="preserve">. </w:t>
      </w:r>
    </w:p>
    <w:p w14:paraId="277808E1" w14:textId="77777777" w:rsidR="00E9366C" w:rsidRPr="0045443A" w:rsidRDefault="00E9366C" w:rsidP="00E9366C">
      <w:pPr>
        <w:pStyle w:val="notedraft"/>
        <w:spacing w:before="0"/>
        <w:ind w:left="0" w:firstLine="0"/>
        <w:rPr>
          <w:i w:val="0"/>
        </w:rPr>
      </w:pPr>
    </w:p>
    <w:p w14:paraId="37D52F7B" w14:textId="65283E90" w:rsidR="00E9366C" w:rsidRPr="0045443A" w:rsidRDefault="00E9366C" w:rsidP="00E9366C">
      <w:pPr>
        <w:pStyle w:val="notedraft"/>
        <w:spacing w:before="0"/>
        <w:ind w:left="0" w:firstLine="0"/>
        <w:rPr>
          <w:i w:val="0"/>
        </w:rPr>
      </w:pPr>
      <w:r w:rsidRPr="0045443A">
        <w:rPr>
          <w:i w:val="0"/>
        </w:rPr>
        <w:t>The ‘Mental Health Advice Book’ as</w:t>
      </w:r>
      <w:r w:rsidRPr="0045443A">
        <w:t xml:space="preserve"> </w:t>
      </w:r>
      <w:r w:rsidRPr="0045443A">
        <w:rPr>
          <w:i w:val="0"/>
        </w:rPr>
        <w:t>described in clause 2.15.10 of the Regulations</w:t>
      </w:r>
      <w:r w:rsidRPr="0045443A">
        <w:t xml:space="preserve">. </w:t>
      </w:r>
      <w:r w:rsidRPr="0045443A">
        <w:rPr>
          <w:i w:val="0"/>
        </w:rPr>
        <w:t xml:space="preserve">This document can be used by GPs undertaking health assessments to assist them to deliver the most effective mental health treatments for </w:t>
      </w:r>
      <w:r w:rsidR="00710215" w:rsidRPr="0045443A">
        <w:rPr>
          <w:i w:val="0"/>
        </w:rPr>
        <w:t>former serving Australian Defence Force members</w:t>
      </w:r>
      <w:r w:rsidRPr="0045443A">
        <w:rPr>
          <w:i w:val="0"/>
        </w:rPr>
        <w:t>. It can be viewed at http://at</w:t>
      </w:r>
      <w:r w:rsidRPr="0045443A">
        <w:rPr>
          <w:i w:val="0"/>
        </w:rPr>
        <w:noBreakHyphen/>
        <w:t>ease.dva.gov.au.</w:t>
      </w:r>
    </w:p>
    <w:p w14:paraId="716FB00E" w14:textId="77777777" w:rsidR="00E9366C" w:rsidRPr="0045443A" w:rsidRDefault="00E9366C" w:rsidP="00E9366C">
      <w:pPr>
        <w:pStyle w:val="notedraft"/>
        <w:spacing w:before="0"/>
        <w:ind w:left="0" w:firstLine="0"/>
        <w:rPr>
          <w:i w:val="0"/>
        </w:rPr>
      </w:pPr>
    </w:p>
    <w:p w14:paraId="7D489094" w14:textId="55C2ABC8" w:rsidR="00E9366C" w:rsidRPr="0045443A" w:rsidRDefault="00E9366C" w:rsidP="00E9366C">
      <w:pPr>
        <w:pStyle w:val="ListParagraph"/>
        <w:numPr>
          <w:ilvl w:val="0"/>
          <w:numId w:val="25"/>
        </w:numPr>
        <w:rPr>
          <w:lang w:eastAsia="en-AU"/>
        </w:rPr>
      </w:pPr>
      <w:r w:rsidRPr="0045443A">
        <w:rPr>
          <w:lang w:eastAsia="en-AU"/>
        </w:rPr>
        <w:t>Geographical classifications</w:t>
      </w:r>
    </w:p>
    <w:p w14:paraId="2CEB199C" w14:textId="26F3F159" w:rsidR="00D24796" w:rsidRPr="0045443A" w:rsidRDefault="009766EB" w:rsidP="0044170F">
      <w:pPr>
        <w:pStyle w:val="Definition"/>
        <w:spacing w:before="0"/>
        <w:ind w:left="0"/>
        <w:rPr>
          <w:rStyle w:val="Hyperlink"/>
          <w:color w:val="auto"/>
          <w:sz w:val="24"/>
          <w:szCs w:val="24"/>
          <w:u w:val="none"/>
        </w:rPr>
      </w:pPr>
      <w:r w:rsidRPr="0045443A">
        <w:rPr>
          <w:sz w:val="24"/>
          <w:szCs w:val="24"/>
        </w:rPr>
        <w:t xml:space="preserve">The ‘Australian Standard Geographical Classification’ as defined in clause 3.2.1 of the Regulations. The July 2011 edition of the publication, as existing on 1 May 2020, can be accessed at the Australian Bureau of Statistics’ website at </w:t>
      </w:r>
      <w:hyperlink r:id="rId18" w:history="1">
        <w:r w:rsidR="00D24796" w:rsidRPr="0045443A">
          <w:rPr>
            <w:rStyle w:val="Hyperlink"/>
            <w:color w:val="auto"/>
            <w:sz w:val="24"/>
            <w:szCs w:val="24"/>
            <w:u w:val="none"/>
          </w:rPr>
          <w:t>https://www.abs.gov.au/websitedbs/D3310114.nsf/home/Australian+Standard+Geographical+Classification+(ASGC)</w:t>
        </w:r>
      </w:hyperlink>
      <w:r w:rsidRPr="0045443A">
        <w:rPr>
          <w:rStyle w:val="Hyperlink"/>
          <w:color w:val="auto"/>
          <w:sz w:val="24"/>
          <w:szCs w:val="24"/>
          <w:u w:val="none"/>
        </w:rPr>
        <w:t>. It is used to determine eligibility for bulk billing item 10992.</w:t>
      </w:r>
    </w:p>
    <w:p w14:paraId="0C91E4E6" w14:textId="77777777" w:rsidR="0044170F" w:rsidRPr="0045443A" w:rsidRDefault="0044170F" w:rsidP="0044170F">
      <w:pPr>
        <w:pStyle w:val="Definition"/>
        <w:spacing w:before="0"/>
        <w:ind w:left="0"/>
        <w:rPr>
          <w:color w:val="FF0000"/>
        </w:rPr>
      </w:pPr>
    </w:p>
    <w:p w14:paraId="5242513C" w14:textId="680943C5" w:rsidR="00D24796" w:rsidRPr="0045443A" w:rsidRDefault="00C13DA2" w:rsidP="0044170F">
      <w:pPr>
        <w:pStyle w:val="notedraft"/>
        <w:spacing w:before="0"/>
        <w:ind w:left="0" w:firstLine="0"/>
        <w:rPr>
          <w:i w:val="0"/>
        </w:rPr>
      </w:pPr>
      <w:r w:rsidRPr="0045443A">
        <w:rPr>
          <w:i w:val="0"/>
        </w:rPr>
        <w:t>‘ASGS’, as defined in Part 7 of the Regulations, is t</w:t>
      </w:r>
      <w:r w:rsidR="00D24796" w:rsidRPr="0045443A">
        <w:rPr>
          <w:i w:val="0"/>
        </w:rPr>
        <w:t>he Australian Statistical Geography Standard</w:t>
      </w:r>
      <w:r w:rsidR="00D6471C" w:rsidRPr="0045443A">
        <w:rPr>
          <w:i w:val="0"/>
        </w:rPr>
        <w:t>. The July 2016</w:t>
      </w:r>
      <w:r w:rsidRPr="0045443A">
        <w:rPr>
          <w:i w:val="0"/>
        </w:rPr>
        <w:t xml:space="preserve"> edition of the publication, as existing on 1 May 2020, can </w:t>
      </w:r>
      <w:r w:rsidRPr="0045443A">
        <w:rPr>
          <w:i w:val="0"/>
          <w:szCs w:val="24"/>
        </w:rPr>
        <w:t>be accessed at the Australian Bureau of Statistics’ website at</w:t>
      </w:r>
      <w:r w:rsidR="009766EB" w:rsidRPr="0045443A">
        <w:rPr>
          <w:i w:val="0"/>
        </w:rPr>
        <w:br/>
      </w:r>
      <w:hyperlink r:id="rId19" w:history="1">
        <w:r w:rsidR="0060088F" w:rsidRPr="0045443A">
          <w:rPr>
            <w:rStyle w:val="Hyperlink"/>
            <w:i w:val="0"/>
            <w:color w:val="auto"/>
            <w:u w:val="none"/>
          </w:rPr>
          <w:t>https://www.abs.gov.au/websitedbs/D3310114.nsf/home/Australian+Statistical+Geography+Standard+(ASGS)</w:t>
        </w:r>
      </w:hyperlink>
      <w:r w:rsidRPr="0045443A">
        <w:rPr>
          <w:i w:val="0"/>
        </w:rPr>
        <w:t>. The</w:t>
      </w:r>
      <w:r w:rsidRPr="0045443A">
        <w:rPr>
          <w:rFonts w:ascii="Helvetica Neue" w:hAnsi="Helvetica Neue"/>
          <w:i w:val="0"/>
          <w:color w:val="000000"/>
        </w:rPr>
        <w:t xml:space="preserve"> ASGS-RA structure is used </w:t>
      </w:r>
      <w:r w:rsidR="00710215" w:rsidRPr="0045443A">
        <w:rPr>
          <w:rFonts w:ascii="Helvetica Neue" w:hAnsi="Helvetica Neue"/>
          <w:i w:val="0"/>
          <w:color w:val="000000"/>
        </w:rPr>
        <w:t xml:space="preserve">as part of the determination of a </w:t>
      </w:r>
      <w:r w:rsidRPr="0045443A">
        <w:rPr>
          <w:rFonts w:ascii="Helvetica Neue" w:hAnsi="Helvetica Neue"/>
          <w:i w:val="0"/>
          <w:color w:val="000000"/>
        </w:rPr>
        <w:t>Modified Monash area, per the definition in the GMST.</w:t>
      </w:r>
    </w:p>
    <w:p w14:paraId="7874BAB1" w14:textId="77777777" w:rsidR="0044170F" w:rsidRPr="0045443A" w:rsidRDefault="0044170F" w:rsidP="0044170F">
      <w:pPr>
        <w:pStyle w:val="notedraft"/>
        <w:spacing w:before="0"/>
        <w:ind w:left="0" w:firstLine="0"/>
        <w:rPr>
          <w:i w:val="0"/>
          <w:color w:val="FF0000"/>
        </w:rPr>
      </w:pPr>
    </w:p>
    <w:p w14:paraId="30B7FE0A" w14:textId="1B37A536" w:rsidR="0060088F" w:rsidRPr="0045443A" w:rsidRDefault="003D143E" w:rsidP="0044170F">
      <w:pPr>
        <w:pStyle w:val="notedraft"/>
        <w:spacing w:before="0"/>
        <w:ind w:left="0" w:firstLine="0"/>
        <w:rPr>
          <w:i w:val="0"/>
          <w:color w:val="FF0000"/>
        </w:rPr>
      </w:pPr>
      <w:r w:rsidRPr="0045443A">
        <w:rPr>
          <w:i w:val="0"/>
          <w:color w:val="000000" w:themeColor="text1"/>
        </w:rPr>
        <w:t>The ‘</w:t>
      </w:r>
      <w:r w:rsidR="0060088F" w:rsidRPr="0045443A">
        <w:rPr>
          <w:i w:val="0"/>
          <w:color w:val="000000" w:themeColor="text1"/>
        </w:rPr>
        <w:t>Rural, Remote and Metropolitan Areas Classification</w:t>
      </w:r>
      <w:r w:rsidRPr="0045443A">
        <w:rPr>
          <w:i w:val="0"/>
          <w:color w:val="000000" w:themeColor="text1"/>
        </w:rPr>
        <w:t>’ as defined in Part 7 of the Regulations</w:t>
      </w:r>
      <w:r w:rsidR="00952123" w:rsidRPr="0045443A">
        <w:rPr>
          <w:i w:val="0"/>
          <w:color w:val="000000" w:themeColor="text1"/>
        </w:rPr>
        <w:t>, as existing on 1 May 2020</w:t>
      </w:r>
      <w:r w:rsidRPr="0045443A">
        <w:rPr>
          <w:i w:val="0"/>
          <w:color w:val="000000" w:themeColor="text1"/>
        </w:rPr>
        <w:t xml:space="preserve">. </w:t>
      </w:r>
      <w:r w:rsidR="00952123" w:rsidRPr="0045443A">
        <w:rPr>
          <w:i w:val="0"/>
          <w:color w:val="000000" w:themeColor="text1"/>
        </w:rPr>
        <w:t xml:space="preserve">RRMA may be accessed at the Department of Health’s website at: </w:t>
      </w:r>
      <w:hyperlink r:id="rId20" w:history="1">
        <w:r w:rsidR="00952123" w:rsidRPr="0045443A">
          <w:rPr>
            <w:rStyle w:val="Hyperlink"/>
            <w:i w:val="0"/>
          </w:rPr>
          <w:t>https://www.health.gov.au/health-workforce/health-workforce-classifications/rural-remote-and-metropolitan-area</w:t>
        </w:r>
      </w:hyperlink>
      <w:r w:rsidR="0060088F" w:rsidRPr="0045443A">
        <w:rPr>
          <w:i w:val="0"/>
          <w:color w:val="000000" w:themeColor="text1"/>
        </w:rPr>
        <w:t>.</w:t>
      </w:r>
      <w:r w:rsidR="00952123" w:rsidRPr="0045443A">
        <w:rPr>
          <w:i w:val="0"/>
          <w:color w:val="FF0000"/>
        </w:rPr>
        <w:t xml:space="preserve"> </w:t>
      </w:r>
      <w:r w:rsidR="00D93560" w:rsidRPr="0045443A">
        <w:rPr>
          <w:rStyle w:val="Hyperlink"/>
          <w:i w:val="0"/>
          <w:color w:val="auto"/>
          <w:szCs w:val="24"/>
          <w:u w:val="none"/>
        </w:rPr>
        <w:t xml:space="preserve">It is </w:t>
      </w:r>
      <w:r w:rsidR="00952123" w:rsidRPr="0045443A">
        <w:rPr>
          <w:rStyle w:val="Hyperlink"/>
          <w:i w:val="0"/>
          <w:color w:val="auto"/>
          <w:szCs w:val="24"/>
          <w:u w:val="none"/>
        </w:rPr>
        <w:t>used to determine eligibility for items 10992, 16400 and telehealth items in Group A8.</w:t>
      </w:r>
    </w:p>
    <w:p w14:paraId="5A2E3ED1" w14:textId="77777777" w:rsidR="0044170F" w:rsidRPr="0045443A" w:rsidRDefault="0044170F" w:rsidP="0044170F">
      <w:pPr>
        <w:pStyle w:val="notedraft"/>
        <w:spacing w:before="0"/>
        <w:ind w:left="0" w:firstLine="0"/>
        <w:rPr>
          <w:i w:val="0"/>
          <w:color w:val="FF0000"/>
        </w:rPr>
      </w:pPr>
    </w:p>
    <w:p w14:paraId="1A6E463B" w14:textId="6D2F195D" w:rsidR="00952123" w:rsidRPr="0045443A" w:rsidRDefault="00952123" w:rsidP="0044170F">
      <w:pPr>
        <w:pStyle w:val="notedraft"/>
        <w:spacing w:before="0"/>
        <w:ind w:left="0" w:firstLine="0"/>
        <w:rPr>
          <w:i w:val="0"/>
        </w:rPr>
      </w:pPr>
      <w:r w:rsidRPr="0045443A">
        <w:rPr>
          <w:i w:val="0"/>
          <w:color w:val="000000" w:themeColor="text1"/>
        </w:rPr>
        <w:t>‘</w:t>
      </w:r>
      <w:r w:rsidR="0060088F" w:rsidRPr="0045443A">
        <w:rPr>
          <w:i w:val="0"/>
          <w:color w:val="000000" w:themeColor="text1"/>
        </w:rPr>
        <w:t>Telehealth eligible area</w:t>
      </w:r>
      <w:r w:rsidRPr="0045443A">
        <w:rPr>
          <w:i w:val="0"/>
          <w:color w:val="000000" w:themeColor="text1"/>
        </w:rPr>
        <w:t xml:space="preserve">’, </w:t>
      </w:r>
      <w:r w:rsidRPr="0045443A">
        <w:rPr>
          <w:i w:val="0"/>
        </w:rPr>
        <w:t xml:space="preserve">as defined in Part 7 of the Regulations, means an area classified as a telehealth eligible area by the Minister </w:t>
      </w:r>
      <w:r w:rsidR="00C37533" w:rsidRPr="0045443A">
        <w:rPr>
          <w:i w:val="0"/>
        </w:rPr>
        <w:t xml:space="preserve">and identified on the Department’s website </w:t>
      </w:r>
      <w:r w:rsidRPr="0045443A">
        <w:rPr>
          <w:i w:val="0"/>
        </w:rPr>
        <w:t xml:space="preserve">on 1 May 2020. </w:t>
      </w:r>
      <w:r w:rsidR="00C37533" w:rsidRPr="0045443A">
        <w:rPr>
          <w:i w:val="0"/>
        </w:rPr>
        <w:t>T</w:t>
      </w:r>
      <w:r w:rsidRPr="0045443A">
        <w:rPr>
          <w:i w:val="0"/>
        </w:rPr>
        <w:t xml:space="preserve">elehealth eligible areas </w:t>
      </w:r>
      <w:r w:rsidR="00CD16DB" w:rsidRPr="0045443A">
        <w:rPr>
          <w:i w:val="0"/>
        </w:rPr>
        <w:t>can</w:t>
      </w:r>
      <w:r w:rsidRPr="0045443A">
        <w:rPr>
          <w:i w:val="0"/>
        </w:rPr>
        <w:t xml:space="preserve"> be viewed </w:t>
      </w:r>
      <w:r w:rsidR="00CD16DB" w:rsidRPr="0045443A">
        <w:rPr>
          <w:i w:val="0"/>
        </w:rPr>
        <w:t xml:space="preserve">at </w:t>
      </w:r>
      <w:hyperlink r:id="rId21" w:history="1">
        <w:r w:rsidR="00CD16DB" w:rsidRPr="0045443A">
          <w:rPr>
            <w:rStyle w:val="Hyperlink"/>
            <w:i w:val="0"/>
            <w:color w:val="000000" w:themeColor="text1"/>
            <w:u w:val="none"/>
          </w:rPr>
          <w:t>www.health.gov.au</w:t>
        </w:r>
      </w:hyperlink>
      <w:r w:rsidR="00CD16DB" w:rsidRPr="0045443A">
        <w:rPr>
          <w:i w:val="0"/>
          <w:color w:val="FF0000"/>
        </w:rPr>
        <w:t xml:space="preserve">.   </w:t>
      </w:r>
    </w:p>
    <w:p w14:paraId="39B61B37" w14:textId="77777777" w:rsidR="00952123" w:rsidRPr="0045443A" w:rsidRDefault="00952123" w:rsidP="0044170F">
      <w:pPr>
        <w:pStyle w:val="notedraft"/>
        <w:spacing w:before="0"/>
        <w:ind w:left="0" w:firstLine="0"/>
        <w:rPr>
          <w:i w:val="0"/>
        </w:rPr>
      </w:pPr>
    </w:p>
    <w:p w14:paraId="1D999C67" w14:textId="7ACD955E" w:rsidR="0060088F" w:rsidRPr="0045443A" w:rsidRDefault="00D93560" w:rsidP="00D93560">
      <w:pPr>
        <w:pStyle w:val="notedraft"/>
        <w:numPr>
          <w:ilvl w:val="0"/>
          <w:numId w:val="25"/>
        </w:numPr>
        <w:spacing w:before="0"/>
        <w:rPr>
          <w:i w:val="0"/>
          <w:color w:val="000000" w:themeColor="text1"/>
        </w:rPr>
      </w:pPr>
      <w:r w:rsidRPr="0045443A">
        <w:rPr>
          <w:i w:val="0"/>
          <w:color w:val="000000" w:themeColor="text1"/>
        </w:rPr>
        <w:t>NOSE scale</w:t>
      </w:r>
    </w:p>
    <w:p w14:paraId="68333C90" w14:textId="542224C2" w:rsidR="00BB3BE2" w:rsidRPr="0045443A" w:rsidRDefault="00BB3BE2" w:rsidP="00BB3BE2">
      <w:pPr>
        <w:pStyle w:val="notedraft"/>
        <w:spacing w:before="0"/>
        <w:ind w:left="0" w:firstLine="0"/>
      </w:pPr>
      <w:r w:rsidRPr="0045443A">
        <w:rPr>
          <w:i w:val="0"/>
        </w:rPr>
        <w:t>‘NOSE scale’, as defined in Part 7 of the Regulations, has the meaning given by clause 5.10.21. The Nasal Obstruction Symptom Evaluation Scale is an assessment tool developed by Stewart et al, as published in Otolaryngology</w:t>
      </w:r>
      <w:r w:rsidRPr="0045443A">
        <w:rPr>
          <w:i w:val="0"/>
        </w:rPr>
        <w:noBreakHyphen/>
        <w:t xml:space="preserve">Head and Neck Surgery, 130: 2.  It may be accessed at </w:t>
      </w:r>
      <w:hyperlink r:id="rId22" w:history="1">
        <w:r w:rsidR="00EA7315" w:rsidRPr="0045443A">
          <w:rPr>
            <w:rStyle w:val="Hyperlink"/>
            <w:i w:val="0"/>
          </w:rPr>
          <w:t>https://www.entnet.org/sites/default/files/NOSE-Instrument.pdf</w:t>
        </w:r>
      </w:hyperlink>
      <w:r w:rsidR="00EA7315" w:rsidRPr="0045443A">
        <w:rPr>
          <w:i w:val="0"/>
        </w:rPr>
        <w:t xml:space="preserve"> </w:t>
      </w:r>
    </w:p>
    <w:p w14:paraId="7138EE3A" w14:textId="77777777" w:rsidR="009D447A" w:rsidRPr="0045443A" w:rsidRDefault="009D447A" w:rsidP="00AD625A">
      <w:pPr>
        <w:pStyle w:val="BodyText"/>
        <w:rPr>
          <w:b w:val="0"/>
          <w:u w:val="single"/>
        </w:rPr>
      </w:pPr>
    </w:p>
    <w:p w14:paraId="172D9507" w14:textId="77777777" w:rsidR="00AD625A" w:rsidRPr="0045443A" w:rsidRDefault="00AD625A" w:rsidP="00AD625A">
      <w:pPr>
        <w:pStyle w:val="BodyText"/>
        <w:rPr>
          <w:b w:val="0"/>
          <w:u w:val="single"/>
        </w:rPr>
      </w:pPr>
      <w:r w:rsidRPr="0045443A">
        <w:rPr>
          <w:b w:val="0"/>
          <w:u w:val="single"/>
        </w:rPr>
        <w:t>Schedule 2 – Repeals</w:t>
      </w:r>
    </w:p>
    <w:p w14:paraId="4ABAEFB4" w14:textId="77777777" w:rsidR="00AD625A" w:rsidRPr="0045443A" w:rsidRDefault="00AD625A" w:rsidP="00AD625A">
      <w:pPr>
        <w:pStyle w:val="BodyText"/>
        <w:rPr>
          <w:b w:val="0"/>
          <w:szCs w:val="24"/>
          <w:u w:val="single"/>
        </w:rPr>
      </w:pPr>
    </w:p>
    <w:p w14:paraId="2AB8303A" w14:textId="77777777" w:rsidR="00970E2B" w:rsidRPr="0045443A" w:rsidRDefault="00AD625A" w:rsidP="00AD625A">
      <w:pPr>
        <w:pStyle w:val="BodyText"/>
        <w:rPr>
          <w:b w:val="0"/>
        </w:rPr>
      </w:pPr>
      <w:r w:rsidRPr="0045443A">
        <w:rPr>
          <w:b w:val="0"/>
        </w:rPr>
        <w:t xml:space="preserve">This section repeals the </w:t>
      </w:r>
      <w:r w:rsidRPr="0045443A">
        <w:rPr>
          <w:b w:val="0"/>
          <w:i/>
        </w:rPr>
        <w:t>Health Insurance (General Medical Services Table) Regulations 201</w:t>
      </w:r>
      <w:r w:rsidR="00970E2B" w:rsidRPr="0045443A">
        <w:rPr>
          <w:b w:val="0"/>
          <w:i/>
        </w:rPr>
        <w:t>9</w:t>
      </w:r>
      <w:r w:rsidRPr="0045443A">
        <w:rPr>
          <w:b w:val="0"/>
        </w:rPr>
        <w:t>.</w:t>
      </w:r>
    </w:p>
    <w:p w14:paraId="4A4BBC49" w14:textId="77777777" w:rsidR="00970E2B" w:rsidRPr="0045443A" w:rsidRDefault="00970E2B">
      <w:pPr>
        <w:rPr>
          <w:szCs w:val="20"/>
          <w:lang w:eastAsia="en-AU"/>
        </w:rPr>
      </w:pPr>
      <w:r w:rsidRPr="0045443A">
        <w:rPr>
          <w:b/>
        </w:rPr>
        <w:br w:type="page"/>
      </w:r>
    </w:p>
    <w:p w14:paraId="435B9D26" w14:textId="786EB612" w:rsidR="00AD625A" w:rsidRPr="0045443A" w:rsidRDefault="00AD625A" w:rsidP="00AD625A">
      <w:pPr>
        <w:pStyle w:val="BodyText"/>
        <w:rPr>
          <w:b w:val="0"/>
        </w:rPr>
      </w:pPr>
      <w:r w:rsidRPr="0045443A">
        <w:rPr>
          <w:b w:val="0"/>
        </w:rPr>
        <w:t xml:space="preserve"> </w:t>
      </w:r>
    </w:p>
    <w:p w14:paraId="5477ABA3" w14:textId="77777777" w:rsidR="00AD625A" w:rsidRPr="0045443A" w:rsidRDefault="00AD625A" w:rsidP="00AD625A">
      <w:pPr>
        <w:pStyle w:val="BodyText"/>
        <w:rPr>
          <w:b w:val="0"/>
        </w:rPr>
      </w:pPr>
    </w:p>
    <w:p w14:paraId="57D833B9" w14:textId="77777777" w:rsidR="00970E2B" w:rsidRPr="0045443A" w:rsidRDefault="00970E2B" w:rsidP="00970E2B">
      <w:pPr>
        <w:jc w:val="right"/>
        <w:rPr>
          <w:b/>
          <w:lang w:eastAsia="en-AU"/>
        </w:rPr>
      </w:pPr>
      <w:r w:rsidRPr="0045443A">
        <w:rPr>
          <w:b/>
          <w:lang w:eastAsia="en-AU"/>
        </w:rPr>
        <w:t xml:space="preserve">ATTACHMENT </w:t>
      </w:r>
    </w:p>
    <w:p w14:paraId="1C45194D" w14:textId="77777777" w:rsidR="00970E2B" w:rsidRPr="0045443A" w:rsidRDefault="00970E2B" w:rsidP="00970E2B">
      <w:pPr>
        <w:rPr>
          <w:b/>
          <w:lang w:eastAsia="en-AU"/>
        </w:rPr>
      </w:pPr>
    </w:p>
    <w:p w14:paraId="77DF9D43" w14:textId="77777777" w:rsidR="00970E2B" w:rsidRPr="0045443A" w:rsidRDefault="00970E2B" w:rsidP="00970E2B">
      <w:pPr>
        <w:rPr>
          <w:lang w:eastAsia="en-AU"/>
        </w:rPr>
      </w:pPr>
    </w:p>
    <w:p w14:paraId="58A0FEF0" w14:textId="77777777" w:rsidR="00970E2B" w:rsidRPr="0045443A" w:rsidRDefault="00970E2B" w:rsidP="00DA2081">
      <w:pPr>
        <w:jc w:val="center"/>
        <w:rPr>
          <w:b/>
          <w:sz w:val="28"/>
          <w:szCs w:val="28"/>
          <w:lang w:eastAsia="en-AU"/>
        </w:rPr>
      </w:pPr>
      <w:r w:rsidRPr="0045443A">
        <w:rPr>
          <w:b/>
          <w:sz w:val="28"/>
          <w:szCs w:val="28"/>
          <w:lang w:eastAsia="en-AU"/>
        </w:rPr>
        <w:t>Statement of Compatibility with Human Rights</w:t>
      </w:r>
    </w:p>
    <w:p w14:paraId="336110BC" w14:textId="77777777" w:rsidR="00970E2B" w:rsidRPr="0045443A" w:rsidRDefault="00970E2B" w:rsidP="00DA2081">
      <w:pPr>
        <w:spacing w:before="120" w:after="120"/>
        <w:jc w:val="center"/>
        <w:rPr>
          <w:lang w:eastAsia="en-AU"/>
        </w:rPr>
      </w:pPr>
      <w:r w:rsidRPr="0045443A">
        <w:rPr>
          <w:i/>
          <w:lang w:eastAsia="en-AU"/>
        </w:rPr>
        <w:t>Prepared in accordance with Part 3 of the Human Rights (Parliamentary Scrutiny) Act 2011</w:t>
      </w:r>
    </w:p>
    <w:p w14:paraId="2DCBC414" w14:textId="33EBF1C6" w:rsidR="00970E2B" w:rsidRPr="0045443A" w:rsidRDefault="00970E2B" w:rsidP="00DA2081">
      <w:pPr>
        <w:jc w:val="center"/>
        <w:rPr>
          <w:b/>
          <w:i/>
          <w:lang w:eastAsia="en-AU"/>
        </w:rPr>
      </w:pPr>
      <w:r w:rsidRPr="0045443A">
        <w:rPr>
          <w:b/>
          <w:i/>
          <w:lang w:eastAsia="en-AU"/>
        </w:rPr>
        <w:t>Health Insurance (General Medical Services Table) Regulations</w:t>
      </w:r>
      <w:r w:rsidR="00DA2081" w:rsidRPr="0045443A">
        <w:rPr>
          <w:b/>
          <w:i/>
          <w:lang w:eastAsia="en-AU"/>
        </w:rPr>
        <w:t xml:space="preserve"> (No. 1) </w:t>
      </w:r>
      <w:r w:rsidRPr="0045443A">
        <w:rPr>
          <w:b/>
          <w:i/>
          <w:lang w:eastAsia="en-AU"/>
        </w:rPr>
        <w:t>2020</w:t>
      </w:r>
    </w:p>
    <w:p w14:paraId="7D2E0D8D" w14:textId="77777777" w:rsidR="00970E2B" w:rsidRPr="0045443A" w:rsidRDefault="00970E2B" w:rsidP="00970E2B">
      <w:pPr>
        <w:tabs>
          <w:tab w:val="left" w:pos="1418"/>
        </w:tabs>
        <w:ind w:left="851"/>
        <w:jc w:val="center"/>
        <w:rPr>
          <w:b/>
          <w:i/>
          <w:lang w:eastAsia="en-AU"/>
        </w:rPr>
      </w:pPr>
    </w:p>
    <w:p w14:paraId="6ACAD5B4" w14:textId="30B47736" w:rsidR="00970E2B" w:rsidRPr="0045443A" w:rsidRDefault="00970E2B" w:rsidP="00970E2B">
      <w:pPr>
        <w:jc w:val="center"/>
        <w:rPr>
          <w:lang w:eastAsia="en-AU"/>
        </w:rPr>
      </w:pPr>
      <w:r w:rsidRPr="0045443A">
        <w:rPr>
          <w:lang w:eastAsia="en-AU"/>
        </w:rPr>
        <w:t xml:space="preserve">This </w:t>
      </w:r>
      <w:r w:rsidR="00C3306B" w:rsidRPr="0045443A">
        <w:rPr>
          <w:lang w:eastAsia="en-AU"/>
        </w:rPr>
        <w:t>instrument</w:t>
      </w:r>
      <w:r w:rsidRPr="0045443A">
        <w:rPr>
          <w:lang w:eastAsia="en-AU"/>
        </w:rPr>
        <w:t xml:space="preserve"> is compatible with the human rights and freedoms recognised or declared in the international instruments listed in section 3 of the </w:t>
      </w:r>
      <w:r w:rsidRPr="0045443A">
        <w:rPr>
          <w:i/>
          <w:lang w:eastAsia="en-AU"/>
        </w:rPr>
        <w:t>Human Rights (Parliamentary Scrutiny) Act 2011</w:t>
      </w:r>
      <w:r w:rsidRPr="0045443A">
        <w:rPr>
          <w:lang w:eastAsia="en-AU"/>
        </w:rPr>
        <w:t>.</w:t>
      </w:r>
    </w:p>
    <w:p w14:paraId="0275416C" w14:textId="77777777" w:rsidR="00970E2B" w:rsidRPr="0045443A" w:rsidRDefault="00970E2B" w:rsidP="00970E2B">
      <w:pPr>
        <w:jc w:val="center"/>
        <w:rPr>
          <w:lang w:eastAsia="en-AU"/>
        </w:rPr>
      </w:pPr>
    </w:p>
    <w:p w14:paraId="675B766B" w14:textId="77777777" w:rsidR="00970E2B" w:rsidRPr="0045443A" w:rsidRDefault="00970E2B" w:rsidP="00970E2B">
      <w:pPr>
        <w:spacing w:after="120"/>
        <w:ind w:right="-482"/>
        <w:rPr>
          <w:b/>
          <w:lang w:eastAsia="en-AU"/>
        </w:rPr>
      </w:pPr>
      <w:r w:rsidRPr="0045443A">
        <w:rPr>
          <w:b/>
          <w:lang w:eastAsia="en-AU"/>
        </w:rPr>
        <w:t>Overview of the Regulations</w:t>
      </w:r>
    </w:p>
    <w:p w14:paraId="7A89DF65" w14:textId="65EBF7D8" w:rsidR="0011698E" w:rsidRPr="0045443A" w:rsidRDefault="0011698E" w:rsidP="0011698E">
      <w:pPr>
        <w:spacing w:after="120"/>
        <w:rPr>
          <w:lang w:eastAsia="en-AU"/>
        </w:rPr>
      </w:pPr>
      <w:r w:rsidRPr="0045443A">
        <w:rPr>
          <w:lang w:eastAsia="en-AU"/>
        </w:rPr>
        <w:t xml:space="preserve">The purpose of the </w:t>
      </w:r>
      <w:r w:rsidRPr="0045443A">
        <w:rPr>
          <w:i/>
          <w:lang w:eastAsia="en-AU"/>
        </w:rPr>
        <w:t>Health Insurance (General Medical Services Table) Regulations (No. 1) 2020</w:t>
      </w:r>
      <w:r w:rsidRPr="0045443A">
        <w:rPr>
          <w:lang w:eastAsia="en-AU"/>
        </w:rPr>
        <w:t xml:space="preserve"> (the Regulations) is to repeal the </w:t>
      </w:r>
      <w:r w:rsidRPr="0045443A">
        <w:rPr>
          <w:i/>
        </w:rPr>
        <w:t xml:space="preserve">Health Insurance (General Medical Services Table) Regulations 2019 </w:t>
      </w:r>
      <w:r w:rsidRPr="0045443A">
        <w:rPr>
          <w:lang w:eastAsia="en-AU"/>
        </w:rPr>
        <w:t xml:space="preserve">and prescribe a new table of medical services from 1 May 2020. This will ensure that Medicare benefits continue to be payable for medical services performed by general practitioners (GPs), specialists and consultant physicians. </w:t>
      </w:r>
    </w:p>
    <w:p w14:paraId="02DACDFE" w14:textId="554E82BA" w:rsidR="0011698E" w:rsidRPr="0045443A" w:rsidRDefault="0011698E" w:rsidP="0011698E">
      <w:pPr>
        <w:spacing w:after="120"/>
        <w:rPr>
          <w:lang w:eastAsia="en-AU"/>
        </w:rPr>
      </w:pPr>
      <w:r w:rsidRPr="0045443A">
        <w:rPr>
          <w:lang w:eastAsia="en-AU"/>
        </w:rPr>
        <w:t>The Regulations will also implement changes to Government policy and make a number of editorial drafting improvements and machinery amendments. The changes to Government policy include:</w:t>
      </w:r>
    </w:p>
    <w:p w14:paraId="1F1D4585" w14:textId="77777777" w:rsidR="0011698E" w:rsidRPr="0045443A" w:rsidRDefault="0011698E" w:rsidP="0011698E">
      <w:pPr>
        <w:pStyle w:val="ListParagraph"/>
        <w:numPr>
          <w:ilvl w:val="0"/>
          <w:numId w:val="18"/>
        </w:numPr>
        <w:spacing w:after="120"/>
      </w:pPr>
      <w:r w:rsidRPr="0045443A">
        <w:rPr>
          <w:lang w:eastAsia="en-AU"/>
        </w:rPr>
        <w:t>removing obsolete nuclear medicine items, preventing radiologists co-claiming certain attendance items with specified diagnostic imaging services, and changing breast biopsy items; as recommended by the Medicare Benefits Schedule (MBS) Review Taskforce;</w:t>
      </w:r>
    </w:p>
    <w:p w14:paraId="4100B44B" w14:textId="77777777" w:rsidR="0011698E" w:rsidRPr="0045443A" w:rsidRDefault="0011698E" w:rsidP="0011698E">
      <w:pPr>
        <w:pStyle w:val="ListParagraph"/>
        <w:numPr>
          <w:ilvl w:val="0"/>
          <w:numId w:val="18"/>
        </w:numPr>
        <w:spacing w:after="120"/>
      </w:pPr>
      <w:r w:rsidRPr="0045443A">
        <w:rPr>
          <w:lang w:eastAsia="en-AU"/>
        </w:rPr>
        <w:t>increasing the fee for prostate ablation, as recommended by the Medical Services Advisory Committee (MSAC);</w:t>
      </w:r>
    </w:p>
    <w:p w14:paraId="53117BD5" w14:textId="77777777" w:rsidR="0011698E" w:rsidRPr="0045443A" w:rsidRDefault="0011698E" w:rsidP="0011698E">
      <w:pPr>
        <w:pStyle w:val="ListParagraph"/>
        <w:numPr>
          <w:ilvl w:val="0"/>
          <w:numId w:val="18"/>
        </w:numPr>
        <w:spacing w:after="120"/>
      </w:pPr>
      <w:r w:rsidRPr="0045443A">
        <w:rPr>
          <w:lang w:eastAsia="en-AU"/>
        </w:rPr>
        <w:t>listing a new MRI-guided biopsy of the prostrate service, as recommended by MSAC executive;</w:t>
      </w:r>
    </w:p>
    <w:p w14:paraId="60C88B5E" w14:textId="77777777" w:rsidR="0011698E" w:rsidRPr="0045443A" w:rsidRDefault="0011698E" w:rsidP="0011698E">
      <w:pPr>
        <w:pStyle w:val="ListParagraph"/>
        <w:numPr>
          <w:ilvl w:val="0"/>
          <w:numId w:val="18"/>
        </w:numPr>
        <w:spacing w:after="120"/>
      </w:pPr>
      <w:r w:rsidRPr="0045443A">
        <w:rPr>
          <w:lang w:eastAsia="en-AU"/>
        </w:rPr>
        <w:t>listing a new glaucoma surgery service for insertion of micro-stents in the eye, as recommended by MSAC; and</w:t>
      </w:r>
    </w:p>
    <w:p w14:paraId="0897920F" w14:textId="77777777" w:rsidR="0011698E" w:rsidRPr="0045443A" w:rsidRDefault="0011698E" w:rsidP="0011698E">
      <w:pPr>
        <w:pStyle w:val="ListParagraph"/>
        <w:numPr>
          <w:ilvl w:val="0"/>
          <w:numId w:val="18"/>
        </w:numPr>
        <w:spacing w:after="120"/>
      </w:pPr>
      <w:r w:rsidRPr="0045443A">
        <w:rPr>
          <w:lang w:eastAsia="en-AU"/>
        </w:rPr>
        <w:t>including eye movement desensitisation and reprocessing as a psychological therapy under items 2721, 2723, 2725 and 2727, as recommended by MSAC.</w:t>
      </w:r>
    </w:p>
    <w:p w14:paraId="76A3FD54" w14:textId="77777777" w:rsidR="00970E2B" w:rsidRPr="0045443A" w:rsidRDefault="00970E2B" w:rsidP="00970E2B">
      <w:pPr>
        <w:rPr>
          <w:lang w:eastAsia="en-AU"/>
        </w:rPr>
      </w:pPr>
    </w:p>
    <w:p w14:paraId="0C3A8950" w14:textId="77777777" w:rsidR="00970E2B" w:rsidRPr="0045443A" w:rsidRDefault="00970E2B" w:rsidP="00970E2B">
      <w:pPr>
        <w:spacing w:after="120"/>
        <w:rPr>
          <w:b/>
          <w:lang w:eastAsia="en-AU"/>
        </w:rPr>
      </w:pPr>
      <w:r w:rsidRPr="0045443A">
        <w:rPr>
          <w:b/>
          <w:iCs/>
          <w:szCs w:val="20"/>
          <w:lang w:eastAsia="en-AU"/>
        </w:rPr>
        <w:t>Human</w:t>
      </w:r>
      <w:r w:rsidRPr="0045443A">
        <w:rPr>
          <w:b/>
          <w:lang w:eastAsia="en-AU"/>
        </w:rPr>
        <w:t xml:space="preserve"> rights implications</w:t>
      </w:r>
    </w:p>
    <w:p w14:paraId="3CB2770A" w14:textId="77777777" w:rsidR="00970E2B" w:rsidRPr="0045443A" w:rsidRDefault="00970E2B" w:rsidP="00970E2B">
      <w:pPr>
        <w:spacing w:after="120"/>
        <w:ind w:right="-483"/>
        <w:rPr>
          <w:lang w:eastAsia="en-AU"/>
        </w:rPr>
      </w:pPr>
      <w:r w:rsidRPr="0045443A">
        <w:rPr>
          <w:lang w:eastAsia="en-AU"/>
        </w:rPr>
        <w:t xml:space="preserve">The Regulations engage Articles 9 and 12 of the International Covenant on Economic Social and Cultural Rights (ICESCR), specifically the rights to health and social security. </w:t>
      </w:r>
    </w:p>
    <w:p w14:paraId="258D7E38" w14:textId="77777777" w:rsidR="00970E2B" w:rsidRPr="0045443A" w:rsidRDefault="00970E2B" w:rsidP="00970E2B">
      <w:pPr>
        <w:spacing w:before="120" w:after="120"/>
        <w:rPr>
          <w:i/>
          <w:lang w:eastAsia="en-AU"/>
        </w:rPr>
      </w:pPr>
      <w:r w:rsidRPr="0045443A">
        <w:rPr>
          <w:i/>
          <w:lang w:eastAsia="en-AU"/>
        </w:rPr>
        <w:t>The Right to Health</w:t>
      </w:r>
    </w:p>
    <w:p w14:paraId="402FFE0A" w14:textId="77777777" w:rsidR="00970E2B" w:rsidRPr="0045443A" w:rsidRDefault="00970E2B" w:rsidP="00970E2B">
      <w:pPr>
        <w:spacing w:before="120" w:after="120"/>
        <w:rPr>
          <w:lang w:eastAsia="en-AU"/>
        </w:rPr>
      </w:pPr>
      <w:r w:rsidRPr="0045443A">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C319B5B" w14:textId="77777777" w:rsidR="00970E2B" w:rsidRPr="0045443A" w:rsidRDefault="00970E2B" w:rsidP="00970E2B">
      <w:pPr>
        <w:spacing w:before="120" w:after="120"/>
        <w:rPr>
          <w:lang w:eastAsia="en-AU"/>
        </w:rPr>
      </w:pPr>
      <w:r w:rsidRPr="0045443A">
        <w:rPr>
          <w:lang w:eastAsia="en-AU"/>
        </w:rPr>
        <w:t xml:space="preserve">The Committee reports that the </w:t>
      </w:r>
      <w:r w:rsidRPr="0045443A">
        <w:rPr>
          <w:i/>
          <w:lang w:eastAsia="en-AU"/>
        </w:rPr>
        <w:t>‘highest attainable standard of health’</w:t>
      </w:r>
      <w:r w:rsidRPr="0045443A">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6219DBD" w14:textId="77777777" w:rsidR="00970E2B" w:rsidRPr="0045443A" w:rsidRDefault="00970E2B" w:rsidP="00970E2B">
      <w:pPr>
        <w:spacing w:before="120" w:after="120"/>
        <w:rPr>
          <w:i/>
          <w:lang w:eastAsia="en-AU"/>
        </w:rPr>
      </w:pPr>
      <w:r w:rsidRPr="0045443A">
        <w:rPr>
          <w:i/>
          <w:lang w:eastAsia="en-AU"/>
        </w:rPr>
        <w:t xml:space="preserve">The Right to Social Security </w:t>
      </w:r>
    </w:p>
    <w:p w14:paraId="32AD57E4" w14:textId="77777777" w:rsidR="00970E2B" w:rsidRPr="0045443A" w:rsidRDefault="00970E2B" w:rsidP="00970E2B">
      <w:pPr>
        <w:spacing w:before="120" w:after="120"/>
        <w:rPr>
          <w:lang w:eastAsia="en-AU"/>
        </w:rPr>
      </w:pPr>
      <w:r w:rsidRPr="0045443A">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F11A5D0" w14:textId="77777777" w:rsidR="00970E2B" w:rsidRPr="0045443A" w:rsidRDefault="00970E2B" w:rsidP="00970E2B">
      <w:pPr>
        <w:spacing w:before="120" w:after="120"/>
        <w:rPr>
          <w:lang w:eastAsia="en-AU"/>
        </w:rPr>
      </w:pPr>
      <w:r w:rsidRPr="0045443A">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312EA31" w14:textId="77777777" w:rsidR="00970E2B" w:rsidRPr="0045443A" w:rsidRDefault="00970E2B" w:rsidP="00970E2B">
      <w:pPr>
        <w:rPr>
          <w:lang w:eastAsia="en-AU"/>
        </w:rPr>
      </w:pPr>
      <w:r w:rsidRPr="0045443A">
        <w:rPr>
          <w:u w:val="single"/>
          <w:lang w:eastAsia="en-AU"/>
        </w:rPr>
        <w:t xml:space="preserve">Analysis </w:t>
      </w:r>
    </w:p>
    <w:p w14:paraId="27AF142C" w14:textId="39786D58" w:rsidR="00970E2B" w:rsidRPr="0045443A" w:rsidRDefault="00970E2B" w:rsidP="00970E2B">
      <w:pPr>
        <w:spacing w:before="120" w:after="120"/>
        <w:rPr>
          <w:lang w:eastAsia="en-AU"/>
        </w:rPr>
      </w:pPr>
      <w:r w:rsidRPr="0045443A">
        <w:rPr>
          <w:szCs w:val="20"/>
          <w:lang w:eastAsia="en-AU"/>
        </w:rPr>
        <w:t xml:space="preserve">The Regulations maintain </w:t>
      </w:r>
      <w:r w:rsidR="00C3306B" w:rsidRPr="0045443A">
        <w:rPr>
          <w:szCs w:val="20"/>
          <w:lang w:eastAsia="en-AU"/>
        </w:rPr>
        <w:t xml:space="preserve">existing </w:t>
      </w:r>
      <w:r w:rsidRPr="0045443A">
        <w:rPr>
          <w:szCs w:val="20"/>
          <w:lang w:eastAsia="en-AU"/>
        </w:rPr>
        <w:t xml:space="preserve">rights to health and social security by ensuring </w:t>
      </w:r>
      <w:r w:rsidRPr="0045443A">
        <w:rPr>
          <w:lang w:eastAsia="en-AU"/>
        </w:rPr>
        <w:t xml:space="preserve">access to publicly-subsidised </w:t>
      </w:r>
      <w:r w:rsidR="00C3306B" w:rsidRPr="0045443A">
        <w:rPr>
          <w:lang w:eastAsia="en-AU"/>
        </w:rPr>
        <w:t>medical</w:t>
      </w:r>
      <w:r w:rsidRPr="0045443A">
        <w:rPr>
          <w:lang w:eastAsia="en-AU"/>
        </w:rPr>
        <w:t xml:space="preserve"> services which are clinically and cost-effective.</w:t>
      </w:r>
    </w:p>
    <w:p w14:paraId="02A5A292" w14:textId="77777777" w:rsidR="00970E2B" w:rsidRPr="0045443A" w:rsidRDefault="00970E2B" w:rsidP="00970E2B">
      <w:pPr>
        <w:spacing w:before="120" w:after="120" w:line="276" w:lineRule="auto"/>
        <w:rPr>
          <w:rFonts w:eastAsia="Calibri"/>
          <w:b/>
        </w:rPr>
      </w:pPr>
      <w:r w:rsidRPr="0045443A">
        <w:rPr>
          <w:rFonts w:eastAsia="Calibri"/>
          <w:b/>
        </w:rPr>
        <w:t xml:space="preserve">Conclusion </w:t>
      </w:r>
    </w:p>
    <w:p w14:paraId="275A7290" w14:textId="3DCCC03C" w:rsidR="00970E2B" w:rsidRPr="0045443A" w:rsidRDefault="00970E2B" w:rsidP="00970E2B">
      <w:pPr>
        <w:spacing w:before="120" w:after="120"/>
        <w:rPr>
          <w:lang w:eastAsia="en-AU"/>
        </w:rPr>
      </w:pPr>
      <w:r w:rsidRPr="0045443A">
        <w:rPr>
          <w:lang w:eastAsia="en-AU"/>
        </w:rPr>
        <w:t xml:space="preserve">This </w:t>
      </w:r>
      <w:r w:rsidR="00C3306B" w:rsidRPr="0045443A">
        <w:rPr>
          <w:lang w:eastAsia="en-AU"/>
        </w:rPr>
        <w:t xml:space="preserve">instrument is compatible with human rights and freedoms recognised or declared in the international instruments in section 3 of the </w:t>
      </w:r>
      <w:r w:rsidR="00C3306B" w:rsidRPr="0045443A">
        <w:rPr>
          <w:i/>
          <w:lang w:eastAsia="en-AU"/>
        </w:rPr>
        <w:t xml:space="preserve">Human Rights (Parliamentary Scrutiny) Act </w:t>
      </w:r>
      <w:r w:rsidR="00C3306B" w:rsidRPr="0045443A">
        <w:rPr>
          <w:lang w:eastAsia="en-AU"/>
        </w:rPr>
        <w:t>2011 as it maintains existing rights to health and social security.</w:t>
      </w:r>
    </w:p>
    <w:p w14:paraId="197E2724" w14:textId="2530ED24" w:rsidR="00256684" w:rsidRPr="0045443A" w:rsidRDefault="00256684" w:rsidP="0011698E">
      <w:pPr>
        <w:spacing w:before="120" w:after="120" w:line="276" w:lineRule="auto"/>
        <w:rPr>
          <w:rFonts w:eastAsia="Calibri"/>
          <w:b/>
          <w:bCs/>
        </w:rPr>
      </w:pPr>
    </w:p>
    <w:p w14:paraId="1196A947" w14:textId="1BD6E0A8" w:rsidR="00A12449" w:rsidRPr="00A12449" w:rsidRDefault="00A12449" w:rsidP="00A12449">
      <w:pPr>
        <w:shd w:val="clear" w:color="auto" w:fill="FFFFFF"/>
        <w:spacing w:before="100" w:beforeAutospacing="1" w:after="100" w:afterAutospacing="1" w:line="276" w:lineRule="auto"/>
        <w:jc w:val="center"/>
        <w:rPr>
          <w:lang w:val="en-US" w:eastAsia="en-AU"/>
        </w:rPr>
      </w:pPr>
      <w:r w:rsidRPr="0045443A">
        <w:rPr>
          <w:b/>
          <w:bCs/>
        </w:rPr>
        <w:t>Greg Hunt</w:t>
      </w:r>
      <w:r w:rsidRPr="0045443A">
        <w:rPr>
          <w:lang w:val="en-US" w:eastAsia="en-AU"/>
        </w:rPr>
        <w:br/>
      </w:r>
      <w:r w:rsidRPr="0045443A">
        <w:rPr>
          <w:b/>
          <w:bCs/>
        </w:rPr>
        <w:t>Minister for Health</w:t>
      </w:r>
      <w:bookmarkStart w:id="0" w:name="_GoBack"/>
      <w:bookmarkEnd w:id="0"/>
      <w:r w:rsidRPr="00A12449">
        <w:rPr>
          <w:b/>
          <w:bCs/>
        </w:rPr>
        <w:t xml:space="preserve"> </w:t>
      </w:r>
    </w:p>
    <w:p w14:paraId="61063C6B" w14:textId="77777777" w:rsidR="00A12449" w:rsidRDefault="00A12449" w:rsidP="0011698E">
      <w:pPr>
        <w:spacing w:before="120" w:after="120" w:line="276" w:lineRule="auto"/>
        <w:rPr>
          <w:rFonts w:eastAsia="Calibri"/>
          <w:b/>
          <w:bCs/>
        </w:rPr>
      </w:pPr>
    </w:p>
    <w:sectPr w:rsidR="00A12449" w:rsidSect="00E11626">
      <w:headerReference w:type="default" r:id="rId23"/>
      <w:pgSz w:w="11906" w:h="16838"/>
      <w:pgMar w:top="1440" w:right="1800" w:bottom="993"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E4CEE" w14:textId="77777777" w:rsidR="00223451" w:rsidRDefault="00223451" w:rsidP="000855FC">
      <w:r>
        <w:separator/>
      </w:r>
    </w:p>
  </w:endnote>
  <w:endnote w:type="continuationSeparator" w:id="0">
    <w:p w14:paraId="7CFA90F7" w14:textId="77777777" w:rsidR="00223451" w:rsidRDefault="00223451" w:rsidP="000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BC6EE" w14:textId="77777777" w:rsidR="00223451" w:rsidRDefault="00223451" w:rsidP="000855FC">
      <w:r>
        <w:separator/>
      </w:r>
    </w:p>
  </w:footnote>
  <w:footnote w:type="continuationSeparator" w:id="0">
    <w:p w14:paraId="2C9C2229" w14:textId="77777777" w:rsidR="00223451" w:rsidRDefault="00223451" w:rsidP="0008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783588"/>
      <w:docPartObj>
        <w:docPartGallery w:val="Page Numbers (Top of Page)"/>
        <w:docPartUnique/>
      </w:docPartObj>
    </w:sdtPr>
    <w:sdtEndPr>
      <w:rPr>
        <w:noProof/>
      </w:rPr>
    </w:sdtEndPr>
    <w:sdtContent>
      <w:p w14:paraId="0C0E4227" w14:textId="181B42AE" w:rsidR="00AD625A" w:rsidRDefault="00AD625A">
        <w:pPr>
          <w:pStyle w:val="Header"/>
          <w:jc w:val="center"/>
        </w:pPr>
        <w:r>
          <w:fldChar w:fldCharType="begin"/>
        </w:r>
        <w:r>
          <w:instrText xml:space="preserve"> PAGE   \* MERGEFORMAT </w:instrText>
        </w:r>
        <w:r>
          <w:fldChar w:fldCharType="separate"/>
        </w:r>
        <w:r w:rsidR="0045443A">
          <w:rPr>
            <w:noProof/>
          </w:rPr>
          <w:t>1</w:t>
        </w:r>
        <w:r>
          <w:rPr>
            <w:noProof/>
          </w:rPr>
          <w:fldChar w:fldCharType="end"/>
        </w:r>
      </w:p>
    </w:sdtContent>
  </w:sdt>
  <w:p w14:paraId="1A0C86D8" w14:textId="77777777" w:rsidR="00AD625A" w:rsidRDefault="00AD6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01426"/>
      <w:docPartObj>
        <w:docPartGallery w:val="Page Numbers (Top of Page)"/>
        <w:docPartUnique/>
      </w:docPartObj>
    </w:sdtPr>
    <w:sdtEndPr>
      <w:rPr>
        <w:noProof/>
      </w:rPr>
    </w:sdtEndPr>
    <w:sdtContent>
      <w:p w14:paraId="53E9C8A5" w14:textId="09429DC1" w:rsidR="00970E2B" w:rsidRDefault="00970E2B">
        <w:pPr>
          <w:pStyle w:val="Header"/>
          <w:jc w:val="center"/>
        </w:pPr>
        <w:r>
          <w:fldChar w:fldCharType="begin"/>
        </w:r>
        <w:r>
          <w:instrText xml:space="preserve"> PAGE   \* MERGEFORMAT </w:instrText>
        </w:r>
        <w:r>
          <w:fldChar w:fldCharType="separate"/>
        </w:r>
        <w:r w:rsidR="0045443A">
          <w:rPr>
            <w:noProof/>
          </w:rPr>
          <w:t>8</w:t>
        </w:r>
        <w:r>
          <w:rPr>
            <w:noProof/>
          </w:rPr>
          <w:fldChar w:fldCharType="end"/>
        </w:r>
      </w:p>
    </w:sdtContent>
  </w:sdt>
  <w:p w14:paraId="4AC3339D" w14:textId="77777777" w:rsidR="00970E2B" w:rsidRDefault="00970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E78"/>
    <w:multiLevelType w:val="hybridMultilevel"/>
    <w:tmpl w:val="2EAAA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93FE4"/>
    <w:multiLevelType w:val="hybridMultilevel"/>
    <w:tmpl w:val="E7F40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F721A"/>
    <w:multiLevelType w:val="hybridMultilevel"/>
    <w:tmpl w:val="50F660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40A7480"/>
    <w:multiLevelType w:val="hybridMultilevel"/>
    <w:tmpl w:val="294E1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FB451E"/>
    <w:multiLevelType w:val="hybridMultilevel"/>
    <w:tmpl w:val="9BC2DD50"/>
    <w:lvl w:ilvl="0" w:tplc="A55EB4D8">
      <w:start w:val="1"/>
      <w:numFmt w:val="decimal"/>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B740E0"/>
    <w:multiLevelType w:val="hybridMultilevel"/>
    <w:tmpl w:val="BA9C846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6EB2000"/>
    <w:multiLevelType w:val="hybridMultilevel"/>
    <w:tmpl w:val="A2FE8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333CC0"/>
    <w:multiLevelType w:val="hybridMultilevel"/>
    <w:tmpl w:val="A0AA2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0A0885"/>
    <w:multiLevelType w:val="hybridMultilevel"/>
    <w:tmpl w:val="06101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5B2C28"/>
    <w:multiLevelType w:val="hybridMultilevel"/>
    <w:tmpl w:val="4F1C5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3B2A4B"/>
    <w:multiLevelType w:val="hybridMultilevel"/>
    <w:tmpl w:val="4DCE6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1DF1329"/>
    <w:multiLevelType w:val="hybridMultilevel"/>
    <w:tmpl w:val="A6E2AD06"/>
    <w:lvl w:ilvl="0" w:tplc="82A6862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BE01F2"/>
    <w:multiLevelType w:val="hybridMultilevel"/>
    <w:tmpl w:val="6D84CF48"/>
    <w:lvl w:ilvl="0" w:tplc="AB8489D0">
      <w:start w:val="3"/>
      <w:numFmt w:val="decimal"/>
      <w:lvlText w:val="(%1)"/>
      <w:lvlJc w:val="left"/>
      <w:pPr>
        <w:ind w:left="1080" w:hanging="720"/>
      </w:pPr>
      <w:rPr>
        <w:rFonts w:cs="Times New Roman"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233F33"/>
    <w:multiLevelType w:val="hybridMultilevel"/>
    <w:tmpl w:val="9168A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2A1F19"/>
    <w:multiLevelType w:val="hybridMultilevel"/>
    <w:tmpl w:val="839EB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76682B"/>
    <w:multiLevelType w:val="hybridMultilevel"/>
    <w:tmpl w:val="84CAD1BE"/>
    <w:lvl w:ilvl="0" w:tplc="4E349248">
      <w:start w:val="1"/>
      <w:numFmt w:val="decimal"/>
      <w:lvlText w:val="(%1)"/>
      <w:lvlJc w:val="left"/>
      <w:pPr>
        <w:ind w:left="927" w:hanging="360"/>
      </w:pPr>
      <w:rPr>
        <w:rFonts w:hint="default"/>
        <w:color w:val="auto"/>
        <w:sz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661F049E"/>
    <w:multiLevelType w:val="hybridMultilevel"/>
    <w:tmpl w:val="8F90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381197"/>
    <w:multiLevelType w:val="hybridMultilevel"/>
    <w:tmpl w:val="F11C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A5658A"/>
    <w:multiLevelType w:val="hybridMultilevel"/>
    <w:tmpl w:val="404E4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2B3E47"/>
    <w:multiLevelType w:val="hybridMultilevel"/>
    <w:tmpl w:val="E7D0D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6"/>
  </w:num>
  <w:num w:numId="4">
    <w:abstractNumId w:val="8"/>
  </w:num>
  <w:num w:numId="5">
    <w:abstractNumId w:val="19"/>
  </w:num>
  <w:num w:numId="6">
    <w:abstractNumId w:val="9"/>
  </w:num>
  <w:num w:numId="7">
    <w:abstractNumId w:val="13"/>
  </w:num>
  <w:num w:numId="8">
    <w:abstractNumId w:val="3"/>
  </w:num>
  <w:num w:numId="9">
    <w:abstractNumId w:val="4"/>
  </w:num>
  <w:num w:numId="10">
    <w:abstractNumId w:val="12"/>
  </w:num>
  <w:num w:numId="11">
    <w:abstractNumId w:val="0"/>
  </w:num>
  <w:num w:numId="12">
    <w:abstractNumId w:val="18"/>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7"/>
  </w:num>
  <w:num w:numId="18">
    <w:abstractNumId w:val="15"/>
  </w:num>
  <w:num w:numId="19">
    <w:abstractNumId w:val="11"/>
  </w:num>
  <w:num w:numId="20">
    <w:abstractNumId w:val="7"/>
  </w:num>
  <w:num w:numId="21">
    <w:abstractNumId w:val="1"/>
  </w:num>
  <w:num w:numId="22">
    <w:abstractNumId w:val="21"/>
  </w:num>
  <w:num w:numId="23">
    <w:abstractNumId w:val="10"/>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FC"/>
    <w:rsid w:val="00003743"/>
    <w:rsid w:val="00010849"/>
    <w:rsid w:val="00012BC0"/>
    <w:rsid w:val="00031FD8"/>
    <w:rsid w:val="0003228D"/>
    <w:rsid w:val="00033681"/>
    <w:rsid w:val="00034234"/>
    <w:rsid w:val="000356FB"/>
    <w:rsid w:val="00040147"/>
    <w:rsid w:val="000448BF"/>
    <w:rsid w:val="00044F99"/>
    <w:rsid w:val="00050373"/>
    <w:rsid w:val="00065031"/>
    <w:rsid w:val="0006587A"/>
    <w:rsid w:val="00067456"/>
    <w:rsid w:val="0008183E"/>
    <w:rsid w:val="00083D2D"/>
    <w:rsid w:val="000855FC"/>
    <w:rsid w:val="000977BC"/>
    <w:rsid w:val="000A3F79"/>
    <w:rsid w:val="000B52B3"/>
    <w:rsid w:val="000B555A"/>
    <w:rsid w:val="000C6A22"/>
    <w:rsid w:val="000D36FF"/>
    <w:rsid w:val="00100524"/>
    <w:rsid w:val="001055DD"/>
    <w:rsid w:val="00110452"/>
    <w:rsid w:val="00115CED"/>
    <w:rsid w:val="0011698E"/>
    <w:rsid w:val="001300F6"/>
    <w:rsid w:val="001331BD"/>
    <w:rsid w:val="00135A8C"/>
    <w:rsid w:val="00140DEA"/>
    <w:rsid w:val="0017672B"/>
    <w:rsid w:val="00196CBE"/>
    <w:rsid w:val="001B0FA5"/>
    <w:rsid w:val="001B1FB3"/>
    <w:rsid w:val="001B21CA"/>
    <w:rsid w:val="001B3443"/>
    <w:rsid w:val="001B45E6"/>
    <w:rsid w:val="001D23A8"/>
    <w:rsid w:val="001D4738"/>
    <w:rsid w:val="001E1619"/>
    <w:rsid w:val="001E66AD"/>
    <w:rsid w:val="001F2167"/>
    <w:rsid w:val="00201BAC"/>
    <w:rsid w:val="00207867"/>
    <w:rsid w:val="00223451"/>
    <w:rsid w:val="002363BF"/>
    <w:rsid w:val="00255E6A"/>
    <w:rsid w:val="00256684"/>
    <w:rsid w:val="002612B3"/>
    <w:rsid w:val="00261A62"/>
    <w:rsid w:val="002701EE"/>
    <w:rsid w:val="00273CDB"/>
    <w:rsid w:val="002803B1"/>
    <w:rsid w:val="0028118D"/>
    <w:rsid w:val="00281959"/>
    <w:rsid w:val="0029018C"/>
    <w:rsid w:val="002B1708"/>
    <w:rsid w:val="002B1E3F"/>
    <w:rsid w:val="002C0D7B"/>
    <w:rsid w:val="002C3921"/>
    <w:rsid w:val="002D50B8"/>
    <w:rsid w:val="002E281E"/>
    <w:rsid w:val="002F0A8A"/>
    <w:rsid w:val="002F3AE3"/>
    <w:rsid w:val="00300E49"/>
    <w:rsid w:val="00301E8E"/>
    <w:rsid w:val="003066AF"/>
    <w:rsid w:val="0030786C"/>
    <w:rsid w:val="003151AF"/>
    <w:rsid w:val="00320C0C"/>
    <w:rsid w:val="003415ED"/>
    <w:rsid w:val="003424A7"/>
    <w:rsid w:val="00342722"/>
    <w:rsid w:val="00343296"/>
    <w:rsid w:val="00344E32"/>
    <w:rsid w:val="00347F74"/>
    <w:rsid w:val="0036434A"/>
    <w:rsid w:val="00385D88"/>
    <w:rsid w:val="00387962"/>
    <w:rsid w:val="0039160D"/>
    <w:rsid w:val="003A1963"/>
    <w:rsid w:val="003A2F02"/>
    <w:rsid w:val="003B198A"/>
    <w:rsid w:val="003B74E0"/>
    <w:rsid w:val="003C226B"/>
    <w:rsid w:val="003D143E"/>
    <w:rsid w:val="003D17F9"/>
    <w:rsid w:val="003D506B"/>
    <w:rsid w:val="003D608A"/>
    <w:rsid w:val="003E0381"/>
    <w:rsid w:val="003E2FE6"/>
    <w:rsid w:val="003F1322"/>
    <w:rsid w:val="004016AA"/>
    <w:rsid w:val="00415E6D"/>
    <w:rsid w:val="00423EB1"/>
    <w:rsid w:val="004259A3"/>
    <w:rsid w:val="00430160"/>
    <w:rsid w:val="004350D6"/>
    <w:rsid w:val="0044170F"/>
    <w:rsid w:val="00442208"/>
    <w:rsid w:val="004515AA"/>
    <w:rsid w:val="0045443A"/>
    <w:rsid w:val="0046601A"/>
    <w:rsid w:val="00467879"/>
    <w:rsid w:val="00476435"/>
    <w:rsid w:val="004813AA"/>
    <w:rsid w:val="0048145B"/>
    <w:rsid w:val="00484608"/>
    <w:rsid w:val="00484D53"/>
    <w:rsid w:val="004867E2"/>
    <w:rsid w:val="0049282D"/>
    <w:rsid w:val="004A21DE"/>
    <w:rsid w:val="004B6E2D"/>
    <w:rsid w:val="004C44E8"/>
    <w:rsid w:val="004C7D25"/>
    <w:rsid w:val="004E0659"/>
    <w:rsid w:val="004F451E"/>
    <w:rsid w:val="00503B58"/>
    <w:rsid w:val="0050639C"/>
    <w:rsid w:val="00507E1D"/>
    <w:rsid w:val="00526332"/>
    <w:rsid w:val="0052685D"/>
    <w:rsid w:val="005272AE"/>
    <w:rsid w:val="00551F61"/>
    <w:rsid w:val="00553198"/>
    <w:rsid w:val="00556E98"/>
    <w:rsid w:val="00561044"/>
    <w:rsid w:val="00573A4B"/>
    <w:rsid w:val="00582A92"/>
    <w:rsid w:val="00590BFB"/>
    <w:rsid w:val="005931B3"/>
    <w:rsid w:val="00595FF9"/>
    <w:rsid w:val="005A0AF2"/>
    <w:rsid w:val="005A1AE6"/>
    <w:rsid w:val="005A40D4"/>
    <w:rsid w:val="005B4719"/>
    <w:rsid w:val="005B71F4"/>
    <w:rsid w:val="005D6753"/>
    <w:rsid w:val="005F1EF5"/>
    <w:rsid w:val="0060088F"/>
    <w:rsid w:val="00616DCB"/>
    <w:rsid w:val="0062546B"/>
    <w:rsid w:val="006457D2"/>
    <w:rsid w:val="006503C6"/>
    <w:rsid w:val="00652866"/>
    <w:rsid w:val="00665255"/>
    <w:rsid w:val="006660AE"/>
    <w:rsid w:val="006661E6"/>
    <w:rsid w:val="00680570"/>
    <w:rsid w:val="006807AA"/>
    <w:rsid w:val="006B294B"/>
    <w:rsid w:val="006C4434"/>
    <w:rsid w:val="006D1BE6"/>
    <w:rsid w:val="006D4281"/>
    <w:rsid w:val="006D4345"/>
    <w:rsid w:val="006E1FAC"/>
    <w:rsid w:val="006E37BC"/>
    <w:rsid w:val="006E6579"/>
    <w:rsid w:val="006F5787"/>
    <w:rsid w:val="006F6BED"/>
    <w:rsid w:val="00706990"/>
    <w:rsid w:val="00710215"/>
    <w:rsid w:val="007103A6"/>
    <w:rsid w:val="007165F3"/>
    <w:rsid w:val="00725EA3"/>
    <w:rsid w:val="00726C38"/>
    <w:rsid w:val="00742525"/>
    <w:rsid w:val="00742D61"/>
    <w:rsid w:val="00756420"/>
    <w:rsid w:val="00767A9A"/>
    <w:rsid w:val="0077571C"/>
    <w:rsid w:val="00781734"/>
    <w:rsid w:val="007A353A"/>
    <w:rsid w:val="007A5FC0"/>
    <w:rsid w:val="007C384B"/>
    <w:rsid w:val="007D0719"/>
    <w:rsid w:val="007D1E97"/>
    <w:rsid w:val="007E405F"/>
    <w:rsid w:val="007F6CE7"/>
    <w:rsid w:val="00801C4F"/>
    <w:rsid w:val="00816FAA"/>
    <w:rsid w:val="008207B6"/>
    <w:rsid w:val="00821C2A"/>
    <w:rsid w:val="0082557C"/>
    <w:rsid w:val="008264EB"/>
    <w:rsid w:val="00836BA2"/>
    <w:rsid w:val="00845338"/>
    <w:rsid w:val="00856B5D"/>
    <w:rsid w:val="008621F0"/>
    <w:rsid w:val="008649FB"/>
    <w:rsid w:val="008654C8"/>
    <w:rsid w:val="00865BE4"/>
    <w:rsid w:val="00876FF2"/>
    <w:rsid w:val="00885FCD"/>
    <w:rsid w:val="00895EA3"/>
    <w:rsid w:val="008A3246"/>
    <w:rsid w:val="008A6B0E"/>
    <w:rsid w:val="008B11A6"/>
    <w:rsid w:val="008B6B36"/>
    <w:rsid w:val="008B7308"/>
    <w:rsid w:val="008C3818"/>
    <w:rsid w:val="008C6E2A"/>
    <w:rsid w:val="008C7EE5"/>
    <w:rsid w:val="008E295D"/>
    <w:rsid w:val="008E5658"/>
    <w:rsid w:val="008E7715"/>
    <w:rsid w:val="008F12CB"/>
    <w:rsid w:val="008F38BA"/>
    <w:rsid w:val="00901BB6"/>
    <w:rsid w:val="00911EA7"/>
    <w:rsid w:val="0094467A"/>
    <w:rsid w:val="00952123"/>
    <w:rsid w:val="00954285"/>
    <w:rsid w:val="00960061"/>
    <w:rsid w:val="00964B43"/>
    <w:rsid w:val="00970E2B"/>
    <w:rsid w:val="009719D1"/>
    <w:rsid w:val="009756EA"/>
    <w:rsid w:val="009766EB"/>
    <w:rsid w:val="00984B4C"/>
    <w:rsid w:val="009953B4"/>
    <w:rsid w:val="009A43FE"/>
    <w:rsid w:val="009B4A81"/>
    <w:rsid w:val="009C2B86"/>
    <w:rsid w:val="009C634D"/>
    <w:rsid w:val="009C6662"/>
    <w:rsid w:val="009D02E2"/>
    <w:rsid w:val="009D0B0B"/>
    <w:rsid w:val="009D3549"/>
    <w:rsid w:val="009D41CE"/>
    <w:rsid w:val="009D447A"/>
    <w:rsid w:val="009E2A7B"/>
    <w:rsid w:val="009E4EAF"/>
    <w:rsid w:val="009F1D03"/>
    <w:rsid w:val="009F4A48"/>
    <w:rsid w:val="009F79BB"/>
    <w:rsid w:val="00A118E4"/>
    <w:rsid w:val="00A12449"/>
    <w:rsid w:val="00A16541"/>
    <w:rsid w:val="00A3070B"/>
    <w:rsid w:val="00A34605"/>
    <w:rsid w:val="00A40F63"/>
    <w:rsid w:val="00A43B32"/>
    <w:rsid w:val="00A4512D"/>
    <w:rsid w:val="00A56090"/>
    <w:rsid w:val="00A616AE"/>
    <w:rsid w:val="00A61AD1"/>
    <w:rsid w:val="00A636FC"/>
    <w:rsid w:val="00A63B48"/>
    <w:rsid w:val="00A67520"/>
    <w:rsid w:val="00A705AF"/>
    <w:rsid w:val="00A73D69"/>
    <w:rsid w:val="00A753DB"/>
    <w:rsid w:val="00A95354"/>
    <w:rsid w:val="00AA0B23"/>
    <w:rsid w:val="00AB77D2"/>
    <w:rsid w:val="00AD625A"/>
    <w:rsid w:val="00AE020A"/>
    <w:rsid w:val="00AE086A"/>
    <w:rsid w:val="00AE19F4"/>
    <w:rsid w:val="00AE205D"/>
    <w:rsid w:val="00AF01B8"/>
    <w:rsid w:val="00AF62E2"/>
    <w:rsid w:val="00B07DF7"/>
    <w:rsid w:val="00B231C0"/>
    <w:rsid w:val="00B2623B"/>
    <w:rsid w:val="00B33590"/>
    <w:rsid w:val="00B37545"/>
    <w:rsid w:val="00B4026C"/>
    <w:rsid w:val="00B42851"/>
    <w:rsid w:val="00B57B39"/>
    <w:rsid w:val="00B67A99"/>
    <w:rsid w:val="00B7035A"/>
    <w:rsid w:val="00BB3BE2"/>
    <w:rsid w:val="00BB3F39"/>
    <w:rsid w:val="00BC1A17"/>
    <w:rsid w:val="00BE6EDC"/>
    <w:rsid w:val="00C13DA2"/>
    <w:rsid w:val="00C23C5F"/>
    <w:rsid w:val="00C3306B"/>
    <w:rsid w:val="00C3673D"/>
    <w:rsid w:val="00C37533"/>
    <w:rsid w:val="00C502D3"/>
    <w:rsid w:val="00C51FEE"/>
    <w:rsid w:val="00C71FF7"/>
    <w:rsid w:val="00C73B61"/>
    <w:rsid w:val="00C810B1"/>
    <w:rsid w:val="00C918A4"/>
    <w:rsid w:val="00CB2385"/>
    <w:rsid w:val="00CB2651"/>
    <w:rsid w:val="00CB4828"/>
    <w:rsid w:val="00CB5B1A"/>
    <w:rsid w:val="00CC5E0C"/>
    <w:rsid w:val="00CC6898"/>
    <w:rsid w:val="00CD16DB"/>
    <w:rsid w:val="00CD2A03"/>
    <w:rsid w:val="00CD7080"/>
    <w:rsid w:val="00CE1B5F"/>
    <w:rsid w:val="00CE594F"/>
    <w:rsid w:val="00CE6237"/>
    <w:rsid w:val="00CF5E2A"/>
    <w:rsid w:val="00D016E6"/>
    <w:rsid w:val="00D02187"/>
    <w:rsid w:val="00D14E9E"/>
    <w:rsid w:val="00D24796"/>
    <w:rsid w:val="00D24D87"/>
    <w:rsid w:val="00D34891"/>
    <w:rsid w:val="00D5694A"/>
    <w:rsid w:val="00D6174B"/>
    <w:rsid w:val="00D6471C"/>
    <w:rsid w:val="00D77EBE"/>
    <w:rsid w:val="00D93560"/>
    <w:rsid w:val="00D972BB"/>
    <w:rsid w:val="00D9748E"/>
    <w:rsid w:val="00DA2081"/>
    <w:rsid w:val="00DB6EB6"/>
    <w:rsid w:val="00DC4EE9"/>
    <w:rsid w:val="00DD0101"/>
    <w:rsid w:val="00DE6300"/>
    <w:rsid w:val="00DF2FAB"/>
    <w:rsid w:val="00DF33C7"/>
    <w:rsid w:val="00DF3AF6"/>
    <w:rsid w:val="00E00ADF"/>
    <w:rsid w:val="00E00FA2"/>
    <w:rsid w:val="00E00FBB"/>
    <w:rsid w:val="00E0666D"/>
    <w:rsid w:val="00E07028"/>
    <w:rsid w:val="00E11626"/>
    <w:rsid w:val="00E1689E"/>
    <w:rsid w:val="00E251ED"/>
    <w:rsid w:val="00E3236B"/>
    <w:rsid w:val="00E340C9"/>
    <w:rsid w:val="00E359FE"/>
    <w:rsid w:val="00E43817"/>
    <w:rsid w:val="00E60650"/>
    <w:rsid w:val="00E740DD"/>
    <w:rsid w:val="00E7454A"/>
    <w:rsid w:val="00E75ACC"/>
    <w:rsid w:val="00E8341D"/>
    <w:rsid w:val="00E85C0E"/>
    <w:rsid w:val="00E864BC"/>
    <w:rsid w:val="00E9366C"/>
    <w:rsid w:val="00EA7315"/>
    <w:rsid w:val="00EB3185"/>
    <w:rsid w:val="00EB58A5"/>
    <w:rsid w:val="00EB5FE3"/>
    <w:rsid w:val="00EC3BB2"/>
    <w:rsid w:val="00EC60E6"/>
    <w:rsid w:val="00EC65DA"/>
    <w:rsid w:val="00ED2BB8"/>
    <w:rsid w:val="00EE1FD4"/>
    <w:rsid w:val="00EE77DB"/>
    <w:rsid w:val="00EF5621"/>
    <w:rsid w:val="00F0467B"/>
    <w:rsid w:val="00F05C2B"/>
    <w:rsid w:val="00F24D71"/>
    <w:rsid w:val="00F3679A"/>
    <w:rsid w:val="00F37D68"/>
    <w:rsid w:val="00F4294E"/>
    <w:rsid w:val="00F43216"/>
    <w:rsid w:val="00F47B43"/>
    <w:rsid w:val="00F501E8"/>
    <w:rsid w:val="00F550F1"/>
    <w:rsid w:val="00F551C8"/>
    <w:rsid w:val="00F96A9F"/>
    <w:rsid w:val="00FB61C9"/>
    <w:rsid w:val="00FC59C7"/>
    <w:rsid w:val="00FD6B74"/>
    <w:rsid w:val="00FE14C4"/>
    <w:rsid w:val="00FE2068"/>
    <w:rsid w:val="00FE4D9F"/>
    <w:rsid w:val="00FF1F9B"/>
    <w:rsid w:val="00FF4291"/>
    <w:rsid w:val="00FF494F"/>
    <w:rsid w:val="00FF7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49356"/>
  <w15:docId w15:val="{76472EFA-4548-4975-B860-975CFD7E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A4512D"/>
    <w:pPr>
      <w:ind w:left="720"/>
      <w:contextualSpacing/>
    </w:pPr>
  </w:style>
  <w:style w:type="paragraph" w:styleId="Header">
    <w:name w:val="header"/>
    <w:basedOn w:val="Normal"/>
    <w:link w:val="HeaderChar"/>
    <w:uiPriority w:val="99"/>
    <w:rsid w:val="000855FC"/>
    <w:pPr>
      <w:tabs>
        <w:tab w:val="center" w:pos="4513"/>
        <w:tab w:val="right" w:pos="9026"/>
      </w:tabs>
    </w:pPr>
  </w:style>
  <w:style w:type="character" w:customStyle="1" w:styleId="HeaderChar">
    <w:name w:val="Header Char"/>
    <w:basedOn w:val="DefaultParagraphFont"/>
    <w:link w:val="Header"/>
    <w:uiPriority w:val="99"/>
    <w:rsid w:val="000855FC"/>
    <w:rPr>
      <w:sz w:val="24"/>
      <w:szCs w:val="24"/>
      <w:lang w:eastAsia="en-US"/>
    </w:rPr>
  </w:style>
  <w:style w:type="paragraph" w:styleId="Footer">
    <w:name w:val="footer"/>
    <w:basedOn w:val="Normal"/>
    <w:link w:val="FooterChar"/>
    <w:rsid w:val="000855FC"/>
    <w:pPr>
      <w:tabs>
        <w:tab w:val="center" w:pos="4513"/>
        <w:tab w:val="right" w:pos="9026"/>
      </w:tabs>
    </w:pPr>
  </w:style>
  <w:style w:type="character" w:customStyle="1" w:styleId="FooterChar">
    <w:name w:val="Footer Char"/>
    <w:basedOn w:val="DefaultParagraphFont"/>
    <w:link w:val="Footer"/>
    <w:rsid w:val="000855FC"/>
    <w:rPr>
      <w:sz w:val="24"/>
      <w:szCs w:val="24"/>
      <w:lang w:eastAsia="en-US"/>
    </w:rPr>
  </w:style>
  <w:style w:type="character" w:styleId="PageNumber">
    <w:name w:val="page number"/>
    <w:basedOn w:val="DefaultParagraphFont"/>
    <w:rsid w:val="000855FC"/>
  </w:style>
  <w:style w:type="character" w:styleId="Hyperlink">
    <w:name w:val="Hyperlink"/>
    <w:basedOn w:val="DefaultParagraphFont"/>
    <w:unhideWhenUsed/>
    <w:rsid w:val="008F38BA"/>
    <w:rPr>
      <w:color w:val="0000FF" w:themeColor="hyperlink"/>
      <w:u w:val="single"/>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link w:val="ListParagraph"/>
    <w:uiPriority w:val="34"/>
    <w:locked/>
    <w:rsid w:val="008F38BA"/>
    <w:rPr>
      <w:sz w:val="24"/>
      <w:szCs w:val="24"/>
      <w:lang w:eastAsia="en-US"/>
    </w:rPr>
  </w:style>
  <w:style w:type="paragraph" w:styleId="BodyText">
    <w:name w:val="Body Text"/>
    <w:basedOn w:val="Normal"/>
    <w:link w:val="BodyTextChar"/>
    <w:rsid w:val="008F38BA"/>
    <w:rPr>
      <w:b/>
      <w:szCs w:val="20"/>
      <w:lang w:eastAsia="en-AU"/>
    </w:rPr>
  </w:style>
  <w:style w:type="character" w:customStyle="1" w:styleId="BodyTextChar">
    <w:name w:val="Body Text Char"/>
    <w:basedOn w:val="DefaultParagraphFont"/>
    <w:link w:val="BodyText"/>
    <w:rsid w:val="008F38BA"/>
    <w:rPr>
      <w:b/>
      <w:sz w:val="24"/>
    </w:rPr>
  </w:style>
  <w:style w:type="paragraph" w:styleId="BalloonText">
    <w:name w:val="Balloon Text"/>
    <w:basedOn w:val="Normal"/>
    <w:link w:val="BalloonTextChar"/>
    <w:rsid w:val="000977BC"/>
    <w:rPr>
      <w:rFonts w:ascii="Tahoma" w:hAnsi="Tahoma" w:cs="Tahoma"/>
      <w:sz w:val="16"/>
      <w:szCs w:val="16"/>
    </w:rPr>
  </w:style>
  <w:style w:type="character" w:customStyle="1" w:styleId="BalloonTextChar">
    <w:name w:val="Balloon Text Char"/>
    <w:basedOn w:val="DefaultParagraphFont"/>
    <w:link w:val="BalloonText"/>
    <w:rsid w:val="000977BC"/>
    <w:rPr>
      <w:rFonts w:ascii="Tahoma" w:hAnsi="Tahoma" w:cs="Tahoma"/>
      <w:sz w:val="16"/>
      <w:szCs w:val="16"/>
      <w:lang w:eastAsia="en-US"/>
    </w:rPr>
  </w:style>
  <w:style w:type="character" w:styleId="CommentReference">
    <w:name w:val="annotation reference"/>
    <w:basedOn w:val="DefaultParagraphFont"/>
    <w:rsid w:val="00033681"/>
    <w:rPr>
      <w:sz w:val="16"/>
      <w:szCs w:val="16"/>
    </w:rPr>
  </w:style>
  <w:style w:type="paragraph" w:styleId="CommentText">
    <w:name w:val="annotation text"/>
    <w:basedOn w:val="Normal"/>
    <w:link w:val="CommentTextChar"/>
    <w:rsid w:val="00033681"/>
    <w:rPr>
      <w:sz w:val="20"/>
      <w:szCs w:val="20"/>
    </w:rPr>
  </w:style>
  <w:style w:type="character" w:customStyle="1" w:styleId="CommentTextChar">
    <w:name w:val="Comment Text Char"/>
    <w:basedOn w:val="DefaultParagraphFont"/>
    <w:link w:val="CommentText"/>
    <w:rsid w:val="00033681"/>
    <w:rPr>
      <w:lang w:eastAsia="en-US"/>
    </w:rPr>
  </w:style>
  <w:style w:type="paragraph" w:styleId="CommentSubject">
    <w:name w:val="annotation subject"/>
    <w:basedOn w:val="CommentText"/>
    <w:next w:val="CommentText"/>
    <w:link w:val="CommentSubjectChar"/>
    <w:rsid w:val="00033681"/>
    <w:rPr>
      <w:b/>
      <w:bCs/>
    </w:rPr>
  </w:style>
  <w:style w:type="character" w:customStyle="1" w:styleId="CommentSubjectChar">
    <w:name w:val="Comment Subject Char"/>
    <w:basedOn w:val="CommentTextChar"/>
    <w:link w:val="CommentSubject"/>
    <w:rsid w:val="00033681"/>
    <w:rPr>
      <w:b/>
      <w:bCs/>
      <w:lang w:eastAsia="en-US"/>
    </w:rPr>
  </w:style>
  <w:style w:type="character" w:styleId="FollowedHyperlink">
    <w:name w:val="FollowedHyperlink"/>
    <w:basedOn w:val="DefaultParagraphFont"/>
    <w:rsid w:val="00EB3185"/>
    <w:rPr>
      <w:color w:val="800080" w:themeColor="followedHyperlink"/>
      <w:u w:val="single"/>
    </w:rPr>
  </w:style>
  <w:style w:type="paragraph" w:styleId="Revision">
    <w:name w:val="Revision"/>
    <w:hidden/>
    <w:uiPriority w:val="99"/>
    <w:semiHidden/>
    <w:rsid w:val="00F4294E"/>
    <w:rPr>
      <w:sz w:val="24"/>
      <w:szCs w:val="24"/>
      <w:lang w:eastAsia="en-US"/>
    </w:rPr>
  </w:style>
  <w:style w:type="paragraph" w:customStyle="1" w:styleId="ActHead5">
    <w:name w:val="ActHead 5"/>
    <w:aliases w:val="s"/>
    <w:basedOn w:val="Normal"/>
    <w:next w:val="subsection"/>
    <w:link w:val="ActHead5Char"/>
    <w:qFormat/>
    <w:rsid w:val="00A616AE"/>
    <w:pPr>
      <w:keepNext/>
      <w:keepLines/>
      <w:spacing w:before="280"/>
      <w:ind w:left="1134" w:hanging="1134"/>
      <w:outlineLvl w:val="4"/>
    </w:pPr>
    <w:rPr>
      <w:b/>
      <w:kern w:val="28"/>
      <w:szCs w:val="20"/>
      <w:lang w:eastAsia="en-AU"/>
    </w:rPr>
  </w:style>
  <w:style w:type="character" w:customStyle="1" w:styleId="CharSectno">
    <w:name w:val="CharSectno"/>
    <w:basedOn w:val="DefaultParagraphFont"/>
    <w:qFormat/>
    <w:rsid w:val="00A616AE"/>
  </w:style>
  <w:style w:type="paragraph" w:customStyle="1" w:styleId="notetext">
    <w:name w:val="note(text)"/>
    <w:aliases w:val="n"/>
    <w:basedOn w:val="Normal"/>
    <w:link w:val="notetextChar"/>
    <w:rsid w:val="00A616AE"/>
    <w:pPr>
      <w:spacing w:before="122"/>
      <w:ind w:left="1985" w:hanging="851"/>
    </w:pPr>
    <w:rPr>
      <w:sz w:val="18"/>
      <w:szCs w:val="20"/>
      <w:lang w:eastAsia="en-AU"/>
    </w:rPr>
  </w:style>
  <w:style w:type="paragraph" w:customStyle="1" w:styleId="subsection">
    <w:name w:val="subsection"/>
    <w:aliases w:val="ss"/>
    <w:basedOn w:val="Normal"/>
    <w:link w:val="subsectionChar"/>
    <w:rsid w:val="00A616AE"/>
    <w:pPr>
      <w:tabs>
        <w:tab w:val="right" w:pos="1021"/>
      </w:tabs>
      <w:spacing w:before="180"/>
      <w:ind w:left="1134" w:hanging="1134"/>
    </w:pPr>
    <w:rPr>
      <w:sz w:val="22"/>
      <w:szCs w:val="20"/>
      <w:lang w:eastAsia="en-AU"/>
    </w:rPr>
  </w:style>
  <w:style w:type="character" w:customStyle="1" w:styleId="paragraphChar">
    <w:name w:val="paragraph Char"/>
    <w:aliases w:val="a Char"/>
    <w:link w:val="paragraph"/>
    <w:rsid w:val="00A616AE"/>
    <w:rPr>
      <w:sz w:val="22"/>
    </w:rPr>
  </w:style>
  <w:style w:type="paragraph" w:customStyle="1" w:styleId="paragraph">
    <w:name w:val="paragraph"/>
    <w:aliases w:val="a"/>
    <w:basedOn w:val="Normal"/>
    <w:link w:val="paragraphChar"/>
    <w:rsid w:val="00A616AE"/>
    <w:pPr>
      <w:tabs>
        <w:tab w:val="right" w:pos="1531"/>
      </w:tabs>
      <w:spacing w:before="40"/>
      <w:ind w:left="1644" w:hanging="1644"/>
    </w:pPr>
    <w:rPr>
      <w:sz w:val="22"/>
      <w:szCs w:val="20"/>
      <w:lang w:eastAsia="en-AU"/>
    </w:rPr>
  </w:style>
  <w:style w:type="paragraph" w:customStyle="1" w:styleId="Penalty">
    <w:name w:val="Penalty"/>
    <w:basedOn w:val="Normal"/>
    <w:rsid w:val="00A616AE"/>
    <w:pPr>
      <w:tabs>
        <w:tab w:val="left" w:pos="2977"/>
      </w:tabs>
      <w:spacing w:before="180"/>
      <w:ind w:left="1985" w:hanging="851"/>
    </w:pPr>
    <w:rPr>
      <w:sz w:val="22"/>
      <w:szCs w:val="20"/>
      <w:lang w:eastAsia="en-AU"/>
    </w:rPr>
  </w:style>
  <w:style w:type="paragraph" w:customStyle="1" w:styleId="subsection2">
    <w:name w:val="subsection2"/>
    <w:aliases w:val="ss2"/>
    <w:basedOn w:val="Normal"/>
    <w:next w:val="subsection"/>
    <w:rsid w:val="00A616AE"/>
    <w:pPr>
      <w:spacing w:before="40"/>
      <w:ind w:left="1134"/>
    </w:pPr>
    <w:rPr>
      <w:sz w:val="22"/>
      <w:szCs w:val="20"/>
      <w:lang w:eastAsia="en-AU"/>
    </w:rPr>
  </w:style>
  <w:style w:type="character" w:customStyle="1" w:styleId="subsectionChar">
    <w:name w:val="subsection Char"/>
    <w:aliases w:val="ss Char"/>
    <w:link w:val="subsection"/>
    <w:rsid w:val="00A616AE"/>
    <w:rPr>
      <w:sz w:val="22"/>
    </w:rPr>
  </w:style>
  <w:style w:type="character" w:customStyle="1" w:styleId="ActHead5Char">
    <w:name w:val="ActHead 5 Char"/>
    <w:aliases w:val="s Char"/>
    <w:link w:val="ActHead5"/>
    <w:locked/>
    <w:rsid w:val="00A616AE"/>
    <w:rPr>
      <w:b/>
      <w:kern w:val="28"/>
      <w:sz w:val="24"/>
    </w:rPr>
  </w:style>
  <w:style w:type="table" w:styleId="TableGrid">
    <w:name w:val="Table Grid"/>
    <w:basedOn w:val="TableNormal"/>
    <w:uiPriority w:val="59"/>
    <w:rsid w:val="00492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2A7B"/>
    <w:pPr>
      <w:autoSpaceDE w:val="0"/>
      <w:autoSpaceDN w:val="0"/>
      <w:adjustRightInd w:val="0"/>
    </w:pPr>
    <w:rPr>
      <w:color w:val="000000"/>
      <w:sz w:val="24"/>
      <w:szCs w:val="24"/>
    </w:rPr>
  </w:style>
  <w:style w:type="paragraph" w:customStyle="1" w:styleId="Definition">
    <w:name w:val="Definition"/>
    <w:aliases w:val="dd"/>
    <w:basedOn w:val="Normal"/>
    <w:rsid w:val="009E2A7B"/>
    <w:pPr>
      <w:spacing w:before="180"/>
      <w:ind w:left="1134"/>
    </w:pPr>
    <w:rPr>
      <w:sz w:val="22"/>
      <w:szCs w:val="20"/>
      <w:lang w:eastAsia="en-AU"/>
    </w:rPr>
  </w:style>
  <w:style w:type="paragraph" w:customStyle="1" w:styleId="paragraphsub">
    <w:name w:val="paragraphsub"/>
    <w:basedOn w:val="Normal"/>
    <w:rsid w:val="009E2A7B"/>
    <w:pPr>
      <w:spacing w:before="100" w:beforeAutospacing="1" w:after="100" w:afterAutospacing="1"/>
    </w:pPr>
    <w:rPr>
      <w:rFonts w:eastAsiaTheme="minorHAnsi"/>
      <w:lang w:eastAsia="en-AU"/>
    </w:rPr>
  </w:style>
  <w:style w:type="paragraph" w:customStyle="1" w:styleId="paragraphsub0">
    <w:name w:val="paragraph(sub)"/>
    <w:aliases w:val="aa"/>
    <w:basedOn w:val="Normal"/>
    <w:rsid w:val="009E2A7B"/>
    <w:pPr>
      <w:tabs>
        <w:tab w:val="right" w:pos="1985"/>
      </w:tabs>
      <w:spacing w:before="40"/>
      <w:ind w:left="2098" w:hanging="2098"/>
    </w:pPr>
    <w:rPr>
      <w:sz w:val="22"/>
      <w:szCs w:val="20"/>
      <w:lang w:eastAsia="en-AU"/>
    </w:rPr>
  </w:style>
  <w:style w:type="character" w:customStyle="1" w:styleId="notetextChar">
    <w:name w:val="note(text) Char"/>
    <w:aliases w:val="n Char"/>
    <w:basedOn w:val="DefaultParagraphFont"/>
    <w:link w:val="notetext"/>
    <w:rsid w:val="009E2A7B"/>
    <w:rPr>
      <w:sz w:val="18"/>
    </w:rPr>
  </w:style>
  <w:style w:type="paragraph" w:styleId="NormalWeb">
    <w:name w:val="Normal (Web)"/>
    <w:basedOn w:val="Normal"/>
    <w:uiPriority w:val="99"/>
    <w:unhideWhenUsed/>
    <w:rsid w:val="00D9748E"/>
    <w:pPr>
      <w:spacing w:before="100" w:beforeAutospacing="1" w:after="100" w:afterAutospacing="1"/>
    </w:pPr>
    <w:rPr>
      <w:lang w:eastAsia="en-AU"/>
    </w:rPr>
  </w:style>
  <w:style w:type="paragraph" w:customStyle="1" w:styleId="Tabletext">
    <w:name w:val="Tabletext"/>
    <w:aliases w:val="tt"/>
    <w:basedOn w:val="Normal"/>
    <w:rsid w:val="00D9748E"/>
    <w:pPr>
      <w:spacing w:before="60" w:line="240" w:lineRule="atLeast"/>
    </w:pPr>
    <w:rPr>
      <w:sz w:val="20"/>
      <w:szCs w:val="20"/>
      <w:lang w:eastAsia="en-AU"/>
    </w:rPr>
  </w:style>
  <w:style w:type="paragraph" w:customStyle="1" w:styleId="Tablea">
    <w:name w:val="Table(a)"/>
    <w:aliases w:val="ta"/>
    <w:basedOn w:val="Normal"/>
    <w:rsid w:val="00D9748E"/>
    <w:pPr>
      <w:spacing w:before="60"/>
      <w:ind w:left="284" w:hanging="284"/>
    </w:pPr>
    <w:rPr>
      <w:sz w:val="20"/>
      <w:szCs w:val="20"/>
      <w:lang w:eastAsia="en-AU"/>
    </w:rPr>
  </w:style>
  <w:style w:type="paragraph" w:customStyle="1" w:styleId="Tablei">
    <w:name w:val="Table(i)"/>
    <w:aliases w:val="taa"/>
    <w:basedOn w:val="Normal"/>
    <w:rsid w:val="00D9748E"/>
    <w:pPr>
      <w:tabs>
        <w:tab w:val="left" w:pos="-6543"/>
        <w:tab w:val="left" w:pos="-6260"/>
        <w:tab w:val="right" w:pos="970"/>
      </w:tabs>
      <w:spacing w:line="240" w:lineRule="exact"/>
      <w:ind w:left="828" w:hanging="284"/>
    </w:pPr>
    <w:rPr>
      <w:sz w:val="20"/>
      <w:szCs w:val="20"/>
      <w:lang w:eastAsia="en-AU"/>
    </w:rPr>
  </w:style>
  <w:style w:type="paragraph" w:customStyle="1" w:styleId="TableHeading">
    <w:name w:val="TableHeading"/>
    <w:aliases w:val="th"/>
    <w:basedOn w:val="Normal"/>
    <w:next w:val="Tabletext"/>
    <w:rsid w:val="00D9748E"/>
    <w:pPr>
      <w:keepNext/>
      <w:spacing w:before="60" w:line="240" w:lineRule="atLeast"/>
    </w:pPr>
    <w:rPr>
      <w:b/>
      <w:sz w:val="20"/>
      <w:szCs w:val="20"/>
      <w:lang w:eastAsia="en-AU"/>
    </w:rPr>
  </w:style>
  <w:style w:type="paragraph" w:customStyle="1" w:styleId="notedraft">
    <w:name w:val="note(draft)"/>
    <w:aliases w:val="nd"/>
    <w:basedOn w:val="Normal"/>
    <w:rsid w:val="00467879"/>
    <w:pPr>
      <w:spacing w:before="240"/>
      <w:ind w:left="284" w:hanging="284"/>
    </w:pPr>
    <w:rPr>
      <w:i/>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4303">
      <w:bodyDiv w:val="1"/>
      <w:marLeft w:val="0"/>
      <w:marRight w:val="0"/>
      <w:marTop w:val="0"/>
      <w:marBottom w:val="0"/>
      <w:divBdr>
        <w:top w:val="none" w:sz="0" w:space="0" w:color="auto"/>
        <w:left w:val="none" w:sz="0" w:space="0" w:color="auto"/>
        <w:bottom w:val="none" w:sz="0" w:space="0" w:color="auto"/>
        <w:right w:val="none" w:sz="0" w:space="0" w:color="auto"/>
      </w:divBdr>
      <w:divsChild>
        <w:div w:id="2018606096">
          <w:marLeft w:val="0"/>
          <w:marRight w:val="0"/>
          <w:marTop w:val="0"/>
          <w:marBottom w:val="0"/>
          <w:divBdr>
            <w:top w:val="none" w:sz="0" w:space="0" w:color="auto"/>
            <w:left w:val="none" w:sz="0" w:space="0" w:color="auto"/>
            <w:bottom w:val="none" w:sz="0" w:space="0" w:color="auto"/>
            <w:right w:val="none" w:sz="0" w:space="0" w:color="auto"/>
          </w:divBdr>
          <w:divsChild>
            <w:div w:id="1288050272">
              <w:marLeft w:val="0"/>
              <w:marRight w:val="0"/>
              <w:marTop w:val="0"/>
              <w:marBottom w:val="0"/>
              <w:divBdr>
                <w:top w:val="none" w:sz="0" w:space="0" w:color="auto"/>
                <w:left w:val="none" w:sz="0" w:space="0" w:color="auto"/>
                <w:bottom w:val="none" w:sz="0" w:space="0" w:color="auto"/>
                <w:right w:val="none" w:sz="0" w:space="0" w:color="auto"/>
              </w:divBdr>
              <w:divsChild>
                <w:div w:id="314262424">
                  <w:marLeft w:val="0"/>
                  <w:marRight w:val="0"/>
                  <w:marTop w:val="0"/>
                  <w:marBottom w:val="0"/>
                  <w:divBdr>
                    <w:top w:val="none" w:sz="0" w:space="0" w:color="auto"/>
                    <w:left w:val="none" w:sz="0" w:space="0" w:color="auto"/>
                    <w:bottom w:val="none" w:sz="0" w:space="0" w:color="auto"/>
                    <w:right w:val="none" w:sz="0" w:space="0" w:color="auto"/>
                  </w:divBdr>
                  <w:divsChild>
                    <w:div w:id="661545457">
                      <w:marLeft w:val="0"/>
                      <w:marRight w:val="0"/>
                      <w:marTop w:val="0"/>
                      <w:marBottom w:val="0"/>
                      <w:divBdr>
                        <w:top w:val="none" w:sz="0" w:space="0" w:color="auto"/>
                        <w:left w:val="none" w:sz="0" w:space="0" w:color="auto"/>
                        <w:bottom w:val="none" w:sz="0" w:space="0" w:color="auto"/>
                        <w:right w:val="none" w:sz="0" w:space="0" w:color="auto"/>
                      </w:divBdr>
                      <w:divsChild>
                        <w:div w:id="2050841380">
                          <w:marLeft w:val="0"/>
                          <w:marRight w:val="0"/>
                          <w:marTop w:val="0"/>
                          <w:marBottom w:val="0"/>
                          <w:divBdr>
                            <w:top w:val="none" w:sz="0" w:space="0" w:color="auto"/>
                            <w:left w:val="none" w:sz="0" w:space="0" w:color="auto"/>
                            <w:bottom w:val="none" w:sz="0" w:space="0" w:color="auto"/>
                            <w:right w:val="none" w:sz="0" w:space="0" w:color="auto"/>
                          </w:divBdr>
                          <w:divsChild>
                            <w:div w:id="348407939">
                              <w:marLeft w:val="0"/>
                              <w:marRight w:val="0"/>
                              <w:marTop w:val="0"/>
                              <w:marBottom w:val="0"/>
                              <w:divBdr>
                                <w:top w:val="none" w:sz="0" w:space="0" w:color="auto"/>
                                <w:left w:val="none" w:sz="0" w:space="0" w:color="auto"/>
                                <w:bottom w:val="none" w:sz="0" w:space="0" w:color="auto"/>
                                <w:right w:val="none" w:sz="0" w:space="0" w:color="auto"/>
                              </w:divBdr>
                              <w:divsChild>
                                <w:div w:id="1222668423">
                                  <w:marLeft w:val="0"/>
                                  <w:marRight w:val="0"/>
                                  <w:marTop w:val="0"/>
                                  <w:marBottom w:val="0"/>
                                  <w:divBdr>
                                    <w:top w:val="none" w:sz="0" w:space="0" w:color="auto"/>
                                    <w:left w:val="none" w:sz="0" w:space="0" w:color="auto"/>
                                    <w:bottom w:val="none" w:sz="0" w:space="0" w:color="auto"/>
                                    <w:right w:val="none" w:sz="0" w:space="0" w:color="auto"/>
                                  </w:divBdr>
                                  <w:divsChild>
                                    <w:div w:id="2114587844">
                                      <w:marLeft w:val="0"/>
                                      <w:marRight w:val="0"/>
                                      <w:marTop w:val="0"/>
                                      <w:marBottom w:val="0"/>
                                      <w:divBdr>
                                        <w:top w:val="none" w:sz="0" w:space="0" w:color="auto"/>
                                        <w:left w:val="none" w:sz="0" w:space="0" w:color="auto"/>
                                        <w:bottom w:val="none" w:sz="0" w:space="0" w:color="auto"/>
                                        <w:right w:val="none" w:sz="0" w:space="0" w:color="auto"/>
                                      </w:divBdr>
                                      <w:divsChild>
                                        <w:div w:id="2071610399">
                                          <w:marLeft w:val="0"/>
                                          <w:marRight w:val="0"/>
                                          <w:marTop w:val="0"/>
                                          <w:marBottom w:val="0"/>
                                          <w:divBdr>
                                            <w:top w:val="none" w:sz="0" w:space="0" w:color="auto"/>
                                            <w:left w:val="none" w:sz="0" w:space="0" w:color="auto"/>
                                            <w:bottom w:val="none" w:sz="0" w:space="0" w:color="auto"/>
                                            <w:right w:val="none" w:sz="0" w:space="0" w:color="auto"/>
                                          </w:divBdr>
                                          <w:divsChild>
                                            <w:div w:id="1325089403">
                                              <w:marLeft w:val="0"/>
                                              <w:marRight w:val="0"/>
                                              <w:marTop w:val="0"/>
                                              <w:marBottom w:val="0"/>
                                              <w:divBdr>
                                                <w:top w:val="none" w:sz="0" w:space="0" w:color="auto"/>
                                                <w:left w:val="none" w:sz="0" w:space="0" w:color="auto"/>
                                                <w:bottom w:val="none" w:sz="0" w:space="0" w:color="auto"/>
                                                <w:right w:val="none" w:sz="0" w:space="0" w:color="auto"/>
                                              </w:divBdr>
                                              <w:divsChild>
                                                <w:div w:id="1006249505">
                                                  <w:marLeft w:val="0"/>
                                                  <w:marRight w:val="0"/>
                                                  <w:marTop w:val="0"/>
                                                  <w:marBottom w:val="0"/>
                                                  <w:divBdr>
                                                    <w:top w:val="none" w:sz="0" w:space="0" w:color="auto"/>
                                                    <w:left w:val="none" w:sz="0" w:space="0" w:color="auto"/>
                                                    <w:bottom w:val="none" w:sz="0" w:space="0" w:color="auto"/>
                                                    <w:right w:val="none" w:sz="0" w:space="0" w:color="auto"/>
                                                  </w:divBdr>
                                                  <w:divsChild>
                                                    <w:div w:id="1198616005">
                                                      <w:marLeft w:val="0"/>
                                                      <w:marRight w:val="0"/>
                                                      <w:marTop w:val="0"/>
                                                      <w:marBottom w:val="0"/>
                                                      <w:divBdr>
                                                        <w:top w:val="none" w:sz="0" w:space="0" w:color="auto"/>
                                                        <w:left w:val="none" w:sz="0" w:space="0" w:color="auto"/>
                                                        <w:bottom w:val="none" w:sz="0" w:space="0" w:color="auto"/>
                                                        <w:right w:val="none" w:sz="0" w:space="0" w:color="auto"/>
                                                      </w:divBdr>
                                                      <w:divsChild>
                                                        <w:div w:id="13624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9960696">
      <w:bodyDiv w:val="1"/>
      <w:marLeft w:val="0"/>
      <w:marRight w:val="0"/>
      <w:marTop w:val="0"/>
      <w:marBottom w:val="0"/>
      <w:divBdr>
        <w:top w:val="none" w:sz="0" w:space="0" w:color="auto"/>
        <w:left w:val="none" w:sz="0" w:space="0" w:color="auto"/>
        <w:bottom w:val="none" w:sz="0" w:space="0" w:color="auto"/>
        <w:right w:val="none" w:sz="0" w:space="0" w:color="auto"/>
      </w:divBdr>
    </w:div>
    <w:div w:id="1289238101">
      <w:bodyDiv w:val="1"/>
      <w:marLeft w:val="0"/>
      <w:marRight w:val="0"/>
      <w:marTop w:val="0"/>
      <w:marBottom w:val="0"/>
      <w:divBdr>
        <w:top w:val="none" w:sz="0" w:space="0" w:color="auto"/>
        <w:left w:val="none" w:sz="0" w:space="0" w:color="auto"/>
        <w:bottom w:val="none" w:sz="0" w:space="0" w:color="auto"/>
        <w:right w:val="none" w:sz="0" w:space="0" w:color="auto"/>
      </w:divBdr>
      <w:divsChild>
        <w:div w:id="1310138205">
          <w:marLeft w:val="0"/>
          <w:marRight w:val="0"/>
          <w:marTop w:val="0"/>
          <w:marBottom w:val="0"/>
          <w:divBdr>
            <w:top w:val="none" w:sz="0" w:space="0" w:color="auto"/>
            <w:left w:val="none" w:sz="0" w:space="0" w:color="auto"/>
            <w:bottom w:val="none" w:sz="0" w:space="0" w:color="auto"/>
            <w:right w:val="none" w:sz="0" w:space="0" w:color="auto"/>
          </w:divBdr>
          <w:divsChild>
            <w:div w:id="921990945">
              <w:marLeft w:val="0"/>
              <w:marRight w:val="0"/>
              <w:marTop w:val="0"/>
              <w:marBottom w:val="0"/>
              <w:divBdr>
                <w:top w:val="none" w:sz="0" w:space="0" w:color="auto"/>
                <w:left w:val="none" w:sz="0" w:space="0" w:color="auto"/>
                <w:bottom w:val="none" w:sz="0" w:space="0" w:color="auto"/>
                <w:right w:val="none" w:sz="0" w:space="0" w:color="auto"/>
              </w:divBdr>
              <w:divsChild>
                <w:div w:id="1405027340">
                  <w:marLeft w:val="0"/>
                  <w:marRight w:val="0"/>
                  <w:marTop w:val="0"/>
                  <w:marBottom w:val="0"/>
                  <w:divBdr>
                    <w:top w:val="none" w:sz="0" w:space="0" w:color="auto"/>
                    <w:left w:val="none" w:sz="0" w:space="0" w:color="auto"/>
                    <w:bottom w:val="none" w:sz="0" w:space="0" w:color="auto"/>
                    <w:right w:val="none" w:sz="0" w:space="0" w:color="auto"/>
                  </w:divBdr>
                  <w:divsChild>
                    <w:div w:id="976034460">
                      <w:marLeft w:val="0"/>
                      <w:marRight w:val="0"/>
                      <w:marTop w:val="0"/>
                      <w:marBottom w:val="0"/>
                      <w:divBdr>
                        <w:top w:val="none" w:sz="0" w:space="0" w:color="auto"/>
                        <w:left w:val="none" w:sz="0" w:space="0" w:color="auto"/>
                        <w:bottom w:val="none" w:sz="0" w:space="0" w:color="auto"/>
                        <w:right w:val="none" w:sz="0" w:space="0" w:color="auto"/>
                      </w:divBdr>
                      <w:divsChild>
                        <w:div w:id="1506245332">
                          <w:marLeft w:val="0"/>
                          <w:marRight w:val="0"/>
                          <w:marTop w:val="0"/>
                          <w:marBottom w:val="0"/>
                          <w:divBdr>
                            <w:top w:val="none" w:sz="0" w:space="0" w:color="auto"/>
                            <w:left w:val="none" w:sz="0" w:space="0" w:color="auto"/>
                            <w:bottom w:val="none" w:sz="0" w:space="0" w:color="auto"/>
                            <w:right w:val="none" w:sz="0" w:space="0" w:color="auto"/>
                          </w:divBdr>
                          <w:divsChild>
                            <w:div w:id="969090687">
                              <w:marLeft w:val="0"/>
                              <w:marRight w:val="0"/>
                              <w:marTop w:val="0"/>
                              <w:marBottom w:val="0"/>
                              <w:divBdr>
                                <w:top w:val="none" w:sz="0" w:space="0" w:color="auto"/>
                                <w:left w:val="none" w:sz="0" w:space="0" w:color="auto"/>
                                <w:bottom w:val="none" w:sz="0" w:space="0" w:color="auto"/>
                                <w:right w:val="none" w:sz="0" w:space="0" w:color="auto"/>
                              </w:divBdr>
                              <w:divsChild>
                                <w:div w:id="2032873827">
                                  <w:marLeft w:val="0"/>
                                  <w:marRight w:val="0"/>
                                  <w:marTop w:val="0"/>
                                  <w:marBottom w:val="0"/>
                                  <w:divBdr>
                                    <w:top w:val="none" w:sz="0" w:space="0" w:color="auto"/>
                                    <w:left w:val="none" w:sz="0" w:space="0" w:color="auto"/>
                                    <w:bottom w:val="none" w:sz="0" w:space="0" w:color="auto"/>
                                    <w:right w:val="none" w:sz="0" w:space="0" w:color="auto"/>
                                  </w:divBdr>
                                  <w:divsChild>
                                    <w:div w:id="2001695405">
                                      <w:marLeft w:val="0"/>
                                      <w:marRight w:val="0"/>
                                      <w:marTop w:val="0"/>
                                      <w:marBottom w:val="0"/>
                                      <w:divBdr>
                                        <w:top w:val="none" w:sz="0" w:space="0" w:color="auto"/>
                                        <w:left w:val="none" w:sz="0" w:space="0" w:color="auto"/>
                                        <w:bottom w:val="none" w:sz="0" w:space="0" w:color="auto"/>
                                        <w:right w:val="none" w:sz="0" w:space="0" w:color="auto"/>
                                      </w:divBdr>
                                      <w:divsChild>
                                        <w:div w:id="507598840">
                                          <w:marLeft w:val="0"/>
                                          <w:marRight w:val="0"/>
                                          <w:marTop w:val="0"/>
                                          <w:marBottom w:val="0"/>
                                          <w:divBdr>
                                            <w:top w:val="none" w:sz="0" w:space="0" w:color="auto"/>
                                            <w:left w:val="none" w:sz="0" w:space="0" w:color="auto"/>
                                            <w:bottom w:val="none" w:sz="0" w:space="0" w:color="auto"/>
                                            <w:right w:val="none" w:sz="0" w:space="0" w:color="auto"/>
                                          </w:divBdr>
                                          <w:divsChild>
                                            <w:div w:id="171262775">
                                              <w:marLeft w:val="0"/>
                                              <w:marRight w:val="0"/>
                                              <w:marTop w:val="0"/>
                                              <w:marBottom w:val="0"/>
                                              <w:divBdr>
                                                <w:top w:val="none" w:sz="0" w:space="0" w:color="auto"/>
                                                <w:left w:val="none" w:sz="0" w:space="0" w:color="auto"/>
                                                <w:bottom w:val="none" w:sz="0" w:space="0" w:color="auto"/>
                                                <w:right w:val="none" w:sz="0" w:space="0" w:color="auto"/>
                                              </w:divBdr>
                                              <w:divsChild>
                                                <w:div w:id="1214610674">
                                                  <w:marLeft w:val="0"/>
                                                  <w:marRight w:val="0"/>
                                                  <w:marTop w:val="0"/>
                                                  <w:marBottom w:val="0"/>
                                                  <w:divBdr>
                                                    <w:top w:val="none" w:sz="0" w:space="0" w:color="auto"/>
                                                    <w:left w:val="none" w:sz="0" w:space="0" w:color="auto"/>
                                                    <w:bottom w:val="none" w:sz="0" w:space="0" w:color="auto"/>
                                                    <w:right w:val="none" w:sz="0" w:space="0" w:color="auto"/>
                                                  </w:divBdr>
                                                  <w:divsChild>
                                                    <w:div w:id="218790018">
                                                      <w:marLeft w:val="0"/>
                                                      <w:marRight w:val="0"/>
                                                      <w:marTop w:val="0"/>
                                                      <w:marBottom w:val="0"/>
                                                      <w:divBdr>
                                                        <w:top w:val="none" w:sz="0" w:space="0" w:color="auto"/>
                                                        <w:left w:val="none" w:sz="0" w:space="0" w:color="auto"/>
                                                        <w:bottom w:val="none" w:sz="0" w:space="0" w:color="auto"/>
                                                        <w:right w:val="none" w:sz="0" w:space="0" w:color="auto"/>
                                                      </w:divBdr>
                                                      <w:divsChild>
                                                        <w:div w:id="9996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017877">
      <w:bodyDiv w:val="1"/>
      <w:marLeft w:val="0"/>
      <w:marRight w:val="0"/>
      <w:marTop w:val="0"/>
      <w:marBottom w:val="0"/>
      <w:divBdr>
        <w:top w:val="none" w:sz="0" w:space="0" w:color="auto"/>
        <w:left w:val="none" w:sz="0" w:space="0" w:color="auto"/>
        <w:bottom w:val="none" w:sz="0" w:space="0" w:color="auto"/>
        <w:right w:val="none" w:sz="0" w:space="0" w:color="auto"/>
      </w:divBdr>
    </w:div>
    <w:div w:id="1513110691">
      <w:bodyDiv w:val="1"/>
      <w:marLeft w:val="0"/>
      <w:marRight w:val="0"/>
      <w:marTop w:val="0"/>
      <w:marBottom w:val="0"/>
      <w:divBdr>
        <w:top w:val="none" w:sz="0" w:space="0" w:color="auto"/>
        <w:left w:val="none" w:sz="0" w:space="0" w:color="auto"/>
        <w:bottom w:val="none" w:sz="0" w:space="0" w:color="auto"/>
        <w:right w:val="none" w:sz="0" w:space="0" w:color="auto"/>
      </w:divBdr>
      <w:divsChild>
        <w:div w:id="247543344">
          <w:marLeft w:val="0"/>
          <w:marRight w:val="0"/>
          <w:marTop w:val="0"/>
          <w:marBottom w:val="0"/>
          <w:divBdr>
            <w:top w:val="none" w:sz="0" w:space="0" w:color="auto"/>
            <w:left w:val="none" w:sz="0" w:space="0" w:color="auto"/>
            <w:bottom w:val="none" w:sz="0" w:space="0" w:color="auto"/>
            <w:right w:val="none" w:sz="0" w:space="0" w:color="auto"/>
          </w:divBdr>
          <w:divsChild>
            <w:div w:id="569314775">
              <w:marLeft w:val="0"/>
              <w:marRight w:val="0"/>
              <w:marTop w:val="0"/>
              <w:marBottom w:val="0"/>
              <w:divBdr>
                <w:top w:val="none" w:sz="0" w:space="0" w:color="auto"/>
                <w:left w:val="none" w:sz="0" w:space="0" w:color="auto"/>
                <w:bottom w:val="none" w:sz="0" w:space="0" w:color="auto"/>
                <w:right w:val="none" w:sz="0" w:space="0" w:color="auto"/>
              </w:divBdr>
              <w:divsChild>
                <w:div w:id="138570220">
                  <w:marLeft w:val="0"/>
                  <w:marRight w:val="0"/>
                  <w:marTop w:val="0"/>
                  <w:marBottom w:val="0"/>
                  <w:divBdr>
                    <w:top w:val="none" w:sz="0" w:space="0" w:color="auto"/>
                    <w:left w:val="none" w:sz="0" w:space="0" w:color="auto"/>
                    <w:bottom w:val="none" w:sz="0" w:space="0" w:color="auto"/>
                    <w:right w:val="none" w:sz="0" w:space="0" w:color="auto"/>
                  </w:divBdr>
                  <w:divsChild>
                    <w:div w:id="272246497">
                      <w:marLeft w:val="0"/>
                      <w:marRight w:val="0"/>
                      <w:marTop w:val="0"/>
                      <w:marBottom w:val="0"/>
                      <w:divBdr>
                        <w:top w:val="none" w:sz="0" w:space="0" w:color="auto"/>
                        <w:left w:val="none" w:sz="0" w:space="0" w:color="auto"/>
                        <w:bottom w:val="none" w:sz="0" w:space="0" w:color="auto"/>
                        <w:right w:val="none" w:sz="0" w:space="0" w:color="auto"/>
                      </w:divBdr>
                      <w:divsChild>
                        <w:div w:id="400955527">
                          <w:marLeft w:val="0"/>
                          <w:marRight w:val="0"/>
                          <w:marTop w:val="0"/>
                          <w:marBottom w:val="0"/>
                          <w:divBdr>
                            <w:top w:val="none" w:sz="0" w:space="0" w:color="auto"/>
                            <w:left w:val="none" w:sz="0" w:space="0" w:color="auto"/>
                            <w:bottom w:val="none" w:sz="0" w:space="0" w:color="auto"/>
                            <w:right w:val="none" w:sz="0" w:space="0" w:color="auto"/>
                          </w:divBdr>
                          <w:divsChild>
                            <w:div w:id="1530338577">
                              <w:marLeft w:val="0"/>
                              <w:marRight w:val="0"/>
                              <w:marTop w:val="0"/>
                              <w:marBottom w:val="0"/>
                              <w:divBdr>
                                <w:top w:val="none" w:sz="0" w:space="0" w:color="auto"/>
                                <w:left w:val="none" w:sz="0" w:space="0" w:color="auto"/>
                                <w:bottom w:val="none" w:sz="0" w:space="0" w:color="auto"/>
                                <w:right w:val="none" w:sz="0" w:space="0" w:color="auto"/>
                              </w:divBdr>
                              <w:divsChild>
                                <w:div w:id="541752705">
                                  <w:marLeft w:val="0"/>
                                  <w:marRight w:val="0"/>
                                  <w:marTop w:val="0"/>
                                  <w:marBottom w:val="0"/>
                                  <w:divBdr>
                                    <w:top w:val="none" w:sz="0" w:space="0" w:color="auto"/>
                                    <w:left w:val="none" w:sz="0" w:space="0" w:color="auto"/>
                                    <w:bottom w:val="none" w:sz="0" w:space="0" w:color="auto"/>
                                    <w:right w:val="none" w:sz="0" w:space="0" w:color="auto"/>
                                  </w:divBdr>
                                  <w:divsChild>
                                    <w:div w:id="1516722910">
                                      <w:marLeft w:val="0"/>
                                      <w:marRight w:val="0"/>
                                      <w:marTop w:val="0"/>
                                      <w:marBottom w:val="0"/>
                                      <w:divBdr>
                                        <w:top w:val="none" w:sz="0" w:space="0" w:color="auto"/>
                                        <w:left w:val="none" w:sz="0" w:space="0" w:color="auto"/>
                                        <w:bottom w:val="none" w:sz="0" w:space="0" w:color="auto"/>
                                        <w:right w:val="none" w:sz="0" w:space="0" w:color="auto"/>
                                      </w:divBdr>
                                      <w:divsChild>
                                        <w:div w:id="1601058849">
                                          <w:marLeft w:val="0"/>
                                          <w:marRight w:val="0"/>
                                          <w:marTop w:val="0"/>
                                          <w:marBottom w:val="0"/>
                                          <w:divBdr>
                                            <w:top w:val="none" w:sz="0" w:space="0" w:color="auto"/>
                                            <w:left w:val="none" w:sz="0" w:space="0" w:color="auto"/>
                                            <w:bottom w:val="none" w:sz="0" w:space="0" w:color="auto"/>
                                            <w:right w:val="none" w:sz="0" w:space="0" w:color="auto"/>
                                          </w:divBdr>
                                          <w:divsChild>
                                            <w:div w:id="1813012145">
                                              <w:marLeft w:val="0"/>
                                              <w:marRight w:val="0"/>
                                              <w:marTop w:val="0"/>
                                              <w:marBottom w:val="0"/>
                                              <w:divBdr>
                                                <w:top w:val="none" w:sz="0" w:space="0" w:color="auto"/>
                                                <w:left w:val="none" w:sz="0" w:space="0" w:color="auto"/>
                                                <w:bottom w:val="none" w:sz="0" w:space="0" w:color="auto"/>
                                                <w:right w:val="none" w:sz="0" w:space="0" w:color="auto"/>
                                              </w:divBdr>
                                              <w:divsChild>
                                                <w:div w:id="1028020033">
                                                  <w:marLeft w:val="0"/>
                                                  <w:marRight w:val="0"/>
                                                  <w:marTop w:val="0"/>
                                                  <w:marBottom w:val="0"/>
                                                  <w:divBdr>
                                                    <w:top w:val="none" w:sz="0" w:space="0" w:color="auto"/>
                                                    <w:left w:val="none" w:sz="0" w:space="0" w:color="auto"/>
                                                    <w:bottom w:val="none" w:sz="0" w:space="0" w:color="auto"/>
                                                    <w:right w:val="none" w:sz="0" w:space="0" w:color="auto"/>
                                                  </w:divBdr>
                                                  <w:divsChild>
                                                    <w:div w:id="485510034">
                                                      <w:marLeft w:val="0"/>
                                                      <w:marRight w:val="0"/>
                                                      <w:marTop w:val="0"/>
                                                      <w:marBottom w:val="0"/>
                                                      <w:divBdr>
                                                        <w:top w:val="none" w:sz="0" w:space="0" w:color="auto"/>
                                                        <w:left w:val="none" w:sz="0" w:space="0" w:color="auto"/>
                                                        <w:bottom w:val="none" w:sz="0" w:space="0" w:color="auto"/>
                                                        <w:right w:val="none" w:sz="0" w:space="0" w:color="auto"/>
                                                      </w:divBdr>
                                                      <w:divsChild>
                                                        <w:div w:id="18879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964060">
      <w:bodyDiv w:val="1"/>
      <w:marLeft w:val="0"/>
      <w:marRight w:val="0"/>
      <w:marTop w:val="0"/>
      <w:marBottom w:val="0"/>
      <w:divBdr>
        <w:top w:val="none" w:sz="0" w:space="0" w:color="auto"/>
        <w:left w:val="none" w:sz="0" w:space="0" w:color="auto"/>
        <w:bottom w:val="none" w:sz="0" w:space="0" w:color="auto"/>
        <w:right w:val="none" w:sz="0" w:space="0" w:color="auto"/>
      </w:divBdr>
      <w:divsChild>
        <w:div w:id="1052771060">
          <w:marLeft w:val="0"/>
          <w:marRight w:val="0"/>
          <w:marTop w:val="0"/>
          <w:marBottom w:val="0"/>
          <w:divBdr>
            <w:top w:val="none" w:sz="0" w:space="0" w:color="auto"/>
            <w:left w:val="none" w:sz="0" w:space="0" w:color="auto"/>
            <w:bottom w:val="none" w:sz="0" w:space="0" w:color="auto"/>
            <w:right w:val="none" w:sz="0" w:space="0" w:color="auto"/>
          </w:divBdr>
          <w:divsChild>
            <w:div w:id="1868444110">
              <w:marLeft w:val="0"/>
              <w:marRight w:val="0"/>
              <w:marTop w:val="0"/>
              <w:marBottom w:val="0"/>
              <w:divBdr>
                <w:top w:val="none" w:sz="0" w:space="0" w:color="auto"/>
                <w:left w:val="none" w:sz="0" w:space="0" w:color="auto"/>
                <w:bottom w:val="none" w:sz="0" w:space="0" w:color="auto"/>
                <w:right w:val="none" w:sz="0" w:space="0" w:color="auto"/>
              </w:divBdr>
              <w:divsChild>
                <w:div w:id="634605493">
                  <w:marLeft w:val="0"/>
                  <w:marRight w:val="0"/>
                  <w:marTop w:val="0"/>
                  <w:marBottom w:val="0"/>
                  <w:divBdr>
                    <w:top w:val="none" w:sz="0" w:space="0" w:color="auto"/>
                    <w:left w:val="none" w:sz="0" w:space="0" w:color="auto"/>
                    <w:bottom w:val="none" w:sz="0" w:space="0" w:color="auto"/>
                    <w:right w:val="none" w:sz="0" w:space="0" w:color="auto"/>
                  </w:divBdr>
                  <w:divsChild>
                    <w:div w:id="37627971">
                      <w:marLeft w:val="0"/>
                      <w:marRight w:val="0"/>
                      <w:marTop w:val="0"/>
                      <w:marBottom w:val="0"/>
                      <w:divBdr>
                        <w:top w:val="none" w:sz="0" w:space="0" w:color="auto"/>
                        <w:left w:val="none" w:sz="0" w:space="0" w:color="auto"/>
                        <w:bottom w:val="none" w:sz="0" w:space="0" w:color="auto"/>
                        <w:right w:val="none" w:sz="0" w:space="0" w:color="auto"/>
                      </w:divBdr>
                      <w:divsChild>
                        <w:div w:id="2046906664">
                          <w:marLeft w:val="0"/>
                          <w:marRight w:val="0"/>
                          <w:marTop w:val="0"/>
                          <w:marBottom w:val="0"/>
                          <w:divBdr>
                            <w:top w:val="none" w:sz="0" w:space="0" w:color="auto"/>
                            <w:left w:val="none" w:sz="0" w:space="0" w:color="auto"/>
                            <w:bottom w:val="none" w:sz="0" w:space="0" w:color="auto"/>
                            <w:right w:val="none" w:sz="0" w:space="0" w:color="auto"/>
                          </w:divBdr>
                          <w:divsChild>
                            <w:div w:id="1090540419">
                              <w:marLeft w:val="0"/>
                              <w:marRight w:val="0"/>
                              <w:marTop w:val="0"/>
                              <w:marBottom w:val="0"/>
                              <w:divBdr>
                                <w:top w:val="none" w:sz="0" w:space="0" w:color="auto"/>
                                <w:left w:val="none" w:sz="0" w:space="0" w:color="auto"/>
                                <w:bottom w:val="none" w:sz="0" w:space="0" w:color="auto"/>
                                <w:right w:val="none" w:sz="0" w:space="0" w:color="auto"/>
                              </w:divBdr>
                              <w:divsChild>
                                <w:div w:id="380205680">
                                  <w:marLeft w:val="0"/>
                                  <w:marRight w:val="0"/>
                                  <w:marTop w:val="0"/>
                                  <w:marBottom w:val="0"/>
                                  <w:divBdr>
                                    <w:top w:val="none" w:sz="0" w:space="0" w:color="auto"/>
                                    <w:left w:val="none" w:sz="0" w:space="0" w:color="auto"/>
                                    <w:bottom w:val="none" w:sz="0" w:space="0" w:color="auto"/>
                                    <w:right w:val="none" w:sz="0" w:space="0" w:color="auto"/>
                                  </w:divBdr>
                                  <w:divsChild>
                                    <w:div w:id="378551931">
                                      <w:marLeft w:val="0"/>
                                      <w:marRight w:val="0"/>
                                      <w:marTop w:val="0"/>
                                      <w:marBottom w:val="0"/>
                                      <w:divBdr>
                                        <w:top w:val="none" w:sz="0" w:space="0" w:color="auto"/>
                                        <w:left w:val="none" w:sz="0" w:space="0" w:color="auto"/>
                                        <w:bottom w:val="none" w:sz="0" w:space="0" w:color="auto"/>
                                        <w:right w:val="none" w:sz="0" w:space="0" w:color="auto"/>
                                      </w:divBdr>
                                      <w:divsChild>
                                        <w:div w:id="925263026">
                                          <w:marLeft w:val="0"/>
                                          <w:marRight w:val="0"/>
                                          <w:marTop w:val="0"/>
                                          <w:marBottom w:val="0"/>
                                          <w:divBdr>
                                            <w:top w:val="none" w:sz="0" w:space="0" w:color="auto"/>
                                            <w:left w:val="none" w:sz="0" w:space="0" w:color="auto"/>
                                            <w:bottom w:val="none" w:sz="0" w:space="0" w:color="auto"/>
                                            <w:right w:val="none" w:sz="0" w:space="0" w:color="auto"/>
                                          </w:divBdr>
                                          <w:divsChild>
                                            <w:div w:id="2028023646">
                                              <w:marLeft w:val="0"/>
                                              <w:marRight w:val="0"/>
                                              <w:marTop w:val="0"/>
                                              <w:marBottom w:val="0"/>
                                              <w:divBdr>
                                                <w:top w:val="none" w:sz="0" w:space="0" w:color="auto"/>
                                                <w:left w:val="none" w:sz="0" w:space="0" w:color="auto"/>
                                                <w:bottom w:val="none" w:sz="0" w:space="0" w:color="auto"/>
                                                <w:right w:val="none" w:sz="0" w:space="0" w:color="auto"/>
                                              </w:divBdr>
                                              <w:divsChild>
                                                <w:div w:id="1346131263">
                                                  <w:marLeft w:val="0"/>
                                                  <w:marRight w:val="0"/>
                                                  <w:marTop w:val="0"/>
                                                  <w:marBottom w:val="0"/>
                                                  <w:divBdr>
                                                    <w:top w:val="none" w:sz="0" w:space="0" w:color="auto"/>
                                                    <w:left w:val="none" w:sz="0" w:space="0" w:color="auto"/>
                                                    <w:bottom w:val="none" w:sz="0" w:space="0" w:color="auto"/>
                                                    <w:right w:val="none" w:sz="0" w:space="0" w:color="auto"/>
                                                  </w:divBdr>
                                                  <w:divsChild>
                                                    <w:div w:id="21117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F2018L01127" TargetMode="External"/><Relationship Id="rId18" Type="http://schemas.openxmlformats.org/officeDocument/2006/relationships/hyperlink" Target="https://www.abs.gov.au/websitedbs/D3310114.nsf/home/Australian+Standard+Geographical+Classification+(ASGC)" TargetMode="External"/><Relationship Id="rId3" Type="http://schemas.openxmlformats.org/officeDocument/2006/relationships/customXml" Target="../customXml/item3.xml"/><Relationship Id="rId21" Type="http://schemas.openxmlformats.org/officeDocument/2006/relationships/hyperlink" Target="http://www.health.gov.au" TargetMode="External"/><Relationship Id="rId7" Type="http://schemas.openxmlformats.org/officeDocument/2006/relationships/settings" Target="settings.xml"/><Relationship Id="rId12" Type="http://schemas.openxmlformats.org/officeDocument/2006/relationships/hyperlink" Target="https://www.legislation.gov.au/Series/F2019L00502" TargetMode="External"/><Relationship Id="rId17" Type="http://schemas.openxmlformats.org/officeDocument/2006/relationships/hyperlink" Target="http://www.health.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Series/F2018L01465" TargetMode="External"/><Relationship Id="rId20" Type="http://schemas.openxmlformats.org/officeDocument/2006/relationships/hyperlink" Target="https://www.health.gov.au/health-workforce/health-workforce-classifications/rural-remote-and-metropolitan-are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Series/F2019L00306"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bs.gov.au/websitedbs/D3310114.nsf/home/Australian+Statistical+Geography+Standard+(AS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9C00545" TargetMode="External"/><Relationship Id="rId22" Type="http://schemas.openxmlformats.org/officeDocument/2006/relationships/hyperlink" Target="https://www.entnet.org/sites/default/files/NOSE-Instru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9A8711FA6325942BED722B51304201E" ma:contentTypeVersion="" ma:contentTypeDescription="PDMS Document Site Content Type" ma:contentTypeScope="" ma:versionID="8db853f2ceede9146c55ad88f589f595">
  <xsd:schema xmlns:xsd="http://www.w3.org/2001/XMLSchema" xmlns:xs="http://www.w3.org/2001/XMLSchema" xmlns:p="http://schemas.microsoft.com/office/2006/metadata/properties" xmlns:ns2="655B425C-E9A4-4855-97EC-92FCD26F0A86" targetNamespace="http://schemas.microsoft.com/office/2006/metadata/properties" ma:root="true" ma:fieldsID="1051ce40bad1c87e4def3199d3e9fb66" ns2:_="">
    <xsd:import namespace="655B425C-E9A4-4855-97EC-92FCD26F0A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B425C-E9A4-4855-97EC-92FCD26F0A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55B425C-E9A4-4855-97EC-92FCD26F0A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4901-6AC2-46CF-A3B5-357B70E3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B425C-E9A4-4855-97EC-92FCD26F0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497B2-E054-4FDB-9F0D-9C6AEE136E72}">
  <ds:schemaRefs>
    <ds:schemaRef ds:uri="http://schemas.microsoft.com/sharepoint/v3/contenttype/forms"/>
  </ds:schemaRefs>
</ds:datastoreItem>
</file>

<file path=customXml/itemProps3.xml><?xml version="1.0" encoding="utf-8"?>
<ds:datastoreItem xmlns:ds="http://schemas.openxmlformats.org/officeDocument/2006/customXml" ds:itemID="{F0E11291-1047-47C5-96AF-DAF5E346D48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55B425C-E9A4-4855-97EC-92FCD26F0A86"/>
    <ds:schemaRef ds:uri="http://www.w3.org/XML/1998/namespace"/>
  </ds:schemaRefs>
</ds:datastoreItem>
</file>

<file path=customXml/itemProps4.xml><?xml version="1.0" encoding="utf-8"?>
<ds:datastoreItem xmlns:ds="http://schemas.openxmlformats.org/officeDocument/2006/customXml" ds:itemID="{8661A69E-2F40-4221-96A9-FD4070C6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3662</Words>
  <Characters>21824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NG, Jason</cp:lastModifiedBy>
  <cp:revision>3</cp:revision>
  <cp:lastPrinted>2020-03-05T01:02:00Z</cp:lastPrinted>
  <dcterms:created xsi:type="dcterms:W3CDTF">2020-04-17T00:30:00Z</dcterms:created>
  <dcterms:modified xsi:type="dcterms:W3CDTF">2020-04-20T06:38:00Z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0x010100266966F133664895A6EE3632470D45F500F9A8711FA6325942BED722B51304201E</vt:lpwstr>
  </property>
</Properties>
</file>