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D692" w14:textId="77777777" w:rsidR="006B38C8" w:rsidRPr="00683D05" w:rsidRDefault="006B38C8" w:rsidP="0016125F">
      <w:pPr>
        <w:keepNext/>
        <w:ind w:left="284"/>
        <w:jc w:val="center"/>
        <w:outlineLvl w:val="0"/>
        <w:rPr>
          <w:b/>
          <w:u w:val="single"/>
        </w:rPr>
      </w:pPr>
      <w:r w:rsidRPr="00683D05">
        <w:rPr>
          <w:b/>
          <w:u w:val="single"/>
        </w:rPr>
        <w:t>EXPLANATORY STATEMENT</w:t>
      </w:r>
    </w:p>
    <w:p w14:paraId="38215DAE" w14:textId="77777777" w:rsidR="0016125F" w:rsidRPr="00683D05" w:rsidRDefault="0016125F" w:rsidP="0016125F">
      <w:pPr>
        <w:keepNext/>
        <w:ind w:left="284"/>
        <w:jc w:val="center"/>
        <w:outlineLvl w:val="0"/>
        <w:rPr>
          <w:b/>
          <w:u w:val="single"/>
        </w:rPr>
      </w:pPr>
    </w:p>
    <w:p w14:paraId="7313B05A" w14:textId="77777777" w:rsidR="006B38C8" w:rsidRPr="00683D05" w:rsidRDefault="006B38C8" w:rsidP="0016125F">
      <w:pPr>
        <w:keepNext/>
        <w:ind w:left="284"/>
        <w:jc w:val="center"/>
        <w:outlineLvl w:val="0"/>
        <w:rPr>
          <w:b/>
        </w:rPr>
      </w:pPr>
      <w:r w:rsidRPr="00683D05">
        <w:rPr>
          <w:b/>
        </w:rPr>
        <w:t>Issued by the Authority of the Minister for Health</w:t>
      </w:r>
    </w:p>
    <w:p w14:paraId="55616C39" w14:textId="77777777" w:rsidR="006B38C8" w:rsidRPr="00683D05" w:rsidRDefault="006B38C8" w:rsidP="0016125F">
      <w:pPr>
        <w:keepNext/>
        <w:ind w:left="284"/>
        <w:jc w:val="center"/>
        <w:outlineLvl w:val="0"/>
        <w:rPr>
          <w:b/>
        </w:rPr>
      </w:pPr>
    </w:p>
    <w:p w14:paraId="1581A68B" w14:textId="68E7997A" w:rsidR="006B38C8" w:rsidRPr="00683D05" w:rsidRDefault="006B38C8" w:rsidP="0016125F">
      <w:pPr>
        <w:keepNext/>
        <w:ind w:left="284"/>
        <w:jc w:val="center"/>
        <w:outlineLvl w:val="0"/>
        <w:rPr>
          <w:b/>
        </w:rPr>
      </w:pPr>
      <w:r w:rsidRPr="00683D05">
        <w:rPr>
          <w:i/>
        </w:rPr>
        <w:t>Medical Indemnity (Prudential Supervision and Product Standards) Act 2003</w:t>
      </w:r>
      <w:r w:rsidRPr="00683D05">
        <w:rPr>
          <w:b/>
        </w:rPr>
        <w:t xml:space="preserve"> </w:t>
      </w:r>
      <w:r w:rsidRPr="00683D05">
        <w:rPr>
          <w:b/>
        </w:rPr>
        <w:br/>
        <w:t xml:space="preserve">Determination made under </w:t>
      </w:r>
      <w:r w:rsidR="0094223B" w:rsidRPr="00683D05">
        <w:rPr>
          <w:b/>
        </w:rPr>
        <w:t>sub</w:t>
      </w:r>
      <w:r w:rsidR="00236D5A" w:rsidRPr="00683D05">
        <w:rPr>
          <w:b/>
        </w:rPr>
        <w:t>paragraph</w:t>
      </w:r>
      <w:r w:rsidR="0094223B" w:rsidRPr="00683D05">
        <w:rPr>
          <w:b/>
        </w:rPr>
        <w:t xml:space="preserve"> </w:t>
      </w:r>
      <w:r w:rsidRPr="00683D05">
        <w:rPr>
          <w:b/>
        </w:rPr>
        <w:t>26D(2)(b)(iii)</w:t>
      </w:r>
    </w:p>
    <w:p w14:paraId="29DEE230" w14:textId="77777777" w:rsidR="0016125F" w:rsidRPr="00683D05" w:rsidRDefault="0016125F" w:rsidP="0016125F">
      <w:pPr>
        <w:keepNext/>
        <w:ind w:left="284"/>
        <w:jc w:val="center"/>
        <w:outlineLvl w:val="0"/>
        <w:rPr>
          <w:b/>
        </w:rPr>
      </w:pPr>
    </w:p>
    <w:p w14:paraId="66980E0C" w14:textId="77777777" w:rsidR="006B38C8" w:rsidRPr="00683D05" w:rsidRDefault="006B38C8" w:rsidP="0016125F">
      <w:pPr>
        <w:keepNext/>
        <w:ind w:left="284"/>
        <w:jc w:val="center"/>
        <w:outlineLvl w:val="0"/>
        <w:rPr>
          <w:i/>
        </w:rPr>
      </w:pPr>
      <w:r w:rsidRPr="00683D05">
        <w:rPr>
          <w:i/>
        </w:rPr>
        <w:t>Medical Indemnity (Prudential Supervision and Product Standards</w:t>
      </w:r>
      <w:r w:rsidR="0082098C" w:rsidRPr="00683D05">
        <w:rPr>
          <w:i/>
        </w:rPr>
        <w:t>) (</w:t>
      </w:r>
      <w:r w:rsidRPr="00683D05">
        <w:rPr>
          <w:i/>
        </w:rPr>
        <w:t>Notice of Provision of R</w:t>
      </w:r>
      <w:r w:rsidR="0082098C" w:rsidRPr="00683D05">
        <w:rPr>
          <w:i/>
        </w:rPr>
        <w:t>un-Off Cover) Determination 2020</w:t>
      </w:r>
    </w:p>
    <w:p w14:paraId="725FCE8E" w14:textId="77777777" w:rsidR="00033F68" w:rsidRPr="00683D05" w:rsidRDefault="00033F68" w:rsidP="0016125F">
      <w:pPr>
        <w:tabs>
          <w:tab w:val="left" w:pos="540"/>
          <w:tab w:val="left" w:pos="2773"/>
          <w:tab w:val="left" w:pos="3697"/>
          <w:tab w:val="left" w:pos="4621"/>
          <w:tab w:val="left" w:pos="5545"/>
          <w:tab w:val="left" w:pos="6469"/>
          <w:tab w:val="left" w:pos="7394"/>
          <w:tab w:val="left" w:pos="8318"/>
          <w:tab w:val="right" w:pos="8930"/>
        </w:tabs>
        <w:rPr>
          <w:b/>
          <w:bCs/>
        </w:rPr>
      </w:pPr>
    </w:p>
    <w:p w14:paraId="60840283" w14:textId="77777777" w:rsidR="00033F68" w:rsidRPr="00683D05" w:rsidRDefault="00033F68" w:rsidP="0016125F">
      <w:pPr>
        <w:tabs>
          <w:tab w:val="left" w:pos="540"/>
          <w:tab w:val="left" w:pos="2773"/>
          <w:tab w:val="left" w:pos="3697"/>
          <w:tab w:val="left" w:pos="4621"/>
          <w:tab w:val="left" w:pos="5545"/>
          <w:tab w:val="left" w:pos="6469"/>
          <w:tab w:val="left" w:pos="7394"/>
          <w:tab w:val="left" w:pos="8318"/>
          <w:tab w:val="right" w:pos="8930"/>
        </w:tabs>
        <w:rPr>
          <w:b/>
          <w:bCs/>
          <w:u w:val="single"/>
        </w:rPr>
      </w:pPr>
      <w:r w:rsidRPr="00683D05">
        <w:rPr>
          <w:b/>
          <w:bCs/>
          <w:u w:val="single"/>
        </w:rPr>
        <w:t>Authority</w:t>
      </w:r>
    </w:p>
    <w:p w14:paraId="43614F34" w14:textId="77777777" w:rsidR="00033F68" w:rsidRPr="00683D05" w:rsidRDefault="00033F68" w:rsidP="0016125F">
      <w:pPr>
        <w:tabs>
          <w:tab w:val="left" w:pos="540"/>
          <w:tab w:val="left" w:pos="2773"/>
          <w:tab w:val="left" w:pos="3697"/>
          <w:tab w:val="left" w:pos="4621"/>
          <w:tab w:val="left" w:pos="5545"/>
          <w:tab w:val="left" w:pos="6469"/>
          <w:tab w:val="left" w:pos="7394"/>
          <w:tab w:val="left" w:pos="8318"/>
          <w:tab w:val="right" w:pos="8930"/>
        </w:tabs>
      </w:pPr>
    </w:p>
    <w:p w14:paraId="07286226" w14:textId="3C76671D" w:rsidR="00033F68" w:rsidRPr="00683D05" w:rsidRDefault="0094223B" w:rsidP="00F225EA">
      <w:pPr>
        <w:tabs>
          <w:tab w:val="left" w:pos="540"/>
          <w:tab w:val="left" w:pos="2773"/>
          <w:tab w:val="left" w:pos="3697"/>
          <w:tab w:val="left" w:pos="4621"/>
          <w:tab w:val="left" w:pos="5545"/>
          <w:tab w:val="left" w:pos="6469"/>
          <w:tab w:val="left" w:pos="7394"/>
          <w:tab w:val="left" w:pos="8318"/>
          <w:tab w:val="right" w:pos="8930"/>
        </w:tabs>
        <w:rPr>
          <w:iCs/>
          <w:lang w:val="en-US"/>
        </w:rPr>
      </w:pPr>
      <w:r w:rsidRPr="00683D05">
        <w:t>S</w:t>
      </w:r>
      <w:r w:rsidR="00236D5A" w:rsidRPr="00683D05">
        <w:t>ubparagraph</w:t>
      </w:r>
      <w:r w:rsidRPr="00683D05">
        <w:t xml:space="preserve"> </w:t>
      </w:r>
      <w:r w:rsidR="00033F68" w:rsidRPr="00683D05">
        <w:rPr>
          <w:lang w:val="en-US"/>
        </w:rPr>
        <w:t xml:space="preserve">26D(2)(b)(iii) </w:t>
      </w:r>
      <w:r w:rsidR="00033F68" w:rsidRPr="00683D05">
        <w:t xml:space="preserve">of the </w:t>
      </w:r>
      <w:r w:rsidR="00033F68" w:rsidRPr="00683D05">
        <w:rPr>
          <w:i/>
          <w:iCs/>
          <w:lang w:val="en-US"/>
        </w:rPr>
        <w:t xml:space="preserve">Medical Indemnity (Prudential Supervision and Product Standards) Act 2003 </w:t>
      </w:r>
      <w:r w:rsidR="00033F68" w:rsidRPr="00683D05">
        <w:rPr>
          <w:iCs/>
          <w:lang w:val="en-US"/>
        </w:rPr>
        <w:t xml:space="preserve">(the </w:t>
      </w:r>
      <w:r w:rsidR="006922A8" w:rsidRPr="00683D05">
        <w:rPr>
          <w:iCs/>
          <w:lang w:val="en-US"/>
        </w:rPr>
        <w:t>MI</w:t>
      </w:r>
      <w:r w:rsidR="00033F68" w:rsidRPr="00683D05">
        <w:rPr>
          <w:iCs/>
          <w:lang w:val="en-US"/>
        </w:rPr>
        <w:t>PSPS Act) provides that the Minister for Health may, by legislative instrument</w:t>
      </w:r>
      <w:r w:rsidR="00F225EA" w:rsidRPr="00683D05">
        <w:rPr>
          <w:iCs/>
          <w:lang w:val="en-US"/>
        </w:rPr>
        <w:t xml:space="preserve">, </w:t>
      </w:r>
      <w:r w:rsidR="00463AC1" w:rsidRPr="00683D05">
        <w:rPr>
          <w:iCs/>
          <w:lang w:val="en-US"/>
        </w:rPr>
        <w:t>determine</w:t>
      </w:r>
      <w:r w:rsidR="00F225EA" w:rsidRPr="00683D05">
        <w:rPr>
          <w:iCs/>
          <w:lang w:val="en-US"/>
        </w:rPr>
        <w:t xml:space="preserve"> particular matters that medical indemnity insurer</w:t>
      </w:r>
      <w:r w:rsidR="006922A8" w:rsidRPr="00683D05">
        <w:rPr>
          <w:iCs/>
          <w:lang w:val="en-US"/>
        </w:rPr>
        <w:t>s</w:t>
      </w:r>
      <w:r w:rsidR="00F225EA" w:rsidRPr="00683D05">
        <w:rPr>
          <w:iCs/>
          <w:lang w:val="en-US"/>
        </w:rPr>
        <w:t xml:space="preserve"> must provide in a written notice to the Chief Executive Medicare</w:t>
      </w:r>
      <w:r w:rsidR="006922A8" w:rsidRPr="00683D05">
        <w:rPr>
          <w:iCs/>
          <w:lang w:val="en-US"/>
        </w:rPr>
        <w:t>.</w:t>
      </w:r>
    </w:p>
    <w:p w14:paraId="334A00A1" w14:textId="77777777" w:rsidR="00501E5B" w:rsidRPr="00683D05" w:rsidRDefault="00501E5B" w:rsidP="00F225EA">
      <w:pPr>
        <w:tabs>
          <w:tab w:val="left" w:pos="540"/>
          <w:tab w:val="left" w:pos="2773"/>
          <w:tab w:val="left" w:pos="3697"/>
          <w:tab w:val="left" w:pos="4621"/>
          <w:tab w:val="left" w:pos="5545"/>
          <w:tab w:val="left" w:pos="6469"/>
          <w:tab w:val="left" w:pos="7394"/>
          <w:tab w:val="left" w:pos="8318"/>
          <w:tab w:val="right" w:pos="8930"/>
        </w:tabs>
        <w:rPr>
          <w:iCs/>
          <w:lang w:val="en-US"/>
        </w:rPr>
      </w:pPr>
    </w:p>
    <w:p w14:paraId="17510878" w14:textId="6B27DD6C" w:rsidR="0005518E" w:rsidRPr="00683D05" w:rsidRDefault="0005518E" w:rsidP="005955CD">
      <w:pPr>
        <w:spacing w:line="259" w:lineRule="auto"/>
      </w:pPr>
      <w:r w:rsidRPr="00683D05">
        <w:t xml:space="preserve">Under subsection 33(3) of the </w:t>
      </w:r>
      <w:r w:rsidRPr="00683D05">
        <w:rPr>
          <w:i/>
        </w:rPr>
        <w:t>Acts Interpretation Act 1901,</w:t>
      </w:r>
      <w:r w:rsidRPr="00683D05">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5C119670" w14:textId="77777777" w:rsidR="00DB1DB6" w:rsidRPr="00683D05" w:rsidRDefault="00DB1DB6" w:rsidP="0016125F">
      <w:pPr>
        <w:rPr>
          <w:lang w:val="en-US"/>
        </w:rPr>
      </w:pPr>
    </w:p>
    <w:p w14:paraId="29C51BA8" w14:textId="77777777" w:rsidR="0082098C" w:rsidRPr="00683D05" w:rsidRDefault="006B38C8" w:rsidP="0016125F">
      <w:pPr>
        <w:tabs>
          <w:tab w:val="left" w:pos="540"/>
          <w:tab w:val="left" w:pos="2773"/>
          <w:tab w:val="left" w:pos="3697"/>
          <w:tab w:val="left" w:pos="4621"/>
          <w:tab w:val="left" w:pos="5545"/>
          <w:tab w:val="left" w:pos="6469"/>
          <w:tab w:val="left" w:pos="7394"/>
          <w:tab w:val="left" w:pos="8318"/>
          <w:tab w:val="right" w:pos="8930"/>
        </w:tabs>
        <w:rPr>
          <w:b/>
          <w:bCs/>
          <w:u w:val="single"/>
        </w:rPr>
      </w:pPr>
      <w:r w:rsidRPr="00683D05">
        <w:rPr>
          <w:b/>
          <w:bCs/>
          <w:u w:val="single"/>
        </w:rPr>
        <w:t>Background</w:t>
      </w:r>
    </w:p>
    <w:p w14:paraId="09C2D520" w14:textId="77777777" w:rsidR="006922A8" w:rsidRPr="00683D05" w:rsidRDefault="006922A8" w:rsidP="0016125F">
      <w:pPr>
        <w:tabs>
          <w:tab w:val="left" w:pos="540"/>
          <w:tab w:val="left" w:pos="2773"/>
          <w:tab w:val="left" w:pos="3697"/>
          <w:tab w:val="left" w:pos="4621"/>
          <w:tab w:val="left" w:pos="5545"/>
          <w:tab w:val="left" w:pos="6469"/>
          <w:tab w:val="left" w:pos="7394"/>
          <w:tab w:val="left" w:pos="8318"/>
          <w:tab w:val="right" w:pos="8930"/>
        </w:tabs>
        <w:rPr>
          <w:b/>
          <w:bCs/>
        </w:rPr>
      </w:pPr>
    </w:p>
    <w:p w14:paraId="1276DEFB" w14:textId="77777777" w:rsidR="00992B1B" w:rsidRPr="00683D05" w:rsidRDefault="006B38C8" w:rsidP="00992B1B">
      <w:pPr>
        <w:tabs>
          <w:tab w:val="left" w:pos="540"/>
          <w:tab w:val="left" w:pos="2773"/>
          <w:tab w:val="left" w:pos="3697"/>
          <w:tab w:val="left" w:pos="4621"/>
          <w:tab w:val="left" w:pos="5545"/>
          <w:tab w:val="left" w:pos="6469"/>
          <w:tab w:val="left" w:pos="7394"/>
          <w:tab w:val="left" w:pos="8318"/>
          <w:tab w:val="right" w:pos="8930"/>
        </w:tabs>
        <w:rPr>
          <w:lang w:val="en-US"/>
        </w:rPr>
      </w:pPr>
      <w:r w:rsidRPr="00683D05">
        <w:rPr>
          <w:bCs/>
        </w:rPr>
        <w:t>The Run-off Cover</w:t>
      </w:r>
      <w:r w:rsidRPr="00683D05">
        <w:rPr>
          <w:lang w:val="en-US"/>
        </w:rPr>
        <w:t xml:space="preserve"> Scheme (ROCS) was developed to address concerns about the ability of </w:t>
      </w:r>
      <w:r w:rsidR="00033F68" w:rsidRPr="00683D05">
        <w:rPr>
          <w:lang w:val="en-US"/>
        </w:rPr>
        <w:t>medical practitioners</w:t>
      </w:r>
      <w:r w:rsidRPr="00683D05">
        <w:rPr>
          <w:lang w:val="en-US"/>
        </w:rPr>
        <w:t xml:space="preserve"> to pay for run-off cover </w:t>
      </w:r>
      <w:r w:rsidR="00FB08AD" w:rsidRPr="00683D05">
        <w:rPr>
          <w:lang w:val="en-US"/>
        </w:rPr>
        <w:t>once</w:t>
      </w:r>
      <w:r w:rsidRPr="00683D05">
        <w:rPr>
          <w:lang w:val="en-US"/>
        </w:rPr>
        <w:t xml:space="preserve"> they ceased </w:t>
      </w:r>
      <w:r w:rsidR="00FB08AD" w:rsidRPr="00683D05">
        <w:rPr>
          <w:lang w:val="en-US"/>
        </w:rPr>
        <w:t xml:space="preserve">private medical </w:t>
      </w:r>
      <w:r w:rsidRPr="00683D05">
        <w:rPr>
          <w:lang w:val="en-US"/>
        </w:rPr>
        <w:t>practice and no longer earned an income</w:t>
      </w:r>
      <w:r w:rsidR="00FB08AD" w:rsidRPr="00683D05">
        <w:rPr>
          <w:lang w:val="en-US"/>
        </w:rPr>
        <w:t xml:space="preserve"> from </w:t>
      </w:r>
      <w:r w:rsidR="00992B1B" w:rsidRPr="00683D05">
        <w:rPr>
          <w:lang w:val="en-US"/>
        </w:rPr>
        <w:t>the private medical</w:t>
      </w:r>
      <w:r w:rsidR="00FB08AD" w:rsidRPr="00683D05">
        <w:rPr>
          <w:lang w:val="en-US"/>
        </w:rPr>
        <w:t xml:space="preserve"> profession</w:t>
      </w:r>
      <w:r w:rsidR="00992B1B" w:rsidRPr="00683D05">
        <w:rPr>
          <w:lang w:val="en-US"/>
        </w:rPr>
        <w:t>.</w:t>
      </w:r>
    </w:p>
    <w:p w14:paraId="7554F90E" w14:textId="77777777" w:rsidR="00992B1B" w:rsidRPr="00683D05" w:rsidRDefault="00992B1B" w:rsidP="00992B1B">
      <w:pPr>
        <w:tabs>
          <w:tab w:val="left" w:pos="540"/>
          <w:tab w:val="left" w:pos="2773"/>
          <w:tab w:val="left" w:pos="3697"/>
          <w:tab w:val="left" w:pos="4621"/>
          <w:tab w:val="left" w:pos="5545"/>
          <w:tab w:val="left" w:pos="6469"/>
          <w:tab w:val="left" w:pos="7394"/>
          <w:tab w:val="left" w:pos="8318"/>
          <w:tab w:val="right" w:pos="8930"/>
        </w:tabs>
        <w:rPr>
          <w:lang w:val="en-US"/>
        </w:rPr>
      </w:pPr>
    </w:p>
    <w:p w14:paraId="73B4CAE9" w14:textId="4FB1E64D" w:rsidR="007C4B80" w:rsidRPr="00683D05" w:rsidRDefault="00992B1B" w:rsidP="00992B1B">
      <w:pPr>
        <w:tabs>
          <w:tab w:val="left" w:pos="540"/>
          <w:tab w:val="left" w:pos="2773"/>
          <w:tab w:val="left" w:pos="3697"/>
          <w:tab w:val="left" w:pos="4621"/>
          <w:tab w:val="left" w:pos="5545"/>
          <w:tab w:val="left" w:pos="6469"/>
          <w:tab w:val="left" w:pos="7394"/>
          <w:tab w:val="left" w:pos="8318"/>
          <w:tab w:val="right" w:pos="8930"/>
        </w:tabs>
        <w:rPr>
          <w:lang w:val="en-US"/>
        </w:rPr>
      </w:pPr>
      <w:r w:rsidRPr="00683D05">
        <w:rPr>
          <w:lang w:val="en-US"/>
        </w:rPr>
        <w:t>The Australian Government introduced the ROCS on 1 July 2004 to provide run-off insurance cover to medical practitioners who have ceased private medical practice</w:t>
      </w:r>
      <w:r w:rsidR="00493C21" w:rsidRPr="00683D05">
        <w:rPr>
          <w:lang w:val="en-US"/>
        </w:rPr>
        <w:t xml:space="preserve"> </w:t>
      </w:r>
      <w:r w:rsidR="00493C21" w:rsidRPr="00683D05">
        <w:t>because of retirement, disability, maternity leave, death, or if they stop working as a medical practitioner in Australia. The ongoing costs of the scheme are met by the ROCS Support Payment, a levy on the premium income of medical indemnity insurers</w:t>
      </w:r>
      <w:r w:rsidRPr="00683D05">
        <w:rPr>
          <w:lang w:val="en-US"/>
        </w:rPr>
        <w:t>. Under ROCS, the government guarantees to pay the cost of</w:t>
      </w:r>
      <w:r w:rsidR="00493C21" w:rsidRPr="00683D05">
        <w:rPr>
          <w:lang w:val="en-US"/>
        </w:rPr>
        <w:t xml:space="preserve"> eligible</w:t>
      </w:r>
      <w:r w:rsidRPr="00683D05">
        <w:rPr>
          <w:lang w:val="en-US"/>
        </w:rPr>
        <w:t xml:space="preserve"> medical indemnity insurance claims against eligible medical practitioners.</w:t>
      </w:r>
    </w:p>
    <w:p w14:paraId="1EFBC2E0" w14:textId="77777777" w:rsidR="007C4B80" w:rsidRPr="00683D05" w:rsidRDefault="007C4B80" w:rsidP="00992B1B">
      <w:pPr>
        <w:tabs>
          <w:tab w:val="left" w:pos="540"/>
          <w:tab w:val="left" w:pos="2773"/>
          <w:tab w:val="left" w:pos="3697"/>
          <w:tab w:val="left" w:pos="4621"/>
          <w:tab w:val="left" w:pos="5545"/>
          <w:tab w:val="left" w:pos="6469"/>
          <w:tab w:val="left" w:pos="7394"/>
          <w:tab w:val="left" w:pos="8318"/>
          <w:tab w:val="right" w:pos="8930"/>
        </w:tabs>
        <w:rPr>
          <w:lang w:val="en-US"/>
        </w:rPr>
      </w:pPr>
    </w:p>
    <w:p w14:paraId="77B20888" w14:textId="16D0A16B" w:rsidR="002D4A74" w:rsidRPr="00683D05" w:rsidRDefault="003F12C6" w:rsidP="002D4A74">
      <w:r w:rsidRPr="00683D05">
        <w:rPr>
          <w:lang w:val="en-US"/>
        </w:rPr>
        <w:t>Medical indemnity i</w:t>
      </w:r>
      <w:r w:rsidR="006B38C8" w:rsidRPr="00683D05">
        <w:rPr>
          <w:lang w:val="en-US"/>
        </w:rPr>
        <w:t xml:space="preserve">nsurers are required to provide </w:t>
      </w:r>
      <w:r w:rsidR="00033F68" w:rsidRPr="00683D05">
        <w:rPr>
          <w:lang w:val="en-US"/>
        </w:rPr>
        <w:t xml:space="preserve">ROCS </w:t>
      </w:r>
      <w:r w:rsidR="006B38C8" w:rsidRPr="00683D05">
        <w:rPr>
          <w:lang w:val="en-US"/>
        </w:rPr>
        <w:t xml:space="preserve">cover (under sections 26A and 26C of the </w:t>
      </w:r>
      <w:r w:rsidR="006922A8" w:rsidRPr="00683D05">
        <w:rPr>
          <w:iCs/>
          <w:lang w:val="en-US"/>
        </w:rPr>
        <w:t xml:space="preserve">MIPSPS </w:t>
      </w:r>
      <w:r w:rsidR="006B38C8" w:rsidRPr="00683D05">
        <w:rPr>
          <w:lang w:val="en-US"/>
        </w:rPr>
        <w:t xml:space="preserve">Act) to </w:t>
      </w:r>
      <w:r w:rsidR="00033F68" w:rsidRPr="00683D05">
        <w:rPr>
          <w:lang w:val="en-US"/>
        </w:rPr>
        <w:t>medical practitioners</w:t>
      </w:r>
      <w:r w:rsidR="006B38C8" w:rsidRPr="00683D05">
        <w:rPr>
          <w:lang w:val="en-US"/>
        </w:rPr>
        <w:t xml:space="preserve"> who meet the eligibility criteria o</w:t>
      </w:r>
      <w:r w:rsidR="00DB1DB6" w:rsidRPr="00683D05">
        <w:rPr>
          <w:lang w:val="en-US"/>
        </w:rPr>
        <w:t>f the scheme (as set out in sub</w:t>
      </w:r>
      <w:r w:rsidR="006B38C8" w:rsidRPr="00683D05">
        <w:rPr>
          <w:lang w:val="en-US"/>
        </w:rPr>
        <w:t xml:space="preserve">section 34ZB(2) of the </w:t>
      </w:r>
      <w:r w:rsidR="006B38C8" w:rsidRPr="00683D05">
        <w:rPr>
          <w:i/>
          <w:lang w:val="en-US"/>
        </w:rPr>
        <w:t>Medical Indemnity Act 2002</w:t>
      </w:r>
      <w:r w:rsidR="00237CFF" w:rsidRPr="00683D05">
        <w:rPr>
          <w:i/>
          <w:lang w:val="en-US"/>
        </w:rPr>
        <w:t xml:space="preserve"> </w:t>
      </w:r>
      <w:r w:rsidR="00992B1B" w:rsidRPr="00683D05">
        <w:rPr>
          <w:i/>
          <w:lang w:val="en-US"/>
        </w:rPr>
        <w:br/>
      </w:r>
      <w:r w:rsidR="00237CFF" w:rsidRPr="00683D05">
        <w:rPr>
          <w:lang w:val="en-US"/>
        </w:rPr>
        <w:t>(MI Act)</w:t>
      </w:r>
      <w:r w:rsidR="002D4A74" w:rsidRPr="00683D05">
        <w:rPr>
          <w:lang w:val="en-US"/>
        </w:rPr>
        <w:t>. ROCS ensures that eligibl</w:t>
      </w:r>
      <w:r w:rsidR="00906778" w:rsidRPr="00683D05">
        <w:rPr>
          <w:lang w:val="en-US"/>
        </w:rPr>
        <w:t>e medical practitioners</w:t>
      </w:r>
      <w:r w:rsidR="002D4A74" w:rsidRPr="00683D05">
        <w:rPr>
          <w:lang w:val="en-US"/>
        </w:rPr>
        <w:t xml:space="preserve"> get free medical indemnity cover that is based on the terms of their last cover (i.e. the cover that the medical practitioner held prior to ‘leaving’ private medical practice and meeting the eligibility criteria for the Commonwealth ROCS).</w:t>
      </w:r>
    </w:p>
    <w:p w14:paraId="6B2F226E" w14:textId="77777777" w:rsidR="00033F68" w:rsidRPr="00683D05" w:rsidRDefault="00033F68" w:rsidP="005955CD">
      <w:pPr>
        <w:tabs>
          <w:tab w:val="left" w:pos="540"/>
          <w:tab w:val="left" w:pos="2773"/>
          <w:tab w:val="left" w:pos="3697"/>
          <w:tab w:val="left" w:pos="4621"/>
          <w:tab w:val="left" w:pos="5545"/>
          <w:tab w:val="left" w:pos="6469"/>
          <w:tab w:val="left" w:pos="7394"/>
          <w:tab w:val="left" w:pos="8318"/>
          <w:tab w:val="right" w:pos="8930"/>
        </w:tabs>
        <w:rPr>
          <w:lang w:val="en-US"/>
        </w:rPr>
      </w:pPr>
    </w:p>
    <w:p w14:paraId="0A48B3A0" w14:textId="77777777" w:rsidR="00033F68" w:rsidRPr="00683D05" w:rsidRDefault="00D651BB" w:rsidP="006922A8">
      <w:pPr>
        <w:tabs>
          <w:tab w:val="left" w:pos="540"/>
          <w:tab w:val="left" w:pos="2773"/>
          <w:tab w:val="left" w:pos="3697"/>
          <w:tab w:val="left" w:pos="4621"/>
          <w:tab w:val="left" w:pos="5545"/>
          <w:tab w:val="left" w:pos="6469"/>
          <w:tab w:val="left" w:pos="7394"/>
          <w:tab w:val="left" w:pos="8318"/>
          <w:tab w:val="right" w:pos="8930"/>
        </w:tabs>
        <w:rPr>
          <w:b/>
          <w:bCs/>
          <w:u w:val="single"/>
        </w:rPr>
      </w:pPr>
      <w:r w:rsidRPr="00683D05">
        <w:rPr>
          <w:b/>
          <w:bCs/>
          <w:u w:val="single"/>
        </w:rPr>
        <w:t>Purpose</w:t>
      </w:r>
    </w:p>
    <w:p w14:paraId="221FB6B3" w14:textId="77777777" w:rsidR="006922A8" w:rsidRPr="00683D05" w:rsidRDefault="006922A8" w:rsidP="0016125F">
      <w:pPr>
        <w:rPr>
          <w:lang w:val="en-US"/>
        </w:rPr>
      </w:pPr>
    </w:p>
    <w:p w14:paraId="35B0C5FF" w14:textId="2F67640E" w:rsidR="00463AC1" w:rsidRPr="00683D05" w:rsidRDefault="006922A8" w:rsidP="00F12295">
      <w:r w:rsidRPr="00683D05">
        <w:rPr>
          <w:lang w:val="en-US"/>
        </w:rPr>
        <w:t xml:space="preserve">The purpose of the </w:t>
      </w:r>
      <w:r w:rsidR="00461887" w:rsidRPr="00683D05">
        <w:rPr>
          <w:i/>
        </w:rPr>
        <w:t>Medical Indemnity (Prudential Supervision and Product Standards) (Notice of Provision of Run-Off Cover) Determination 2020</w:t>
      </w:r>
      <w:r w:rsidR="00461887" w:rsidRPr="00683D05">
        <w:t xml:space="preserve"> </w:t>
      </w:r>
      <w:r w:rsidR="001364AF" w:rsidRPr="00683D05">
        <w:t xml:space="preserve">(the Determination) </w:t>
      </w:r>
      <w:r w:rsidRPr="00683D05">
        <w:rPr>
          <w:lang w:val="en-US"/>
        </w:rPr>
        <w:t xml:space="preserve">is to </w:t>
      </w:r>
      <w:r w:rsidR="00571405" w:rsidRPr="00683D05">
        <w:rPr>
          <w:lang w:val="en-US"/>
        </w:rPr>
        <w:t xml:space="preserve">substantially </w:t>
      </w:r>
      <w:r w:rsidR="00F12295" w:rsidRPr="00683D05">
        <w:rPr>
          <w:lang w:val="en-US"/>
        </w:rPr>
        <w:t xml:space="preserve">remake </w:t>
      </w:r>
      <w:r w:rsidR="00463AC1" w:rsidRPr="00683D05">
        <w:rPr>
          <w:lang w:val="en-US"/>
        </w:rPr>
        <w:t xml:space="preserve">the </w:t>
      </w:r>
      <w:r w:rsidR="00463AC1" w:rsidRPr="00683D05">
        <w:rPr>
          <w:i/>
        </w:rPr>
        <w:t xml:space="preserve">Medical Indemnity (Prudential Supervision and Product </w:t>
      </w:r>
      <w:r w:rsidR="00463AC1" w:rsidRPr="00683D05">
        <w:rPr>
          <w:i/>
        </w:rPr>
        <w:lastRenderedPageBreak/>
        <w:t>Standards - Notice of Provision of Run off Cover) Determination 2007</w:t>
      </w:r>
      <w:r w:rsidR="00D651BB" w:rsidRPr="00683D05">
        <w:rPr>
          <w:i/>
        </w:rPr>
        <w:t xml:space="preserve"> </w:t>
      </w:r>
      <w:r w:rsidR="00D651BB" w:rsidRPr="00683D05">
        <w:t>(2007 Determination)</w:t>
      </w:r>
      <w:r w:rsidR="00463AC1" w:rsidRPr="00683D05">
        <w:t xml:space="preserve"> </w:t>
      </w:r>
      <w:r w:rsidR="00F12295" w:rsidRPr="00683D05">
        <w:t>prior to</w:t>
      </w:r>
      <w:r w:rsidR="00463AC1" w:rsidRPr="00683D05">
        <w:t xml:space="preserve"> </w:t>
      </w:r>
      <w:r w:rsidR="007C4B80" w:rsidRPr="00683D05">
        <w:t xml:space="preserve">its </w:t>
      </w:r>
      <w:r w:rsidR="00463AC1" w:rsidRPr="00683D05">
        <w:t>sunset</w:t>
      </w:r>
      <w:r w:rsidR="00F12295" w:rsidRPr="00683D05">
        <w:t>ting</w:t>
      </w:r>
      <w:r w:rsidR="00463AC1" w:rsidRPr="00683D05">
        <w:t xml:space="preserve"> (automatic </w:t>
      </w:r>
      <w:r w:rsidR="00D651BB" w:rsidRPr="00683D05">
        <w:t>repeal)</w:t>
      </w:r>
      <w:r w:rsidR="00463AC1" w:rsidRPr="00683D05">
        <w:t>.</w:t>
      </w:r>
      <w:r w:rsidR="00F12295" w:rsidRPr="00683D05">
        <w:t xml:space="preserve"> </w:t>
      </w:r>
      <w:r w:rsidR="000C086A" w:rsidRPr="00683D05">
        <w:br/>
      </w:r>
      <w:r w:rsidR="000C086A" w:rsidRPr="00683D05">
        <w:br/>
      </w:r>
      <w:r w:rsidR="00F12295" w:rsidRPr="00683D05">
        <w:t xml:space="preserve">The </w:t>
      </w:r>
      <w:r w:rsidR="00F12295" w:rsidRPr="00683D05">
        <w:rPr>
          <w:i/>
          <w:lang w:val="en-US"/>
        </w:rPr>
        <w:t xml:space="preserve">Legislation Act 2003 </w:t>
      </w:r>
      <w:r w:rsidR="00F12295" w:rsidRPr="00683D05">
        <w:rPr>
          <w:lang w:val="en-US"/>
        </w:rPr>
        <w:t xml:space="preserve">(Legislation Act) </w:t>
      </w:r>
      <w:r w:rsidR="00F12295" w:rsidRPr="00683D05">
        <w:t xml:space="preserve">provides that all legislative instruments, other than exempt instruments, are automatically repealed according to the progressive timetable set out in section 50 of that Act. Legislative instruments generally cease to have effect after a specific </w:t>
      </w:r>
      <w:r w:rsidR="00485021" w:rsidRPr="00683D05">
        <w:t xml:space="preserve">anniversary of registration </w:t>
      </w:r>
      <w:r w:rsidR="00F12295" w:rsidRPr="00683D05">
        <w:t>unless further legislative action is taken to extend their operation, such as remaking the instrument.</w:t>
      </w:r>
    </w:p>
    <w:p w14:paraId="352AD849" w14:textId="25F20F47" w:rsidR="00D651BB" w:rsidRPr="00683D05" w:rsidRDefault="00D651BB" w:rsidP="00D651BB">
      <w:pPr>
        <w:spacing w:before="240"/>
      </w:pPr>
      <w:r w:rsidRPr="00683D05">
        <w:t xml:space="preserve">The 2007 Determination </w:t>
      </w:r>
      <w:r w:rsidR="00D522E5" w:rsidRPr="00683D05">
        <w:t xml:space="preserve">was </w:t>
      </w:r>
      <w:r w:rsidRPr="00683D05">
        <w:t xml:space="preserve">reviewed as part of the February 2018 </w:t>
      </w:r>
      <w:r w:rsidRPr="00683D05">
        <w:rPr>
          <w:i/>
        </w:rPr>
        <w:t>Thematic Review of Commonwealth Medical and Midwife Indemnity Legislation</w:t>
      </w:r>
      <w:r w:rsidRPr="00683D05">
        <w:t xml:space="preserve"> (the Thematic Review) prepared for the Department of Health. The sunsetting date for the 2007 Determination was adjusted to allow for the </w:t>
      </w:r>
      <w:r w:rsidR="00485021" w:rsidRPr="00683D05">
        <w:t>T</w:t>
      </w:r>
      <w:r w:rsidRPr="00683D05">
        <w:t xml:space="preserve">hematic </w:t>
      </w:r>
      <w:r w:rsidR="00485021" w:rsidRPr="00683D05">
        <w:t>R</w:t>
      </w:r>
      <w:r w:rsidRPr="00683D05">
        <w:t xml:space="preserve">eview to be undertaken and then deferred so that amendments to the </w:t>
      </w:r>
      <w:r w:rsidRPr="00683D05">
        <w:rPr>
          <w:iCs/>
          <w:lang w:val="en-US"/>
        </w:rPr>
        <w:t xml:space="preserve">MIPSPS </w:t>
      </w:r>
      <w:r w:rsidRPr="00683D05">
        <w:t>Act could be legislated</w:t>
      </w:r>
      <w:r w:rsidR="00485021" w:rsidRPr="00683D05">
        <w:t xml:space="preserve">. The sunsetting date </w:t>
      </w:r>
      <w:r w:rsidRPr="00683D05">
        <w:t xml:space="preserve">is now </w:t>
      </w:r>
      <w:r w:rsidR="0000388C" w:rsidRPr="00683D05">
        <w:br/>
      </w:r>
      <w:r w:rsidRPr="00683D05">
        <w:t>1 October 2021.</w:t>
      </w:r>
    </w:p>
    <w:p w14:paraId="47B844C2" w14:textId="6D351C5F" w:rsidR="00D651BB" w:rsidRPr="00683D05" w:rsidRDefault="00D651BB" w:rsidP="00D651BB">
      <w:pPr>
        <w:spacing w:before="240"/>
      </w:pPr>
      <w:r w:rsidRPr="00683D05">
        <w:t xml:space="preserve">The Thematic Review </w:t>
      </w:r>
      <w:r w:rsidR="00E93477" w:rsidRPr="00683D05">
        <w:t>examined 1</w:t>
      </w:r>
      <w:r w:rsidRPr="00683D05">
        <w:t>7 legislative instruments, including the 2007 Determination, which collectively support the Indemnity Insurance Fund. The Indemnity Insurance Fund comprises seven related schemes that are collectively designed to promote stability of the medical indemnity insurance industry and support the availability of affordable indemnity insurance for medical practitioners, allied health professionals and eligible midwives.</w:t>
      </w:r>
    </w:p>
    <w:p w14:paraId="033290F6" w14:textId="77777777" w:rsidR="00D651BB" w:rsidRPr="00683D05" w:rsidRDefault="00D651BB" w:rsidP="00D651BB">
      <w:pPr>
        <w:spacing w:before="240"/>
      </w:pPr>
      <w:r w:rsidRPr="00683D05">
        <w:t>The Thematic Review involved consultation with regulatory and other bodies managing or overseeing medical indemnity arrangements, relevant Departments and Government Agencies, the Law Council of Australia, medical indemnity insurers, and peak bodies representing insurers, medical practitioners and midwives. It also involved a review of recent relevant reports including those of the Australian National Audit Office and the Department of Human Services and a review of submissions made by stakeholders over the past three years.</w:t>
      </w:r>
      <w:r w:rsidRPr="00683D05">
        <w:rPr>
          <w:rStyle w:val="FootnoteReference"/>
        </w:rPr>
        <w:footnoteReference w:id="1"/>
      </w:r>
    </w:p>
    <w:p w14:paraId="6A2B6412" w14:textId="77777777" w:rsidR="00C90287" w:rsidRPr="00683D05" w:rsidRDefault="00C90287" w:rsidP="00C90287"/>
    <w:p w14:paraId="45EFCF9C" w14:textId="72EB0295" w:rsidR="00E8574A" w:rsidRPr="00683D05" w:rsidRDefault="00D651BB" w:rsidP="005955CD">
      <w:pPr>
        <w:rPr>
          <w:lang w:val="en-US"/>
        </w:rPr>
      </w:pPr>
      <w:r w:rsidRPr="00683D05">
        <w:t xml:space="preserve">The Thematic Review found that the 2007 Determination </w:t>
      </w:r>
      <w:r w:rsidR="00D522E5" w:rsidRPr="00683D05">
        <w:t xml:space="preserve">is </w:t>
      </w:r>
      <w:r w:rsidRPr="00683D05">
        <w:t xml:space="preserve">still required in order to </w:t>
      </w:r>
      <w:r w:rsidR="006922A8" w:rsidRPr="00683D05">
        <w:rPr>
          <w:lang w:val="en-US"/>
        </w:rPr>
        <w:t xml:space="preserve">set out other </w:t>
      </w:r>
      <w:r w:rsidRPr="00683D05">
        <w:rPr>
          <w:lang w:val="en-US"/>
        </w:rPr>
        <w:t xml:space="preserve">information, in addition to the information required in </w:t>
      </w:r>
      <w:r w:rsidR="0094223B" w:rsidRPr="00683D05">
        <w:rPr>
          <w:lang w:val="en-US"/>
        </w:rPr>
        <w:t>sub</w:t>
      </w:r>
      <w:r w:rsidR="00C90287" w:rsidRPr="00683D05">
        <w:rPr>
          <w:lang w:val="en-US"/>
        </w:rPr>
        <w:t>paragraph</w:t>
      </w:r>
      <w:r w:rsidR="00DF2F37" w:rsidRPr="00683D05">
        <w:rPr>
          <w:lang w:val="en-US"/>
        </w:rPr>
        <w:t>s</w:t>
      </w:r>
      <w:r w:rsidR="0094223B" w:rsidRPr="00683D05">
        <w:rPr>
          <w:lang w:val="en-US"/>
        </w:rPr>
        <w:t xml:space="preserve"> </w:t>
      </w:r>
      <w:r w:rsidRPr="00683D05">
        <w:rPr>
          <w:lang w:val="en-US"/>
        </w:rPr>
        <w:t>26D(2)(b)(i) and (ii) of the</w:t>
      </w:r>
      <w:r w:rsidRPr="00683D05">
        <w:rPr>
          <w:iCs/>
          <w:lang w:val="en-US"/>
        </w:rPr>
        <w:t xml:space="preserve"> MIPSPS</w:t>
      </w:r>
      <w:r w:rsidRPr="00683D05">
        <w:rPr>
          <w:lang w:val="en-US"/>
        </w:rPr>
        <w:t xml:space="preserve"> Act</w:t>
      </w:r>
      <w:r w:rsidR="001F3BA1" w:rsidRPr="00683D05">
        <w:rPr>
          <w:lang w:val="en-US"/>
        </w:rPr>
        <w:t>,</w:t>
      </w:r>
      <w:r w:rsidR="006922A8" w:rsidRPr="00683D05">
        <w:rPr>
          <w:lang w:val="en-US"/>
        </w:rPr>
        <w:t xml:space="preserve"> to be provided </w:t>
      </w:r>
      <w:r w:rsidR="001F3BA1" w:rsidRPr="00683D05">
        <w:rPr>
          <w:lang w:val="en-US"/>
        </w:rPr>
        <w:t xml:space="preserve">by medical indemnity insurers in a written notice </w:t>
      </w:r>
      <w:r w:rsidR="006922A8" w:rsidRPr="00683D05">
        <w:rPr>
          <w:lang w:val="en-US"/>
        </w:rPr>
        <w:t xml:space="preserve">to </w:t>
      </w:r>
      <w:r w:rsidR="001F3BA1" w:rsidRPr="00683D05">
        <w:t>the Chief Executive Medicare</w:t>
      </w:r>
      <w:r w:rsidR="006922A8" w:rsidRPr="00683D05">
        <w:rPr>
          <w:lang w:val="en-US"/>
        </w:rPr>
        <w:t xml:space="preserve">. </w:t>
      </w:r>
    </w:p>
    <w:p w14:paraId="74B07064" w14:textId="77777777" w:rsidR="00C90287" w:rsidRPr="00683D05" w:rsidRDefault="00C90287" w:rsidP="005955CD">
      <w:pPr>
        <w:rPr>
          <w:lang w:val="en-US"/>
        </w:rPr>
      </w:pPr>
    </w:p>
    <w:p w14:paraId="1BFC6DE4" w14:textId="77777777" w:rsidR="00D651BB" w:rsidRPr="00683D05" w:rsidRDefault="00D651BB" w:rsidP="00E8574A">
      <w:pPr>
        <w:rPr>
          <w:b/>
          <w:u w:val="single"/>
          <w:lang w:val="en-US"/>
        </w:rPr>
      </w:pPr>
      <w:r w:rsidRPr="00683D05">
        <w:rPr>
          <w:b/>
          <w:u w:val="single"/>
          <w:lang w:val="en-US"/>
        </w:rPr>
        <w:t xml:space="preserve">Operation </w:t>
      </w:r>
    </w:p>
    <w:p w14:paraId="3E10829E" w14:textId="77777777" w:rsidR="00D651BB" w:rsidRPr="00683D05" w:rsidRDefault="00D651BB" w:rsidP="00E8574A">
      <w:pPr>
        <w:rPr>
          <w:lang w:val="en-US"/>
        </w:rPr>
      </w:pPr>
    </w:p>
    <w:p w14:paraId="1A6FC97B" w14:textId="3CCF1453" w:rsidR="00E8574A" w:rsidRPr="00683D05" w:rsidRDefault="00E8574A" w:rsidP="00E8574A">
      <w:r w:rsidRPr="00683D05">
        <w:rPr>
          <w:lang w:val="en-US"/>
        </w:rPr>
        <w:t xml:space="preserve">The </w:t>
      </w:r>
      <w:r w:rsidRPr="00683D05">
        <w:t>Determination</w:t>
      </w:r>
      <w:r w:rsidRPr="00683D05">
        <w:rPr>
          <w:lang w:val="en-US"/>
        </w:rPr>
        <w:t xml:space="preserve"> </w:t>
      </w:r>
      <w:r w:rsidR="0056755D" w:rsidRPr="00683D05">
        <w:t>specifies</w:t>
      </w:r>
      <w:r w:rsidRPr="00683D05">
        <w:t xml:space="preserve"> additional information that must be provided to the Chief Executive Medicare to support the</w:t>
      </w:r>
      <w:r w:rsidR="00C90287" w:rsidRPr="00683D05">
        <w:t xml:space="preserve"> Commonwealth administration of the</w:t>
      </w:r>
      <w:r w:rsidRPr="00683D05">
        <w:t xml:space="preserve"> ROCS, including: general </w:t>
      </w:r>
      <w:r w:rsidR="00485021" w:rsidRPr="00683D05">
        <w:t xml:space="preserve">identifying </w:t>
      </w:r>
      <w:r w:rsidRPr="00683D05">
        <w:t>information about the practitioner</w:t>
      </w:r>
      <w:r w:rsidR="00E07571" w:rsidRPr="00683D05">
        <w:rPr>
          <w:lang w:val="en-US"/>
        </w:rPr>
        <w:t xml:space="preserve"> and their registration to practice</w:t>
      </w:r>
      <w:r w:rsidRPr="00683D05">
        <w:t xml:space="preserve">; information about the </w:t>
      </w:r>
      <w:r w:rsidR="00E07571" w:rsidRPr="00683D05">
        <w:t xml:space="preserve">level and period </w:t>
      </w:r>
      <w:r w:rsidRPr="00683D05">
        <w:t>of medical indemnity cover provided to the practitioner; the reason that the practitioner is eligible for ROCS</w:t>
      </w:r>
      <w:r w:rsidR="0005518E" w:rsidRPr="00683D05">
        <w:t xml:space="preserve"> cover</w:t>
      </w:r>
      <w:r w:rsidRPr="00683D05">
        <w:t xml:space="preserve">; the level of </w:t>
      </w:r>
      <w:r w:rsidRPr="00683D05">
        <w:lastRenderedPageBreak/>
        <w:t>ROCS cover being provided, and information regarding premiums paid by the practitioner</w:t>
      </w:r>
      <w:r w:rsidR="00485021" w:rsidRPr="00683D05">
        <w:t xml:space="preserve">. </w:t>
      </w:r>
    </w:p>
    <w:p w14:paraId="4D91449B" w14:textId="77777777" w:rsidR="00E8574A" w:rsidRPr="00683D05" w:rsidRDefault="00E8574A" w:rsidP="00E8574A">
      <w:pPr>
        <w:rPr>
          <w:lang w:val="en-US"/>
        </w:rPr>
      </w:pPr>
    </w:p>
    <w:p w14:paraId="5901CEBD" w14:textId="6F4B9A47" w:rsidR="006B38C8" w:rsidRPr="00683D05" w:rsidRDefault="006B38C8" w:rsidP="00E8574A">
      <w:pPr>
        <w:rPr>
          <w:lang w:val="en-US"/>
        </w:rPr>
      </w:pPr>
      <w:r w:rsidRPr="00683D05">
        <w:rPr>
          <w:lang w:val="en-US"/>
        </w:rPr>
        <w:t xml:space="preserve">Information gathered under this </w:t>
      </w:r>
      <w:r w:rsidR="009E35FD" w:rsidRPr="00683D05">
        <w:rPr>
          <w:lang w:val="en-US"/>
        </w:rPr>
        <w:t>Determination</w:t>
      </w:r>
      <w:r w:rsidRPr="00683D05">
        <w:rPr>
          <w:lang w:val="en-US"/>
        </w:rPr>
        <w:t xml:space="preserve"> will be used by the </w:t>
      </w:r>
      <w:r w:rsidR="006C4C55" w:rsidRPr="00683D05">
        <w:rPr>
          <w:lang w:val="en-US"/>
        </w:rPr>
        <w:t>Commonwealth</w:t>
      </w:r>
      <w:r w:rsidRPr="00683D05">
        <w:rPr>
          <w:lang w:val="en-US"/>
        </w:rPr>
        <w:t xml:space="preserve"> in the management of </w:t>
      </w:r>
      <w:r w:rsidR="009E35FD" w:rsidRPr="00683D05">
        <w:rPr>
          <w:lang w:val="en-US"/>
        </w:rPr>
        <w:t>the ROCS</w:t>
      </w:r>
      <w:r w:rsidRPr="00683D05">
        <w:rPr>
          <w:lang w:val="en-US"/>
        </w:rPr>
        <w:t xml:space="preserve"> and in the </w:t>
      </w:r>
      <w:r w:rsidR="009E35FD" w:rsidRPr="00683D05">
        <w:rPr>
          <w:lang w:val="en-US"/>
        </w:rPr>
        <w:t xml:space="preserve">preparation of the </w:t>
      </w:r>
      <w:r w:rsidR="00992B1B" w:rsidRPr="00683D05">
        <w:rPr>
          <w:lang w:val="en-US"/>
        </w:rPr>
        <w:t xml:space="preserve">annual </w:t>
      </w:r>
      <w:r w:rsidR="009E35FD" w:rsidRPr="00683D05">
        <w:rPr>
          <w:lang w:val="en-US"/>
        </w:rPr>
        <w:t>report</w:t>
      </w:r>
      <w:r w:rsidRPr="00683D05">
        <w:rPr>
          <w:lang w:val="en-US"/>
        </w:rPr>
        <w:t xml:space="preserve"> on this </w:t>
      </w:r>
      <w:r w:rsidR="009E35FD" w:rsidRPr="00683D05">
        <w:rPr>
          <w:lang w:val="en-US"/>
        </w:rPr>
        <w:t>scheme. T</w:t>
      </w:r>
      <w:r w:rsidR="00DB1DB6" w:rsidRPr="00683D05">
        <w:rPr>
          <w:lang w:val="en-US"/>
        </w:rPr>
        <w:t xml:space="preserve">he </w:t>
      </w:r>
      <w:r w:rsidR="009E35FD" w:rsidRPr="00683D05">
        <w:rPr>
          <w:lang w:val="en-US"/>
        </w:rPr>
        <w:t xml:space="preserve">Secretary of the Department of Health </w:t>
      </w:r>
      <w:r w:rsidRPr="00683D05">
        <w:rPr>
          <w:lang w:val="en-US"/>
        </w:rPr>
        <w:t xml:space="preserve">is required </w:t>
      </w:r>
      <w:r w:rsidR="003F12C6" w:rsidRPr="00683D05">
        <w:rPr>
          <w:lang w:val="en-US"/>
        </w:rPr>
        <w:t xml:space="preserve">under </w:t>
      </w:r>
      <w:r w:rsidR="006C4C55" w:rsidRPr="00683D05">
        <w:rPr>
          <w:lang w:val="en-US"/>
        </w:rPr>
        <w:t>sub</w:t>
      </w:r>
      <w:r w:rsidR="003F12C6" w:rsidRPr="00683D05">
        <w:rPr>
          <w:lang w:val="en-US"/>
        </w:rPr>
        <w:t>section 34ZW(2A) of the</w:t>
      </w:r>
      <w:r w:rsidR="003F12C6" w:rsidRPr="00683D05">
        <w:rPr>
          <w:i/>
          <w:lang w:val="en-US"/>
        </w:rPr>
        <w:t xml:space="preserve"> </w:t>
      </w:r>
      <w:r w:rsidR="003F12C6" w:rsidRPr="00683D05">
        <w:rPr>
          <w:lang w:val="en-US"/>
        </w:rPr>
        <w:t>MI Act</w:t>
      </w:r>
      <w:r w:rsidR="006C4C55" w:rsidRPr="00683D05">
        <w:rPr>
          <w:lang w:val="en-US"/>
        </w:rPr>
        <w:t xml:space="preserve"> </w:t>
      </w:r>
      <w:r w:rsidR="006C4C55" w:rsidRPr="00683D05">
        <w:t xml:space="preserve">(as amended by the </w:t>
      </w:r>
      <w:r w:rsidR="006C4C55" w:rsidRPr="00683D05">
        <w:rPr>
          <w:i/>
        </w:rPr>
        <w:t>Medical and Midwife Indemnity Legislation Amendment Act 2019</w:t>
      </w:r>
      <w:r w:rsidR="006C4C55" w:rsidRPr="00683D05">
        <w:rPr>
          <w:iCs/>
        </w:rPr>
        <w:t>)</w:t>
      </w:r>
      <w:r w:rsidR="003F12C6" w:rsidRPr="00683D05">
        <w:rPr>
          <w:lang w:val="en-US"/>
        </w:rPr>
        <w:t xml:space="preserve"> </w:t>
      </w:r>
      <w:r w:rsidR="009E35FD" w:rsidRPr="00683D05">
        <w:rPr>
          <w:lang w:val="en-US"/>
        </w:rPr>
        <w:t>to publish the ROCS report on the Department of Health’s website within 30 days after receiving the report</w:t>
      </w:r>
      <w:r w:rsidRPr="00683D05">
        <w:rPr>
          <w:lang w:val="en-US"/>
        </w:rPr>
        <w:t>.</w:t>
      </w:r>
    </w:p>
    <w:p w14:paraId="35652019" w14:textId="77777777" w:rsidR="006B38C8" w:rsidRPr="00683D05" w:rsidRDefault="006B38C8" w:rsidP="0016125F">
      <w:pPr>
        <w:ind w:left="540"/>
        <w:rPr>
          <w:lang w:val="en-US"/>
        </w:rPr>
      </w:pPr>
    </w:p>
    <w:p w14:paraId="038D2718" w14:textId="6AB0813D" w:rsidR="006B38C8" w:rsidRPr="00683D05" w:rsidRDefault="00296687" w:rsidP="0016125F">
      <w:pPr>
        <w:rPr>
          <w:lang w:val="en-US"/>
        </w:rPr>
      </w:pPr>
      <w:r w:rsidRPr="00683D05">
        <w:rPr>
          <w:lang w:val="en-US"/>
        </w:rPr>
        <w:t xml:space="preserve">To assist in the administration of the reporting, </w:t>
      </w:r>
      <w:r w:rsidR="0077234D" w:rsidRPr="00683D05">
        <w:rPr>
          <w:lang w:val="en-US"/>
        </w:rPr>
        <w:t xml:space="preserve">Services Australia </w:t>
      </w:r>
      <w:r w:rsidR="006B38C8" w:rsidRPr="00683D05">
        <w:rPr>
          <w:lang w:val="en-US"/>
        </w:rPr>
        <w:t>has developed a ROCS Data Trans</w:t>
      </w:r>
      <w:r w:rsidR="00DB1DB6" w:rsidRPr="00683D05">
        <w:rPr>
          <w:lang w:val="en-US"/>
        </w:rPr>
        <w:t>mission Format (DTF) document</w:t>
      </w:r>
      <w:r w:rsidR="00E07571" w:rsidRPr="00683D05">
        <w:rPr>
          <w:lang w:val="en-US"/>
        </w:rPr>
        <w:t xml:space="preserve"> to receive and store the information from medical indemnity insurers</w:t>
      </w:r>
      <w:r w:rsidR="00DB1DB6" w:rsidRPr="00683D05">
        <w:rPr>
          <w:lang w:val="en-US"/>
        </w:rPr>
        <w:t xml:space="preserve">. </w:t>
      </w:r>
      <w:r w:rsidR="006B38C8" w:rsidRPr="00683D05">
        <w:rPr>
          <w:lang w:val="en-US"/>
        </w:rPr>
        <w:t>Th</w:t>
      </w:r>
      <w:r w:rsidR="004A32D8" w:rsidRPr="00683D05">
        <w:rPr>
          <w:lang w:val="en-US"/>
        </w:rPr>
        <w:t>e DFT</w:t>
      </w:r>
      <w:r w:rsidR="006B38C8" w:rsidRPr="00683D05">
        <w:rPr>
          <w:lang w:val="en-US"/>
        </w:rPr>
        <w:t xml:space="preserve"> document describes all of the ROCS </w:t>
      </w:r>
      <w:r w:rsidR="004A32D8" w:rsidRPr="00683D05">
        <w:rPr>
          <w:lang w:val="en-US"/>
        </w:rPr>
        <w:t>information required</w:t>
      </w:r>
      <w:r w:rsidR="006B38C8" w:rsidRPr="00683D05">
        <w:rPr>
          <w:lang w:val="en-US"/>
        </w:rPr>
        <w:t xml:space="preserve"> to be </w:t>
      </w:r>
      <w:r w:rsidR="004A32D8" w:rsidRPr="00683D05">
        <w:rPr>
          <w:lang w:val="en-US"/>
        </w:rPr>
        <w:t xml:space="preserve">reported by </w:t>
      </w:r>
      <w:r w:rsidR="003F12C6" w:rsidRPr="00683D05">
        <w:rPr>
          <w:lang w:val="en-US"/>
        </w:rPr>
        <w:t>medical indemnity</w:t>
      </w:r>
      <w:r w:rsidR="006B38C8" w:rsidRPr="00683D05">
        <w:rPr>
          <w:lang w:val="en-US"/>
        </w:rPr>
        <w:t xml:space="preserve"> insurers</w:t>
      </w:r>
      <w:r w:rsidR="004A32D8" w:rsidRPr="00683D05">
        <w:rPr>
          <w:lang w:val="en-US"/>
        </w:rPr>
        <w:t>, and supports the transmission of this information</w:t>
      </w:r>
      <w:r w:rsidR="006B38C8" w:rsidRPr="00683D05">
        <w:rPr>
          <w:lang w:val="en-US"/>
        </w:rPr>
        <w:t xml:space="preserve">. </w:t>
      </w:r>
      <w:r w:rsidR="00D522E5" w:rsidRPr="00683D05">
        <w:rPr>
          <w:lang w:val="en-US"/>
        </w:rPr>
        <w:t xml:space="preserve">The DTF </w:t>
      </w:r>
      <w:r w:rsidR="004A32D8" w:rsidRPr="00683D05">
        <w:rPr>
          <w:lang w:val="en-US"/>
        </w:rPr>
        <w:t xml:space="preserve">also </w:t>
      </w:r>
      <w:r w:rsidR="006B38C8" w:rsidRPr="00683D05">
        <w:rPr>
          <w:lang w:val="en-US"/>
        </w:rPr>
        <w:t xml:space="preserve">contains instructions and technical information in order for the data to be accepted through the </w:t>
      </w:r>
      <w:r w:rsidR="0077234D" w:rsidRPr="00683D05">
        <w:rPr>
          <w:lang w:val="en-US"/>
        </w:rPr>
        <w:t xml:space="preserve">Services Australia </w:t>
      </w:r>
      <w:r w:rsidR="00DB1DB6" w:rsidRPr="00683D05">
        <w:rPr>
          <w:lang w:val="en-US"/>
        </w:rPr>
        <w:t>gateway to</w:t>
      </w:r>
      <w:r w:rsidRPr="00683D05">
        <w:rPr>
          <w:lang w:val="en-US"/>
        </w:rPr>
        <w:t xml:space="preserve"> its</w:t>
      </w:r>
      <w:r w:rsidR="00DB1DB6" w:rsidRPr="00683D05">
        <w:rPr>
          <w:lang w:val="en-US"/>
        </w:rPr>
        <w:t xml:space="preserve"> database. </w:t>
      </w:r>
    </w:p>
    <w:p w14:paraId="5921662F" w14:textId="77777777" w:rsidR="00DB1DB6" w:rsidRPr="00683D05" w:rsidRDefault="00DB1DB6" w:rsidP="0016125F">
      <w:pPr>
        <w:rPr>
          <w:lang w:val="en-US"/>
        </w:rPr>
      </w:pPr>
    </w:p>
    <w:p w14:paraId="715A0831" w14:textId="77777777" w:rsidR="006B38C8" w:rsidRPr="00683D05" w:rsidRDefault="006B38C8" w:rsidP="0016125F">
      <w:pPr>
        <w:tabs>
          <w:tab w:val="left" w:pos="540"/>
          <w:tab w:val="left" w:pos="2773"/>
          <w:tab w:val="left" w:pos="3697"/>
          <w:tab w:val="left" w:pos="4621"/>
          <w:tab w:val="left" w:pos="5545"/>
          <w:tab w:val="left" w:pos="6469"/>
          <w:tab w:val="left" w:pos="7394"/>
          <w:tab w:val="left" w:pos="8318"/>
          <w:tab w:val="right" w:pos="8930"/>
        </w:tabs>
        <w:rPr>
          <w:b/>
          <w:bCs/>
          <w:i/>
        </w:rPr>
      </w:pPr>
      <w:r w:rsidRPr="00683D05">
        <w:rPr>
          <w:b/>
          <w:bCs/>
          <w:i/>
        </w:rPr>
        <w:t>Information to be provided under the Determination</w:t>
      </w:r>
    </w:p>
    <w:p w14:paraId="25F927F4" w14:textId="77777777" w:rsidR="004F0E37" w:rsidRPr="00683D05" w:rsidRDefault="004F0E37" w:rsidP="0016125F">
      <w:pPr>
        <w:tabs>
          <w:tab w:val="left" w:pos="540"/>
          <w:tab w:val="left" w:pos="2773"/>
          <w:tab w:val="left" w:pos="3697"/>
          <w:tab w:val="left" w:pos="4621"/>
          <w:tab w:val="left" w:pos="5545"/>
          <w:tab w:val="left" w:pos="6469"/>
          <w:tab w:val="left" w:pos="7394"/>
          <w:tab w:val="left" w:pos="8318"/>
          <w:tab w:val="right" w:pos="8930"/>
        </w:tabs>
        <w:rPr>
          <w:b/>
          <w:bCs/>
          <w:i/>
        </w:rPr>
      </w:pPr>
    </w:p>
    <w:p w14:paraId="627E81B2" w14:textId="0D5329D7" w:rsidR="006B38C8" w:rsidRPr="00683D05" w:rsidRDefault="00237CFF" w:rsidP="0016125F">
      <w:pPr>
        <w:rPr>
          <w:lang w:val="en-US"/>
        </w:rPr>
      </w:pPr>
      <w:r w:rsidRPr="00683D05">
        <w:rPr>
          <w:lang w:val="en-US"/>
        </w:rPr>
        <w:t>Sub</w:t>
      </w:r>
      <w:r w:rsidR="006B38C8" w:rsidRPr="00683D05">
        <w:rPr>
          <w:lang w:val="en-US"/>
        </w:rPr>
        <w:t xml:space="preserve">section 26D(2) of </w:t>
      </w:r>
      <w:r w:rsidR="006922A8" w:rsidRPr="00683D05">
        <w:rPr>
          <w:lang w:val="en-US"/>
        </w:rPr>
        <w:t>the MIPSPS Act</w:t>
      </w:r>
      <w:r w:rsidR="006B38C8" w:rsidRPr="00683D05">
        <w:rPr>
          <w:lang w:val="en-US"/>
        </w:rPr>
        <w:t xml:space="preserve"> requires </w:t>
      </w:r>
      <w:r w:rsidR="003F12C6" w:rsidRPr="00683D05">
        <w:rPr>
          <w:lang w:val="en-US"/>
        </w:rPr>
        <w:t xml:space="preserve">medical indemnity </w:t>
      </w:r>
      <w:r w:rsidR="006B38C8" w:rsidRPr="00683D05">
        <w:rPr>
          <w:lang w:val="en-US"/>
        </w:rPr>
        <w:t xml:space="preserve">insurers to give </w:t>
      </w:r>
      <w:r w:rsidR="0070587E" w:rsidRPr="00683D05">
        <w:rPr>
          <w:lang w:val="en-US"/>
        </w:rPr>
        <w:t>the Chief Executive Medicare</w:t>
      </w:r>
      <w:r w:rsidR="0077234D" w:rsidRPr="00683D05">
        <w:rPr>
          <w:lang w:val="en-US"/>
        </w:rPr>
        <w:t xml:space="preserve"> </w:t>
      </w:r>
      <w:r w:rsidR="006B38C8" w:rsidRPr="00683D05">
        <w:rPr>
          <w:lang w:val="en-US"/>
        </w:rPr>
        <w:t xml:space="preserve">a written notice stating the name of the </w:t>
      </w:r>
      <w:r w:rsidRPr="00683D05">
        <w:rPr>
          <w:lang w:val="en-US"/>
        </w:rPr>
        <w:t>medical practitioner</w:t>
      </w:r>
      <w:r w:rsidR="006B38C8" w:rsidRPr="00683D05">
        <w:rPr>
          <w:lang w:val="en-US"/>
        </w:rPr>
        <w:t xml:space="preserve"> to whom they hav</w:t>
      </w:r>
      <w:r w:rsidR="003F12C6" w:rsidRPr="00683D05">
        <w:rPr>
          <w:lang w:val="en-US"/>
        </w:rPr>
        <w:t>e provided cover under the ROCS,</w:t>
      </w:r>
      <w:r w:rsidR="006B38C8" w:rsidRPr="00683D05">
        <w:rPr>
          <w:lang w:val="en-US"/>
        </w:rPr>
        <w:t xml:space="preserve"> the date on which this cover took effect</w:t>
      </w:r>
      <w:r w:rsidR="0070587E" w:rsidRPr="00683D05">
        <w:rPr>
          <w:lang w:val="en-US"/>
        </w:rPr>
        <w:t xml:space="preserve"> and such other matters </w:t>
      </w:r>
      <w:r w:rsidR="00E07571" w:rsidRPr="00683D05">
        <w:rPr>
          <w:lang w:val="en-US"/>
        </w:rPr>
        <w:t>listed in the relevant determination</w:t>
      </w:r>
      <w:r w:rsidR="006B38C8" w:rsidRPr="00683D05">
        <w:rPr>
          <w:lang w:val="en-US"/>
        </w:rPr>
        <w:t xml:space="preserve">.  </w:t>
      </w:r>
    </w:p>
    <w:p w14:paraId="2A428380" w14:textId="77777777" w:rsidR="006B38C8" w:rsidRPr="00683D05" w:rsidRDefault="006B38C8" w:rsidP="0016125F">
      <w:pPr>
        <w:ind w:left="540"/>
        <w:rPr>
          <w:lang w:val="en-US"/>
        </w:rPr>
      </w:pPr>
    </w:p>
    <w:p w14:paraId="54BB8650" w14:textId="1A705893" w:rsidR="006B38C8" w:rsidRPr="00683D05" w:rsidRDefault="006B38C8" w:rsidP="0016125F">
      <w:pPr>
        <w:rPr>
          <w:lang w:val="en-US"/>
        </w:rPr>
      </w:pPr>
      <w:r w:rsidRPr="00683D05">
        <w:rPr>
          <w:lang w:val="en-US"/>
        </w:rPr>
        <w:t xml:space="preserve">This </w:t>
      </w:r>
      <w:r w:rsidRPr="00683D05">
        <w:t>Determination</w:t>
      </w:r>
      <w:r w:rsidRPr="00683D05">
        <w:rPr>
          <w:lang w:val="en-US"/>
        </w:rPr>
        <w:t xml:space="preserve"> describes </w:t>
      </w:r>
      <w:r w:rsidR="0070587E" w:rsidRPr="00683D05">
        <w:rPr>
          <w:lang w:val="en-US"/>
        </w:rPr>
        <w:t>the</w:t>
      </w:r>
      <w:r w:rsidRPr="00683D05">
        <w:rPr>
          <w:lang w:val="en-US"/>
        </w:rPr>
        <w:t xml:space="preserve"> range of other matters which </w:t>
      </w:r>
      <w:r w:rsidR="00E24CB5" w:rsidRPr="00683D05">
        <w:rPr>
          <w:lang w:val="en-US"/>
        </w:rPr>
        <w:t xml:space="preserve">medical indemnity insurers </w:t>
      </w:r>
      <w:r w:rsidRPr="00683D05">
        <w:rPr>
          <w:lang w:val="en-US"/>
        </w:rPr>
        <w:t xml:space="preserve">should also </w:t>
      </w:r>
      <w:r w:rsidR="00E24CB5" w:rsidRPr="00683D05">
        <w:rPr>
          <w:lang w:val="en-US"/>
        </w:rPr>
        <w:t>provide</w:t>
      </w:r>
      <w:r w:rsidRPr="00683D05">
        <w:rPr>
          <w:lang w:val="en-US"/>
        </w:rPr>
        <w:t xml:space="preserve"> to </w:t>
      </w:r>
      <w:r w:rsidR="0070587E" w:rsidRPr="00683D05">
        <w:rPr>
          <w:lang w:val="en-US"/>
        </w:rPr>
        <w:t>the Chief Executive Medicare</w:t>
      </w:r>
      <w:r w:rsidR="0077234D" w:rsidRPr="00683D05">
        <w:rPr>
          <w:lang w:val="en-US"/>
        </w:rPr>
        <w:t xml:space="preserve"> </w:t>
      </w:r>
      <w:r w:rsidR="00E24CB5" w:rsidRPr="00683D05">
        <w:rPr>
          <w:lang w:val="en-US"/>
        </w:rPr>
        <w:t xml:space="preserve">via </w:t>
      </w:r>
      <w:r w:rsidRPr="00683D05">
        <w:rPr>
          <w:lang w:val="en-US"/>
        </w:rPr>
        <w:t>written notices</w:t>
      </w:r>
      <w:r w:rsidR="00E24CB5" w:rsidRPr="00683D05">
        <w:rPr>
          <w:lang w:val="en-US"/>
        </w:rPr>
        <w:t>,</w:t>
      </w:r>
      <w:r w:rsidRPr="00683D05">
        <w:rPr>
          <w:lang w:val="en-US"/>
        </w:rPr>
        <w:t xml:space="preserve"> including:</w:t>
      </w:r>
    </w:p>
    <w:p w14:paraId="391C8979" w14:textId="77777777" w:rsidR="0082098C" w:rsidRPr="00683D05" w:rsidRDefault="0082098C" w:rsidP="0016125F">
      <w:pPr>
        <w:rPr>
          <w:lang w:val="en-US"/>
        </w:rPr>
      </w:pPr>
    </w:p>
    <w:p w14:paraId="16D2BBB4" w14:textId="77777777" w:rsidR="006B38C8" w:rsidRPr="00683D05" w:rsidRDefault="006B38C8" w:rsidP="0016125F">
      <w:pPr>
        <w:numPr>
          <w:ilvl w:val="0"/>
          <w:numId w:val="2"/>
        </w:numPr>
        <w:rPr>
          <w:lang w:val="en-US"/>
        </w:rPr>
      </w:pPr>
      <w:r w:rsidRPr="00683D05">
        <w:rPr>
          <w:lang w:val="en-US"/>
        </w:rPr>
        <w:t xml:space="preserve">which of the eligibility criteria the </w:t>
      </w:r>
      <w:r w:rsidR="00237CFF" w:rsidRPr="00683D05">
        <w:rPr>
          <w:lang w:val="en-US"/>
        </w:rPr>
        <w:t>medical practitioner met (under sub</w:t>
      </w:r>
      <w:r w:rsidRPr="00683D05">
        <w:rPr>
          <w:lang w:val="en-US"/>
        </w:rPr>
        <w:t xml:space="preserve">section 34ZB(2) of the </w:t>
      </w:r>
      <w:r w:rsidR="006922A8" w:rsidRPr="00683D05">
        <w:rPr>
          <w:lang w:val="en-US"/>
        </w:rPr>
        <w:t>MI Act)</w:t>
      </w:r>
      <w:r w:rsidR="00E07571" w:rsidRPr="00683D05">
        <w:rPr>
          <w:lang w:val="en-US"/>
        </w:rPr>
        <w:t>;</w:t>
      </w:r>
    </w:p>
    <w:p w14:paraId="2D77AC94" w14:textId="77777777" w:rsidR="006B38C8" w:rsidRPr="00683D05" w:rsidRDefault="006B38C8" w:rsidP="0016125F">
      <w:pPr>
        <w:numPr>
          <w:ilvl w:val="0"/>
          <w:numId w:val="2"/>
        </w:numPr>
        <w:rPr>
          <w:lang w:val="en-US"/>
        </w:rPr>
      </w:pPr>
      <w:r w:rsidRPr="00683D05">
        <w:rPr>
          <w:lang w:val="en-US"/>
        </w:rPr>
        <w:t xml:space="preserve">general </w:t>
      </w:r>
      <w:r w:rsidR="00E07571" w:rsidRPr="00683D05">
        <w:rPr>
          <w:lang w:val="en-US"/>
        </w:rPr>
        <w:t xml:space="preserve">identifying </w:t>
      </w:r>
      <w:r w:rsidRPr="00683D05">
        <w:rPr>
          <w:lang w:val="en-US"/>
        </w:rPr>
        <w:t xml:space="preserve">information about the </w:t>
      </w:r>
      <w:r w:rsidR="00237CFF" w:rsidRPr="00683D05">
        <w:rPr>
          <w:lang w:val="en-US"/>
        </w:rPr>
        <w:t>medical practitioner</w:t>
      </w:r>
      <w:r w:rsidR="00E07571" w:rsidRPr="00683D05">
        <w:rPr>
          <w:lang w:val="en-US"/>
        </w:rPr>
        <w:t xml:space="preserve"> and their registration to practice</w:t>
      </w:r>
      <w:r w:rsidRPr="00683D05">
        <w:rPr>
          <w:lang w:val="en-US"/>
        </w:rPr>
        <w:t xml:space="preserve">; </w:t>
      </w:r>
    </w:p>
    <w:p w14:paraId="6324687B" w14:textId="77777777" w:rsidR="006B38C8" w:rsidRPr="00683D05" w:rsidRDefault="006B38C8" w:rsidP="0016125F">
      <w:pPr>
        <w:numPr>
          <w:ilvl w:val="0"/>
          <w:numId w:val="2"/>
        </w:numPr>
        <w:rPr>
          <w:lang w:val="en-US"/>
        </w:rPr>
      </w:pPr>
      <w:r w:rsidRPr="00683D05">
        <w:rPr>
          <w:lang w:val="en-US"/>
        </w:rPr>
        <w:t xml:space="preserve">the level </w:t>
      </w:r>
      <w:r w:rsidR="00E07571" w:rsidRPr="00683D05">
        <w:rPr>
          <w:lang w:val="en-US"/>
        </w:rPr>
        <w:t xml:space="preserve">and period </w:t>
      </w:r>
      <w:r w:rsidRPr="00683D05">
        <w:rPr>
          <w:lang w:val="en-US"/>
        </w:rPr>
        <w:t>of medical indemnity cover provided</w:t>
      </w:r>
      <w:r w:rsidR="006A24A8" w:rsidRPr="00683D05">
        <w:rPr>
          <w:lang w:val="en-US"/>
        </w:rPr>
        <w:t xml:space="preserve"> in the past</w:t>
      </w:r>
      <w:r w:rsidRPr="00683D05">
        <w:rPr>
          <w:lang w:val="en-US"/>
        </w:rPr>
        <w:t>; and</w:t>
      </w:r>
    </w:p>
    <w:p w14:paraId="06C911CD" w14:textId="7DAB8455" w:rsidR="006B38C8" w:rsidRPr="00683D05" w:rsidRDefault="006B38C8" w:rsidP="006A24A8">
      <w:pPr>
        <w:numPr>
          <w:ilvl w:val="0"/>
          <w:numId w:val="2"/>
        </w:numPr>
        <w:rPr>
          <w:lang w:val="en-US"/>
        </w:rPr>
      </w:pPr>
      <w:r w:rsidRPr="00683D05">
        <w:t xml:space="preserve">information about the </w:t>
      </w:r>
      <w:r w:rsidR="00237CFF" w:rsidRPr="00683D05">
        <w:rPr>
          <w:lang w:val="en-US"/>
        </w:rPr>
        <w:t xml:space="preserve">medical practitioner’s </w:t>
      </w:r>
      <w:r w:rsidRPr="00683D05">
        <w:t xml:space="preserve">last three periods of insurance before the </w:t>
      </w:r>
      <w:r w:rsidR="003F12C6" w:rsidRPr="00683D05">
        <w:t xml:space="preserve">medical indemnity </w:t>
      </w:r>
      <w:r w:rsidRPr="00683D05">
        <w:t>i</w:t>
      </w:r>
      <w:r w:rsidR="00237CFF" w:rsidRPr="00683D05">
        <w:t>nsurer provided cover under sub</w:t>
      </w:r>
      <w:r w:rsidRPr="00683D05">
        <w:t xml:space="preserve">sections 26A(1)or 26C(1) of </w:t>
      </w:r>
      <w:r w:rsidR="006922A8" w:rsidRPr="00683D05">
        <w:t>the MIPSPS Act</w:t>
      </w:r>
      <w:r w:rsidR="006A24A8" w:rsidRPr="00683D05">
        <w:t xml:space="preserve"> and the premiums paid</w:t>
      </w:r>
      <w:r w:rsidRPr="00683D05">
        <w:t>.</w:t>
      </w:r>
    </w:p>
    <w:p w14:paraId="6ABC9427" w14:textId="77777777" w:rsidR="006B38C8" w:rsidRPr="00683D05" w:rsidRDefault="006B38C8" w:rsidP="0016125F">
      <w:pPr>
        <w:ind w:left="180"/>
        <w:rPr>
          <w:lang w:val="en-US"/>
        </w:rPr>
      </w:pPr>
    </w:p>
    <w:p w14:paraId="5F8C7C39" w14:textId="0CEF8BE1" w:rsidR="006B38C8" w:rsidRPr="00683D05" w:rsidRDefault="006B38C8" w:rsidP="0016125F">
      <w:pPr>
        <w:tabs>
          <w:tab w:val="left" w:pos="540"/>
          <w:tab w:val="left" w:pos="2773"/>
          <w:tab w:val="left" w:pos="3697"/>
          <w:tab w:val="left" w:pos="4621"/>
          <w:tab w:val="left" w:pos="5545"/>
          <w:tab w:val="left" w:pos="6469"/>
          <w:tab w:val="left" w:pos="7394"/>
          <w:tab w:val="left" w:pos="8318"/>
          <w:tab w:val="right" w:pos="8930"/>
        </w:tabs>
        <w:rPr>
          <w:b/>
          <w:bCs/>
          <w:i/>
        </w:rPr>
      </w:pPr>
      <w:r w:rsidRPr="00683D05">
        <w:rPr>
          <w:b/>
          <w:bCs/>
          <w:i/>
        </w:rPr>
        <w:t xml:space="preserve">Timing for the provision of information to </w:t>
      </w:r>
      <w:r w:rsidR="00D522E5" w:rsidRPr="00683D05">
        <w:rPr>
          <w:b/>
          <w:bCs/>
          <w:i/>
        </w:rPr>
        <w:t>the Chief Executive Medicare</w:t>
      </w:r>
    </w:p>
    <w:p w14:paraId="2B8691AA" w14:textId="77777777" w:rsidR="00C13CC5" w:rsidRPr="00683D05" w:rsidRDefault="00C13CC5" w:rsidP="0016125F">
      <w:pPr>
        <w:tabs>
          <w:tab w:val="left" w:pos="540"/>
          <w:tab w:val="left" w:pos="2773"/>
          <w:tab w:val="left" w:pos="3697"/>
          <w:tab w:val="left" w:pos="4621"/>
          <w:tab w:val="left" w:pos="5545"/>
          <w:tab w:val="left" w:pos="6469"/>
          <w:tab w:val="left" w:pos="7394"/>
          <w:tab w:val="left" w:pos="8318"/>
          <w:tab w:val="right" w:pos="8930"/>
        </w:tabs>
        <w:rPr>
          <w:b/>
          <w:bCs/>
        </w:rPr>
      </w:pPr>
    </w:p>
    <w:p w14:paraId="648F035E" w14:textId="5CD5F993" w:rsidR="006B38C8" w:rsidRPr="00683D05" w:rsidRDefault="00E16F7A" w:rsidP="0016125F">
      <w:pPr>
        <w:rPr>
          <w:lang w:val="en-US"/>
        </w:rPr>
      </w:pPr>
      <w:r w:rsidRPr="00683D05">
        <w:rPr>
          <w:lang w:val="en-US"/>
        </w:rPr>
        <w:t>Under subsection 26D(2A) of the MIPSPS Act, m</w:t>
      </w:r>
      <w:r w:rsidR="003F12C6" w:rsidRPr="00683D05">
        <w:rPr>
          <w:lang w:val="en-US"/>
        </w:rPr>
        <w:t>edical indemnity i</w:t>
      </w:r>
      <w:r w:rsidR="006B38C8" w:rsidRPr="00683D05">
        <w:rPr>
          <w:lang w:val="en-US"/>
        </w:rPr>
        <w:t xml:space="preserve">nsurers </w:t>
      </w:r>
      <w:r w:rsidR="00237CFF" w:rsidRPr="00683D05">
        <w:rPr>
          <w:lang w:val="en-US"/>
        </w:rPr>
        <w:t>are required to</w:t>
      </w:r>
      <w:r w:rsidR="006B38C8" w:rsidRPr="00683D05">
        <w:rPr>
          <w:lang w:val="en-US"/>
        </w:rPr>
        <w:t xml:space="preserve"> provide information to</w:t>
      </w:r>
      <w:r w:rsidR="00D522E5" w:rsidRPr="00683D05">
        <w:rPr>
          <w:lang w:val="en-US"/>
        </w:rPr>
        <w:t xml:space="preserve"> the Chief Executive Medicare via</w:t>
      </w:r>
      <w:r w:rsidR="006B38C8" w:rsidRPr="00683D05">
        <w:rPr>
          <w:lang w:val="en-US"/>
        </w:rPr>
        <w:t xml:space="preserve"> </w:t>
      </w:r>
      <w:r w:rsidR="0077234D" w:rsidRPr="00683D05">
        <w:rPr>
          <w:lang w:val="en-US"/>
        </w:rPr>
        <w:t xml:space="preserve">Services Australia </w:t>
      </w:r>
      <w:r w:rsidR="006B38C8" w:rsidRPr="00683D05">
        <w:rPr>
          <w:lang w:val="en-US"/>
        </w:rPr>
        <w:t xml:space="preserve">within the notification period of 61 days starting on the day after the day on which the </w:t>
      </w:r>
      <w:r w:rsidR="003F12C6" w:rsidRPr="00683D05">
        <w:t xml:space="preserve">medical indemnity </w:t>
      </w:r>
      <w:r w:rsidR="006B38C8" w:rsidRPr="00683D05">
        <w:rPr>
          <w:lang w:val="en-US"/>
        </w:rPr>
        <w:t xml:space="preserve">insurer provides cover to a </w:t>
      </w:r>
      <w:r w:rsidR="00237CFF" w:rsidRPr="00683D05">
        <w:rPr>
          <w:lang w:val="en-US"/>
        </w:rPr>
        <w:t>medical practitioner under sub</w:t>
      </w:r>
      <w:r w:rsidR="006B38C8" w:rsidRPr="00683D05">
        <w:rPr>
          <w:lang w:val="en-US"/>
        </w:rPr>
        <w:t xml:space="preserve">sections 26A(1) or 26C(1) of </w:t>
      </w:r>
      <w:r w:rsidR="006922A8" w:rsidRPr="00683D05">
        <w:rPr>
          <w:lang w:val="en-US"/>
        </w:rPr>
        <w:t>the MIPSPS Act</w:t>
      </w:r>
      <w:r w:rsidR="006B38C8" w:rsidRPr="00683D05">
        <w:rPr>
          <w:lang w:val="en-US"/>
        </w:rPr>
        <w:t xml:space="preserve">.  </w:t>
      </w:r>
    </w:p>
    <w:p w14:paraId="5D811A78" w14:textId="77777777" w:rsidR="006B38C8" w:rsidRPr="00683D05" w:rsidRDefault="006B38C8" w:rsidP="0016125F">
      <w:pPr>
        <w:ind w:left="540"/>
        <w:rPr>
          <w:lang w:val="en-US"/>
        </w:rPr>
      </w:pPr>
    </w:p>
    <w:p w14:paraId="3CE147F5" w14:textId="38EBB58A" w:rsidR="00A86880" w:rsidRPr="00683D05" w:rsidRDefault="006B38C8" w:rsidP="0016125F">
      <w:pPr>
        <w:rPr>
          <w:bCs/>
          <w:iCs/>
        </w:rPr>
      </w:pPr>
      <w:r w:rsidRPr="00683D05">
        <w:rPr>
          <w:lang w:val="en-US"/>
        </w:rPr>
        <w:t xml:space="preserve">The same </w:t>
      </w:r>
      <w:r w:rsidR="003F12C6" w:rsidRPr="00683D05">
        <w:t xml:space="preserve">medical indemnity </w:t>
      </w:r>
      <w:r w:rsidRPr="00683D05">
        <w:rPr>
          <w:lang w:val="en-US"/>
        </w:rPr>
        <w:t xml:space="preserve">insurer may provide cover to the same </w:t>
      </w:r>
      <w:r w:rsidR="00237CFF" w:rsidRPr="00683D05">
        <w:rPr>
          <w:lang w:val="en-US"/>
        </w:rPr>
        <w:t>medical practitioner under sub</w:t>
      </w:r>
      <w:r w:rsidRPr="00683D05">
        <w:rPr>
          <w:lang w:val="en-US"/>
        </w:rPr>
        <w:t xml:space="preserve">sections 26A(1) or 26C(1) of </w:t>
      </w:r>
      <w:r w:rsidR="006922A8" w:rsidRPr="00683D05">
        <w:rPr>
          <w:lang w:val="en-US"/>
        </w:rPr>
        <w:t>the MIPSPS Act</w:t>
      </w:r>
      <w:r w:rsidRPr="00683D05">
        <w:rPr>
          <w:lang w:val="en-US"/>
        </w:rPr>
        <w:t xml:space="preserve"> on more than one occasion in respect to different </w:t>
      </w:r>
      <w:r w:rsidRPr="00683D05">
        <w:rPr>
          <w:bCs/>
          <w:iCs/>
        </w:rPr>
        <w:t>medical practice periods.</w:t>
      </w:r>
      <w:r w:rsidR="00E16F7A" w:rsidRPr="00683D05">
        <w:rPr>
          <w:bCs/>
          <w:iCs/>
        </w:rPr>
        <w:t xml:space="preserve"> </w:t>
      </w:r>
    </w:p>
    <w:p w14:paraId="29925E18" w14:textId="77777777" w:rsidR="00B10A3D" w:rsidRPr="00683D05" w:rsidRDefault="00B10A3D" w:rsidP="00B10A3D">
      <w:pPr>
        <w:rPr>
          <w:lang w:val="en-US"/>
        </w:rPr>
      </w:pPr>
    </w:p>
    <w:p w14:paraId="6F307B42" w14:textId="77777777" w:rsidR="00B10A3D" w:rsidRPr="00683D05" w:rsidRDefault="00B10A3D" w:rsidP="00B10A3D">
      <w:pPr>
        <w:rPr>
          <w:lang w:val="en-US"/>
        </w:rPr>
      </w:pPr>
      <w:r w:rsidRPr="00683D05">
        <w:rPr>
          <w:lang w:val="en-US"/>
        </w:rPr>
        <w:lastRenderedPageBreak/>
        <w:t xml:space="preserve">Details of the Determination are set out in </w:t>
      </w:r>
      <w:r w:rsidRPr="00683D05">
        <w:rPr>
          <w:u w:val="single"/>
          <w:lang w:val="en-US"/>
        </w:rPr>
        <w:t>Attachment A</w:t>
      </w:r>
      <w:r w:rsidRPr="00683D05">
        <w:rPr>
          <w:lang w:val="en-US"/>
        </w:rPr>
        <w:t>.</w:t>
      </w:r>
    </w:p>
    <w:p w14:paraId="31F58A30" w14:textId="77777777" w:rsidR="00B10A3D" w:rsidRPr="00683D05" w:rsidRDefault="00B10A3D" w:rsidP="00B10A3D">
      <w:pPr>
        <w:rPr>
          <w:lang w:val="en-US"/>
        </w:rPr>
      </w:pPr>
    </w:p>
    <w:p w14:paraId="33C32CFA" w14:textId="77777777" w:rsidR="00A86880" w:rsidRPr="00683D05" w:rsidRDefault="00237CFF" w:rsidP="0016125F">
      <w:pPr>
        <w:rPr>
          <w:lang w:val="en-US"/>
        </w:rPr>
      </w:pPr>
      <w:r w:rsidRPr="00683D05">
        <w:rPr>
          <w:lang w:val="en-US"/>
        </w:rPr>
        <w:t>This Determination</w:t>
      </w:r>
      <w:r w:rsidR="00326EEE" w:rsidRPr="00683D05">
        <w:rPr>
          <w:lang w:val="en-US"/>
        </w:rPr>
        <w:t xml:space="preserve"> </w:t>
      </w:r>
      <w:r w:rsidR="00A86880" w:rsidRPr="00683D05">
        <w:rPr>
          <w:lang w:val="en-US"/>
        </w:rPr>
        <w:t xml:space="preserve">is a legislative instrument for the purposes of the </w:t>
      </w:r>
      <w:r w:rsidR="00F12295" w:rsidRPr="00683D05">
        <w:rPr>
          <w:lang w:val="en-US"/>
        </w:rPr>
        <w:t>Legislation Act</w:t>
      </w:r>
      <w:r w:rsidR="00C13CC5" w:rsidRPr="00683D05">
        <w:rPr>
          <w:lang w:val="en-US"/>
        </w:rPr>
        <w:t>.</w:t>
      </w:r>
    </w:p>
    <w:p w14:paraId="61A14EFB" w14:textId="77777777" w:rsidR="00A86880" w:rsidRPr="00683D05" w:rsidRDefault="00A86880" w:rsidP="0016125F">
      <w:pPr>
        <w:rPr>
          <w:lang w:val="en-US"/>
        </w:rPr>
      </w:pPr>
    </w:p>
    <w:p w14:paraId="045FDD10" w14:textId="2488EFAE" w:rsidR="00B10A3D" w:rsidRPr="00683D05" w:rsidRDefault="00B10A3D" w:rsidP="0016125F">
      <w:pPr>
        <w:rPr>
          <w:lang w:val="en-US"/>
        </w:rPr>
      </w:pPr>
      <w:r w:rsidRPr="00683D05">
        <w:rPr>
          <w:lang w:val="en-US"/>
        </w:rPr>
        <w:t>The Determination commence on 1 July 2020.</w:t>
      </w:r>
    </w:p>
    <w:p w14:paraId="6CB0552C" w14:textId="77777777" w:rsidR="006B38C8" w:rsidRPr="00683D05" w:rsidRDefault="006B38C8" w:rsidP="0016125F">
      <w:pPr>
        <w:ind w:left="540"/>
        <w:rPr>
          <w:bCs/>
          <w:iCs/>
        </w:rPr>
      </w:pPr>
    </w:p>
    <w:p w14:paraId="43C07930" w14:textId="77777777" w:rsidR="00C44229" w:rsidRPr="00683D05" w:rsidRDefault="00C44229" w:rsidP="00C44229">
      <w:pPr>
        <w:pStyle w:val="Header"/>
        <w:spacing w:after="0" w:line="240" w:lineRule="auto"/>
        <w:rPr>
          <w:b/>
          <w:u w:val="single"/>
        </w:rPr>
      </w:pPr>
      <w:r w:rsidRPr="00683D05">
        <w:rPr>
          <w:b/>
          <w:u w:val="single"/>
        </w:rPr>
        <w:t xml:space="preserve">Regulation Impact Statement </w:t>
      </w:r>
    </w:p>
    <w:p w14:paraId="49F5F82F" w14:textId="77777777" w:rsidR="00C44229" w:rsidRPr="00683D05" w:rsidRDefault="00C44229" w:rsidP="00C44229">
      <w:pPr>
        <w:pStyle w:val="Header"/>
        <w:spacing w:after="0" w:line="240" w:lineRule="auto"/>
        <w:rPr>
          <w:b/>
          <w:u w:val="single"/>
        </w:rPr>
      </w:pPr>
    </w:p>
    <w:p w14:paraId="6C260BFB" w14:textId="77777777" w:rsidR="005955CD" w:rsidRPr="00683D05" w:rsidRDefault="005955CD" w:rsidP="005955CD">
      <w:r w:rsidRPr="00683D05">
        <w:t xml:space="preserve">The Office of Best Practice Regulation has certified that the </w:t>
      </w:r>
      <w:hyperlink r:id="rId11" w:history="1">
        <w:r w:rsidRPr="00683D05">
          <w:rPr>
            <w:rStyle w:val="Hyperlink"/>
          </w:rPr>
          <w:t>First Principles Review</w:t>
        </w:r>
      </w:hyperlink>
      <w:r w:rsidRPr="00683D05">
        <w:t xml:space="preserve"> and </w:t>
      </w:r>
      <w:hyperlink r:id="rId12" w:history="1">
        <w:r w:rsidRPr="00683D05">
          <w:rPr>
            <w:rStyle w:val="Hyperlink"/>
          </w:rPr>
          <w:t>Thematic Review</w:t>
        </w:r>
      </w:hyperlink>
      <w:r w:rsidRPr="00683D05">
        <w:t xml:space="preserve"> of the Medical and Midwife Indemnity Schemes are equivalent to a Regulatory Impact Statement. </w:t>
      </w:r>
    </w:p>
    <w:p w14:paraId="1873836E" w14:textId="77777777" w:rsidR="00C44229" w:rsidRPr="00683D05" w:rsidRDefault="00C44229" w:rsidP="00C44229"/>
    <w:p w14:paraId="2285DF2A" w14:textId="77777777" w:rsidR="00C44229" w:rsidRPr="00683D05" w:rsidRDefault="00C44229" w:rsidP="00C44229">
      <w:pPr>
        <w:pStyle w:val="Header"/>
        <w:spacing w:after="0" w:line="240" w:lineRule="auto"/>
        <w:rPr>
          <w:b/>
          <w:u w:val="single"/>
        </w:rPr>
      </w:pPr>
      <w:r w:rsidRPr="00683D05">
        <w:rPr>
          <w:b/>
          <w:u w:val="single"/>
        </w:rPr>
        <w:t>Consultation</w:t>
      </w:r>
    </w:p>
    <w:p w14:paraId="04CF1DB0" w14:textId="77777777" w:rsidR="00C44229" w:rsidRPr="00683D05" w:rsidRDefault="00C44229" w:rsidP="00C44229">
      <w:pPr>
        <w:pStyle w:val="Header"/>
        <w:spacing w:after="0" w:line="240" w:lineRule="auto"/>
        <w:rPr>
          <w:b/>
          <w:u w:val="single"/>
        </w:rPr>
      </w:pPr>
    </w:p>
    <w:p w14:paraId="18B28ABC" w14:textId="77777777" w:rsidR="00C44229" w:rsidRPr="00683D05" w:rsidRDefault="00C44229" w:rsidP="00C44229">
      <w:pPr>
        <w:rPr>
          <w:snapToGrid w:val="0"/>
        </w:rPr>
      </w:pPr>
      <w:r w:rsidRPr="00683D05">
        <w:rPr>
          <w:snapToGrid w:val="0"/>
        </w:rPr>
        <w:t>The Australian Government has worked collaboratively with the Australian Medical Association, relevant peak bodies, medical indemnity insurers and relevant government agencies.</w:t>
      </w:r>
    </w:p>
    <w:p w14:paraId="1480FEB4" w14:textId="77777777" w:rsidR="00C44229" w:rsidRPr="00683D05" w:rsidRDefault="00C44229" w:rsidP="00C44229">
      <w:pPr>
        <w:rPr>
          <w:snapToGrid w:val="0"/>
        </w:rPr>
      </w:pPr>
    </w:p>
    <w:p w14:paraId="33B7FFE8" w14:textId="345FA36E" w:rsidR="00C44229" w:rsidRPr="00683D05" w:rsidRDefault="00C44229" w:rsidP="00C44229">
      <w:pPr>
        <w:rPr>
          <w:snapToGrid w:val="0"/>
        </w:rPr>
      </w:pPr>
      <w:r w:rsidRPr="00683D05">
        <w:rPr>
          <w:snapToGrid w:val="0"/>
        </w:rPr>
        <w:t>T</w:t>
      </w:r>
      <w:r w:rsidRPr="00683D05">
        <w:t>he Government has consulted extensively during the development of the medical and midwife indemnity reforms, including through the First Principles Review and Thematic Review</w:t>
      </w:r>
      <w:r w:rsidRPr="00683D05">
        <w:rPr>
          <w:rStyle w:val="FootnoteReference"/>
        </w:rPr>
        <w:footnoteReference w:id="2"/>
      </w:r>
      <w:r w:rsidRPr="00683D05">
        <w:t xml:space="preserve">, the development of the </w:t>
      </w:r>
      <w:r w:rsidRPr="00683D05">
        <w:rPr>
          <w:i/>
        </w:rPr>
        <w:t>Medical and Midwife Legislation Amendment Act 2019</w:t>
      </w:r>
      <w:r w:rsidRPr="00683D05">
        <w:t xml:space="preserve"> </w:t>
      </w:r>
      <w:r w:rsidRPr="00683D05">
        <w:rPr>
          <w:snapToGrid w:val="0"/>
        </w:rPr>
        <w:t xml:space="preserve">and targeted stakeholder consultation on limited exposure drafts of the legislative instruments. The final </w:t>
      </w:r>
      <w:r w:rsidR="0000388C" w:rsidRPr="00683D05">
        <w:rPr>
          <w:snapToGrid w:val="0"/>
        </w:rPr>
        <w:t xml:space="preserve">Determination </w:t>
      </w:r>
      <w:r w:rsidRPr="00683D05">
        <w:rPr>
          <w:snapToGrid w:val="0"/>
        </w:rPr>
        <w:t>incorporates submissions received through the limited exposure draft consultation process in November 2019.</w:t>
      </w:r>
    </w:p>
    <w:p w14:paraId="34E129D2" w14:textId="77777777" w:rsidR="0016125F" w:rsidRPr="00683D05" w:rsidRDefault="0016125F" w:rsidP="0016125F">
      <w:pPr>
        <w:rPr>
          <w:b/>
          <w:color w:val="000000" w:themeColor="text1"/>
        </w:rPr>
      </w:pPr>
    </w:p>
    <w:p w14:paraId="3D0E1C28" w14:textId="77777777" w:rsidR="0016125F" w:rsidRPr="00683D05" w:rsidRDefault="0016125F" w:rsidP="0016125F">
      <w:pPr>
        <w:pStyle w:val="Header"/>
        <w:spacing w:after="0" w:line="240" w:lineRule="auto"/>
        <w:rPr>
          <w:b/>
          <w:u w:val="single"/>
        </w:rPr>
      </w:pPr>
      <w:r w:rsidRPr="00683D05">
        <w:rPr>
          <w:b/>
          <w:u w:val="single"/>
        </w:rPr>
        <w:t>Statement of Compatibility with human rights</w:t>
      </w:r>
    </w:p>
    <w:p w14:paraId="615AED37" w14:textId="77777777" w:rsidR="0016125F" w:rsidRPr="00683D05" w:rsidRDefault="0016125F" w:rsidP="0016125F">
      <w:pPr>
        <w:pStyle w:val="Header"/>
        <w:spacing w:after="0" w:line="240" w:lineRule="auto"/>
        <w:rPr>
          <w:b/>
          <w:u w:val="single"/>
        </w:rPr>
      </w:pPr>
    </w:p>
    <w:p w14:paraId="784B4A24" w14:textId="3A095D97" w:rsidR="0016125F" w:rsidRPr="00683D05" w:rsidRDefault="0016125F" w:rsidP="0016125F">
      <w:r w:rsidRPr="00683D05">
        <w:t xml:space="preserve">Subsection 9(1) of the </w:t>
      </w:r>
      <w:r w:rsidRPr="00683D05">
        <w:rPr>
          <w:i/>
        </w:rPr>
        <w:t>Human Rights (Parliamentary Scrutiny) Act 2011</w:t>
      </w:r>
      <w:r w:rsidRPr="00683D05">
        <w:t xml:space="preserve"> requires the rule-maker in relation to a legislative instrument to which section 42 (disallowance) of the </w:t>
      </w:r>
      <w:r w:rsidRPr="00683D05">
        <w:rPr>
          <w:lang w:val="en-US"/>
        </w:rPr>
        <w:t>Legislation Act</w:t>
      </w:r>
      <w:r w:rsidRPr="00683D05">
        <w:t xml:space="preserve"> applies to cause a statement of compatibility to be prepared in respect of that legislative instrument. The Statement of Compatibility has been prepared to meet that requirement. The Statement of Compatibility is included at </w:t>
      </w:r>
      <w:r w:rsidRPr="00683D05">
        <w:rPr>
          <w:u w:val="single"/>
        </w:rPr>
        <w:t>Attachment B</w:t>
      </w:r>
      <w:r w:rsidRPr="00683D05">
        <w:t>.</w:t>
      </w:r>
    </w:p>
    <w:p w14:paraId="7B684E3F" w14:textId="77777777" w:rsidR="00863E14" w:rsidRPr="00683D05" w:rsidRDefault="00863E14" w:rsidP="0016125F">
      <w:pPr>
        <w:rPr>
          <w:b/>
          <w:color w:val="000000" w:themeColor="text1"/>
        </w:rPr>
      </w:pPr>
      <w:r w:rsidRPr="00683D05">
        <w:rPr>
          <w:b/>
          <w:color w:val="000000" w:themeColor="text1"/>
        </w:rPr>
        <w:br w:type="page"/>
      </w:r>
    </w:p>
    <w:p w14:paraId="6B8EBACC" w14:textId="77777777" w:rsidR="00D400DB" w:rsidRPr="00683D05" w:rsidRDefault="00D400DB" w:rsidP="00D400DB">
      <w:pPr>
        <w:jc w:val="right"/>
      </w:pPr>
      <w:r w:rsidRPr="00683D05">
        <w:rPr>
          <w:b/>
        </w:rPr>
        <w:lastRenderedPageBreak/>
        <w:t>Attachment A</w:t>
      </w:r>
    </w:p>
    <w:p w14:paraId="5DA1244F" w14:textId="77777777" w:rsidR="00D400DB" w:rsidRPr="00683D05" w:rsidRDefault="00D400DB" w:rsidP="00D400DB">
      <w:pPr>
        <w:pStyle w:val="PlainParagraph"/>
        <w:widowControl w:val="0"/>
        <w:spacing w:before="0" w:after="0" w:line="240" w:lineRule="auto"/>
        <w:ind w:right="-316"/>
        <w:jc w:val="right"/>
        <w:rPr>
          <w:rFonts w:ascii="Times New Roman" w:hAnsi="Times New Roman" w:cs="Times New Roman"/>
          <w:b/>
          <w:sz w:val="24"/>
          <w:szCs w:val="24"/>
          <w:u w:val="single"/>
        </w:rPr>
      </w:pPr>
    </w:p>
    <w:p w14:paraId="09FAE2D0" w14:textId="77777777" w:rsidR="006B38C8" w:rsidRPr="00683D05" w:rsidRDefault="00D400DB" w:rsidP="00D400DB">
      <w:pPr>
        <w:pStyle w:val="PlainParagraph"/>
        <w:widowControl w:val="0"/>
        <w:spacing w:before="0" w:after="0" w:line="240" w:lineRule="auto"/>
        <w:ind w:right="-316"/>
        <w:rPr>
          <w:rFonts w:ascii="Times New Roman" w:hAnsi="Times New Roman" w:cs="Times New Roman"/>
          <w:b/>
          <w:i/>
          <w:sz w:val="24"/>
          <w:szCs w:val="24"/>
          <w:u w:val="single"/>
        </w:rPr>
      </w:pPr>
      <w:r w:rsidRPr="00683D05">
        <w:rPr>
          <w:rFonts w:ascii="Times New Roman" w:hAnsi="Times New Roman" w:cs="Times New Roman"/>
          <w:b/>
          <w:sz w:val="24"/>
          <w:szCs w:val="24"/>
          <w:u w:val="single"/>
        </w:rPr>
        <w:t xml:space="preserve">Details of the </w:t>
      </w:r>
      <w:r w:rsidRPr="00683D05">
        <w:rPr>
          <w:rFonts w:ascii="Times New Roman" w:hAnsi="Times New Roman" w:cs="Times New Roman"/>
          <w:b/>
          <w:i/>
          <w:sz w:val="24"/>
          <w:szCs w:val="24"/>
          <w:u w:val="single"/>
        </w:rPr>
        <w:t>Medical Indemnity (Prudential Supervision and Product Standards) (Notice of Provision of Run-Off Cover) Determination 2020</w:t>
      </w:r>
    </w:p>
    <w:p w14:paraId="78DBFF8E" w14:textId="77777777" w:rsidR="006B38C8" w:rsidRPr="00683D05" w:rsidRDefault="006B38C8" w:rsidP="004F0E37">
      <w:pPr>
        <w:tabs>
          <w:tab w:val="left" w:pos="540"/>
        </w:tabs>
        <w:ind w:left="540"/>
        <w:rPr>
          <w:lang w:val="en-US"/>
        </w:rPr>
      </w:pPr>
    </w:p>
    <w:p w14:paraId="2AE7DB0E" w14:textId="77777777" w:rsidR="006B38C8" w:rsidRPr="00683D05" w:rsidRDefault="00D400DB" w:rsidP="004F0E37">
      <w:pPr>
        <w:pStyle w:val="Heading2"/>
        <w:keepNext w:val="0"/>
        <w:spacing w:before="0" w:line="240" w:lineRule="auto"/>
        <w:rPr>
          <w:rFonts w:ascii="Times New Roman" w:eastAsiaTheme="minorHAnsi" w:hAnsi="Times New Roman" w:cs="Times New Roman"/>
          <w:b/>
          <w:color w:val="auto"/>
          <w:sz w:val="24"/>
          <w:szCs w:val="24"/>
          <w:lang w:val="en-US"/>
        </w:rPr>
      </w:pPr>
      <w:r w:rsidRPr="00683D05">
        <w:rPr>
          <w:rFonts w:ascii="Times New Roman" w:eastAsiaTheme="minorHAnsi" w:hAnsi="Times New Roman" w:cs="Times New Roman"/>
          <w:b/>
          <w:color w:val="auto"/>
          <w:sz w:val="24"/>
          <w:szCs w:val="24"/>
          <w:lang w:val="en-US"/>
        </w:rPr>
        <w:t>Section 1 – Name</w:t>
      </w:r>
    </w:p>
    <w:p w14:paraId="1BCB744A" w14:textId="77777777" w:rsidR="004F0E37" w:rsidRPr="00683D05" w:rsidRDefault="004F0E37" w:rsidP="004F0E37">
      <w:pPr>
        <w:rPr>
          <w:lang w:val="en-US"/>
        </w:rPr>
      </w:pPr>
    </w:p>
    <w:p w14:paraId="67390A4E" w14:textId="77777777" w:rsidR="006B38C8" w:rsidRPr="00683D05" w:rsidRDefault="006B38C8" w:rsidP="004F0E37">
      <w:pPr>
        <w:tabs>
          <w:tab w:val="left" w:pos="540"/>
        </w:tabs>
        <w:rPr>
          <w:lang w:val="en-US"/>
        </w:rPr>
      </w:pPr>
      <w:r w:rsidRPr="00683D05">
        <w:rPr>
          <w:lang w:val="en-US"/>
        </w:rPr>
        <w:t>This section</w:t>
      </w:r>
      <w:r w:rsidR="00F551E9" w:rsidRPr="00683D05">
        <w:rPr>
          <w:lang w:val="en-US"/>
        </w:rPr>
        <w:t xml:space="preserve"> provides that </w:t>
      </w:r>
      <w:r w:rsidR="00DF6151" w:rsidRPr="00683D05">
        <w:rPr>
          <w:lang w:val="en-US"/>
        </w:rPr>
        <w:t>the name of the Determination</w:t>
      </w:r>
      <w:r w:rsidR="00F551E9" w:rsidRPr="00683D05">
        <w:rPr>
          <w:lang w:val="en-US"/>
        </w:rPr>
        <w:t xml:space="preserve"> </w:t>
      </w:r>
      <w:r w:rsidRPr="00683D05">
        <w:rPr>
          <w:lang w:val="en-US"/>
        </w:rPr>
        <w:t xml:space="preserve">is the </w:t>
      </w:r>
      <w:r w:rsidRPr="00683D05">
        <w:rPr>
          <w:i/>
          <w:lang w:val="en-US"/>
        </w:rPr>
        <w:t>Medical Indemnity (Prudential Supe</w:t>
      </w:r>
      <w:r w:rsidR="0082098C" w:rsidRPr="00683D05">
        <w:rPr>
          <w:i/>
          <w:lang w:val="en-US"/>
        </w:rPr>
        <w:t>rvision and Product Standards) (</w:t>
      </w:r>
      <w:r w:rsidRPr="00683D05">
        <w:rPr>
          <w:i/>
          <w:lang w:val="en-US"/>
        </w:rPr>
        <w:t xml:space="preserve">Notice of Provision of </w:t>
      </w:r>
      <w:r w:rsidR="0082098C" w:rsidRPr="00683D05">
        <w:rPr>
          <w:i/>
          <w:lang w:val="en-US"/>
        </w:rPr>
        <w:t>Run-Off Cover) Determination 2020</w:t>
      </w:r>
      <w:r w:rsidR="00F551E9" w:rsidRPr="00683D05">
        <w:rPr>
          <w:i/>
          <w:lang w:val="en-US"/>
        </w:rPr>
        <w:t xml:space="preserve"> </w:t>
      </w:r>
      <w:r w:rsidR="00F551E9" w:rsidRPr="00683D05">
        <w:rPr>
          <w:lang w:val="en-US"/>
        </w:rPr>
        <w:t>(the Determination)</w:t>
      </w:r>
      <w:r w:rsidRPr="00683D05">
        <w:rPr>
          <w:lang w:val="en-US"/>
        </w:rPr>
        <w:t>.</w:t>
      </w:r>
    </w:p>
    <w:p w14:paraId="124D40DC" w14:textId="77777777" w:rsidR="006B38C8" w:rsidRPr="00683D05" w:rsidRDefault="006B38C8" w:rsidP="004F0E37">
      <w:pPr>
        <w:pStyle w:val="Heading2"/>
        <w:keepNext w:val="0"/>
        <w:spacing w:before="0" w:line="240" w:lineRule="auto"/>
        <w:rPr>
          <w:rFonts w:ascii="Times New Roman" w:eastAsiaTheme="minorHAnsi" w:hAnsi="Times New Roman" w:cs="Times New Roman"/>
          <w:b/>
          <w:color w:val="auto"/>
          <w:sz w:val="24"/>
          <w:szCs w:val="24"/>
          <w:lang w:val="en-US"/>
        </w:rPr>
      </w:pPr>
    </w:p>
    <w:p w14:paraId="38BDE854" w14:textId="77777777" w:rsidR="006B38C8" w:rsidRPr="00683D05" w:rsidRDefault="00D400DB" w:rsidP="004F0E37">
      <w:pPr>
        <w:pStyle w:val="Heading2"/>
        <w:keepNext w:val="0"/>
        <w:spacing w:before="0" w:line="240" w:lineRule="auto"/>
        <w:rPr>
          <w:rFonts w:ascii="Times New Roman" w:eastAsiaTheme="minorHAnsi" w:hAnsi="Times New Roman" w:cs="Times New Roman"/>
          <w:b/>
          <w:color w:val="auto"/>
          <w:sz w:val="24"/>
          <w:szCs w:val="24"/>
          <w:lang w:val="en-US"/>
        </w:rPr>
      </w:pPr>
      <w:r w:rsidRPr="00683D05">
        <w:rPr>
          <w:rFonts w:ascii="Times New Roman" w:eastAsiaTheme="minorHAnsi" w:hAnsi="Times New Roman" w:cs="Times New Roman"/>
          <w:b/>
          <w:color w:val="auto"/>
          <w:sz w:val="24"/>
          <w:szCs w:val="24"/>
          <w:lang w:val="en-US"/>
        </w:rPr>
        <w:t>Section 2 – Commencement</w:t>
      </w:r>
    </w:p>
    <w:p w14:paraId="68869F07" w14:textId="77777777" w:rsidR="004F0E37" w:rsidRPr="00683D05" w:rsidRDefault="004F0E37" w:rsidP="004F0E37">
      <w:pPr>
        <w:rPr>
          <w:lang w:val="en-US"/>
        </w:rPr>
      </w:pPr>
    </w:p>
    <w:p w14:paraId="0F8FB872" w14:textId="540D75CC" w:rsidR="006B38C8" w:rsidRPr="00683D05" w:rsidRDefault="006B38C8" w:rsidP="004F0E37">
      <w:pPr>
        <w:tabs>
          <w:tab w:val="left" w:pos="540"/>
        </w:tabs>
        <w:rPr>
          <w:lang w:val="en-US"/>
        </w:rPr>
      </w:pPr>
      <w:r w:rsidRPr="00683D05">
        <w:rPr>
          <w:lang w:val="en-US"/>
        </w:rPr>
        <w:t xml:space="preserve">This section provides that the Determination </w:t>
      </w:r>
      <w:r w:rsidR="00DF6151" w:rsidRPr="00683D05">
        <w:rPr>
          <w:lang w:val="en-US"/>
        </w:rPr>
        <w:t>commence</w:t>
      </w:r>
      <w:r w:rsidR="0094223B" w:rsidRPr="00683D05">
        <w:rPr>
          <w:lang w:val="en-US"/>
        </w:rPr>
        <w:t>s</w:t>
      </w:r>
      <w:r w:rsidR="0077234D" w:rsidRPr="00683D05">
        <w:rPr>
          <w:lang w:val="en-US"/>
        </w:rPr>
        <w:t xml:space="preserve"> on 1 July 20</w:t>
      </w:r>
      <w:r w:rsidR="0000388C" w:rsidRPr="00683D05">
        <w:rPr>
          <w:lang w:val="en-US"/>
        </w:rPr>
        <w:t>20</w:t>
      </w:r>
      <w:r w:rsidRPr="00683D05">
        <w:rPr>
          <w:lang w:val="en-US"/>
        </w:rPr>
        <w:t>.</w:t>
      </w:r>
    </w:p>
    <w:p w14:paraId="17A3AC48" w14:textId="77777777" w:rsidR="006B38C8" w:rsidRPr="00683D05" w:rsidRDefault="006B38C8" w:rsidP="004F0E37">
      <w:pPr>
        <w:tabs>
          <w:tab w:val="left" w:pos="540"/>
        </w:tabs>
        <w:rPr>
          <w:lang w:val="en-US"/>
        </w:rPr>
      </w:pPr>
    </w:p>
    <w:p w14:paraId="7D1508D7" w14:textId="77777777" w:rsidR="0077234D" w:rsidRPr="00683D05" w:rsidRDefault="00D400DB" w:rsidP="004F0E37">
      <w:pPr>
        <w:pStyle w:val="Heading2"/>
        <w:keepNext w:val="0"/>
        <w:spacing w:before="0" w:line="240" w:lineRule="auto"/>
        <w:rPr>
          <w:rFonts w:ascii="Times New Roman" w:eastAsiaTheme="minorHAnsi" w:hAnsi="Times New Roman" w:cs="Times New Roman"/>
          <w:b/>
          <w:color w:val="auto"/>
          <w:sz w:val="24"/>
          <w:szCs w:val="24"/>
          <w:lang w:val="en-US"/>
        </w:rPr>
      </w:pPr>
      <w:r w:rsidRPr="00683D05">
        <w:rPr>
          <w:rFonts w:ascii="Times New Roman" w:eastAsiaTheme="minorHAnsi" w:hAnsi="Times New Roman" w:cs="Times New Roman"/>
          <w:b/>
          <w:color w:val="auto"/>
          <w:sz w:val="24"/>
          <w:szCs w:val="24"/>
          <w:lang w:val="en-US"/>
        </w:rPr>
        <w:t>Section 3 – Authority</w:t>
      </w:r>
    </w:p>
    <w:p w14:paraId="2B011346" w14:textId="77777777" w:rsidR="004F0E37" w:rsidRPr="00683D05" w:rsidRDefault="004F0E37" w:rsidP="004F0E37">
      <w:pPr>
        <w:rPr>
          <w:lang w:val="en-US"/>
        </w:rPr>
      </w:pPr>
    </w:p>
    <w:p w14:paraId="634D1EF2" w14:textId="14023570" w:rsidR="0077234D" w:rsidRPr="00683D05" w:rsidRDefault="00F551E9" w:rsidP="004F0E37">
      <w:pPr>
        <w:pStyle w:val="Heading2"/>
        <w:keepNext w:val="0"/>
        <w:widowControl w:val="0"/>
        <w:spacing w:before="0" w:line="240" w:lineRule="auto"/>
        <w:rPr>
          <w:rFonts w:ascii="Times New Roman" w:hAnsi="Times New Roman" w:cs="Times New Roman"/>
          <w:b/>
          <w:bCs/>
          <w:i/>
          <w:iCs/>
          <w:color w:val="auto"/>
          <w:sz w:val="24"/>
          <w:szCs w:val="24"/>
          <w:lang w:val="en-US"/>
        </w:rPr>
      </w:pPr>
      <w:r w:rsidRPr="00683D05">
        <w:rPr>
          <w:rFonts w:ascii="Times New Roman" w:hAnsi="Times New Roman" w:cs="Times New Roman"/>
          <w:color w:val="auto"/>
          <w:sz w:val="24"/>
          <w:szCs w:val="24"/>
          <w:lang w:val="en-US"/>
        </w:rPr>
        <w:t>This section provides that the</w:t>
      </w:r>
      <w:r w:rsidR="0077234D" w:rsidRPr="00683D05">
        <w:rPr>
          <w:rFonts w:ascii="Times New Roman" w:hAnsi="Times New Roman" w:cs="Times New Roman"/>
          <w:color w:val="auto"/>
          <w:sz w:val="24"/>
          <w:szCs w:val="24"/>
          <w:lang w:val="en-US"/>
        </w:rPr>
        <w:t xml:space="preserve"> </w:t>
      </w:r>
      <w:r w:rsidRPr="00683D05">
        <w:rPr>
          <w:rFonts w:ascii="Times New Roman" w:hAnsi="Times New Roman" w:cs="Times New Roman"/>
          <w:color w:val="auto"/>
          <w:sz w:val="24"/>
          <w:szCs w:val="24"/>
          <w:lang w:val="en-US"/>
        </w:rPr>
        <w:t>Determination</w:t>
      </w:r>
      <w:r w:rsidR="0077234D" w:rsidRPr="00683D05">
        <w:rPr>
          <w:rFonts w:ascii="Times New Roman" w:hAnsi="Times New Roman" w:cs="Times New Roman"/>
          <w:color w:val="auto"/>
          <w:sz w:val="24"/>
          <w:szCs w:val="24"/>
          <w:lang w:val="en-US"/>
        </w:rPr>
        <w:t xml:space="preserve"> is made under </w:t>
      </w:r>
      <w:r w:rsidR="00A86880" w:rsidRPr="00683D05">
        <w:rPr>
          <w:rFonts w:ascii="Times New Roman" w:hAnsi="Times New Roman" w:cs="Times New Roman"/>
          <w:color w:val="auto"/>
          <w:sz w:val="24"/>
          <w:szCs w:val="24"/>
          <w:lang w:val="en-US"/>
        </w:rPr>
        <w:t xml:space="preserve">subparagraph 26D(2)(b)(iii) of the </w:t>
      </w:r>
      <w:r w:rsidR="00A86880" w:rsidRPr="00683D05">
        <w:rPr>
          <w:rFonts w:ascii="Times New Roman" w:hAnsi="Times New Roman" w:cs="Times New Roman"/>
          <w:i/>
          <w:color w:val="auto"/>
          <w:sz w:val="24"/>
          <w:szCs w:val="24"/>
          <w:lang w:val="en-US"/>
        </w:rPr>
        <w:t>Medical Indemnity (Prudential Supervision and Product Standards) Act 2003</w:t>
      </w:r>
      <w:r w:rsidR="00A86880" w:rsidRPr="00683D05">
        <w:rPr>
          <w:rFonts w:ascii="Times New Roman" w:hAnsi="Times New Roman" w:cs="Times New Roman"/>
          <w:color w:val="auto"/>
          <w:sz w:val="24"/>
          <w:szCs w:val="24"/>
          <w:lang w:val="en-US"/>
        </w:rPr>
        <w:t xml:space="preserve"> </w:t>
      </w:r>
      <w:r w:rsidR="00704C9D" w:rsidRPr="00683D05">
        <w:rPr>
          <w:rFonts w:ascii="Times New Roman" w:hAnsi="Times New Roman" w:cs="Times New Roman"/>
          <w:color w:val="auto"/>
          <w:sz w:val="24"/>
          <w:szCs w:val="24"/>
          <w:lang w:val="en-US"/>
        </w:rPr>
        <w:br/>
      </w:r>
      <w:r w:rsidR="0077234D" w:rsidRPr="00683D05">
        <w:rPr>
          <w:rFonts w:ascii="Times New Roman" w:hAnsi="Times New Roman" w:cs="Times New Roman"/>
          <w:color w:val="auto"/>
          <w:sz w:val="24"/>
          <w:szCs w:val="24"/>
          <w:lang w:val="en-US"/>
        </w:rPr>
        <w:t>(</w:t>
      </w:r>
      <w:r w:rsidR="006922A8" w:rsidRPr="00683D05">
        <w:rPr>
          <w:rFonts w:ascii="Times New Roman" w:hAnsi="Times New Roman" w:cs="Times New Roman"/>
          <w:color w:val="auto"/>
          <w:sz w:val="24"/>
          <w:szCs w:val="24"/>
          <w:lang w:val="en-US"/>
        </w:rPr>
        <w:t>the MIPSPS Act</w:t>
      </w:r>
      <w:r w:rsidR="0077234D" w:rsidRPr="00683D05">
        <w:rPr>
          <w:rFonts w:ascii="Times New Roman" w:hAnsi="Times New Roman" w:cs="Times New Roman"/>
          <w:color w:val="auto"/>
          <w:sz w:val="24"/>
          <w:szCs w:val="24"/>
          <w:lang w:val="en-US"/>
        </w:rPr>
        <w:t>).</w:t>
      </w:r>
    </w:p>
    <w:p w14:paraId="20A924CC" w14:textId="77777777" w:rsidR="0077234D" w:rsidRPr="00683D05" w:rsidRDefault="0077234D" w:rsidP="004F0E37">
      <w:pPr>
        <w:tabs>
          <w:tab w:val="left" w:pos="540"/>
        </w:tabs>
        <w:rPr>
          <w:u w:val="single"/>
          <w:lang w:val="en-US"/>
        </w:rPr>
      </w:pPr>
    </w:p>
    <w:p w14:paraId="13F57BC1" w14:textId="77777777" w:rsidR="00D400DB" w:rsidRPr="00683D05" w:rsidRDefault="00D400DB" w:rsidP="004F0E37">
      <w:pPr>
        <w:pStyle w:val="Heading2"/>
        <w:keepNext w:val="0"/>
        <w:spacing w:before="0" w:line="240" w:lineRule="auto"/>
        <w:rPr>
          <w:rFonts w:ascii="Times New Roman" w:eastAsiaTheme="minorHAnsi" w:hAnsi="Times New Roman" w:cs="Times New Roman"/>
          <w:b/>
          <w:color w:val="auto"/>
          <w:sz w:val="24"/>
          <w:szCs w:val="24"/>
          <w:lang w:val="en-US"/>
        </w:rPr>
      </w:pPr>
      <w:r w:rsidRPr="00683D05">
        <w:rPr>
          <w:rFonts w:ascii="Times New Roman" w:eastAsiaTheme="minorHAnsi" w:hAnsi="Times New Roman" w:cs="Times New Roman"/>
          <w:b/>
          <w:color w:val="auto"/>
          <w:sz w:val="24"/>
          <w:szCs w:val="24"/>
          <w:lang w:val="en-US"/>
        </w:rPr>
        <w:t>Section 4 – Schedules</w:t>
      </w:r>
    </w:p>
    <w:p w14:paraId="4B996631" w14:textId="77777777" w:rsidR="0077234D" w:rsidRPr="00683D05" w:rsidRDefault="0077234D" w:rsidP="004F0E37">
      <w:pPr>
        <w:pStyle w:val="Heading2"/>
        <w:spacing w:before="0" w:line="240" w:lineRule="auto"/>
        <w:rPr>
          <w:rFonts w:ascii="Times New Roman" w:hAnsi="Times New Roman" w:cs="Times New Roman"/>
          <w:bCs/>
          <w:color w:val="auto"/>
          <w:sz w:val="24"/>
          <w:szCs w:val="24"/>
        </w:rPr>
      </w:pPr>
    </w:p>
    <w:p w14:paraId="56F23FCA" w14:textId="77777777" w:rsidR="0077234D" w:rsidRPr="00683D05" w:rsidRDefault="0077234D" w:rsidP="004F0E37">
      <w:pPr>
        <w:pStyle w:val="Heading2"/>
        <w:keepNext w:val="0"/>
        <w:spacing w:before="0" w:line="240" w:lineRule="auto"/>
        <w:rPr>
          <w:rFonts w:ascii="Times New Roman" w:hAnsi="Times New Roman" w:cs="Times New Roman"/>
          <w:b/>
          <w:bCs/>
          <w:i/>
          <w:iCs/>
          <w:color w:val="auto"/>
          <w:sz w:val="24"/>
          <w:szCs w:val="24"/>
          <w:lang w:val="en-US"/>
        </w:rPr>
      </w:pPr>
      <w:r w:rsidRPr="00683D05">
        <w:rPr>
          <w:rFonts w:ascii="Times New Roman" w:hAnsi="Times New Roman" w:cs="Times New Roman"/>
          <w:color w:val="auto"/>
          <w:sz w:val="24"/>
          <w:szCs w:val="24"/>
          <w:lang w:val="en-US"/>
        </w:rPr>
        <w:t xml:space="preserve">This section provides that each instrument that is specified in a Schedule to this </w:t>
      </w:r>
      <w:r w:rsidR="00F551E9" w:rsidRPr="00683D05">
        <w:rPr>
          <w:rFonts w:ascii="Times New Roman" w:hAnsi="Times New Roman" w:cs="Times New Roman"/>
          <w:color w:val="auto"/>
          <w:sz w:val="24"/>
          <w:szCs w:val="24"/>
          <w:lang w:val="en-US"/>
        </w:rPr>
        <w:t>Determination</w:t>
      </w:r>
      <w:r w:rsidRPr="00683D05">
        <w:rPr>
          <w:rFonts w:ascii="Times New Roman" w:hAnsi="Times New Roman" w:cs="Times New Roman"/>
          <w:color w:val="auto"/>
          <w:sz w:val="24"/>
          <w:szCs w:val="24"/>
          <w:lang w:val="en-US"/>
        </w:rPr>
        <w:t xml:space="preserve"> is amended or repealed as set out in the applicable items in the Schedule concerned, and any other item in a Schedule to this </w:t>
      </w:r>
      <w:r w:rsidR="00F551E9" w:rsidRPr="00683D05">
        <w:rPr>
          <w:rFonts w:ascii="Times New Roman" w:hAnsi="Times New Roman" w:cs="Times New Roman"/>
          <w:color w:val="auto"/>
          <w:sz w:val="24"/>
          <w:szCs w:val="24"/>
          <w:lang w:val="en-US"/>
        </w:rPr>
        <w:t>Determination</w:t>
      </w:r>
      <w:r w:rsidRPr="00683D05">
        <w:rPr>
          <w:rFonts w:ascii="Times New Roman" w:hAnsi="Times New Roman" w:cs="Times New Roman"/>
          <w:color w:val="auto"/>
          <w:sz w:val="24"/>
          <w:szCs w:val="24"/>
          <w:lang w:val="en-US"/>
        </w:rPr>
        <w:t xml:space="preserve"> has effect according to its terms.   </w:t>
      </w:r>
    </w:p>
    <w:p w14:paraId="268607FE" w14:textId="77777777" w:rsidR="0077234D" w:rsidRPr="00683D05" w:rsidRDefault="0077234D" w:rsidP="004F0E37">
      <w:pPr>
        <w:tabs>
          <w:tab w:val="left" w:pos="540"/>
        </w:tabs>
        <w:rPr>
          <w:u w:val="single"/>
          <w:lang w:val="en-US"/>
        </w:rPr>
      </w:pPr>
    </w:p>
    <w:p w14:paraId="7EED6C6B" w14:textId="77777777" w:rsidR="006B38C8" w:rsidRPr="00683D05" w:rsidRDefault="0077234D" w:rsidP="004F0E37">
      <w:pPr>
        <w:tabs>
          <w:tab w:val="left" w:pos="540"/>
        </w:tabs>
        <w:rPr>
          <w:b/>
          <w:lang w:val="en-US"/>
        </w:rPr>
      </w:pPr>
      <w:r w:rsidRPr="00683D05">
        <w:rPr>
          <w:b/>
          <w:lang w:val="en-US"/>
        </w:rPr>
        <w:t>Section 5</w:t>
      </w:r>
      <w:r w:rsidR="006B38C8" w:rsidRPr="00683D05">
        <w:rPr>
          <w:b/>
          <w:lang w:val="en-US"/>
        </w:rPr>
        <w:t xml:space="preserve"> – Definitions</w:t>
      </w:r>
    </w:p>
    <w:p w14:paraId="75653A35" w14:textId="77777777" w:rsidR="006B38C8" w:rsidRPr="00683D05" w:rsidRDefault="006B38C8" w:rsidP="004F0E37">
      <w:pPr>
        <w:tabs>
          <w:tab w:val="left" w:pos="540"/>
        </w:tabs>
        <w:rPr>
          <w:lang w:val="en-US"/>
        </w:rPr>
      </w:pPr>
    </w:p>
    <w:p w14:paraId="4776EE7A" w14:textId="09ABC1BF" w:rsidR="006B38C8" w:rsidRPr="00683D05" w:rsidRDefault="006B38C8" w:rsidP="004F0E37">
      <w:pPr>
        <w:tabs>
          <w:tab w:val="left" w:pos="540"/>
        </w:tabs>
        <w:rPr>
          <w:lang w:val="en-US"/>
        </w:rPr>
      </w:pPr>
      <w:r w:rsidRPr="00683D05">
        <w:rPr>
          <w:lang w:val="en-US"/>
        </w:rPr>
        <w:t xml:space="preserve">This section </w:t>
      </w:r>
      <w:r w:rsidR="00DF2F37" w:rsidRPr="00683D05">
        <w:rPr>
          <w:lang w:val="en-US"/>
        </w:rPr>
        <w:t>provides</w:t>
      </w:r>
      <w:r w:rsidRPr="00683D05">
        <w:rPr>
          <w:lang w:val="en-US"/>
        </w:rPr>
        <w:t xml:space="preserve"> definitions </w:t>
      </w:r>
      <w:r w:rsidR="00DF2F37" w:rsidRPr="00683D05">
        <w:rPr>
          <w:lang w:val="en-US"/>
        </w:rPr>
        <w:t>for</w:t>
      </w:r>
      <w:r w:rsidRPr="00683D05">
        <w:rPr>
          <w:lang w:val="en-US"/>
        </w:rPr>
        <w:t xml:space="preserve"> words and expressions that are </w:t>
      </w:r>
      <w:r w:rsidR="00F551E9" w:rsidRPr="00683D05">
        <w:rPr>
          <w:lang w:val="en-US"/>
        </w:rPr>
        <w:t xml:space="preserve">used within the Determination. </w:t>
      </w:r>
      <w:r w:rsidRPr="00683D05">
        <w:rPr>
          <w:lang w:val="en-US"/>
        </w:rPr>
        <w:t xml:space="preserve">Where a word or expression is common to the Determination and </w:t>
      </w:r>
      <w:r w:rsidR="006922A8" w:rsidRPr="00683D05">
        <w:rPr>
          <w:lang w:val="en-US"/>
        </w:rPr>
        <w:t>the MIPSPS Act</w:t>
      </w:r>
      <w:r w:rsidRPr="00683D05">
        <w:rPr>
          <w:lang w:val="en-US"/>
        </w:rPr>
        <w:t xml:space="preserve">, it has the same definition as given in </w:t>
      </w:r>
      <w:r w:rsidR="006922A8" w:rsidRPr="00683D05">
        <w:rPr>
          <w:lang w:val="en-US"/>
        </w:rPr>
        <w:t>the MIPSPS Act</w:t>
      </w:r>
      <w:r w:rsidR="00BD3A91" w:rsidRPr="00683D05">
        <w:rPr>
          <w:lang w:val="en-US"/>
        </w:rPr>
        <w:t xml:space="preserve">, </w:t>
      </w:r>
      <w:r w:rsidR="0094223B" w:rsidRPr="00683D05">
        <w:rPr>
          <w:lang w:val="en-US"/>
        </w:rPr>
        <w:t>for example,</w:t>
      </w:r>
      <w:r w:rsidR="00BD3A91" w:rsidRPr="00683D05">
        <w:rPr>
          <w:lang w:val="en-US"/>
        </w:rPr>
        <w:t xml:space="preserve"> </w:t>
      </w:r>
      <w:r w:rsidR="00BD3A91" w:rsidRPr="00683D05">
        <w:rPr>
          <w:b/>
          <w:bCs/>
          <w:i/>
          <w:iCs/>
          <w:lang w:val="en-US"/>
        </w:rPr>
        <w:t>MDO</w:t>
      </w:r>
      <w:r w:rsidR="00BD3A91" w:rsidRPr="00683D05">
        <w:rPr>
          <w:lang w:val="en-US"/>
        </w:rPr>
        <w:t xml:space="preserve"> and </w:t>
      </w:r>
      <w:r w:rsidR="00BD3A91" w:rsidRPr="00683D05">
        <w:rPr>
          <w:b/>
          <w:bCs/>
          <w:i/>
          <w:iCs/>
          <w:lang w:val="en-US"/>
        </w:rPr>
        <w:t>provide</w:t>
      </w:r>
      <w:r w:rsidR="0094223B" w:rsidRPr="00683D05">
        <w:rPr>
          <w:b/>
          <w:bCs/>
          <w:i/>
          <w:iCs/>
          <w:lang w:val="en-US"/>
        </w:rPr>
        <w:t xml:space="preserve"> medical</w:t>
      </w:r>
      <w:r w:rsidR="00BD3A91" w:rsidRPr="00683D05">
        <w:rPr>
          <w:b/>
          <w:bCs/>
          <w:i/>
          <w:iCs/>
          <w:lang w:val="en-US"/>
        </w:rPr>
        <w:t xml:space="preserve"> indemnity cover</w:t>
      </w:r>
      <w:r w:rsidR="00BD3A91" w:rsidRPr="00683D05">
        <w:rPr>
          <w:lang w:val="en-US"/>
        </w:rPr>
        <w:t>.</w:t>
      </w:r>
    </w:p>
    <w:p w14:paraId="38A79576" w14:textId="77777777" w:rsidR="00704C9D" w:rsidRPr="00683D05" w:rsidRDefault="00704C9D" w:rsidP="004F0E37">
      <w:pPr>
        <w:tabs>
          <w:tab w:val="left" w:pos="540"/>
        </w:tabs>
        <w:rPr>
          <w:lang w:val="en-US"/>
        </w:rPr>
      </w:pPr>
    </w:p>
    <w:p w14:paraId="101DB33A" w14:textId="66B47D91" w:rsidR="00704C9D" w:rsidRPr="00683D05" w:rsidRDefault="00DF2F37" w:rsidP="00BD3A91">
      <w:pPr>
        <w:overflowPunct w:val="0"/>
        <w:autoSpaceDE w:val="0"/>
        <w:autoSpaceDN w:val="0"/>
        <w:adjustRightInd w:val="0"/>
        <w:textAlignment w:val="baseline"/>
      </w:pPr>
      <w:r w:rsidRPr="00683D05">
        <w:rPr>
          <w:lang w:val="en-US"/>
        </w:rPr>
        <w:t>D</w:t>
      </w:r>
      <w:r w:rsidR="00A42820" w:rsidRPr="00683D05">
        <w:rPr>
          <w:lang w:val="en-US"/>
        </w:rPr>
        <w:t>efined</w:t>
      </w:r>
      <w:r w:rsidR="00BD3A91" w:rsidRPr="00683D05">
        <w:rPr>
          <w:lang w:val="en-US"/>
        </w:rPr>
        <w:t xml:space="preserve"> words and </w:t>
      </w:r>
      <w:r w:rsidR="0094223B" w:rsidRPr="00683D05">
        <w:rPr>
          <w:lang w:val="en-US"/>
        </w:rPr>
        <w:t>expressions</w:t>
      </w:r>
      <w:r w:rsidRPr="00683D05">
        <w:rPr>
          <w:lang w:val="en-US"/>
        </w:rPr>
        <w:t xml:space="preserve"> in the Determination</w:t>
      </w:r>
      <w:r w:rsidR="0094223B" w:rsidRPr="00683D05">
        <w:rPr>
          <w:lang w:val="en-US"/>
        </w:rPr>
        <w:t xml:space="preserve"> </w:t>
      </w:r>
      <w:r w:rsidR="00A42820" w:rsidRPr="00683D05">
        <w:rPr>
          <w:lang w:val="en-US"/>
        </w:rPr>
        <w:t>include the following:</w:t>
      </w:r>
      <w:r w:rsidR="00BD3A91" w:rsidRPr="00683D05">
        <w:rPr>
          <w:lang w:val="en-US"/>
        </w:rPr>
        <w:t xml:space="preserve"> </w:t>
      </w:r>
      <w:r w:rsidR="00BD3A91" w:rsidRPr="00683D05">
        <w:rPr>
          <w:b/>
          <w:i/>
        </w:rPr>
        <w:t>Act</w:t>
      </w:r>
      <w:r w:rsidR="00A42820" w:rsidRPr="00683D05">
        <w:t>;</w:t>
      </w:r>
      <w:r w:rsidR="00BD3A91" w:rsidRPr="00683D05">
        <w:t xml:space="preserve"> </w:t>
      </w:r>
      <w:r w:rsidR="00BD3A91" w:rsidRPr="00683D05">
        <w:rPr>
          <w:b/>
          <w:i/>
        </w:rPr>
        <w:t>associated MDO</w:t>
      </w:r>
      <w:r w:rsidR="00A42820" w:rsidRPr="00683D05">
        <w:t>;</w:t>
      </w:r>
      <w:r w:rsidR="00BD3A91" w:rsidRPr="00683D05">
        <w:rPr>
          <w:b/>
          <w:i/>
        </w:rPr>
        <w:t xml:space="preserve"> GST</w:t>
      </w:r>
      <w:r w:rsidR="00A42820" w:rsidRPr="00683D05">
        <w:t>;</w:t>
      </w:r>
      <w:r w:rsidR="00BD3A91" w:rsidRPr="00683D05">
        <w:t xml:space="preserve"> </w:t>
      </w:r>
      <w:r w:rsidR="00BD3A91" w:rsidRPr="00683D05">
        <w:rPr>
          <w:b/>
          <w:i/>
        </w:rPr>
        <w:t>paid by</w:t>
      </w:r>
      <w:r w:rsidR="00A42820" w:rsidRPr="00683D05">
        <w:t>;</w:t>
      </w:r>
      <w:r w:rsidR="00BD3A91" w:rsidRPr="00683D05">
        <w:rPr>
          <w:b/>
          <w:i/>
        </w:rPr>
        <w:t xml:space="preserve"> private medical practice</w:t>
      </w:r>
      <w:r w:rsidR="00A42820" w:rsidRPr="00683D05">
        <w:t>;</w:t>
      </w:r>
      <w:r w:rsidR="00BD3A91" w:rsidRPr="00683D05">
        <w:rPr>
          <w:b/>
          <w:i/>
        </w:rPr>
        <w:t xml:space="preserve"> run</w:t>
      </w:r>
      <w:r w:rsidR="00BD3A91" w:rsidRPr="00683D05">
        <w:rPr>
          <w:b/>
          <w:i/>
        </w:rPr>
        <w:noBreakHyphen/>
        <w:t>off cover</w:t>
      </w:r>
      <w:r w:rsidR="00A42820" w:rsidRPr="00683D05">
        <w:t>;</w:t>
      </w:r>
      <w:r w:rsidR="00BD3A91" w:rsidRPr="00683D05">
        <w:t xml:space="preserve"> and</w:t>
      </w:r>
      <w:r w:rsidR="00BD3A91" w:rsidRPr="00683D05">
        <w:rPr>
          <w:b/>
          <w:i/>
        </w:rPr>
        <w:t xml:space="preserve"> standard medical indemnity cover</w:t>
      </w:r>
      <w:r w:rsidR="00BD3A91" w:rsidRPr="00683D05">
        <w:t>.</w:t>
      </w:r>
    </w:p>
    <w:p w14:paraId="5E716600" w14:textId="77777777" w:rsidR="006B38C8" w:rsidRPr="00683D05" w:rsidRDefault="006B38C8" w:rsidP="004F0E37">
      <w:pPr>
        <w:tabs>
          <w:tab w:val="left" w:pos="540"/>
        </w:tabs>
        <w:rPr>
          <w:lang w:val="en-US"/>
        </w:rPr>
      </w:pPr>
    </w:p>
    <w:p w14:paraId="3F62F51A" w14:textId="77777777" w:rsidR="006B38C8" w:rsidRPr="00683D05" w:rsidRDefault="0073795B" w:rsidP="004F0E37">
      <w:pPr>
        <w:tabs>
          <w:tab w:val="left" w:pos="540"/>
        </w:tabs>
        <w:rPr>
          <w:b/>
          <w:lang w:val="en-US"/>
        </w:rPr>
      </w:pPr>
      <w:r w:rsidRPr="00683D05">
        <w:rPr>
          <w:b/>
          <w:lang w:val="en-US"/>
        </w:rPr>
        <w:t>Section 6</w:t>
      </w:r>
      <w:r w:rsidR="006B38C8" w:rsidRPr="00683D05">
        <w:rPr>
          <w:b/>
          <w:lang w:val="en-US"/>
        </w:rPr>
        <w:t xml:space="preserve"> – </w:t>
      </w:r>
      <w:r w:rsidRPr="00683D05">
        <w:rPr>
          <w:b/>
          <w:lang w:val="en-US"/>
        </w:rPr>
        <w:t>Matters to be stated in notice</w:t>
      </w:r>
    </w:p>
    <w:p w14:paraId="5261BDE3" w14:textId="77777777" w:rsidR="0073795B" w:rsidRPr="00683D05" w:rsidRDefault="0073795B" w:rsidP="004F0E37">
      <w:pPr>
        <w:tabs>
          <w:tab w:val="left" w:pos="540"/>
        </w:tabs>
        <w:rPr>
          <w:u w:val="single"/>
          <w:lang w:val="en-US"/>
        </w:rPr>
      </w:pPr>
    </w:p>
    <w:p w14:paraId="0ABE8655" w14:textId="4378E21E" w:rsidR="006B38C8" w:rsidRPr="00683D05" w:rsidRDefault="006B38C8" w:rsidP="004F0E37">
      <w:pPr>
        <w:tabs>
          <w:tab w:val="left" w:pos="540"/>
        </w:tabs>
        <w:rPr>
          <w:lang w:val="en-US"/>
        </w:rPr>
      </w:pPr>
      <w:r w:rsidRPr="00683D05">
        <w:rPr>
          <w:lang w:val="en-US"/>
        </w:rPr>
        <w:t xml:space="preserve">This section sets out the other matters that </w:t>
      </w:r>
      <w:r w:rsidR="003F12C6" w:rsidRPr="00683D05">
        <w:t xml:space="preserve">medical indemnity </w:t>
      </w:r>
      <w:r w:rsidRPr="00683D05">
        <w:rPr>
          <w:lang w:val="en-US"/>
        </w:rPr>
        <w:t xml:space="preserve">insurers should state in the written notice to be provided to </w:t>
      </w:r>
      <w:r w:rsidR="0094223B" w:rsidRPr="00683D05">
        <w:rPr>
          <w:lang w:val="en-US"/>
        </w:rPr>
        <w:t>the Chief Executive Medicare</w:t>
      </w:r>
      <w:r w:rsidR="0077234D" w:rsidRPr="00683D05">
        <w:rPr>
          <w:lang w:val="en-US"/>
        </w:rPr>
        <w:t xml:space="preserve"> </w:t>
      </w:r>
      <w:r w:rsidRPr="00683D05">
        <w:rPr>
          <w:lang w:val="en-US"/>
        </w:rPr>
        <w:t>in addition to those listed in</w:t>
      </w:r>
      <w:r w:rsidR="0094223B" w:rsidRPr="00683D05">
        <w:rPr>
          <w:lang w:val="en-US"/>
        </w:rPr>
        <w:t xml:space="preserve"> sub</w:t>
      </w:r>
      <w:r w:rsidR="00E23563" w:rsidRPr="00683D05">
        <w:rPr>
          <w:lang w:val="en-US"/>
        </w:rPr>
        <w:t>paragraph</w:t>
      </w:r>
      <w:r w:rsidRPr="00683D05">
        <w:rPr>
          <w:lang w:val="en-US"/>
        </w:rPr>
        <w:t xml:space="preserve"> 26D(2)</w:t>
      </w:r>
      <w:r w:rsidR="0094223B" w:rsidRPr="00683D05">
        <w:rPr>
          <w:lang w:val="en-US"/>
        </w:rPr>
        <w:t>(b)</w:t>
      </w:r>
      <w:r w:rsidRPr="00683D05">
        <w:rPr>
          <w:lang w:val="en-US"/>
        </w:rPr>
        <w:t xml:space="preserve">(i) and (ii) of </w:t>
      </w:r>
      <w:r w:rsidR="006922A8" w:rsidRPr="00683D05">
        <w:rPr>
          <w:lang w:val="en-US"/>
        </w:rPr>
        <w:t>the MIPSPS Act</w:t>
      </w:r>
      <w:r w:rsidRPr="00683D05">
        <w:rPr>
          <w:lang w:val="en-US"/>
        </w:rPr>
        <w:t>.</w:t>
      </w:r>
    </w:p>
    <w:p w14:paraId="1FC4874E" w14:textId="51877E52" w:rsidR="00FC5421" w:rsidRPr="00683D05" w:rsidRDefault="00FC5421" w:rsidP="004F0E37">
      <w:pPr>
        <w:tabs>
          <w:tab w:val="left" w:pos="540"/>
        </w:tabs>
        <w:rPr>
          <w:lang w:val="en-US"/>
        </w:rPr>
      </w:pPr>
    </w:p>
    <w:p w14:paraId="222CFBD0" w14:textId="77777777" w:rsidR="00FC5421" w:rsidRPr="00683D05" w:rsidRDefault="00FC5421" w:rsidP="004F0E37">
      <w:pPr>
        <w:tabs>
          <w:tab w:val="left" w:pos="540"/>
        </w:tabs>
        <w:rPr>
          <w:lang w:val="en-US"/>
        </w:rPr>
      </w:pPr>
      <w:r w:rsidRPr="00683D05">
        <w:rPr>
          <w:lang w:val="en-US"/>
        </w:rPr>
        <w:t>Matters to be stated in the notice include, for example:</w:t>
      </w:r>
    </w:p>
    <w:p w14:paraId="5605F876" w14:textId="7654C99C" w:rsidR="00FC5421" w:rsidRPr="00683D05" w:rsidRDefault="00FC5421" w:rsidP="00FC5421">
      <w:pPr>
        <w:pStyle w:val="ListParagraph"/>
        <w:numPr>
          <w:ilvl w:val="0"/>
          <w:numId w:val="5"/>
        </w:numPr>
        <w:tabs>
          <w:tab w:val="left" w:pos="540"/>
        </w:tabs>
        <w:rPr>
          <w:lang w:val="en-US"/>
        </w:rPr>
      </w:pPr>
      <w:r w:rsidRPr="00683D05">
        <w:rPr>
          <w:lang w:val="en-US"/>
        </w:rPr>
        <w:t>general matters relating to the practitioner (such as their date of birth, provider number, their principal place of practice, whether the practitioner is eligible for run-off cover or if they are continuing to pat premiums, etc.)</w:t>
      </w:r>
    </w:p>
    <w:p w14:paraId="7FA22FC4" w14:textId="360CF1E4" w:rsidR="00FC5421" w:rsidRPr="00683D05" w:rsidRDefault="00FC5421" w:rsidP="005955CD">
      <w:pPr>
        <w:pStyle w:val="ListParagraph"/>
        <w:numPr>
          <w:ilvl w:val="0"/>
          <w:numId w:val="5"/>
        </w:numPr>
        <w:tabs>
          <w:tab w:val="left" w:pos="540"/>
        </w:tabs>
        <w:rPr>
          <w:lang w:val="en-US"/>
        </w:rPr>
      </w:pPr>
      <w:r w:rsidRPr="00683D05">
        <w:rPr>
          <w:lang w:val="en-US"/>
        </w:rPr>
        <w:lastRenderedPageBreak/>
        <w:t>matters relating to the practitioner’s medical indemnity cover in the 12 months prior to the insurer providing run-off cover to the practitioner (and in the 12 months prior to that period, etc.).</w:t>
      </w:r>
    </w:p>
    <w:p w14:paraId="4A342EB0" w14:textId="77777777" w:rsidR="0077234D" w:rsidRPr="00683D05" w:rsidRDefault="0077234D" w:rsidP="004F0E37">
      <w:pPr>
        <w:tabs>
          <w:tab w:val="left" w:pos="540"/>
        </w:tabs>
        <w:rPr>
          <w:lang w:val="en-US"/>
        </w:rPr>
      </w:pPr>
    </w:p>
    <w:p w14:paraId="4EEFFE89" w14:textId="77777777" w:rsidR="0077234D" w:rsidRPr="00683D05" w:rsidRDefault="0077234D" w:rsidP="004F0E37">
      <w:pPr>
        <w:tabs>
          <w:tab w:val="left" w:pos="540"/>
        </w:tabs>
        <w:rPr>
          <w:b/>
          <w:lang w:val="en-US"/>
        </w:rPr>
      </w:pPr>
      <w:r w:rsidRPr="00683D05">
        <w:rPr>
          <w:b/>
          <w:lang w:val="en-US"/>
        </w:rPr>
        <w:t>Schedule 1 – Repeals</w:t>
      </w:r>
    </w:p>
    <w:p w14:paraId="6804BD7C" w14:textId="77777777" w:rsidR="00BD3A91" w:rsidRPr="00683D05" w:rsidRDefault="00BD3A91" w:rsidP="004F0E37"/>
    <w:p w14:paraId="18E63795" w14:textId="3A46A164" w:rsidR="00BD3A91" w:rsidRPr="00683D05" w:rsidRDefault="00BD3A91" w:rsidP="00BD3A91">
      <w:pPr>
        <w:rPr>
          <w:i/>
        </w:rPr>
      </w:pPr>
      <w:r w:rsidRPr="00683D05">
        <w:t>This Schedule repeal</w:t>
      </w:r>
      <w:r w:rsidR="00041763" w:rsidRPr="00683D05">
        <w:t>s</w:t>
      </w:r>
      <w:r w:rsidRPr="00683D05">
        <w:t xml:space="preserve"> the </w:t>
      </w:r>
      <w:r w:rsidRPr="00683D05">
        <w:rPr>
          <w:i/>
        </w:rPr>
        <w:t>Medical Indemnity (Prudential Supervision and Product Standards - Notice of Provision of Run off Cover) Determination 2007</w:t>
      </w:r>
      <w:r w:rsidR="00041763" w:rsidRPr="00683D05">
        <w:rPr>
          <w:i/>
        </w:rPr>
        <w:t xml:space="preserve"> </w:t>
      </w:r>
      <w:r w:rsidR="000C086A" w:rsidRPr="00683D05">
        <w:rPr>
          <w:i/>
        </w:rPr>
        <w:br/>
      </w:r>
      <w:r w:rsidR="00041763" w:rsidRPr="00683D05">
        <w:t>(2007 Determination)</w:t>
      </w:r>
      <w:r w:rsidRPr="00683D05">
        <w:rPr>
          <w:i/>
        </w:rPr>
        <w:t>.</w:t>
      </w:r>
    </w:p>
    <w:p w14:paraId="477A76B6" w14:textId="62FC39E5" w:rsidR="00E66786" w:rsidRPr="00683D05" w:rsidRDefault="00041763" w:rsidP="00E9487A">
      <w:pPr>
        <w:spacing w:before="240"/>
      </w:pPr>
      <w:r w:rsidRPr="00683D05">
        <w:t>The repeal is a consequence of remaking and improving the 2007 Determination prior to their sunsetting.</w:t>
      </w:r>
    </w:p>
    <w:p w14:paraId="6EF9CA34" w14:textId="77777777" w:rsidR="0011100D" w:rsidRPr="00683D05" w:rsidRDefault="00BD3A91" w:rsidP="00A42820">
      <w:pPr>
        <w:pStyle w:val="Header"/>
        <w:jc w:val="right"/>
        <w:rPr>
          <w:rStyle w:val="CharAmPartText"/>
        </w:rPr>
      </w:pPr>
      <w:r w:rsidRPr="00683D05">
        <w:rPr>
          <w:rStyle w:val="CharAmPartNo"/>
        </w:rPr>
        <w:t xml:space="preserve"> </w:t>
      </w:r>
      <w:r w:rsidRPr="00683D05">
        <w:rPr>
          <w:rStyle w:val="CharAmPartText"/>
        </w:rPr>
        <w:t xml:space="preserve"> </w:t>
      </w:r>
    </w:p>
    <w:p w14:paraId="46FF6620" w14:textId="77777777" w:rsidR="0011100D" w:rsidRPr="00683D05" w:rsidRDefault="0011100D">
      <w:pPr>
        <w:spacing w:after="160" w:line="259" w:lineRule="auto"/>
        <w:rPr>
          <w:rStyle w:val="CharAmPartText"/>
          <w:rFonts w:eastAsiaTheme="minorHAnsi"/>
          <w:lang w:eastAsia="en-AU"/>
        </w:rPr>
      </w:pPr>
      <w:r w:rsidRPr="00683D05">
        <w:rPr>
          <w:rStyle w:val="CharAmPartText"/>
        </w:rPr>
        <w:br w:type="page"/>
      </w:r>
    </w:p>
    <w:p w14:paraId="52EF1A6E" w14:textId="7FCF1902" w:rsidR="00D62022" w:rsidRPr="00683D05" w:rsidRDefault="00D62022" w:rsidP="00A42820">
      <w:pPr>
        <w:pStyle w:val="Header"/>
        <w:jc w:val="right"/>
      </w:pPr>
      <w:r w:rsidRPr="00683D05">
        <w:rPr>
          <w:b/>
        </w:rPr>
        <w:lastRenderedPageBreak/>
        <w:t>Attachment B</w:t>
      </w:r>
    </w:p>
    <w:p w14:paraId="39D5DCDB" w14:textId="77777777" w:rsidR="00D62022" w:rsidRPr="00683D05" w:rsidRDefault="00D62022" w:rsidP="00E93EDE">
      <w:pPr>
        <w:jc w:val="center"/>
        <w:rPr>
          <w:b/>
        </w:rPr>
      </w:pPr>
      <w:r w:rsidRPr="00683D05">
        <w:rPr>
          <w:b/>
        </w:rPr>
        <w:t>Statement of Compatibility with Human Rights</w:t>
      </w:r>
    </w:p>
    <w:p w14:paraId="5C8690CD" w14:textId="77777777" w:rsidR="00D62022" w:rsidRPr="00683D05" w:rsidRDefault="00D62022" w:rsidP="004F0E37">
      <w:pPr>
        <w:jc w:val="center"/>
        <w:rPr>
          <w:i/>
        </w:rPr>
      </w:pPr>
      <w:r w:rsidRPr="00683D05">
        <w:rPr>
          <w:i/>
        </w:rPr>
        <w:t>Prepared in accordance with Part 3 of the Human Rights (Parliamentary Scrutiny) Act 2011</w:t>
      </w:r>
    </w:p>
    <w:p w14:paraId="316E011C" w14:textId="77777777" w:rsidR="00E93EDE" w:rsidRPr="00683D05" w:rsidRDefault="00E93EDE" w:rsidP="001F3BA1">
      <w:pPr>
        <w:jc w:val="center"/>
        <w:rPr>
          <w:b/>
          <w:i/>
          <w:lang w:val="en-US"/>
        </w:rPr>
      </w:pPr>
      <w:r w:rsidRPr="00683D05">
        <w:rPr>
          <w:b/>
          <w:i/>
          <w:lang w:val="en-US"/>
        </w:rPr>
        <w:t>Medical Indemnity (Prudential Supervision and Product Standards) (Notice of Provision of Run-Off Cover) Determination 2020</w:t>
      </w:r>
    </w:p>
    <w:p w14:paraId="642D5394" w14:textId="77777777" w:rsidR="001F3BA1" w:rsidRPr="00683D05" w:rsidRDefault="001F3BA1" w:rsidP="001F3BA1">
      <w:pPr>
        <w:jc w:val="center"/>
        <w:rPr>
          <w:b/>
          <w:i/>
          <w:lang w:val="en-US"/>
        </w:rPr>
      </w:pPr>
    </w:p>
    <w:p w14:paraId="39EC4EC0" w14:textId="77777777" w:rsidR="00D62022" w:rsidRPr="00683D05" w:rsidRDefault="00D62022" w:rsidP="00D62022">
      <w:r w:rsidRPr="00683D05">
        <w:t xml:space="preserve">This Legislative Instrument is compatible with the human rights and freedoms recognised or declared in the international instruments listed in section 3 of the </w:t>
      </w:r>
      <w:r w:rsidRPr="00683D05">
        <w:rPr>
          <w:i/>
        </w:rPr>
        <w:t>Human Rights (Parliamentary Scrutiny) Act 2011</w:t>
      </w:r>
      <w:r w:rsidRPr="00683D05">
        <w:t>.</w:t>
      </w:r>
    </w:p>
    <w:p w14:paraId="1F4C174B" w14:textId="77777777" w:rsidR="005733EA" w:rsidRPr="00683D05" w:rsidRDefault="005733EA" w:rsidP="00A42820">
      <w:pPr>
        <w:rPr>
          <w:b/>
        </w:rPr>
      </w:pPr>
    </w:p>
    <w:p w14:paraId="3995EA80" w14:textId="6544E683" w:rsidR="00E24CB5" w:rsidRPr="00683D05" w:rsidRDefault="00D62022" w:rsidP="00A42820">
      <w:pPr>
        <w:rPr>
          <w:b/>
        </w:rPr>
      </w:pPr>
      <w:r w:rsidRPr="00683D05">
        <w:rPr>
          <w:b/>
        </w:rPr>
        <w:t>Overview of the Legislative Instrument</w:t>
      </w:r>
    </w:p>
    <w:p w14:paraId="1B30E0CB" w14:textId="77777777" w:rsidR="00164952" w:rsidRPr="00683D05" w:rsidRDefault="00164952" w:rsidP="00164952">
      <w:pPr>
        <w:tabs>
          <w:tab w:val="left" w:pos="540"/>
          <w:tab w:val="left" w:pos="2773"/>
          <w:tab w:val="left" w:pos="3697"/>
          <w:tab w:val="left" w:pos="4621"/>
          <w:tab w:val="left" w:pos="5545"/>
          <w:tab w:val="left" w:pos="6469"/>
          <w:tab w:val="left" w:pos="7394"/>
          <w:tab w:val="left" w:pos="8318"/>
          <w:tab w:val="right" w:pos="8930"/>
        </w:tabs>
        <w:rPr>
          <w:iCs/>
          <w:lang w:val="en-US"/>
        </w:rPr>
      </w:pPr>
      <w:r w:rsidRPr="00683D05">
        <w:t xml:space="preserve">Subparagraph </w:t>
      </w:r>
      <w:r w:rsidRPr="00683D05">
        <w:rPr>
          <w:lang w:val="en-US"/>
        </w:rPr>
        <w:t xml:space="preserve">26D(2)(b)(iii) </w:t>
      </w:r>
      <w:r w:rsidRPr="00683D05">
        <w:t xml:space="preserve">of the </w:t>
      </w:r>
      <w:r w:rsidRPr="00683D05">
        <w:rPr>
          <w:i/>
          <w:iCs/>
          <w:lang w:val="en-US"/>
        </w:rPr>
        <w:t xml:space="preserve">Medical Indemnity (Prudential Supervision and Product Standards) Act 2003 </w:t>
      </w:r>
      <w:r w:rsidRPr="00683D05">
        <w:rPr>
          <w:iCs/>
          <w:lang w:val="en-US"/>
        </w:rPr>
        <w:t>(the MIPSPS Act) provides that the Minister for Health may, by legislative instrument, determine particular matters that medical indemnity insurers must provide in a written notice to the Chief Executive Medicare.</w:t>
      </w:r>
    </w:p>
    <w:p w14:paraId="30D6A39E" w14:textId="77777777" w:rsidR="0056755D" w:rsidRPr="00683D05" w:rsidRDefault="0056755D" w:rsidP="0056755D">
      <w:pPr>
        <w:tabs>
          <w:tab w:val="left" w:pos="540"/>
          <w:tab w:val="left" w:pos="2773"/>
          <w:tab w:val="left" w:pos="3697"/>
          <w:tab w:val="left" w:pos="4621"/>
          <w:tab w:val="left" w:pos="5545"/>
          <w:tab w:val="left" w:pos="6469"/>
          <w:tab w:val="left" w:pos="7394"/>
          <w:tab w:val="left" w:pos="8318"/>
          <w:tab w:val="right" w:pos="8930"/>
        </w:tabs>
        <w:rPr>
          <w:bCs/>
        </w:rPr>
      </w:pPr>
    </w:p>
    <w:p w14:paraId="22256EC0"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lang w:val="en-US"/>
        </w:rPr>
      </w:pPr>
      <w:r w:rsidRPr="00683D05">
        <w:rPr>
          <w:bCs/>
        </w:rPr>
        <w:t>The Run-off Cover</w:t>
      </w:r>
      <w:r w:rsidRPr="00683D05">
        <w:rPr>
          <w:lang w:val="en-US"/>
        </w:rPr>
        <w:t xml:space="preserve"> Scheme (ROCS) was developed to address concerns about the ability of medical practitioners to pay for run-off cover once they ceased private medical practice and no longer earned an income from the private medical profession.</w:t>
      </w:r>
    </w:p>
    <w:p w14:paraId="11168D46"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lang w:val="en-US"/>
        </w:rPr>
      </w:pPr>
    </w:p>
    <w:p w14:paraId="293681E2"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lang w:val="en-US"/>
        </w:rPr>
      </w:pPr>
      <w:r w:rsidRPr="00683D05">
        <w:rPr>
          <w:lang w:val="en-US"/>
        </w:rPr>
        <w:t xml:space="preserve">The Australian Government introduced the ROCS on 1 July 2004 to provide run-off insurance cover to medical practitioners who have ceased private medical practice </w:t>
      </w:r>
      <w:r w:rsidRPr="00683D05">
        <w:t>because of retirement, disability, maternity leave, death, or if they stop working as a medical practitioner in Australia. The ongoing costs of the scheme are met by the ROCS Support Payment, a levy on the premium income of medical indemnity insurers</w:t>
      </w:r>
      <w:r w:rsidRPr="00683D05">
        <w:rPr>
          <w:lang w:val="en-US"/>
        </w:rPr>
        <w:t>. Under ROCS, the government guarantees to pay the cost of eligible medical indemnity insurance claims against eligible medical practitioners.</w:t>
      </w:r>
    </w:p>
    <w:p w14:paraId="2B219192"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lang w:val="en-US"/>
        </w:rPr>
      </w:pPr>
    </w:p>
    <w:p w14:paraId="41DA590B" w14:textId="77777777" w:rsidR="00041763" w:rsidRPr="00683D05" w:rsidRDefault="00041763" w:rsidP="00041763">
      <w:r w:rsidRPr="00683D05">
        <w:rPr>
          <w:lang w:val="en-US"/>
        </w:rPr>
        <w:t xml:space="preserve">Medical indemnity insurers are required to provide ROCS cover (under sections 26A and 26C of the </w:t>
      </w:r>
      <w:r w:rsidRPr="00683D05">
        <w:rPr>
          <w:iCs/>
          <w:lang w:val="en-US"/>
        </w:rPr>
        <w:t xml:space="preserve">MIPSPS </w:t>
      </w:r>
      <w:r w:rsidRPr="00683D05">
        <w:rPr>
          <w:lang w:val="en-US"/>
        </w:rPr>
        <w:t xml:space="preserve">Act) to medical practitioners who meet the eligibility criteria of the scheme (as set out in subsection 34ZB(2) of the </w:t>
      </w:r>
      <w:r w:rsidRPr="00683D05">
        <w:rPr>
          <w:i/>
          <w:lang w:val="en-US"/>
        </w:rPr>
        <w:t xml:space="preserve">Medical Indemnity Act 2002 </w:t>
      </w:r>
      <w:r w:rsidRPr="00683D05">
        <w:rPr>
          <w:i/>
          <w:lang w:val="en-US"/>
        </w:rPr>
        <w:br/>
      </w:r>
      <w:r w:rsidRPr="00683D05">
        <w:rPr>
          <w:lang w:val="en-US"/>
        </w:rPr>
        <w:t>(MI Act). ROCS ensures that eligible medical practitioners get free medical indemnity cover that is based on the terms of their last cover (i.e. the cover that the medical practitioner held prior to ‘leaving’ private medical practice and meeting the eligibility criteria for the Commonwealth ROCS).</w:t>
      </w:r>
    </w:p>
    <w:p w14:paraId="7096CE04"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lang w:val="en-US"/>
        </w:rPr>
      </w:pPr>
    </w:p>
    <w:p w14:paraId="646A532E"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b/>
          <w:bCs/>
          <w:u w:val="single"/>
        </w:rPr>
      </w:pPr>
      <w:r w:rsidRPr="00683D05">
        <w:rPr>
          <w:b/>
          <w:bCs/>
          <w:u w:val="single"/>
        </w:rPr>
        <w:t>Purpose</w:t>
      </w:r>
    </w:p>
    <w:p w14:paraId="5E0602EC" w14:textId="77777777" w:rsidR="00041763" w:rsidRPr="00683D05" w:rsidRDefault="00041763" w:rsidP="00041763">
      <w:pPr>
        <w:rPr>
          <w:lang w:val="en-US"/>
        </w:rPr>
      </w:pPr>
    </w:p>
    <w:p w14:paraId="2B947837" w14:textId="77777777" w:rsidR="000C086A" w:rsidRPr="00683D05" w:rsidRDefault="00041763" w:rsidP="00041763">
      <w:r w:rsidRPr="00683D05">
        <w:rPr>
          <w:lang w:val="en-US"/>
        </w:rPr>
        <w:t xml:space="preserve">The purpose of the </w:t>
      </w:r>
      <w:r w:rsidRPr="00683D05">
        <w:rPr>
          <w:i/>
        </w:rPr>
        <w:t>Medical Indemnity (Prudential Supervision and Product Standards) (Notice of Provision of Run-Off Cover) Determination 2020</w:t>
      </w:r>
      <w:r w:rsidRPr="00683D05">
        <w:t xml:space="preserve"> (the Determination) </w:t>
      </w:r>
      <w:r w:rsidRPr="00683D05">
        <w:rPr>
          <w:lang w:val="en-US"/>
        </w:rPr>
        <w:t xml:space="preserve">is to substantially remake the </w:t>
      </w:r>
      <w:r w:rsidRPr="00683D05">
        <w:rPr>
          <w:i/>
        </w:rPr>
        <w:t xml:space="preserve">Medical Indemnity (Prudential Supervision and Product Standards - Notice of Provision of Run off Cover) Determination 2007 </w:t>
      </w:r>
      <w:r w:rsidR="000C086A" w:rsidRPr="00683D05">
        <w:rPr>
          <w:i/>
        </w:rPr>
        <w:br/>
      </w:r>
      <w:r w:rsidRPr="00683D05">
        <w:t xml:space="preserve">(2007 Determination) prior to its sunsetting (automatic repeal). </w:t>
      </w:r>
    </w:p>
    <w:p w14:paraId="0F310891" w14:textId="77777777" w:rsidR="000C086A" w:rsidRPr="00683D05" w:rsidRDefault="000C086A" w:rsidP="00041763"/>
    <w:p w14:paraId="27AAF133" w14:textId="53E4E4F9" w:rsidR="00041763" w:rsidRPr="00683D05" w:rsidRDefault="00041763" w:rsidP="00041763">
      <w:r w:rsidRPr="00683D05">
        <w:t xml:space="preserve">The </w:t>
      </w:r>
      <w:r w:rsidRPr="00683D05">
        <w:rPr>
          <w:i/>
          <w:lang w:val="en-US"/>
        </w:rPr>
        <w:t xml:space="preserve">Legislation Act 2003 </w:t>
      </w:r>
      <w:r w:rsidRPr="00683D05">
        <w:rPr>
          <w:lang w:val="en-US"/>
        </w:rPr>
        <w:t xml:space="preserve">(Legislation Act) </w:t>
      </w:r>
      <w:r w:rsidRPr="00683D05">
        <w:t xml:space="preserve">provides that all legislative instruments, other than exempt instruments, are automatically repealed according to the progressive timetable set out in section 50 of that Act. Legislative instruments generally cease to </w:t>
      </w:r>
      <w:r w:rsidRPr="00683D05">
        <w:lastRenderedPageBreak/>
        <w:t>have effect after a specific anniversary of registration unless further legislative action is taken to extend their operation, such as remaking the instrument.</w:t>
      </w:r>
    </w:p>
    <w:p w14:paraId="63F406B8" w14:textId="77777777" w:rsidR="00041763" w:rsidRPr="00683D05" w:rsidRDefault="00041763" w:rsidP="00041763">
      <w:pPr>
        <w:spacing w:before="240"/>
      </w:pPr>
      <w:r w:rsidRPr="00683D05">
        <w:t xml:space="preserve">The 2007 Determination was reviewed as part of the February 2018 </w:t>
      </w:r>
      <w:r w:rsidRPr="00683D05">
        <w:rPr>
          <w:i/>
        </w:rPr>
        <w:t>Thematic Review of Commonwealth Medical and Midwife Indemnity Legislation</w:t>
      </w:r>
      <w:r w:rsidRPr="00683D05">
        <w:t xml:space="preserve"> (the Thematic Review) prepared for the Department of Health. The sunsetting date for the 2007 Determination was adjusted to allow for the Thematic Review to be undertaken and then deferred so that amendments to the </w:t>
      </w:r>
      <w:r w:rsidRPr="00683D05">
        <w:rPr>
          <w:iCs/>
          <w:lang w:val="en-US"/>
        </w:rPr>
        <w:t xml:space="preserve">MIPSPS </w:t>
      </w:r>
      <w:r w:rsidRPr="00683D05">
        <w:t xml:space="preserve">Act could be legislated. The sunsetting date is now </w:t>
      </w:r>
      <w:r w:rsidRPr="00683D05">
        <w:br/>
        <w:t>1 October 2021.</w:t>
      </w:r>
    </w:p>
    <w:p w14:paraId="23B2AED7" w14:textId="77777777" w:rsidR="00041763" w:rsidRPr="00683D05" w:rsidRDefault="00041763" w:rsidP="00041763">
      <w:pPr>
        <w:spacing w:before="240"/>
      </w:pPr>
      <w:r w:rsidRPr="00683D05">
        <w:t>The Thematic Review reviewed 17 legislative instruments, including the 2007 Determination, which collectively support the Indemnity Insurance Fund. The Indemnity Insurance Fund comprises seven related schemes that are collectively designed to promote stability of the medical indemnity insurance industry and support the availability of affordable indemnity insurance for medical practitioners, allied health professionals and eligible midwives.</w:t>
      </w:r>
    </w:p>
    <w:p w14:paraId="18EA3A76" w14:textId="77777777" w:rsidR="00041763" w:rsidRPr="00683D05" w:rsidRDefault="00041763" w:rsidP="00041763">
      <w:pPr>
        <w:spacing w:before="240"/>
      </w:pPr>
      <w:r w:rsidRPr="00683D05">
        <w:t>The Thematic Review involved consultation with regulatory and other bodies managing or overseeing medical indemnity arrangements, relevant Departments and Government Agencies, the Law Council of Australia, medical indemnity insurers, and peak bodies representing insurers, medical practitioners and midwives. It also involved a review of recent relevant reports including those of the Australian National Audit Office and the Department of Human Services and a review of submissions made by stakeholders over the past three years.</w:t>
      </w:r>
      <w:r w:rsidRPr="00683D05">
        <w:rPr>
          <w:rStyle w:val="FootnoteReference"/>
        </w:rPr>
        <w:footnoteReference w:id="3"/>
      </w:r>
    </w:p>
    <w:p w14:paraId="6CD177DD" w14:textId="77777777" w:rsidR="00041763" w:rsidRPr="00683D05" w:rsidRDefault="00041763" w:rsidP="00041763"/>
    <w:p w14:paraId="3AF03F90" w14:textId="77777777" w:rsidR="00041763" w:rsidRPr="00683D05" w:rsidRDefault="00041763" w:rsidP="00041763">
      <w:pPr>
        <w:rPr>
          <w:lang w:val="en-US"/>
        </w:rPr>
      </w:pPr>
      <w:r w:rsidRPr="00683D05">
        <w:t xml:space="preserve">The Thematic Review found that the 2007 Determination is still required in order to </w:t>
      </w:r>
      <w:r w:rsidRPr="00683D05">
        <w:rPr>
          <w:lang w:val="en-US"/>
        </w:rPr>
        <w:t>set out other information, in addition to the information required in subparagraphs 26D(2)(b)(i) and (ii) of the</w:t>
      </w:r>
      <w:r w:rsidRPr="00683D05">
        <w:rPr>
          <w:iCs/>
          <w:lang w:val="en-US"/>
        </w:rPr>
        <w:t xml:space="preserve"> MIPSPS</w:t>
      </w:r>
      <w:r w:rsidRPr="00683D05">
        <w:rPr>
          <w:lang w:val="en-US"/>
        </w:rPr>
        <w:t xml:space="preserve"> Act, to be provided by medical indemnity insurers in a written notice to </w:t>
      </w:r>
      <w:r w:rsidRPr="00683D05">
        <w:t>the Chief Executive Medicare</w:t>
      </w:r>
      <w:r w:rsidRPr="00683D05">
        <w:rPr>
          <w:lang w:val="en-US"/>
        </w:rPr>
        <w:t xml:space="preserve">. </w:t>
      </w:r>
    </w:p>
    <w:p w14:paraId="2DC34EE8" w14:textId="77777777" w:rsidR="00041763" w:rsidRPr="00683D05" w:rsidRDefault="00041763" w:rsidP="00041763">
      <w:pPr>
        <w:rPr>
          <w:lang w:val="en-US"/>
        </w:rPr>
      </w:pPr>
    </w:p>
    <w:p w14:paraId="38B6DAB8" w14:textId="77777777" w:rsidR="00041763" w:rsidRPr="00683D05" w:rsidRDefault="00041763" w:rsidP="00041763">
      <w:pPr>
        <w:rPr>
          <w:b/>
          <w:u w:val="single"/>
          <w:lang w:val="en-US"/>
        </w:rPr>
      </w:pPr>
      <w:r w:rsidRPr="00683D05">
        <w:rPr>
          <w:b/>
          <w:u w:val="single"/>
          <w:lang w:val="en-US"/>
        </w:rPr>
        <w:t xml:space="preserve">Operation </w:t>
      </w:r>
    </w:p>
    <w:p w14:paraId="59F1A6C6" w14:textId="77777777" w:rsidR="00041763" w:rsidRPr="00683D05" w:rsidRDefault="00041763" w:rsidP="00041763">
      <w:pPr>
        <w:rPr>
          <w:lang w:val="en-US"/>
        </w:rPr>
      </w:pPr>
    </w:p>
    <w:p w14:paraId="2697E348" w14:textId="77777777" w:rsidR="00041763" w:rsidRPr="00683D05" w:rsidRDefault="00041763" w:rsidP="00041763">
      <w:r w:rsidRPr="00683D05">
        <w:rPr>
          <w:lang w:val="en-US"/>
        </w:rPr>
        <w:t xml:space="preserve">The </w:t>
      </w:r>
      <w:r w:rsidRPr="00683D05">
        <w:t>Determination</w:t>
      </w:r>
      <w:r w:rsidRPr="00683D05">
        <w:rPr>
          <w:lang w:val="en-US"/>
        </w:rPr>
        <w:t xml:space="preserve"> </w:t>
      </w:r>
      <w:r w:rsidRPr="00683D05">
        <w:t>specifies additional information that must be provided to the Chief Executive Medicare to support the Commonwealth administration of the ROCS, including: general identifying information about the practitioner</w:t>
      </w:r>
      <w:r w:rsidRPr="00683D05">
        <w:rPr>
          <w:lang w:val="en-US"/>
        </w:rPr>
        <w:t xml:space="preserve"> and their registration to practice</w:t>
      </w:r>
      <w:r w:rsidRPr="00683D05">
        <w:t xml:space="preserve">; information about the level and period of medical indemnity cover provided to the practitioner; the reason that the practitioner is eligible for ROCS cover; the level of ROCS cover being provided, and information regarding premiums paid by the practitioner. </w:t>
      </w:r>
    </w:p>
    <w:p w14:paraId="2BF70378" w14:textId="77777777" w:rsidR="00041763" w:rsidRPr="00683D05" w:rsidRDefault="00041763" w:rsidP="00041763">
      <w:pPr>
        <w:rPr>
          <w:lang w:val="en-US"/>
        </w:rPr>
      </w:pPr>
    </w:p>
    <w:p w14:paraId="3E4CE2EB" w14:textId="77777777" w:rsidR="00041763" w:rsidRPr="00683D05" w:rsidRDefault="00041763" w:rsidP="00041763">
      <w:pPr>
        <w:rPr>
          <w:lang w:val="en-US"/>
        </w:rPr>
      </w:pPr>
      <w:r w:rsidRPr="00683D05">
        <w:rPr>
          <w:lang w:val="en-US"/>
        </w:rPr>
        <w:t>Information gathered under this Determination will be used by the Commonwealth in the management of the ROCS and in the preparation of the annual report on this scheme. The Secretary of the Department of Health is required under subsection 34ZW(2A) of the</w:t>
      </w:r>
      <w:r w:rsidRPr="00683D05">
        <w:rPr>
          <w:i/>
          <w:lang w:val="en-US"/>
        </w:rPr>
        <w:t xml:space="preserve"> </w:t>
      </w:r>
      <w:r w:rsidRPr="00683D05">
        <w:rPr>
          <w:lang w:val="en-US"/>
        </w:rPr>
        <w:t xml:space="preserve">MI Act </w:t>
      </w:r>
      <w:r w:rsidRPr="00683D05">
        <w:t xml:space="preserve">(as amended by the </w:t>
      </w:r>
      <w:r w:rsidRPr="00683D05">
        <w:rPr>
          <w:i/>
        </w:rPr>
        <w:t xml:space="preserve">Medical and Midwife Indemnity </w:t>
      </w:r>
      <w:r w:rsidRPr="00683D05">
        <w:rPr>
          <w:i/>
        </w:rPr>
        <w:lastRenderedPageBreak/>
        <w:t>Legislation Amendment Act 2019</w:t>
      </w:r>
      <w:r w:rsidRPr="00683D05">
        <w:rPr>
          <w:iCs/>
        </w:rPr>
        <w:t>)</w:t>
      </w:r>
      <w:r w:rsidRPr="00683D05">
        <w:rPr>
          <w:lang w:val="en-US"/>
        </w:rPr>
        <w:t xml:space="preserve"> to publish the ROCS report on the Department of Health’s website within 30 days after receiving the report.</w:t>
      </w:r>
    </w:p>
    <w:p w14:paraId="26AA206C" w14:textId="77777777" w:rsidR="00041763" w:rsidRPr="00683D05" w:rsidRDefault="00041763" w:rsidP="00041763">
      <w:pPr>
        <w:ind w:left="540"/>
        <w:rPr>
          <w:lang w:val="en-US"/>
        </w:rPr>
      </w:pPr>
    </w:p>
    <w:p w14:paraId="67AA9AE9" w14:textId="77777777" w:rsidR="00041763" w:rsidRPr="00683D05" w:rsidRDefault="00041763" w:rsidP="00041763">
      <w:pPr>
        <w:rPr>
          <w:lang w:val="en-US"/>
        </w:rPr>
      </w:pPr>
      <w:r w:rsidRPr="00683D05">
        <w:rPr>
          <w:lang w:val="en-US"/>
        </w:rPr>
        <w:t xml:space="preserve">To assist in the administration of the reporting, Services Australia has developed a ROCS Data Transmission Format (DTF) document to receive and store the information from medical indemnity insurers. The DFT document describes all of the ROCS information required to be reported by medical indemnity insurers, and supports the transmission of this information. The DTF also contains instructions and technical information in order for the data to be accepted through the Services Australia gateway to its database. </w:t>
      </w:r>
    </w:p>
    <w:p w14:paraId="1705C805" w14:textId="77777777" w:rsidR="00041763" w:rsidRPr="00683D05" w:rsidRDefault="00041763" w:rsidP="00041763">
      <w:pPr>
        <w:rPr>
          <w:lang w:val="en-US"/>
        </w:rPr>
      </w:pPr>
    </w:p>
    <w:p w14:paraId="53D72675"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b/>
          <w:bCs/>
          <w:i/>
        </w:rPr>
      </w:pPr>
      <w:r w:rsidRPr="00683D05">
        <w:rPr>
          <w:b/>
          <w:bCs/>
          <w:i/>
        </w:rPr>
        <w:t>Information to be provided under the Determination</w:t>
      </w:r>
    </w:p>
    <w:p w14:paraId="7FEB2AA5"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b/>
          <w:bCs/>
          <w:i/>
        </w:rPr>
      </w:pPr>
    </w:p>
    <w:p w14:paraId="7BCFFB77" w14:textId="77777777" w:rsidR="00041763" w:rsidRPr="00683D05" w:rsidRDefault="00041763" w:rsidP="00041763">
      <w:pPr>
        <w:rPr>
          <w:lang w:val="en-US"/>
        </w:rPr>
      </w:pPr>
      <w:r w:rsidRPr="00683D05">
        <w:rPr>
          <w:lang w:val="en-US"/>
        </w:rPr>
        <w:t xml:space="preserve">Subsection 26D(2) of the MIPSPS Act requires medical indemnity insurers to give the Chief Executive Medicare a written notice stating the name of the medical practitioner to whom they have provided cover under the ROCS, the date on which this cover took effect and such other matters listed in the relevant determination.  </w:t>
      </w:r>
    </w:p>
    <w:p w14:paraId="74EF0A6D" w14:textId="77777777" w:rsidR="00041763" w:rsidRPr="00683D05" w:rsidRDefault="00041763" w:rsidP="00041763">
      <w:pPr>
        <w:ind w:left="540"/>
        <w:rPr>
          <w:lang w:val="en-US"/>
        </w:rPr>
      </w:pPr>
    </w:p>
    <w:p w14:paraId="116FDDBA" w14:textId="77777777" w:rsidR="00041763" w:rsidRPr="00683D05" w:rsidRDefault="00041763" w:rsidP="00041763">
      <w:pPr>
        <w:rPr>
          <w:lang w:val="en-US"/>
        </w:rPr>
      </w:pPr>
      <w:r w:rsidRPr="00683D05">
        <w:rPr>
          <w:lang w:val="en-US"/>
        </w:rPr>
        <w:t xml:space="preserve">This </w:t>
      </w:r>
      <w:r w:rsidRPr="00683D05">
        <w:t>Determination</w:t>
      </w:r>
      <w:r w:rsidRPr="00683D05">
        <w:rPr>
          <w:lang w:val="en-US"/>
        </w:rPr>
        <w:t xml:space="preserve"> describes the range of other matters which medical indemnity insurers should also provide to the Chief Executive Medicare via written notices, including:</w:t>
      </w:r>
    </w:p>
    <w:p w14:paraId="0B99F23A" w14:textId="77777777" w:rsidR="00041763" w:rsidRPr="00683D05" w:rsidRDefault="00041763" w:rsidP="00041763">
      <w:pPr>
        <w:rPr>
          <w:lang w:val="en-US"/>
        </w:rPr>
      </w:pPr>
    </w:p>
    <w:p w14:paraId="2BEE63C1" w14:textId="77777777" w:rsidR="00041763" w:rsidRPr="00683D05" w:rsidRDefault="00041763" w:rsidP="00041763">
      <w:pPr>
        <w:numPr>
          <w:ilvl w:val="0"/>
          <w:numId w:val="2"/>
        </w:numPr>
        <w:rPr>
          <w:lang w:val="en-US"/>
        </w:rPr>
      </w:pPr>
      <w:r w:rsidRPr="00683D05">
        <w:rPr>
          <w:lang w:val="en-US"/>
        </w:rPr>
        <w:t>which of the eligibility criteria the medical practitioner met (under subsection 34ZB(2) of the MI Act);</w:t>
      </w:r>
    </w:p>
    <w:p w14:paraId="73759DEE" w14:textId="77777777" w:rsidR="00041763" w:rsidRPr="00683D05" w:rsidRDefault="00041763" w:rsidP="00041763">
      <w:pPr>
        <w:numPr>
          <w:ilvl w:val="0"/>
          <w:numId w:val="2"/>
        </w:numPr>
        <w:rPr>
          <w:lang w:val="en-US"/>
        </w:rPr>
      </w:pPr>
      <w:r w:rsidRPr="00683D05">
        <w:rPr>
          <w:lang w:val="en-US"/>
        </w:rPr>
        <w:t xml:space="preserve">general identifying information about the medical practitioner and their registration to practice; </w:t>
      </w:r>
    </w:p>
    <w:p w14:paraId="0238A3DC" w14:textId="77777777" w:rsidR="00041763" w:rsidRPr="00683D05" w:rsidRDefault="00041763" w:rsidP="00041763">
      <w:pPr>
        <w:numPr>
          <w:ilvl w:val="0"/>
          <w:numId w:val="2"/>
        </w:numPr>
        <w:rPr>
          <w:lang w:val="en-US"/>
        </w:rPr>
      </w:pPr>
      <w:r w:rsidRPr="00683D05">
        <w:rPr>
          <w:lang w:val="en-US"/>
        </w:rPr>
        <w:t>the level and period of medical indemnity cover provided in the past; and</w:t>
      </w:r>
    </w:p>
    <w:p w14:paraId="51F2CDB7" w14:textId="77777777" w:rsidR="00041763" w:rsidRPr="00683D05" w:rsidRDefault="00041763" w:rsidP="00041763">
      <w:pPr>
        <w:numPr>
          <w:ilvl w:val="0"/>
          <w:numId w:val="2"/>
        </w:numPr>
        <w:rPr>
          <w:lang w:val="en-US"/>
        </w:rPr>
      </w:pPr>
      <w:r w:rsidRPr="00683D05">
        <w:t xml:space="preserve">information about the </w:t>
      </w:r>
      <w:r w:rsidRPr="00683D05">
        <w:rPr>
          <w:lang w:val="en-US"/>
        </w:rPr>
        <w:t xml:space="preserve">medical practitioner’s </w:t>
      </w:r>
      <w:r w:rsidRPr="00683D05">
        <w:t>last three periods of insurance before the medical indemnity insurer provided cover under subsections 26A(1)or 26C(1) of the MIPSPS Act and the premiums paid.</w:t>
      </w:r>
    </w:p>
    <w:p w14:paraId="6ACAD86C" w14:textId="77777777" w:rsidR="00041763" w:rsidRPr="00683D05" w:rsidRDefault="00041763" w:rsidP="00041763">
      <w:pPr>
        <w:ind w:left="180"/>
        <w:rPr>
          <w:lang w:val="en-US"/>
        </w:rPr>
      </w:pPr>
    </w:p>
    <w:p w14:paraId="02DD8A25"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b/>
          <w:bCs/>
          <w:i/>
        </w:rPr>
      </w:pPr>
      <w:r w:rsidRPr="00683D05">
        <w:rPr>
          <w:b/>
          <w:bCs/>
          <w:i/>
        </w:rPr>
        <w:t>Timing for the provision of information to the Chief Executive Medicare</w:t>
      </w:r>
    </w:p>
    <w:p w14:paraId="080957EE" w14:textId="77777777" w:rsidR="00041763" w:rsidRPr="00683D05" w:rsidRDefault="00041763" w:rsidP="00041763">
      <w:pPr>
        <w:tabs>
          <w:tab w:val="left" w:pos="540"/>
          <w:tab w:val="left" w:pos="2773"/>
          <w:tab w:val="left" w:pos="3697"/>
          <w:tab w:val="left" w:pos="4621"/>
          <w:tab w:val="left" w:pos="5545"/>
          <w:tab w:val="left" w:pos="6469"/>
          <w:tab w:val="left" w:pos="7394"/>
          <w:tab w:val="left" w:pos="8318"/>
          <w:tab w:val="right" w:pos="8930"/>
        </w:tabs>
        <w:rPr>
          <w:b/>
          <w:bCs/>
        </w:rPr>
      </w:pPr>
    </w:p>
    <w:p w14:paraId="697EF890" w14:textId="77777777" w:rsidR="00041763" w:rsidRPr="00683D05" w:rsidRDefault="00041763" w:rsidP="00041763">
      <w:pPr>
        <w:rPr>
          <w:lang w:val="en-US"/>
        </w:rPr>
      </w:pPr>
      <w:r w:rsidRPr="00683D05">
        <w:rPr>
          <w:lang w:val="en-US"/>
        </w:rPr>
        <w:t xml:space="preserve">Under subsection 26D(2A) of the MIPSPS Act, medical indemnity insurers are required to provide information to the Chief Executive Medicare via Services Australia within the notification period of 61 days starting on the day after the day on which the </w:t>
      </w:r>
      <w:r w:rsidRPr="00683D05">
        <w:t xml:space="preserve">medical indemnity </w:t>
      </w:r>
      <w:r w:rsidRPr="00683D05">
        <w:rPr>
          <w:lang w:val="en-US"/>
        </w:rPr>
        <w:t xml:space="preserve">insurer provides cover to a medical practitioner under subsections 26A(1) or 26C(1) of the MIPSPS Act.  </w:t>
      </w:r>
    </w:p>
    <w:p w14:paraId="47129880" w14:textId="77777777" w:rsidR="00041763" w:rsidRPr="00683D05" w:rsidRDefault="00041763" w:rsidP="00041763">
      <w:pPr>
        <w:ind w:left="540"/>
        <w:rPr>
          <w:lang w:val="en-US"/>
        </w:rPr>
      </w:pPr>
    </w:p>
    <w:p w14:paraId="2F713C25" w14:textId="77777777" w:rsidR="00041763" w:rsidRPr="00683D05" w:rsidRDefault="00041763" w:rsidP="00041763">
      <w:pPr>
        <w:rPr>
          <w:bCs/>
          <w:iCs/>
        </w:rPr>
      </w:pPr>
      <w:r w:rsidRPr="00683D05">
        <w:rPr>
          <w:lang w:val="en-US"/>
        </w:rPr>
        <w:t xml:space="preserve">The same </w:t>
      </w:r>
      <w:r w:rsidRPr="00683D05">
        <w:t xml:space="preserve">medical indemnity </w:t>
      </w:r>
      <w:r w:rsidRPr="00683D05">
        <w:rPr>
          <w:lang w:val="en-US"/>
        </w:rPr>
        <w:t xml:space="preserve">insurer may provide cover to the same medical practitioner under subsections 26A(1) or 26C(1) of the MIPSPS Act on more than one occasion in respect to different </w:t>
      </w:r>
      <w:r w:rsidRPr="00683D05">
        <w:rPr>
          <w:bCs/>
          <w:iCs/>
        </w:rPr>
        <w:t xml:space="preserve">medical practice periods. </w:t>
      </w:r>
    </w:p>
    <w:p w14:paraId="1A69B0BF" w14:textId="77777777" w:rsidR="001F3BA1" w:rsidRPr="00683D05" w:rsidRDefault="001F3BA1" w:rsidP="00A42820">
      <w:pPr>
        <w:rPr>
          <w:b/>
        </w:rPr>
      </w:pPr>
    </w:p>
    <w:p w14:paraId="63AE4EED" w14:textId="77777777" w:rsidR="00A42820" w:rsidRPr="00683D05" w:rsidRDefault="00A42820" w:rsidP="00A42820">
      <w:pPr>
        <w:rPr>
          <w:b/>
        </w:rPr>
      </w:pPr>
      <w:r w:rsidRPr="00683D05">
        <w:rPr>
          <w:b/>
        </w:rPr>
        <w:t>Human rights implications</w:t>
      </w:r>
    </w:p>
    <w:p w14:paraId="3116B523" w14:textId="77777777" w:rsidR="00A42820" w:rsidRPr="00683D05" w:rsidRDefault="00A42820" w:rsidP="00A42820">
      <w:pPr>
        <w:rPr>
          <w:b/>
        </w:rPr>
      </w:pPr>
    </w:p>
    <w:p w14:paraId="4F2FCDCA" w14:textId="330D76F1" w:rsidR="00C21642" w:rsidRPr="00683D05" w:rsidRDefault="00C21642" w:rsidP="00C21642">
      <w:r w:rsidRPr="00683D05">
        <w:t xml:space="preserve">The instrument does not engage any of the human rights and freedoms recognised in the seven core international human rights treaties which Australia has ratified. However, the overarching purpose of the medical indemnity legislation is to enable payments to be made to </w:t>
      </w:r>
      <w:r w:rsidR="00D522E5" w:rsidRPr="00683D05">
        <w:t xml:space="preserve">medical indemnity </w:t>
      </w:r>
      <w:r w:rsidRPr="00683D05">
        <w:t xml:space="preserve">insurers to subsidise the cost of medical indemnity insurance for medical practitioners and allied health professionals such that persons who </w:t>
      </w:r>
      <w:r w:rsidRPr="00683D05">
        <w:lastRenderedPageBreak/>
        <w:t>make legitimate claims against medical practitioners or allied health professionals are able to be compensated for any loss they have suffered. This supports Article 12(2)(d) of the International Covenant on Economic, Social and Cultural Rights such that it creates “conditions which would assure to all medical service and medical attention in the event of sickness”.</w:t>
      </w:r>
    </w:p>
    <w:p w14:paraId="2698CB20" w14:textId="4EB560B8" w:rsidR="002147BE" w:rsidRPr="00683D05" w:rsidRDefault="002147BE" w:rsidP="00C21642"/>
    <w:p w14:paraId="41898AA8" w14:textId="546DA4D2" w:rsidR="00570AF0" w:rsidRPr="00683D05" w:rsidRDefault="00171D9D" w:rsidP="00570AF0">
      <w:r w:rsidRPr="00683D05">
        <w:t>This instrument engage</w:t>
      </w:r>
      <w:r w:rsidR="005733EA" w:rsidRPr="00683D05">
        <w:t>s</w:t>
      </w:r>
      <w:r w:rsidRPr="00683D05">
        <w:t xml:space="preserve"> the </w:t>
      </w:r>
      <w:r w:rsidR="00570AF0" w:rsidRPr="00683D05">
        <w:t xml:space="preserve">right to privacy in </w:t>
      </w:r>
      <w:r w:rsidRPr="00683D05">
        <w:t>A</w:t>
      </w:r>
      <w:r w:rsidR="002147BE" w:rsidRPr="00683D05">
        <w:t xml:space="preserve">rticle 17 of the </w:t>
      </w:r>
      <w:hyperlink r:id="rId13" w:history="1">
        <w:r w:rsidR="00570AF0" w:rsidRPr="00683D05">
          <w:t>International Covenant on Civil and Political Rights</w:t>
        </w:r>
      </w:hyperlink>
      <w:r w:rsidR="00570AF0" w:rsidRPr="00683D05">
        <w:t xml:space="preserve"> (ICCPR). Article 17 </w:t>
      </w:r>
      <w:r w:rsidR="002147BE" w:rsidRPr="00683D05">
        <w:t>prohibits unlawful or arbitrary interferences with a person's</w:t>
      </w:r>
      <w:r w:rsidR="002147BE" w:rsidRPr="00683D05">
        <w:rPr>
          <w:sz w:val="22"/>
          <w:szCs w:val="22"/>
        </w:rPr>
        <w:t xml:space="preserve"> </w:t>
      </w:r>
      <w:r w:rsidR="002147BE" w:rsidRPr="00683D05">
        <w:t xml:space="preserve">privacy, family, home and correspondence. </w:t>
      </w:r>
      <w:r w:rsidR="00570AF0" w:rsidRPr="00683D05">
        <w:t>This instrument requires medical indemnity insurers to provide personal information</w:t>
      </w:r>
      <w:r w:rsidR="00D10B9D" w:rsidRPr="00683D05">
        <w:t xml:space="preserve"> of medical practitioners. The interference of a medical practitioner’s right to privacy in this circumstance is</w:t>
      </w:r>
      <w:r w:rsidR="005733EA" w:rsidRPr="00683D05">
        <w:t>,</w:t>
      </w:r>
      <w:r w:rsidR="00D10B9D" w:rsidRPr="00683D05">
        <w:t xml:space="preserve"> however</w:t>
      </w:r>
      <w:r w:rsidR="005733EA" w:rsidRPr="00683D05">
        <w:t>,</w:t>
      </w:r>
      <w:r w:rsidR="00D10B9D" w:rsidRPr="00683D05">
        <w:t xml:space="preserve"> for the benefit of the medical practitioner in that it facilitates the provision of an indemnity for valid claims once the medical practitioner ceases private medical practice. </w:t>
      </w:r>
    </w:p>
    <w:p w14:paraId="1043A166" w14:textId="0D58FEA2" w:rsidR="00570AF0" w:rsidRPr="00683D05" w:rsidRDefault="00570AF0" w:rsidP="00570AF0"/>
    <w:p w14:paraId="53627FC9" w14:textId="6FEF3B0C" w:rsidR="002147BE" w:rsidRPr="00683D05" w:rsidRDefault="00D10B9D" w:rsidP="00C21642">
      <w:r w:rsidRPr="00683D05">
        <w:t>T</w:t>
      </w:r>
      <w:r w:rsidR="002147BE" w:rsidRPr="00683D05">
        <w:t xml:space="preserve">he right to privacy is not absolute and there may be circumstances in which the guarantees in </w:t>
      </w:r>
      <w:r w:rsidR="00570AF0" w:rsidRPr="00683D05">
        <w:t>A</w:t>
      </w:r>
      <w:r w:rsidR="002147BE" w:rsidRPr="00683D05">
        <w:t>rticle 17 can be outweighed by other considerations, such as the protection of the right to health</w:t>
      </w:r>
      <w:r w:rsidR="00767767" w:rsidRPr="00683D05">
        <w:t xml:space="preserve">. In these circumstances, it is permissible to limit the right to privacy as the provision of the personal information of medical practitioners is designed to </w:t>
      </w:r>
      <w:r w:rsidR="004A4152" w:rsidRPr="00683D05">
        <w:t xml:space="preserve">indemnify </w:t>
      </w:r>
      <w:r w:rsidR="001B31D1" w:rsidRPr="00683D05">
        <w:t xml:space="preserve">medical practitioners in a manner which does not disadvantage the medical </w:t>
      </w:r>
      <w:r w:rsidR="004A4152" w:rsidRPr="00683D05">
        <w:t>practitioner,</w:t>
      </w:r>
      <w:r w:rsidR="001B31D1" w:rsidRPr="00683D05">
        <w:t xml:space="preserve"> and which empowers patients to access compensation. </w:t>
      </w:r>
    </w:p>
    <w:p w14:paraId="4CFA49DA" w14:textId="77777777" w:rsidR="002147BE" w:rsidRPr="00683D05" w:rsidRDefault="002147BE" w:rsidP="00C21642"/>
    <w:p w14:paraId="77F6A28F" w14:textId="77777777" w:rsidR="00A42820" w:rsidRPr="00683D05" w:rsidRDefault="00A42820" w:rsidP="00A42820">
      <w:pPr>
        <w:rPr>
          <w:b/>
        </w:rPr>
      </w:pPr>
      <w:r w:rsidRPr="00683D05">
        <w:rPr>
          <w:b/>
        </w:rPr>
        <w:t>Conclusion</w:t>
      </w:r>
    </w:p>
    <w:p w14:paraId="4BC74288" w14:textId="77777777" w:rsidR="00A42820" w:rsidRPr="00683D05" w:rsidRDefault="00A42820" w:rsidP="00A42820">
      <w:pPr>
        <w:rPr>
          <w:b/>
        </w:rPr>
      </w:pPr>
    </w:p>
    <w:p w14:paraId="36503B8A" w14:textId="176040B4" w:rsidR="00C21642" w:rsidRPr="00683D05" w:rsidRDefault="00C21642" w:rsidP="00C21642">
      <w:r w:rsidRPr="00683D05">
        <w:t>This Legislative Instrument is compatible with human rights</w:t>
      </w:r>
      <w:r w:rsidR="00886A34" w:rsidRPr="00683D05">
        <w:t xml:space="preserve"> because the right to privacy </w:t>
      </w:r>
      <w:r w:rsidR="00D10B9D" w:rsidRPr="00683D05">
        <w:t xml:space="preserve">is permissibly limited in order to facilitate </w:t>
      </w:r>
      <w:r w:rsidR="00075415" w:rsidRPr="00683D05">
        <w:t xml:space="preserve">the Commonwealth’s provision of run-off cover </w:t>
      </w:r>
      <w:r w:rsidR="00D10B9D" w:rsidRPr="00683D05">
        <w:t xml:space="preserve">in </w:t>
      </w:r>
      <w:r w:rsidR="00075415" w:rsidRPr="00683D05">
        <w:t xml:space="preserve">specific </w:t>
      </w:r>
      <w:r w:rsidR="00D10B9D" w:rsidRPr="00683D05">
        <w:t xml:space="preserve">circumstances </w:t>
      </w:r>
      <w:r w:rsidR="00075415" w:rsidRPr="00683D05">
        <w:t xml:space="preserve">in order to </w:t>
      </w:r>
      <w:r w:rsidR="00D10B9D" w:rsidRPr="00683D05">
        <w:t xml:space="preserve">provide compensation to former patients affected by </w:t>
      </w:r>
      <w:r w:rsidR="00075415" w:rsidRPr="00683D05">
        <w:t>a medical practitioner’s private medical</w:t>
      </w:r>
      <w:r w:rsidR="00D10B9D" w:rsidRPr="00683D05">
        <w:t xml:space="preserve"> practice</w:t>
      </w:r>
      <w:r w:rsidRPr="00683D05">
        <w:t xml:space="preserve">. </w:t>
      </w:r>
    </w:p>
    <w:p w14:paraId="3F08F8B2" w14:textId="77777777" w:rsidR="00C44229" w:rsidRPr="00683D05" w:rsidRDefault="00C44229" w:rsidP="00A42820"/>
    <w:p w14:paraId="56399D27" w14:textId="77777777" w:rsidR="00C44229" w:rsidRPr="002F3AE3" w:rsidRDefault="00C44229" w:rsidP="00C44229">
      <w:pPr>
        <w:jc w:val="center"/>
      </w:pPr>
      <w:r w:rsidRPr="00683D05">
        <w:rPr>
          <w:b/>
          <w:bCs/>
          <w:sz w:val="23"/>
          <w:szCs w:val="23"/>
        </w:rPr>
        <w:t>The Hon Greg Hunt MP, Minister for Health</w:t>
      </w:r>
      <w:bookmarkStart w:id="0" w:name="_GoBack"/>
      <w:bookmarkEnd w:id="0"/>
    </w:p>
    <w:p w14:paraId="7B4ECEDC" w14:textId="77777777" w:rsidR="00C44229" w:rsidRDefault="00C44229" w:rsidP="00A42820"/>
    <w:p w14:paraId="1962CB21" w14:textId="77777777" w:rsidR="00A42820" w:rsidRPr="00C90D81" w:rsidRDefault="00A42820" w:rsidP="00A42820"/>
    <w:p w14:paraId="7E17788B" w14:textId="77777777" w:rsidR="00003743" w:rsidRPr="002F3AE3" w:rsidRDefault="00003743" w:rsidP="002F3AE3"/>
    <w:sectPr w:rsidR="00003743" w:rsidRPr="002F3AE3" w:rsidSect="00C056CA">
      <w:headerReference w:type="default" r:id="rId14"/>
      <w:pgSz w:w="11906" w:h="16838" w:code="9"/>
      <w:pgMar w:top="1440" w:right="1701" w:bottom="1440" w:left="170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06B7E" w16cid:durableId="21E575B5"/>
  <w16cid:commentId w16cid:paraId="357F6F12" w16cid:durableId="21E400AC"/>
  <w16cid:commentId w16cid:paraId="74D4D748" w16cid:durableId="21E405CC"/>
  <w16cid:commentId w16cid:paraId="7E8E9174" w16cid:durableId="21E50245"/>
  <w16cid:commentId w16cid:paraId="5EF0EF49" w16cid:durableId="21ED3268"/>
  <w16cid:commentId w16cid:paraId="30BAC821" w16cid:durableId="21E502F8"/>
  <w16cid:commentId w16cid:paraId="45A02FDF" w16cid:durableId="21ED369D"/>
  <w16cid:commentId w16cid:paraId="75D683C7" w16cid:durableId="21ED36C8"/>
  <w16cid:commentId w16cid:paraId="188FCEE7" w16cid:durableId="21ED3C32"/>
  <w16cid:commentId w16cid:paraId="5BA8AB17" w16cid:durableId="21E5108E"/>
  <w16cid:commentId w16cid:paraId="7AF74653" w16cid:durableId="21ED3E05"/>
  <w16cid:commentId w16cid:paraId="305C8F15" w16cid:durableId="21ED3E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F59A" w14:textId="77777777" w:rsidR="00515B29" w:rsidRDefault="00515B29" w:rsidP="00863E14">
      <w:r>
        <w:separator/>
      </w:r>
    </w:p>
  </w:endnote>
  <w:endnote w:type="continuationSeparator" w:id="0">
    <w:p w14:paraId="5BD28E1E" w14:textId="77777777" w:rsidR="00515B29" w:rsidRDefault="00515B29" w:rsidP="0086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A93A7" w14:textId="77777777" w:rsidR="00515B29" w:rsidRDefault="00515B29" w:rsidP="00863E14">
      <w:r>
        <w:separator/>
      </w:r>
    </w:p>
  </w:footnote>
  <w:footnote w:type="continuationSeparator" w:id="0">
    <w:p w14:paraId="438C0ECB" w14:textId="77777777" w:rsidR="00515B29" w:rsidRDefault="00515B29" w:rsidP="00863E14">
      <w:r>
        <w:continuationSeparator/>
      </w:r>
    </w:p>
  </w:footnote>
  <w:footnote w:id="1">
    <w:p w14:paraId="4E2F5E4F" w14:textId="77777777" w:rsidR="00D651BB" w:rsidRDefault="00D651BB" w:rsidP="00D651BB">
      <w:pPr>
        <w:pStyle w:val="FootnoteText"/>
      </w:pPr>
      <w:r>
        <w:rPr>
          <w:rStyle w:val="FootnoteReference"/>
        </w:rPr>
        <w:footnoteRef/>
      </w:r>
      <w:r>
        <w:t xml:space="preserve"> </w:t>
      </w:r>
      <w:r w:rsidR="00A956F7">
        <w:t xml:space="preserve">Department of Health, </w:t>
      </w:r>
      <w:r w:rsidR="00A956F7" w:rsidRPr="002013C5">
        <w:rPr>
          <w:i/>
        </w:rPr>
        <w:t>Thematic Review of Commonwealth Medical and Midwife Indemnity Legislation</w:t>
      </w:r>
      <w:r w:rsidR="00A956F7">
        <w:t xml:space="preserve">, February 2018 </w:t>
      </w:r>
      <w:hyperlink r:id="rId1" w:history="1">
        <w:r w:rsidR="00A956F7">
          <w:rPr>
            <w:rStyle w:val="Hyperlink"/>
          </w:rPr>
          <w:t>https://www1.health.gov.au/internet/main/publishing.nsf/Content/F923F31B70D61C37CA25815C00142243/$File/Thematic%20Review%20of%20Commonwealth%20Medical%20and%20Midwife%20Indemnity%20Legislation.pdf</w:t>
        </w:r>
      </w:hyperlink>
      <w:r w:rsidR="00A956F7">
        <w:rPr>
          <w:rStyle w:val="Hyperlink"/>
        </w:rPr>
        <w:t>.</w:t>
      </w:r>
      <w:r w:rsidR="00A956F7">
        <w:rPr>
          <w:rStyle w:val="Hyperlink"/>
          <w:u w:val="none"/>
        </w:rPr>
        <w:t xml:space="preserve"> </w:t>
      </w:r>
      <w:r>
        <w:t xml:space="preserve">See pages 15-16. </w:t>
      </w:r>
    </w:p>
  </w:footnote>
  <w:footnote w:id="2">
    <w:p w14:paraId="0A41E5D4" w14:textId="77777777" w:rsidR="00C44229" w:rsidRPr="002013C5" w:rsidRDefault="00C44229" w:rsidP="00C44229">
      <w:pPr>
        <w:pStyle w:val="FootnoteText"/>
        <w:rPr>
          <w:lang w:val="en-AU"/>
        </w:rPr>
      </w:pPr>
      <w:r>
        <w:rPr>
          <w:rStyle w:val="FootnoteReference"/>
        </w:rPr>
        <w:footnoteRef/>
      </w:r>
      <w:r>
        <w:t xml:space="preserve"> Department of Health, </w:t>
      </w:r>
      <w:r w:rsidRPr="002013C5">
        <w:rPr>
          <w:i/>
        </w:rPr>
        <w:t>Thematic Review of Commonwealth Medical and Midwife Indemnity Legislation</w:t>
      </w:r>
      <w:r>
        <w:t xml:space="preserve">, February 2018 </w:t>
      </w:r>
      <w:hyperlink r:id="rId2" w:history="1">
        <w:r>
          <w:rPr>
            <w:rStyle w:val="Hyperlink"/>
          </w:rPr>
          <w:t>https://www1.health.gov.au/internet/main/publishing.nsf/Content/F923F31B70D61C37CA25815C00142243/$File/Thematic%20Review%20of%20Commonwealth%20Medical%20and%20Midwife%20Indemnity%20Legislation.pdf</w:t>
        </w:r>
      </w:hyperlink>
    </w:p>
  </w:footnote>
  <w:footnote w:id="3">
    <w:p w14:paraId="261D2285" w14:textId="77777777" w:rsidR="00041763" w:rsidRDefault="00041763" w:rsidP="00041763">
      <w:pPr>
        <w:pStyle w:val="FootnoteText"/>
      </w:pPr>
      <w:r>
        <w:rPr>
          <w:rStyle w:val="FootnoteReference"/>
        </w:rPr>
        <w:footnoteRef/>
      </w:r>
      <w:r>
        <w:t xml:space="preserve"> Department of Health, </w:t>
      </w:r>
      <w:r w:rsidRPr="002013C5">
        <w:rPr>
          <w:i/>
        </w:rPr>
        <w:t>Thematic Review of Commonwealth Medical and Midwife Indemnity Legislation</w:t>
      </w:r>
      <w:r>
        <w:t xml:space="preserve">, February 2018 </w:t>
      </w:r>
      <w:hyperlink r:id="rId3" w:history="1">
        <w:r>
          <w:rPr>
            <w:rStyle w:val="Hyperlink"/>
          </w:rPr>
          <w:t>https://www1.health.gov.au/internet/main/publishing.nsf/Content/F923F31B70D61C37CA25815C00142243/$File/Thematic%20Review%20of%20Commonwealth%20Medical%20and%20Midwife%20Indemnity%20Legislation.pdf</w:t>
        </w:r>
      </w:hyperlink>
      <w:r>
        <w:rPr>
          <w:rStyle w:val="Hyperlink"/>
        </w:rPr>
        <w:t>.</w:t>
      </w:r>
      <w:r>
        <w:rPr>
          <w:rStyle w:val="Hyperlink"/>
          <w:u w:val="none"/>
        </w:rPr>
        <w:t xml:space="preserve"> </w:t>
      </w:r>
      <w:r>
        <w:t xml:space="preserve">See pages 15-16.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424744"/>
      <w:docPartObj>
        <w:docPartGallery w:val="Page Numbers (Top of Page)"/>
        <w:docPartUnique/>
      </w:docPartObj>
    </w:sdtPr>
    <w:sdtEndPr>
      <w:rPr>
        <w:noProof/>
      </w:rPr>
    </w:sdtEndPr>
    <w:sdtContent>
      <w:p w14:paraId="3E2A7DCF" w14:textId="017B1F40" w:rsidR="00A42820" w:rsidRDefault="00A42820" w:rsidP="00D85AD3">
        <w:pPr>
          <w:pStyle w:val="Header"/>
          <w:jc w:val="center"/>
        </w:pPr>
        <w:r>
          <w:fldChar w:fldCharType="begin"/>
        </w:r>
        <w:r>
          <w:instrText xml:space="preserve"> PAGE   \* MERGEFORMAT </w:instrText>
        </w:r>
        <w:r>
          <w:fldChar w:fldCharType="separate"/>
        </w:r>
        <w:r w:rsidR="00683D05">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FBA"/>
    <w:multiLevelType w:val="hybridMultilevel"/>
    <w:tmpl w:val="A030B992"/>
    <w:lvl w:ilvl="0" w:tplc="7EBC6BB8">
      <w:start w:val="1"/>
      <w:numFmt w:val="decimal"/>
      <w:lvlText w:val="%1."/>
      <w:lvlJc w:val="left"/>
      <w:pPr>
        <w:ind w:left="720" w:hanging="360"/>
      </w:pPr>
      <w:rPr>
        <w:b w:val="0"/>
        <w:i w:val="0"/>
        <w:sz w:val="22"/>
        <w:szCs w:val="22"/>
      </w:rPr>
    </w:lvl>
    <w:lvl w:ilvl="1" w:tplc="CB146B2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5B1EC5"/>
    <w:multiLevelType w:val="hybridMultilevel"/>
    <w:tmpl w:val="5B08A600"/>
    <w:lvl w:ilvl="0" w:tplc="CD887D22">
      <w:start w:val="1"/>
      <w:numFmt w:val="decimal"/>
      <w:lvlText w:val="%1"/>
      <w:lvlJc w:val="left"/>
      <w:pPr>
        <w:tabs>
          <w:tab w:val="num" w:pos="1500"/>
        </w:tabs>
        <w:ind w:left="1500" w:hanging="1140"/>
      </w:pPr>
      <w:rPr>
        <w:rFonts w:hint="default"/>
        <w:b/>
      </w:rPr>
    </w:lvl>
    <w:lvl w:ilvl="1" w:tplc="8B84B6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C44C81"/>
    <w:multiLevelType w:val="hybridMultilevel"/>
    <w:tmpl w:val="544A2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6C1A4F"/>
    <w:multiLevelType w:val="hybridMultilevel"/>
    <w:tmpl w:val="0C56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16F91"/>
    <w:multiLevelType w:val="hybridMultilevel"/>
    <w:tmpl w:val="9C72577E"/>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C8"/>
    <w:rsid w:val="00003743"/>
    <w:rsid w:val="0000388C"/>
    <w:rsid w:val="00033F68"/>
    <w:rsid w:val="00041763"/>
    <w:rsid w:val="0005518E"/>
    <w:rsid w:val="00067456"/>
    <w:rsid w:val="00074D56"/>
    <w:rsid w:val="00075415"/>
    <w:rsid w:val="00094AD7"/>
    <w:rsid w:val="00094EA3"/>
    <w:rsid w:val="000C086A"/>
    <w:rsid w:val="0011100D"/>
    <w:rsid w:val="0011641F"/>
    <w:rsid w:val="001364AF"/>
    <w:rsid w:val="00156D8F"/>
    <w:rsid w:val="0016125F"/>
    <w:rsid w:val="00164952"/>
    <w:rsid w:val="00171D9D"/>
    <w:rsid w:val="001B31D1"/>
    <w:rsid w:val="001B3443"/>
    <w:rsid w:val="001F3BA1"/>
    <w:rsid w:val="001F4A79"/>
    <w:rsid w:val="002147BE"/>
    <w:rsid w:val="00236D5A"/>
    <w:rsid w:val="00237CFF"/>
    <w:rsid w:val="00263B6D"/>
    <w:rsid w:val="0026472C"/>
    <w:rsid w:val="00296687"/>
    <w:rsid w:val="002D4A74"/>
    <w:rsid w:val="002F3AE3"/>
    <w:rsid w:val="0030786C"/>
    <w:rsid w:val="00326EEE"/>
    <w:rsid w:val="003D17F9"/>
    <w:rsid w:val="003E6AE6"/>
    <w:rsid w:val="003F12C6"/>
    <w:rsid w:val="003F17E5"/>
    <w:rsid w:val="00461887"/>
    <w:rsid w:val="00463AC1"/>
    <w:rsid w:val="00485021"/>
    <w:rsid w:val="004867E2"/>
    <w:rsid w:val="00493C21"/>
    <w:rsid w:val="004A32D8"/>
    <w:rsid w:val="004A4152"/>
    <w:rsid w:val="004F0E37"/>
    <w:rsid w:val="00501E5B"/>
    <w:rsid w:val="005041BB"/>
    <w:rsid w:val="00510B5D"/>
    <w:rsid w:val="00515B29"/>
    <w:rsid w:val="0052654E"/>
    <w:rsid w:val="0056755D"/>
    <w:rsid w:val="00570AF0"/>
    <w:rsid w:val="00571405"/>
    <w:rsid w:val="005733EA"/>
    <w:rsid w:val="005955CD"/>
    <w:rsid w:val="005D6934"/>
    <w:rsid w:val="006101D1"/>
    <w:rsid w:val="00620C9D"/>
    <w:rsid w:val="00673FBD"/>
    <w:rsid w:val="00683D05"/>
    <w:rsid w:val="006922A8"/>
    <w:rsid w:val="006A24A8"/>
    <w:rsid w:val="006B38C8"/>
    <w:rsid w:val="006C4C55"/>
    <w:rsid w:val="006C53FF"/>
    <w:rsid w:val="006F2987"/>
    <w:rsid w:val="00703B2B"/>
    <w:rsid w:val="00704C9D"/>
    <w:rsid w:val="0070587E"/>
    <w:rsid w:val="00724B5A"/>
    <w:rsid w:val="00730AAF"/>
    <w:rsid w:val="0073795B"/>
    <w:rsid w:val="00767767"/>
    <w:rsid w:val="0077234D"/>
    <w:rsid w:val="007832CF"/>
    <w:rsid w:val="007A0718"/>
    <w:rsid w:val="007B085A"/>
    <w:rsid w:val="007C4B80"/>
    <w:rsid w:val="007D4E8B"/>
    <w:rsid w:val="007E3025"/>
    <w:rsid w:val="0082098C"/>
    <w:rsid w:val="00825377"/>
    <w:rsid w:val="008264EB"/>
    <w:rsid w:val="00863E14"/>
    <w:rsid w:val="00875254"/>
    <w:rsid w:val="00886A34"/>
    <w:rsid w:val="0089242B"/>
    <w:rsid w:val="008A4CD5"/>
    <w:rsid w:val="008E3654"/>
    <w:rsid w:val="00906778"/>
    <w:rsid w:val="0094223B"/>
    <w:rsid w:val="00960011"/>
    <w:rsid w:val="00965D6D"/>
    <w:rsid w:val="00992B1B"/>
    <w:rsid w:val="009A5FF2"/>
    <w:rsid w:val="009B0C45"/>
    <w:rsid w:val="009E35FD"/>
    <w:rsid w:val="00A42820"/>
    <w:rsid w:val="00A44A64"/>
    <w:rsid w:val="00A4512D"/>
    <w:rsid w:val="00A61282"/>
    <w:rsid w:val="00A705AF"/>
    <w:rsid w:val="00A86880"/>
    <w:rsid w:val="00A956F7"/>
    <w:rsid w:val="00B10A3D"/>
    <w:rsid w:val="00B42851"/>
    <w:rsid w:val="00BA0C61"/>
    <w:rsid w:val="00BA2DDE"/>
    <w:rsid w:val="00BD3A91"/>
    <w:rsid w:val="00BF67E0"/>
    <w:rsid w:val="00C056CA"/>
    <w:rsid w:val="00C13CC5"/>
    <w:rsid w:val="00C14935"/>
    <w:rsid w:val="00C21642"/>
    <w:rsid w:val="00C350CB"/>
    <w:rsid w:val="00C44229"/>
    <w:rsid w:val="00C55835"/>
    <w:rsid w:val="00C90287"/>
    <w:rsid w:val="00C94CDF"/>
    <w:rsid w:val="00CB217B"/>
    <w:rsid w:val="00CB5B1A"/>
    <w:rsid w:val="00D10B9D"/>
    <w:rsid w:val="00D400DB"/>
    <w:rsid w:val="00D522E5"/>
    <w:rsid w:val="00D62022"/>
    <w:rsid w:val="00D651BB"/>
    <w:rsid w:val="00D85AD3"/>
    <w:rsid w:val="00D86538"/>
    <w:rsid w:val="00DB1DB6"/>
    <w:rsid w:val="00DC3540"/>
    <w:rsid w:val="00DF2F37"/>
    <w:rsid w:val="00DF6151"/>
    <w:rsid w:val="00E05EBD"/>
    <w:rsid w:val="00E07571"/>
    <w:rsid w:val="00E16F7A"/>
    <w:rsid w:val="00E23563"/>
    <w:rsid w:val="00E24CB5"/>
    <w:rsid w:val="00E3638E"/>
    <w:rsid w:val="00E66786"/>
    <w:rsid w:val="00E8574A"/>
    <w:rsid w:val="00E93477"/>
    <w:rsid w:val="00E93EDE"/>
    <w:rsid w:val="00E9487A"/>
    <w:rsid w:val="00EB6083"/>
    <w:rsid w:val="00ED0328"/>
    <w:rsid w:val="00F04EF2"/>
    <w:rsid w:val="00F12295"/>
    <w:rsid w:val="00F225EA"/>
    <w:rsid w:val="00F551E9"/>
    <w:rsid w:val="00F75030"/>
    <w:rsid w:val="00F851CF"/>
    <w:rsid w:val="00F94F13"/>
    <w:rsid w:val="00FB08AD"/>
    <w:rsid w:val="00FC0BE2"/>
    <w:rsid w:val="00FC5421"/>
    <w:rsid w:val="00FE5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E26CB"/>
  <w15:docId w15:val="{7C438684-56B8-4BB2-B8C7-23081E2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67"/>
    <w:pPr>
      <w:spacing w:after="0" w:line="240" w:lineRule="auto"/>
    </w:pPr>
    <w:rPr>
      <w:rFonts w:eastAsia="Times New Roman"/>
      <w:lang w:eastAsia="en-GB"/>
    </w:rPr>
  </w:style>
  <w:style w:type="paragraph" w:styleId="Heading1">
    <w:name w:val="heading 1"/>
    <w:basedOn w:val="Normal"/>
    <w:next w:val="Normal"/>
    <w:uiPriority w:val="9"/>
    <w:qFormat/>
    <w:rsid w:val="00A705A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AU"/>
    </w:rPr>
  </w:style>
  <w:style w:type="paragraph" w:styleId="Heading2">
    <w:name w:val="heading 2"/>
    <w:basedOn w:val="Normal"/>
    <w:next w:val="Normal"/>
    <w:uiPriority w:val="9"/>
    <w:unhideWhenUsed/>
    <w:qFormat/>
    <w:rsid w:val="00A705A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AU"/>
    </w:rPr>
  </w:style>
  <w:style w:type="paragraph" w:styleId="Heading3">
    <w:name w:val="heading 3"/>
    <w:basedOn w:val="Normal"/>
    <w:next w:val="Normal"/>
    <w:uiPriority w:val="9"/>
    <w:semiHidden/>
    <w:unhideWhenUsed/>
    <w:qFormat/>
    <w:rsid w:val="00A705AF"/>
    <w:pPr>
      <w:keepNext/>
      <w:keepLines/>
      <w:spacing w:before="40" w:line="259" w:lineRule="auto"/>
      <w:outlineLvl w:val="2"/>
    </w:pPr>
    <w:rPr>
      <w:rFonts w:asciiTheme="majorHAnsi" w:eastAsiaTheme="majorEastAsia" w:hAnsiTheme="majorHAnsi" w:cstheme="majorBidi"/>
      <w:color w:val="243F60" w:themeColor="accent1" w:themeShade="7F"/>
      <w:lang w:eastAsia="en-AU"/>
    </w:rPr>
  </w:style>
  <w:style w:type="paragraph" w:styleId="Heading4">
    <w:name w:val="heading 4"/>
    <w:basedOn w:val="Normal"/>
    <w:next w:val="Normal"/>
    <w:uiPriority w:val="9"/>
    <w:semiHidden/>
    <w:unhideWhenUsed/>
    <w:qFormat/>
    <w:rsid w:val="00A705AF"/>
    <w:pPr>
      <w:keepNext/>
      <w:keepLines/>
      <w:spacing w:before="40" w:line="259" w:lineRule="auto"/>
      <w:outlineLvl w:val="3"/>
    </w:pPr>
    <w:rPr>
      <w:rFonts w:asciiTheme="majorHAnsi" w:eastAsiaTheme="majorEastAsia" w:hAnsiTheme="majorHAnsi" w:cstheme="majorBidi"/>
      <w:i/>
      <w:iCs/>
      <w:color w:val="365F91" w:themeColor="accent1" w:themeShade="BF"/>
      <w:lang w:eastAsia="en-AU"/>
    </w:rPr>
  </w:style>
  <w:style w:type="paragraph" w:styleId="Heading5">
    <w:name w:val="heading 5"/>
    <w:basedOn w:val="Normal"/>
    <w:next w:val="Normal"/>
    <w:uiPriority w:val="9"/>
    <w:semiHidden/>
    <w:unhideWhenUsed/>
    <w:qFormat/>
    <w:rsid w:val="00A705AF"/>
    <w:pPr>
      <w:keepNext/>
      <w:keepLines/>
      <w:spacing w:before="40" w:line="259" w:lineRule="auto"/>
      <w:outlineLvl w:val="4"/>
    </w:pPr>
    <w:rPr>
      <w:rFonts w:asciiTheme="majorHAnsi" w:eastAsiaTheme="majorEastAsia" w:hAnsiTheme="majorHAnsi" w:cstheme="majorBidi"/>
      <w:color w:val="365F91" w:themeColor="accent1" w:themeShade="BF"/>
      <w:lang w:eastAsia="en-AU"/>
    </w:rPr>
  </w:style>
  <w:style w:type="paragraph" w:styleId="Heading6">
    <w:name w:val="heading 6"/>
    <w:basedOn w:val="Normal"/>
    <w:next w:val="Normal"/>
    <w:uiPriority w:val="9"/>
    <w:semiHidden/>
    <w:unhideWhenUsed/>
    <w:qFormat/>
    <w:rsid w:val="00A705AF"/>
    <w:pPr>
      <w:keepNext/>
      <w:keepLines/>
      <w:spacing w:before="40" w:line="259" w:lineRule="auto"/>
      <w:outlineLvl w:val="5"/>
    </w:pPr>
    <w:rPr>
      <w:rFonts w:asciiTheme="majorHAnsi" w:eastAsiaTheme="majorEastAsia" w:hAnsiTheme="majorHAnsi" w:cstheme="majorBidi"/>
      <w:color w:val="243F60"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1"/>
    <w:qFormat/>
    <w:rsid w:val="00A705A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AU"/>
    </w:rPr>
  </w:style>
  <w:style w:type="character" w:customStyle="1" w:styleId="SubtitleChar">
    <w:name w:val="Subtitle Char"/>
    <w:basedOn w:val="DefaultParagraphFont"/>
    <w:link w:val="Subtitle"/>
    <w:uiPriority w:val="11"/>
    <w:rsid w:val="00A705AF"/>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A705AF"/>
    <w:pPr>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10"/>
    <w:rsid w:val="00A705AF"/>
    <w:rPr>
      <w:rFonts w:asciiTheme="majorHAnsi" w:eastAsiaTheme="majorEastAsia" w:hAnsiTheme="majorHAnsi" w:cstheme="majorBidi"/>
      <w:spacing w:val="-10"/>
      <w:kern w:val="28"/>
      <w:sz w:val="56"/>
      <w:szCs w:val="56"/>
    </w:rPr>
  </w:style>
  <w:style w:type="paragraph" w:styleId="NoSpacing">
    <w:name w:val="No Spacing"/>
    <w:uiPriority w:val="1"/>
    <w:qFormat/>
    <w:rsid w:val="00A4512D"/>
    <w:pPr>
      <w:spacing w:after="0" w:line="240" w:lineRule="auto"/>
    </w:pPr>
  </w:style>
  <w:style w:type="character" w:styleId="SubtleEmphasis">
    <w:name w:val="Subtle Emphasis"/>
    <w:basedOn w:val="DefaultParagraphFont"/>
    <w:uiPriority w:val="19"/>
    <w:qFormat/>
    <w:rsid w:val="00A4512D"/>
    <w:rPr>
      <w:i/>
      <w:iCs/>
      <w:color w:val="404040" w:themeColor="text1" w:themeTint="BF"/>
    </w:rPr>
  </w:style>
  <w:style w:type="character" w:styleId="IntenseEmphasis">
    <w:name w:val="Intense Emphasis"/>
    <w:basedOn w:val="DefaultParagraphFont"/>
    <w:uiPriority w:val="21"/>
    <w:qFormat/>
    <w:rsid w:val="00A4512D"/>
    <w:rPr>
      <w:i/>
      <w:iCs/>
      <w:color w:val="4F81BD" w:themeColor="accent1"/>
    </w:rPr>
  </w:style>
  <w:style w:type="paragraph" w:styleId="Quote">
    <w:name w:val="Quote"/>
    <w:basedOn w:val="Normal"/>
    <w:next w:val="Normal"/>
    <w:link w:val="QuoteChar"/>
    <w:uiPriority w:val="29"/>
    <w:qFormat/>
    <w:rsid w:val="00A4512D"/>
    <w:pPr>
      <w:spacing w:before="200" w:after="160" w:line="259" w:lineRule="auto"/>
      <w:ind w:left="864" w:right="864"/>
      <w:jc w:val="center"/>
    </w:pPr>
    <w:rPr>
      <w:rFonts w:eastAsiaTheme="minorHAnsi"/>
      <w:i/>
      <w:iCs/>
      <w:color w:val="404040" w:themeColor="text1" w:themeTint="BF"/>
      <w:lang w:eastAsia="en-AU"/>
    </w:rPr>
  </w:style>
  <w:style w:type="character" w:customStyle="1" w:styleId="QuoteChar">
    <w:name w:val="Quote Char"/>
    <w:basedOn w:val="DefaultParagraphFont"/>
    <w:link w:val="Quote"/>
    <w:uiPriority w:val="29"/>
    <w:rsid w:val="00A4512D"/>
    <w:rPr>
      <w:i/>
      <w:iCs/>
      <w:color w:val="404040" w:themeColor="text1" w:themeTint="BF"/>
    </w:rPr>
  </w:style>
  <w:style w:type="paragraph" w:styleId="IntenseQuote">
    <w:name w:val="Intense Quote"/>
    <w:basedOn w:val="Normal"/>
    <w:next w:val="Normal"/>
    <w:link w:val="IntenseQuoteChar"/>
    <w:uiPriority w:val="30"/>
    <w:qFormat/>
    <w:rsid w:val="00A4512D"/>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lang w:eastAsia="en-AU"/>
    </w:rPr>
  </w:style>
  <w:style w:type="character" w:customStyle="1" w:styleId="IntenseQuoteChar">
    <w:name w:val="Intense Quote Char"/>
    <w:basedOn w:val="DefaultParagraphFont"/>
    <w:link w:val="IntenseQuote"/>
    <w:uiPriority w:val="30"/>
    <w:rsid w:val="00A4512D"/>
    <w:rPr>
      <w:i/>
      <w:iCs/>
      <w:color w:val="4F81BD" w:themeColor="accent1"/>
    </w:rPr>
  </w:style>
  <w:style w:type="character" w:styleId="SubtleReference">
    <w:name w:val="Subtle Reference"/>
    <w:basedOn w:val="DefaultParagraphFont"/>
    <w:uiPriority w:val="31"/>
    <w:qFormat/>
    <w:rsid w:val="00A4512D"/>
    <w:rPr>
      <w:smallCaps/>
      <w:color w:val="5A5A5A" w:themeColor="text1" w:themeTint="A5"/>
    </w:rPr>
  </w:style>
  <w:style w:type="character" w:styleId="IntenseReference">
    <w:name w:val="Intense Reference"/>
    <w:basedOn w:val="DefaultParagraphFont"/>
    <w:uiPriority w:val="32"/>
    <w:qFormat/>
    <w:rsid w:val="00A4512D"/>
    <w:rPr>
      <w:b/>
      <w:bCs/>
      <w:smallCaps/>
      <w:color w:val="4F81BD" w:themeColor="accent1"/>
      <w:spacing w:val="5"/>
    </w:rPr>
  </w:style>
  <w:style w:type="character" w:styleId="BookTitle">
    <w:name w:val="Book Title"/>
    <w:basedOn w:val="DefaultParagraphFont"/>
    <w:uiPriority w:val="33"/>
    <w:qFormat/>
    <w:rsid w:val="00A4512D"/>
    <w:rPr>
      <w:b/>
      <w:bCs/>
      <w:i/>
      <w:iCs/>
      <w:spacing w:val="5"/>
    </w:rPr>
  </w:style>
  <w:style w:type="paragraph" w:styleId="ListParagraph">
    <w:name w:val="List Paragraph"/>
    <w:basedOn w:val="Normal"/>
    <w:uiPriority w:val="34"/>
    <w:qFormat/>
    <w:rsid w:val="00A4512D"/>
    <w:pPr>
      <w:spacing w:after="160" w:line="259" w:lineRule="auto"/>
      <w:ind w:left="720"/>
      <w:contextualSpacing/>
    </w:pPr>
    <w:rPr>
      <w:rFonts w:eastAsiaTheme="minorHAnsi"/>
      <w:lang w:eastAsia="en-AU"/>
    </w:rPr>
  </w:style>
  <w:style w:type="character" w:customStyle="1" w:styleId="PlainParagraphChar">
    <w:name w:val="Plain Paragraph Char"/>
    <w:link w:val="PlainParagraph"/>
    <w:locked/>
    <w:rsid w:val="00D400DB"/>
    <w:rPr>
      <w:rFonts w:ascii="Arial" w:hAnsi="Arial" w:cs="Arial"/>
      <w:sz w:val="22"/>
      <w:szCs w:val="22"/>
    </w:rPr>
  </w:style>
  <w:style w:type="paragraph" w:customStyle="1" w:styleId="PlainParagraph">
    <w:name w:val="Plain Paragraph"/>
    <w:basedOn w:val="Normal"/>
    <w:link w:val="PlainParagraphChar"/>
    <w:rsid w:val="00D400DB"/>
    <w:pPr>
      <w:spacing w:before="140" w:after="140" w:line="280" w:lineRule="atLeast"/>
    </w:pPr>
    <w:rPr>
      <w:rFonts w:ascii="Arial" w:eastAsiaTheme="minorHAnsi" w:hAnsi="Arial" w:cs="Arial"/>
      <w:sz w:val="22"/>
      <w:szCs w:val="22"/>
      <w:lang w:eastAsia="en-AU"/>
    </w:rPr>
  </w:style>
  <w:style w:type="paragraph" w:customStyle="1" w:styleId="CABNETParagraph">
    <w:name w:val="CABNET Paragraph."/>
    <w:basedOn w:val="Normal"/>
    <w:link w:val="CABNETParagraphChar"/>
    <w:uiPriority w:val="98"/>
    <w:qFormat/>
    <w:rsid w:val="00D62022"/>
    <w:pPr>
      <w:spacing w:before="120" w:after="120" w:line="259" w:lineRule="auto"/>
    </w:pPr>
    <w:rPr>
      <w:rFonts w:ascii="Arial" w:eastAsiaTheme="minorHAnsi" w:hAnsi="Arial" w:cstheme="minorHAnsi"/>
      <w:sz w:val="22"/>
      <w:szCs w:val="22"/>
      <w:lang w:eastAsia="en-AU"/>
    </w:rPr>
  </w:style>
  <w:style w:type="character" w:customStyle="1" w:styleId="CABNETParagraphChar">
    <w:name w:val="CABNET Paragraph. Char"/>
    <w:basedOn w:val="DefaultParagraphFont"/>
    <w:link w:val="CABNETParagraph"/>
    <w:uiPriority w:val="98"/>
    <w:rsid w:val="00D62022"/>
    <w:rPr>
      <w:rFonts w:ascii="Arial" w:eastAsiaTheme="minorHAnsi" w:hAnsi="Arial" w:cstheme="minorHAnsi"/>
      <w:sz w:val="22"/>
      <w:szCs w:val="22"/>
      <w:lang w:eastAsia="en-US"/>
    </w:rPr>
  </w:style>
  <w:style w:type="paragraph" w:styleId="Header">
    <w:name w:val="header"/>
    <w:basedOn w:val="Normal"/>
    <w:link w:val="HeaderChar"/>
    <w:uiPriority w:val="99"/>
    <w:rsid w:val="00863E14"/>
    <w:pPr>
      <w:tabs>
        <w:tab w:val="center" w:pos="4513"/>
        <w:tab w:val="right" w:pos="9026"/>
      </w:tabs>
      <w:overflowPunct w:val="0"/>
      <w:autoSpaceDE w:val="0"/>
      <w:autoSpaceDN w:val="0"/>
      <w:adjustRightInd w:val="0"/>
      <w:spacing w:after="160" w:line="259" w:lineRule="auto"/>
      <w:textAlignment w:val="baseline"/>
    </w:pPr>
    <w:rPr>
      <w:rFonts w:eastAsiaTheme="minorHAnsi"/>
      <w:lang w:eastAsia="en-AU"/>
    </w:rPr>
  </w:style>
  <w:style w:type="character" w:customStyle="1" w:styleId="HeaderChar">
    <w:name w:val="Header Char"/>
    <w:basedOn w:val="DefaultParagraphFont"/>
    <w:link w:val="Header"/>
    <w:uiPriority w:val="99"/>
    <w:rsid w:val="00863E14"/>
    <w:rPr>
      <w:sz w:val="24"/>
    </w:rPr>
  </w:style>
  <w:style w:type="character" w:styleId="Hyperlink">
    <w:name w:val="Hyperlink"/>
    <w:basedOn w:val="DefaultParagraphFont"/>
    <w:uiPriority w:val="99"/>
    <w:rsid w:val="00863E14"/>
    <w:rPr>
      <w:color w:val="0000FF" w:themeColor="hyperlink"/>
      <w:u w:val="single"/>
    </w:rPr>
  </w:style>
  <w:style w:type="paragraph" w:styleId="FootnoteText">
    <w:name w:val="footnote text"/>
    <w:basedOn w:val="Normal"/>
    <w:link w:val="FootnoteTextChar"/>
    <w:uiPriority w:val="99"/>
    <w:rsid w:val="00863E14"/>
    <w:pPr>
      <w:spacing w:after="160" w:line="259" w:lineRule="auto"/>
    </w:pPr>
    <w:rPr>
      <w:rFonts w:eastAsiaTheme="minorHAnsi"/>
      <w:sz w:val="20"/>
      <w:lang w:val="en-US" w:eastAsia="en-AU"/>
    </w:rPr>
  </w:style>
  <w:style w:type="character" w:customStyle="1" w:styleId="FootnoteTextChar">
    <w:name w:val="Footnote Text Char"/>
    <w:basedOn w:val="DefaultParagraphFont"/>
    <w:link w:val="FootnoteText"/>
    <w:uiPriority w:val="99"/>
    <w:rsid w:val="00863E14"/>
    <w:rPr>
      <w:lang w:val="en-US" w:eastAsia="en-US"/>
    </w:rPr>
  </w:style>
  <w:style w:type="character" w:styleId="FootnoteReference">
    <w:name w:val="footnote reference"/>
    <w:basedOn w:val="DefaultParagraphFont"/>
    <w:uiPriority w:val="99"/>
    <w:rsid w:val="00863E14"/>
    <w:rPr>
      <w:vertAlign w:val="superscript"/>
    </w:rPr>
  </w:style>
  <w:style w:type="paragraph" w:customStyle="1" w:styleId="subsection">
    <w:name w:val="subsection"/>
    <w:basedOn w:val="Normal"/>
    <w:rsid w:val="00033F68"/>
    <w:pPr>
      <w:spacing w:before="100" w:beforeAutospacing="1" w:after="100" w:afterAutospacing="1"/>
    </w:pPr>
    <w:rPr>
      <w:lang w:eastAsia="en-AU"/>
    </w:rPr>
  </w:style>
  <w:style w:type="paragraph" w:customStyle="1" w:styleId="paragraph">
    <w:name w:val="paragraph"/>
    <w:basedOn w:val="Normal"/>
    <w:rsid w:val="00033F68"/>
    <w:pPr>
      <w:spacing w:before="100" w:beforeAutospacing="1" w:after="100" w:afterAutospacing="1"/>
    </w:pPr>
    <w:rPr>
      <w:lang w:eastAsia="en-AU"/>
    </w:rPr>
  </w:style>
  <w:style w:type="paragraph" w:customStyle="1" w:styleId="paragraphsub">
    <w:name w:val="paragraphsub"/>
    <w:basedOn w:val="Normal"/>
    <w:rsid w:val="00033F68"/>
    <w:pPr>
      <w:spacing w:before="100" w:beforeAutospacing="1" w:after="100" w:afterAutospacing="1"/>
    </w:pPr>
    <w:rPr>
      <w:lang w:eastAsia="en-AU"/>
    </w:rPr>
  </w:style>
  <w:style w:type="character" w:customStyle="1" w:styleId="CharAmPartNo">
    <w:name w:val="CharAmPartNo"/>
    <w:basedOn w:val="DefaultParagraphFont"/>
    <w:qFormat/>
    <w:rsid w:val="00BD3A91"/>
  </w:style>
  <w:style w:type="character" w:customStyle="1" w:styleId="CharAmPartText">
    <w:name w:val="CharAmPartText"/>
    <w:basedOn w:val="DefaultParagraphFont"/>
    <w:qFormat/>
    <w:rsid w:val="00BD3A91"/>
  </w:style>
  <w:style w:type="paragraph" w:styleId="Footer">
    <w:name w:val="footer"/>
    <w:basedOn w:val="Normal"/>
    <w:link w:val="FooterChar"/>
    <w:unhideWhenUsed/>
    <w:rsid w:val="00A42820"/>
    <w:pPr>
      <w:tabs>
        <w:tab w:val="center" w:pos="4513"/>
        <w:tab w:val="right" w:pos="9026"/>
      </w:tabs>
    </w:pPr>
    <w:rPr>
      <w:rFonts w:eastAsiaTheme="minorHAnsi"/>
      <w:lang w:eastAsia="en-AU"/>
    </w:rPr>
  </w:style>
  <w:style w:type="character" w:customStyle="1" w:styleId="FooterChar">
    <w:name w:val="Footer Char"/>
    <w:basedOn w:val="DefaultParagraphFont"/>
    <w:link w:val="Footer"/>
    <w:rsid w:val="00A42820"/>
  </w:style>
  <w:style w:type="paragraph" w:styleId="BalloonText">
    <w:name w:val="Balloon Text"/>
    <w:basedOn w:val="Normal"/>
    <w:link w:val="BalloonTextChar"/>
    <w:semiHidden/>
    <w:unhideWhenUsed/>
    <w:rsid w:val="007832CF"/>
    <w:rPr>
      <w:rFonts w:ascii="Segoe UI" w:eastAsiaTheme="minorHAnsi" w:hAnsi="Segoe UI" w:cs="Segoe UI"/>
      <w:sz w:val="18"/>
      <w:szCs w:val="18"/>
      <w:lang w:eastAsia="en-AU"/>
    </w:rPr>
  </w:style>
  <w:style w:type="character" w:customStyle="1" w:styleId="BalloonTextChar">
    <w:name w:val="Balloon Text Char"/>
    <w:basedOn w:val="DefaultParagraphFont"/>
    <w:link w:val="BalloonText"/>
    <w:semiHidden/>
    <w:rsid w:val="007832CF"/>
    <w:rPr>
      <w:rFonts w:ascii="Segoe UI" w:hAnsi="Segoe UI" w:cs="Segoe UI"/>
      <w:sz w:val="18"/>
      <w:szCs w:val="18"/>
    </w:rPr>
  </w:style>
  <w:style w:type="paragraph" w:styleId="NormalWeb">
    <w:name w:val="Normal (Web)"/>
    <w:basedOn w:val="Normal"/>
    <w:uiPriority w:val="99"/>
    <w:unhideWhenUsed/>
    <w:rsid w:val="00FB08AD"/>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501E5B"/>
    <w:rPr>
      <w:sz w:val="16"/>
      <w:szCs w:val="16"/>
    </w:rPr>
  </w:style>
  <w:style w:type="paragraph" w:styleId="CommentText">
    <w:name w:val="annotation text"/>
    <w:basedOn w:val="Normal"/>
    <w:link w:val="CommentTextChar"/>
    <w:uiPriority w:val="99"/>
    <w:unhideWhenUsed/>
    <w:rsid w:val="00501E5B"/>
    <w:pPr>
      <w:spacing w:after="160"/>
    </w:pPr>
    <w:rPr>
      <w:rFonts w:eastAsiaTheme="minorHAnsi"/>
      <w:sz w:val="20"/>
      <w:szCs w:val="20"/>
      <w:lang w:eastAsia="en-AU"/>
    </w:rPr>
  </w:style>
  <w:style w:type="character" w:customStyle="1" w:styleId="CommentTextChar">
    <w:name w:val="Comment Text Char"/>
    <w:basedOn w:val="DefaultParagraphFont"/>
    <w:link w:val="CommentText"/>
    <w:uiPriority w:val="99"/>
    <w:rsid w:val="00501E5B"/>
    <w:rPr>
      <w:sz w:val="20"/>
      <w:szCs w:val="20"/>
    </w:rPr>
  </w:style>
  <w:style w:type="paragraph" w:styleId="CommentSubject">
    <w:name w:val="annotation subject"/>
    <w:basedOn w:val="CommentText"/>
    <w:next w:val="CommentText"/>
    <w:link w:val="CommentSubjectChar"/>
    <w:semiHidden/>
    <w:unhideWhenUsed/>
    <w:rsid w:val="00501E5B"/>
    <w:rPr>
      <w:b/>
      <w:bCs/>
    </w:rPr>
  </w:style>
  <w:style w:type="character" w:customStyle="1" w:styleId="CommentSubjectChar">
    <w:name w:val="Comment Subject Char"/>
    <w:basedOn w:val="CommentTextChar"/>
    <w:link w:val="CommentSubject"/>
    <w:semiHidden/>
    <w:rsid w:val="00501E5B"/>
    <w:rPr>
      <w:b/>
      <w:bCs/>
      <w:sz w:val="20"/>
      <w:szCs w:val="20"/>
    </w:rPr>
  </w:style>
  <w:style w:type="paragraph" w:customStyle="1" w:styleId="shorttp1">
    <w:name w:val="shorttp1"/>
    <w:basedOn w:val="Normal"/>
    <w:rsid w:val="0070587E"/>
    <w:pPr>
      <w:spacing w:before="100" w:beforeAutospacing="1" w:after="100" w:afterAutospacing="1"/>
    </w:pPr>
  </w:style>
  <w:style w:type="character" w:customStyle="1" w:styleId="UnresolvedMention">
    <w:name w:val="Unresolved Mention"/>
    <w:basedOn w:val="DefaultParagraphFont"/>
    <w:uiPriority w:val="99"/>
    <w:semiHidden/>
    <w:unhideWhenUsed/>
    <w:rsid w:val="0070587E"/>
    <w:rPr>
      <w:color w:val="605E5C"/>
      <w:shd w:val="clear" w:color="auto" w:fill="E1DFDD"/>
    </w:rPr>
  </w:style>
  <w:style w:type="character" w:customStyle="1" w:styleId="apple-converted-space">
    <w:name w:val="apple-converted-space"/>
    <w:basedOn w:val="DefaultParagraphFont"/>
    <w:rsid w:val="0057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6535">
      <w:bodyDiv w:val="1"/>
      <w:marLeft w:val="0"/>
      <w:marRight w:val="0"/>
      <w:marTop w:val="0"/>
      <w:marBottom w:val="0"/>
      <w:divBdr>
        <w:top w:val="none" w:sz="0" w:space="0" w:color="auto"/>
        <w:left w:val="none" w:sz="0" w:space="0" w:color="auto"/>
        <w:bottom w:val="none" w:sz="0" w:space="0" w:color="auto"/>
        <w:right w:val="none" w:sz="0" w:space="0" w:color="auto"/>
      </w:divBdr>
    </w:div>
    <w:div w:id="115487586">
      <w:bodyDiv w:val="1"/>
      <w:marLeft w:val="0"/>
      <w:marRight w:val="0"/>
      <w:marTop w:val="0"/>
      <w:marBottom w:val="0"/>
      <w:divBdr>
        <w:top w:val="none" w:sz="0" w:space="0" w:color="auto"/>
        <w:left w:val="none" w:sz="0" w:space="0" w:color="auto"/>
        <w:bottom w:val="none" w:sz="0" w:space="0" w:color="auto"/>
        <w:right w:val="none" w:sz="0" w:space="0" w:color="auto"/>
      </w:divBdr>
      <w:divsChild>
        <w:div w:id="1291714743">
          <w:marLeft w:val="0"/>
          <w:marRight w:val="0"/>
          <w:marTop w:val="0"/>
          <w:marBottom w:val="0"/>
          <w:divBdr>
            <w:top w:val="none" w:sz="0" w:space="0" w:color="auto"/>
            <w:left w:val="none" w:sz="0" w:space="0" w:color="auto"/>
            <w:bottom w:val="none" w:sz="0" w:space="0" w:color="auto"/>
            <w:right w:val="none" w:sz="0" w:space="0" w:color="auto"/>
          </w:divBdr>
          <w:divsChild>
            <w:div w:id="795297899">
              <w:marLeft w:val="0"/>
              <w:marRight w:val="0"/>
              <w:marTop w:val="0"/>
              <w:marBottom w:val="0"/>
              <w:divBdr>
                <w:top w:val="none" w:sz="0" w:space="0" w:color="auto"/>
                <w:left w:val="none" w:sz="0" w:space="0" w:color="auto"/>
                <w:bottom w:val="none" w:sz="0" w:space="0" w:color="auto"/>
                <w:right w:val="none" w:sz="0" w:space="0" w:color="auto"/>
              </w:divBdr>
              <w:divsChild>
                <w:div w:id="1661346136">
                  <w:marLeft w:val="0"/>
                  <w:marRight w:val="0"/>
                  <w:marTop w:val="0"/>
                  <w:marBottom w:val="0"/>
                  <w:divBdr>
                    <w:top w:val="none" w:sz="0" w:space="0" w:color="auto"/>
                    <w:left w:val="none" w:sz="0" w:space="0" w:color="auto"/>
                    <w:bottom w:val="none" w:sz="0" w:space="0" w:color="auto"/>
                    <w:right w:val="none" w:sz="0" w:space="0" w:color="auto"/>
                  </w:divBdr>
                  <w:divsChild>
                    <w:div w:id="2535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51">
      <w:bodyDiv w:val="1"/>
      <w:marLeft w:val="0"/>
      <w:marRight w:val="0"/>
      <w:marTop w:val="0"/>
      <w:marBottom w:val="0"/>
      <w:divBdr>
        <w:top w:val="none" w:sz="0" w:space="0" w:color="auto"/>
        <w:left w:val="none" w:sz="0" w:space="0" w:color="auto"/>
        <w:bottom w:val="none" w:sz="0" w:space="0" w:color="auto"/>
        <w:right w:val="none" w:sz="0" w:space="0" w:color="auto"/>
      </w:divBdr>
    </w:div>
    <w:div w:id="291208998">
      <w:bodyDiv w:val="1"/>
      <w:marLeft w:val="0"/>
      <w:marRight w:val="0"/>
      <w:marTop w:val="0"/>
      <w:marBottom w:val="0"/>
      <w:divBdr>
        <w:top w:val="none" w:sz="0" w:space="0" w:color="auto"/>
        <w:left w:val="none" w:sz="0" w:space="0" w:color="auto"/>
        <w:bottom w:val="none" w:sz="0" w:space="0" w:color="auto"/>
        <w:right w:val="none" w:sz="0" w:space="0" w:color="auto"/>
      </w:divBdr>
    </w:div>
    <w:div w:id="348796346">
      <w:bodyDiv w:val="1"/>
      <w:marLeft w:val="0"/>
      <w:marRight w:val="0"/>
      <w:marTop w:val="0"/>
      <w:marBottom w:val="0"/>
      <w:divBdr>
        <w:top w:val="none" w:sz="0" w:space="0" w:color="auto"/>
        <w:left w:val="none" w:sz="0" w:space="0" w:color="auto"/>
        <w:bottom w:val="none" w:sz="0" w:space="0" w:color="auto"/>
        <w:right w:val="none" w:sz="0" w:space="0" w:color="auto"/>
      </w:divBdr>
    </w:div>
    <w:div w:id="410783113">
      <w:bodyDiv w:val="1"/>
      <w:marLeft w:val="0"/>
      <w:marRight w:val="0"/>
      <w:marTop w:val="0"/>
      <w:marBottom w:val="0"/>
      <w:divBdr>
        <w:top w:val="none" w:sz="0" w:space="0" w:color="auto"/>
        <w:left w:val="none" w:sz="0" w:space="0" w:color="auto"/>
        <w:bottom w:val="none" w:sz="0" w:space="0" w:color="auto"/>
        <w:right w:val="none" w:sz="0" w:space="0" w:color="auto"/>
      </w:divBdr>
    </w:div>
    <w:div w:id="917129312">
      <w:bodyDiv w:val="1"/>
      <w:marLeft w:val="0"/>
      <w:marRight w:val="0"/>
      <w:marTop w:val="0"/>
      <w:marBottom w:val="0"/>
      <w:divBdr>
        <w:top w:val="none" w:sz="0" w:space="0" w:color="auto"/>
        <w:left w:val="none" w:sz="0" w:space="0" w:color="auto"/>
        <w:bottom w:val="none" w:sz="0" w:space="0" w:color="auto"/>
        <w:right w:val="none" w:sz="0" w:space="0" w:color="auto"/>
      </w:divBdr>
    </w:div>
    <w:div w:id="1698432341">
      <w:bodyDiv w:val="1"/>
      <w:marLeft w:val="0"/>
      <w:marRight w:val="0"/>
      <w:marTop w:val="0"/>
      <w:marBottom w:val="0"/>
      <w:divBdr>
        <w:top w:val="none" w:sz="0" w:space="0" w:color="auto"/>
        <w:left w:val="none" w:sz="0" w:space="0" w:color="auto"/>
        <w:bottom w:val="none" w:sz="0" w:space="0" w:color="auto"/>
        <w:right w:val="none" w:sz="0" w:space="0" w:color="auto"/>
      </w:divBdr>
    </w:div>
    <w:div w:id="1835222325">
      <w:bodyDiv w:val="1"/>
      <w:marLeft w:val="0"/>
      <w:marRight w:val="0"/>
      <w:marTop w:val="0"/>
      <w:marBottom w:val="0"/>
      <w:divBdr>
        <w:top w:val="none" w:sz="0" w:space="0" w:color="auto"/>
        <w:left w:val="none" w:sz="0" w:space="0" w:color="auto"/>
        <w:bottom w:val="none" w:sz="0" w:space="0" w:color="auto"/>
        <w:right w:val="none" w:sz="0" w:space="0" w:color="auto"/>
      </w:divBdr>
    </w:div>
    <w:div w:id="21043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other/dfat/treaties/1980/2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medical_Indemnity_First_Principles_Re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2"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1"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054DD78-30C6-4921-B9BC-5C35639184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33C8B16D55D1C49A25CC6112AC3206B" ma:contentTypeVersion="" ma:contentTypeDescription="PDMS Document Site Content Type" ma:contentTypeScope="" ma:versionID="7b23cb5664512afc6e5e5e61b2eeb632">
  <xsd:schema xmlns:xsd="http://www.w3.org/2001/XMLSchema" xmlns:xs="http://www.w3.org/2001/XMLSchema" xmlns:p="http://schemas.microsoft.com/office/2006/metadata/properties" xmlns:ns2="D054DD78-30C6-4921-B9BC-5C35639184E2" targetNamespace="http://schemas.microsoft.com/office/2006/metadata/properties" ma:root="true" ma:fieldsID="abccae2bc9baba2dab4a12e20fe9cdca" ns2:_="">
    <xsd:import namespace="D054DD78-30C6-4921-B9BC-5C35639184E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4DD78-30C6-4921-B9BC-5C35639184E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9E10-9CC6-44BF-A249-19CD81BFF8A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054DD78-30C6-4921-B9BC-5C35639184E2"/>
    <ds:schemaRef ds:uri="http://www.w3.org/XML/1998/namespace"/>
    <ds:schemaRef ds:uri="http://purl.org/dc/elements/1.1/"/>
  </ds:schemaRefs>
</ds:datastoreItem>
</file>

<file path=customXml/itemProps2.xml><?xml version="1.0" encoding="utf-8"?>
<ds:datastoreItem xmlns:ds="http://schemas.openxmlformats.org/officeDocument/2006/customXml" ds:itemID="{D891B25B-78B7-4BF4-9A74-04976014DCDB}">
  <ds:schemaRefs>
    <ds:schemaRef ds:uri="http://schemas.microsoft.com/sharepoint/v3/contenttype/forms"/>
  </ds:schemaRefs>
</ds:datastoreItem>
</file>

<file path=customXml/itemProps3.xml><?xml version="1.0" encoding="utf-8"?>
<ds:datastoreItem xmlns:ds="http://schemas.openxmlformats.org/officeDocument/2006/customXml" ds:itemID="{73887B86-42F6-4701-9202-9E771896E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4DD78-30C6-4921-B9BC-5C356391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6C04A-25CE-4069-8613-159CC01F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3311</Words>
  <Characters>19681</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Pedro</dc:creator>
  <cp:lastModifiedBy>NG, Jason</cp:lastModifiedBy>
  <cp:revision>6</cp:revision>
  <cp:lastPrinted>2020-02-25T05:41:00Z</cp:lastPrinted>
  <dcterms:created xsi:type="dcterms:W3CDTF">2020-02-13T23:42:00Z</dcterms:created>
  <dcterms:modified xsi:type="dcterms:W3CDTF">2020-04-17T06:39:00Z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0x010100266966F133664895A6EE3632470D45F500833C8B16D55D1C49A25CC6112AC3206B</vt:lpwstr>
  </property>
</Properties>
</file>