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370B9C" w:rsidRDefault="00F15472" w:rsidP="00F15472">
      <w:pPr>
        <w:pStyle w:val="LDClauseHeading"/>
        <w:spacing w:before="0"/>
        <w:rPr>
          <w:rFonts w:cs="Arial"/>
        </w:rPr>
      </w:pPr>
      <w:r w:rsidRPr="00370B9C">
        <w:rPr>
          <w:rFonts w:cs="Arial"/>
        </w:rPr>
        <w:t>Explanatory Statement</w:t>
      </w:r>
    </w:p>
    <w:p w14:paraId="1F6BD549" w14:textId="77777777" w:rsidR="00F15472" w:rsidRPr="00370B9C" w:rsidRDefault="00F15472" w:rsidP="00F15472">
      <w:pPr>
        <w:pStyle w:val="LDClauseHeading"/>
        <w:rPr>
          <w:rFonts w:cs="Arial"/>
        </w:rPr>
      </w:pPr>
      <w:r w:rsidRPr="00370B9C">
        <w:rPr>
          <w:rFonts w:cs="Arial"/>
        </w:rPr>
        <w:t>Civil Aviation Safety Regulations 1998</w:t>
      </w:r>
    </w:p>
    <w:p w14:paraId="50790A78" w14:textId="41DD89BB" w:rsidR="00A87417" w:rsidRPr="00370B9C" w:rsidRDefault="00A87417" w:rsidP="00A87417">
      <w:pPr>
        <w:pStyle w:val="LDClauseHeading"/>
        <w:spacing w:after="0"/>
        <w:ind w:left="0" w:firstLine="0"/>
        <w:rPr>
          <w:iCs/>
        </w:rPr>
      </w:pPr>
      <w:r w:rsidRPr="00370B9C">
        <w:rPr>
          <w:iCs/>
        </w:rPr>
        <w:t>CASA EX</w:t>
      </w:r>
      <w:r w:rsidR="006F3119">
        <w:rPr>
          <w:iCs/>
        </w:rPr>
        <w:t>70</w:t>
      </w:r>
      <w:r w:rsidRPr="00370B9C">
        <w:rPr>
          <w:iCs/>
        </w:rPr>
        <w:t xml:space="preserve">/20 — Licensing, and Operator Training and Checking (Extensions of Time Due to COVID-19) Exemptions Amendment Instrument 2020 (No. </w:t>
      </w:r>
      <w:r w:rsidR="006F3119">
        <w:rPr>
          <w:iCs/>
        </w:rPr>
        <w:t>2</w:t>
      </w:r>
      <w:r w:rsidRPr="00370B9C">
        <w:rPr>
          <w:iCs/>
        </w:rPr>
        <w:t>)</w:t>
      </w:r>
    </w:p>
    <w:p w14:paraId="29452C88" w14:textId="77777777" w:rsidR="00872E2D" w:rsidRPr="00370B9C" w:rsidRDefault="00872E2D" w:rsidP="00872E2D">
      <w:pPr>
        <w:pStyle w:val="BodyText"/>
        <w:rPr>
          <w:rFonts w:ascii="Times New Roman" w:hAnsi="Times New Roman"/>
          <w:i/>
        </w:rPr>
      </w:pPr>
    </w:p>
    <w:p w14:paraId="5DCA32C0" w14:textId="77777777" w:rsidR="00F15472" w:rsidRPr="00370B9C" w:rsidRDefault="00F15472" w:rsidP="00D741A0">
      <w:pPr>
        <w:pStyle w:val="LDBodytext"/>
        <w:spacing w:before="120"/>
        <w:rPr>
          <w:b/>
        </w:rPr>
      </w:pPr>
      <w:r w:rsidRPr="00370B9C">
        <w:rPr>
          <w:b/>
        </w:rPr>
        <w:t>Purpose</w:t>
      </w:r>
    </w:p>
    <w:p w14:paraId="433BABA4" w14:textId="1AFAA523" w:rsidR="00312F15" w:rsidRDefault="00A87417" w:rsidP="00312F15">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sidR="006F3119">
        <w:rPr>
          <w:rFonts w:ascii="Times New Roman" w:hAnsi="Times New Roman"/>
          <w:b w:val="0"/>
          <w:bCs/>
          <w:i/>
        </w:rPr>
        <w:t>, as amended</w:t>
      </w:r>
      <w:r w:rsidRPr="00370B9C">
        <w:rPr>
          <w:rFonts w:ascii="Times New Roman" w:hAnsi="Times New Roman"/>
          <w:b w:val="0"/>
          <w:bCs/>
          <w:iCs/>
        </w:rPr>
        <w:t xml:space="preserve"> (F2020</w:t>
      </w:r>
      <w:r w:rsidR="006F3119">
        <w:rPr>
          <w:rFonts w:ascii="Times New Roman" w:hAnsi="Times New Roman"/>
          <w:b w:val="0"/>
          <w:bCs/>
          <w:iCs/>
        </w:rPr>
        <w:t>C</w:t>
      </w:r>
      <w:r w:rsidR="002B5F8D" w:rsidRPr="00370B9C">
        <w:rPr>
          <w:rFonts w:ascii="Times New Roman" w:hAnsi="Times New Roman"/>
          <w:b w:val="0"/>
          <w:bCs/>
          <w:iCs/>
        </w:rPr>
        <w:t>00</w:t>
      </w:r>
      <w:r w:rsidR="006F3119">
        <w:rPr>
          <w:rFonts w:ascii="Times New Roman" w:hAnsi="Times New Roman"/>
          <w:b w:val="0"/>
          <w:bCs/>
          <w:iCs/>
        </w:rPr>
        <w:t>256</w:t>
      </w:r>
      <w:r w:rsidR="002B5F8D" w:rsidRPr="00370B9C">
        <w:rPr>
          <w:rFonts w:ascii="Times New Roman" w:hAnsi="Times New Roman"/>
          <w:b w:val="0"/>
          <w:bCs/>
          <w:iCs/>
        </w:rPr>
        <w:t>)</w:t>
      </w:r>
      <w:r w:rsidR="002B5F8D" w:rsidRPr="00370B9C">
        <w:rPr>
          <w:rFonts w:ascii="Times New Roman" w:hAnsi="Times New Roman"/>
          <w:b w:val="0"/>
          <w:bCs/>
          <w:i/>
        </w:rPr>
        <w:t xml:space="preserve"> </w:t>
      </w:r>
      <w:r w:rsidR="002B5F8D" w:rsidRPr="00370B9C">
        <w:rPr>
          <w:rFonts w:ascii="Times New Roman" w:hAnsi="Times New Roman"/>
          <w:b w:val="0"/>
          <w:bCs/>
          <w:iCs/>
        </w:rPr>
        <w:t>(</w:t>
      </w:r>
      <w:r w:rsidR="002B5F8D" w:rsidRPr="00370B9C">
        <w:rPr>
          <w:rFonts w:ascii="Times New Roman" w:hAnsi="Times New Roman"/>
          <w:i/>
        </w:rPr>
        <w:t>CASA</w:t>
      </w:r>
      <w:r w:rsidR="0090623A">
        <w:rPr>
          <w:rFonts w:ascii="Times New Roman" w:hAnsi="Times New Roman"/>
          <w:i/>
        </w:rPr>
        <w:t> </w:t>
      </w:r>
      <w:r w:rsidR="002B5F8D" w:rsidRPr="00370B9C">
        <w:rPr>
          <w:rFonts w:ascii="Times New Roman" w:hAnsi="Times New Roman"/>
          <w:i/>
        </w:rPr>
        <w:t>EX57/20</w:t>
      </w:r>
      <w:r w:rsidR="00BE06EB" w:rsidRPr="00370B9C">
        <w:rPr>
          <w:rFonts w:ascii="Times New Roman" w:hAnsi="Times New Roman"/>
          <w:b w:val="0"/>
          <w:bCs/>
          <w:iCs/>
        </w:rPr>
        <w:t xml:space="preserve"> or </w:t>
      </w:r>
      <w:r w:rsidR="00BE06EB" w:rsidRPr="00C45AF7">
        <w:rPr>
          <w:rFonts w:ascii="Times New Roman" w:hAnsi="Times New Roman"/>
          <w:b w:val="0"/>
          <w:bCs/>
          <w:iCs/>
        </w:rPr>
        <w:t xml:space="preserve">the </w:t>
      </w:r>
      <w:r w:rsidR="00BE06EB" w:rsidRPr="00370B9C">
        <w:rPr>
          <w:rFonts w:ascii="Times New Roman" w:hAnsi="Times New Roman"/>
          <w:i/>
        </w:rPr>
        <w:t xml:space="preserve">original </w:t>
      </w:r>
      <w:r w:rsidR="00E41D2E" w:rsidRPr="00370B9C">
        <w:rPr>
          <w:rFonts w:ascii="Times New Roman" w:hAnsi="Times New Roman"/>
          <w:i/>
        </w:rPr>
        <w:t>instrument</w:t>
      </w:r>
      <w:r w:rsidR="002B5F8D" w:rsidRPr="00370B9C">
        <w:rPr>
          <w:rFonts w:ascii="Times New Roman" w:hAnsi="Times New Roman"/>
          <w:b w:val="0"/>
          <w:bCs/>
          <w:iCs/>
        </w:rPr>
        <w:t>)</w:t>
      </w:r>
      <w:r w:rsidRPr="00370B9C">
        <w:rPr>
          <w:rFonts w:ascii="Times New Roman" w:hAnsi="Times New Roman"/>
          <w:b w:val="0"/>
          <w:bCs/>
          <w:iCs/>
        </w:rPr>
        <w:t xml:space="preserve"> </w:t>
      </w:r>
      <w:r w:rsidR="002B5F8D" w:rsidRPr="00370B9C">
        <w:rPr>
          <w:rFonts w:ascii="Times New Roman" w:hAnsi="Times New Roman"/>
          <w:b w:val="0"/>
          <w:bCs/>
        </w:rPr>
        <w:t xml:space="preserve">contained </w:t>
      </w:r>
      <w:r w:rsidR="004375A7" w:rsidRPr="00370B9C">
        <w:rPr>
          <w:rFonts w:ascii="Times New Roman" w:hAnsi="Times New Roman"/>
          <w:b w:val="0"/>
          <w:bCs/>
        </w:rPr>
        <w:t>a</w:t>
      </w:r>
      <w:r w:rsidR="004A502E" w:rsidRPr="00370B9C">
        <w:rPr>
          <w:rFonts w:ascii="Times New Roman" w:hAnsi="Times New Roman"/>
          <w:b w:val="0"/>
          <w:bCs/>
        </w:rPr>
        <w:t xml:space="preserve"> series of emergency</w:t>
      </w:r>
      <w:r w:rsidR="004375A7" w:rsidRPr="00370B9C">
        <w:rPr>
          <w:rFonts w:ascii="Times New Roman" w:hAnsi="Times New Roman"/>
          <w:b w:val="0"/>
          <w:bCs/>
        </w:rPr>
        <w:t xml:space="preserve"> exemption</w:t>
      </w:r>
      <w:r w:rsidR="00CB44F5" w:rsidRPr="00370B9C">
        <w:rPr>
          <w:rFonts w:ascii="Times New Roman" w:hAnsi="Times New Roman"/>
          <w:b w:val="0"/>
          <w:bCs/>
        </w:rPr>
        <w:t>s</w:t>
      </w:r>
      <w:r w:rsidR="00AA13CC" w:rsidRPr="00370B9C">
        <w:rPr>
          <w:rFonts w:ascii="Times New Roman" w:hAnsi="Times New Roman"/>
          <w:b w:val="0"/>
          <w:bCs/>
        </w:rPr>
        <w:t xml:space="preserve"> from certain provisions of the</w:t>
      </w:r>
      <w:r w:rsidR="00E74C1F" w:rsidRPr="00370B9C">
        <w:rPr>
          <w:rFonts w:ascii="Times New Roman" w:hAnsi="Times New Roman"/>
          <w:b w:val="0"/>
          <w:bCs/>
        </w:rPr>
        <w:t xml:space="preserve"> </w:t>
      </w:r>
      <w:r w:rsidR="00E74C1F" w:rsidRPr="00370B9C">
        <w:rPr>
          <w:rFonts w:ascii="Times New Roman" w:hAnsi="Times New Roman"/>
          <w:b w:val="0"/>
          <w:bCs/>
          <w:i/>
        </w:rPr>
        <w:t xml:space="preserve">Civil Aviation Regulations 1988 </w:t>
      </w:r>
      <w:r w:rsidR="00E74C1F" w:rsidRPr="00370B9C">
        <w:rPr>
          <w:rFonts w:ascii="Times New Roman" w:hAnsi="Times New Roman"/>
          <w:b w:val="0"/>
          <w:bCs/>
        </w:rPr>
        <w:t>(</w:t>
      </w:r>
      <w:r w:rsidR="00E74C1F" w:rsidRPr="00D741A0">
        <w:rPr>
          <w:rFonts w:ascii="Times New Roman" w:hAnsi="Times New Roman"/>
          <w:i/>
        </w:rPr>
        <w:t>CAR</w:t>
      </w:r>
      <w:r w:rsidR="00E74C1F" w:rsidRPr="00370B9C">
        <w:rPr>
          <w:rFonts w:ascii="Times New Roman" w:hAnsi="Times New Roman"/>
          <w:b w:val="0"/>
          <w:bCs/>
        </w:rPr>
        <w:t>), the</w:t>
      </w:r>
      <w:r w:rsidR="00AA13CC" w:rsidRPr="00370B9C">
        <w:rPr>
          <w:rFonts w:ascii="Times New Roman" w:hAnsi="Times New Roman"/>
          <w:b w:val="0"/>
          <w:bCs/>
        </w:rPr>
        <w:t xml:space="preserve"> </w:t>
      </w:r>
      <w:r w:rsidR="00AA13CC" w:rsidRPr="00370B9C">
        <w:rPr>
          <w:rFonts w:ascii="Times New Roman" w:hAnsi="Times New Roman"/>
          <w:b w:val="0"/>
          <w:bCs/>
          <w:i/>
        </w:rPr>
        <w:t xml:space="preserve">Civil Aviation Safety Regulations 1998 </w:t>
      </w:r>
      <w:r w:rsidR="00AA13CC" w:rsidRPr="00370B9C">
        <w:rPr>
          <w:rFonts w:ascii="Times New Roman" w:hAnsi="Times New Roman"/>
          <w:b w:val="0"/>
          <w:bCs/>
        </w:rPr>
        <w:t>(</w:t>
      </w:r>
      <w:r w:rsidR="00AA13CC" w:rsidRPr="00D741A0">
        <w:rPr>
          <w:rFonts w:ascii="Times New Roman" w:hAnsi="Times New Roman"/>
          <w:i/>
        </w:rPr>
        <w:t>CASR</w:t>
      </w:r>
      <w:r w:rsidR="00AA13CC" w:rsidRPr="00370B9C">
        <w:rPr>
          <w:rFonts w:ascii="Times New Roman" w:hAnsi="Times New Roman"/>
          <w:b w:val="0"/>
          <w:bCs/>
        </w:rPr>
        <w:t>)</w:t>
      </w:r>
      <w:r w:rsidR="00E74C1F" w:rsidRPr="00370B9C">
        <w:rPr>
          <w:rFonts w:ascii="Times New Roman" w:hAnsi="Times New Roman"/>
          <w:b w:val="0"/>
          <w:bCs/>
        </w:rPr>
        <w:t xml:space="preserve"> and Civil Aviation Order 20.11</w:t>
      </w:r>
      <w:r w:rsidR="004375A7" w:rsidRPr="00370B9C">
        <w:rPr>
          <w:rFonts w:ascii="Times New Roman" w:hAnsi="Times New Roman"/>
          <w:b w:val="0"/>
          <w:bCs/>
        </w:rPr>
        <w:t xml:space="preserve"> to </w:t>
      </w:r>
      <w:r w:rsidR="00AA13CC" w:rsidRPr="00370B9C">
        <w:rPr>
          <w:rFonts w:ascii="Times New Roman" w:hAnsi="Times New Roman"/>
          <w:b w:val="0"/>
          <w:bCs/>
        </w:rPr>
        <w:t>extend</w:t>
      </w:r>
      <w:r w:rsidR="00CB44F5" w:rsidRPr="00370B9C">
        <w:rPr>
          <w:rFonts w:ascii="Times New Roman" w:hAnsi="Times New Roman"/>
          <w:b w:val="0"/>
          <w:bCs/>
        </w:rPr>
        <w:t xml:space="preserve"> a range of licence</w:t>
      </w:r>
      <w:r w:rsidR="00D741A0">
        <w:rPr>
          <w:rFonts w:ascii="Times New Roman" w:hAnsi="Times New Roman"/>
          <w:b w:val="0"/>
          <w:bCs/>
        </w:rPr>
        <w:t>-</w:t>
      </w:r>
      <w:r w:rsidR="00CB44F5" w:rsidRPr="00370B9C">
        <w:rPr>
          <w:rFonts w:ascii="Times New Roman" w:hAnsi="Times New Roman"/>
          <w:b w:val="0"/>
          <w:bCs/>
        </w:rPr>
        <w:t>related and other</w:t>
      </w:r>
      <w:r w:rsidR="00AA13CC" w:rsidRPr="00370B9C">
        <w:rPr>
          <w:rFonts w:ascii="Times New Roman" w:hAnsi="Times New Roman"/>
          <w:b w:val="0"/>
          <w:bCs/>
        </w:rPr>
        <w:t xml:space="preserve"> time</w:t>
      </w:r>
      <w:r w:rsidR="00CB44F5" w:rsidRPr="00370B9C">
        <w:rPr>
          <w:rFonts w:ascii="Times New Roman" w:hAnsi="Times New Roman"/>
          <w:b w:val="0"/>
          <w:bCs/>
        </w:rPr>
        <w:t xml:space="preserve"> limits</w:t>
      </w:r>
      <w:r w:rsidR="003D5B11">
        <w:rPr>
          <w:rFonts w:ascii="Times New Roman" w:hAnsi="Times New Roman"/>
          <w:b w:val="0"/>
          <w:bCs/>
        </w:rPr>
        <w:t xml:space="preserve"> in response to the COVID-19 pandemic</w:t>
      </w:r>
      <w:r w:rsidR="002877C6" w:rsidRPr="00370B9C">
        <w:rPr>
          <w:rFonts w:ascii="Times New Roman" w:hAnsi="Times New Roman"/>
          <w:b w:val="0"/>
          <w:bCs/>
        </w:rPr>
        <w:t>.</w:t>
      </w:r>
    </w:p>
    <w:p w14:paraId="643961C6" w14:textId="63348A2B" w:rsidR="002B5F8D" w:rsidRPr="00312F15" w:rsidRDefault="002B5F8D" w:rsidP="00C45AF7">
      <w:pPr>
        <w:rPr>
          <w:rFonts w:ascii="Times New Roman" w:hAnsi="Times New Roman"/>
          <w:sz w:val="20"/>
          <w:szCs w:val="20"/>
        </w:rPr>
      </w:pPr>
    </w:p>
    <w:p w14:paraId="7D43982D" w14:textId="36ECCD6D" w:rsidR="003D5B11" w:rsidRDefault="006F3119" w:rsidP="00C45AF7">
      <w:pPr>
        <w:pStyle w:val="LDClauseHeading"/>
        <w:keepNext w:val="0"/>
        <w:spacing w:before="0" w:after="0"/>
        <w:ind w:left="0" w:firstLine="0"/>
        <w:rPr>
          <w:rFonts w:ascii="Times New Roman" w:hAnsi="Times New Roman"/>
          <w:b w:val="0"/>
          <w:bCs/>
          <w:iCs/>
        </w:rPr>
      </w:pPr>
      <w:r>
        <w:rPr>
          <w:rFonts w:ascii="Times New Roman" w:hAnsi="Times New Roman"/>
          <w:b w:val="0"/>
          <w:bCs/>
        </w:rPr>
        <w:t>The original instrument was amended by</w:t>
      </w:r>
      <w:r w:rsidR="002B5F8D" w:rsidRPr="00370B9C">
        <w:rPr>
          <w:rFonts w:ascii="Times New Roman" w:hAnsi="Times New Roman"/>
          <w:b w:val="0"/>
          <w:bCs/>
        </w:rPr>
        <w:t xml:space="preserve"> </w:t>
      </w:r>
      <w:r w:rsidR="002B5F8D" w:rsidRPr="00370B9C">
        <w:rPr>
          <w:rFonts w:ascii="Times New Roman" w:hAnsi="Times New Roman"/>
          <w:b w:val="0"/>
          <w:bCs/>
          <w:i/>
        </w:rPr>
        <w:t>CASA EX</w:t>
      </w:r>
      <w:r w:rsidR="00D741A0">
        <w:rPr>
          <w:rFonts w:ascii="Times New Roman" w:hAnsi="Times New Roman"/>
          <w:b w:val="0"/>
          <w:bCs/>
          <w:i/>
        </w:rPr>
        <w:t>63</w:t>
      </w:r>
      <w:r w:rsidR="002B5F8D" w:rsidRPr="00370B9C">
        <w:rPr>
          <w:rFonts w:ascii="Times New Roman" w:hAnsi="Times New Roman"/>
          <w:b w:val="0"/>
          <w:bCs/>
          <w:i/>
        </w:rPr>
        <w:t>/20 — Licensing, and Operator Training and Checking (Extensions of Time Due to COVID-19) Exemptions Amendment Instrument 2020 (No.</w:t>
      </w:r>
      <w:r w:rsidR="00C45AF7">
        <w:rPr>
          <w:rFonts w:ascii="Times New Roman" w:hAnsi="Times New Roman"/>
          <w:b w:val="0"/>
          <w:bCs/>
          <w:i/>
        </w:rPr>
        <w:t xml:space="preserve"> </w:t>
      </w:r>
      <w:r w:rsidR="002B5F8D" w:rsidRPr="00370B9C">
        <w:rPr>
          <w:rFonts w:ascii="Times New Roman" w:hAnsi="Times New Roman"/>
          <w:b w:val="0"/>
          <w:bCs/>
          <w:i/>
        </w:rPr>
        <w:t xml:space="preserve">1) </w:t>
      </w:r>
      <w:r w:rsidR="002B5F8D" w:rsidRPr="00370B9C">
        <w:rPr>
          <w:rFonts w:ascii="Times New Roman" w:hAnsi="Times New Roman"/>
          <w:b w:val="0"/>
          <w:bCs/>
          <w:iCs/>
        </w:rPr>
        <w:t xml:space="preserve">(the </w:t>
      </w:r>
      <w:r w:rsidR="00087E12" w:rsidRPr="00087E12">
        <w:rPr>
          <w:rFonts w:ascii="Times New Roman" w:hAnsi="Times New Roman"/>
          <w:i/>
        </w:rPr>
        <w:t xml:space="preserve">first </w:t>
      </w:r>
      <w:r w:rsidR="002B5F8D" w:rsidRPr="00370B9C">
        <w:rPr>
          <w:rFonts w:ascii="Times New Roman" w:hAnsi="Times New Roman"/>
          <w:i/>
        </w:rPr>
        <w:t>amendment instrument</w:t>
      </w:r>
      <w:r w:rsidR="00087E12" w:rsidRPr="00410A93">
        <w:rPr>
          <w:rFonts w:ascii="Times New Roman" w:hAnsi="Times New Roman"/>
          <w:b w:val="0"/>
          <w:bCs/>
          <w:iCs/>
        </w:rPr>
        <w:t>, made on 7 April 2020</w:t>
      </w:r>
      <w:r w:rsidR="002B5F8D" w:rsidRPr="00370B9C">
        <w:rPr>
          <w:rFonts w:ascii="Times New Roman" w:hAnsi="Times New Roman"/>
          <w:b w:val="0"/>
          <w:bCs/>
          <w:iCs/>
        </w:rPr>
        <w:t xml:space="preserve">) </w:t>
      </w:r>
      <w:r>
        <w:rPr>
          <w:rFonts w:ascii="Times New Roman" w:hAnsi="Times New Roman"/>
          <w:b w:val="0"/>
          <w:bCs/>
          <w:iCs/>
        </w:rPr>
        <w:t xml:space="preserve">essentially </w:t>
      </w:r>
      <w:r w:rsidR="003D5B11">
        <w:rPr>
          <w:rFonts w:ascii="Times New Roman" w:hAnsi="Times New Roman"/>
          <w:b w:val="0"/>
          <w:bCs/>
          <w:iCs/>
        </w:rPr>
        <w:t>to add further, new</w:t>
      </w:r>
      <w:r w:rsidR="00FB290E">
        <w:rPr>
          <w:rFonts w:ascii="Times New Roman" w:hAnsi="Times New Roman"/>
          <w:b w:val="0"/>
          <w:bCs/>
          <w:iCs/>
        </w:rPr>
        <w:t>,</w:t>
      </w:r>
      <w:r w:rsidR="003D5B11">
        <w:rPr>
          <w:rFonts w:ascii="Times New Roman" w:hAnsi="Times New Roman"/>
          <w:b w:val="0"/>
          <w:bCs/>
          <w:iCs/>
        </w:rPr>
        <w:t xml:space="preserve"> and different, exemptions to deal with other emerging impacts of the pandemic.</w:t>
      </w:r>
    </w:p>
    <w:p w14:paraId="07598D1F" w14:textId="77777777" w:rsidR="003D5B11" w:rsidRDefault="003D5B11" w:rsidP="00C45AF7">
      <w:pPr>
        <w:pStyle w:val="LDClauseHeading"/>
        <w:keepNext w:val="0"/>
        <w:spacing w:before="0" w:after="0"/>
        <w:ind w:left="0" w:firstLine="0"/>
        <w:rPr>
          <w:rFonts w:ascii="Times New Roman" w:hAnsi="Times New Roman"/>
          <w:b w:val="0"/>
          <w:bCs/>
          <w:iCs/>
        </w:rPr>
      </w:pPr>
    </w:p>
    <w:p w14:paraId="678401AB" w14:textId="2E62228C" w:rsidR="007A4B1F" w:rsidRDefault="003D5B11" w:rsidP="00C45AF7">
      <w:pPr>
        <w:rPr>
          <w:rFonts w:ascii="Times New Roman" w:hAnsi="Times New Roman"/>
          <w:bCs/>
          <w:iCs/>
        </w:rPr>
      </w:pPr>
      <w:r w:rsidRPr="00FB290E">
        <w:rPr>
          <w:rFonts w:ascii="Times New Roman" w:hAnsi="Times New Roman"/>
          <w:bCs/>
        </w:rPr>
        <w:t>A second</w:t>
      </w:r>
      <w:r w:rsidR="000649EA" w:rsidRPr="00FB290E">
        <w:rPr>
          <w:rFonts w:ascii="Times New Roman" w:hAnsi="Times New Roman"/>
          <w:bCs/>
        </w:rPr>
        <w:t xml:space="preserve"> amendment instrument</w:t>
      </w:r>
      <w:r w:rsidR="000649EA" w:rsidRPr="000649EA">
        <w:rPr>
          <w:rFonts w:ascii="Times New Roman" w:hAnsi="Times New Roman"/>
          <w:bCs/>
        </w:rPr>
        <w:t xml:space="preserve"> is </w:t>
      </w:r>
      <w:r w:rsidR="00087E12">
        <w:rPr>
          <w:rFonts w:ascii="Times New Roman" w:hAnsi="Times New Roman"/>
          <w:bCs/>
        </w:rPr>
        <w:t xml:space="preserve">now </w:t>
      </w:r>
      <w:r w:rsidR="000649EA" w:rsidRPr="008F4717">
        <w:rPr>
          <w:rFonts w:ascii="Times New Roman" w:hAnsi="Times New Roman"/>
          <w:bCs/>
        </w:rPr>
        <w:t>ne</w:t>
      </w:r>
      <w:r w:rsidR="000649EA" w:rsidRPr="00F860BA">
        <w:rPr>
          <w:rFonts w:ascii="Times New Roman" w:hAnsi="Times New Roman"/>
          <w:bCs/>
        </w:rPr>
        <w:t xml:space="preserve">eded to continue to deal with other emerging </w:t>
      </w:r>
      <w:r w:rsidR="000649EA" w:rsidRPr="00332A6C">
        <w:rPr>
          <w:rFonts w:ascii="Times New Roman" w:hAnsi="Times New Roman"/>
          <w:bCs/>
        </w:rPr>
        <w:t>impacts</w:t>
      </w:r>
      <w:r w:rsidR="000649EA" w:rsidRPr="00EC3360">
        <w:rPr>
          <w:rFonts w:ascii="Times New Roman" w:hAnsi="Times New Roman"/>
          <w:bCs/>
        </w:rPr>
        <w:t xml:space="preserve"> through exemptions. Once again</w:t>
      </w:r>
      <w:r w:rsidR="000649EA" w:rsidRPr="003A7E5C">
        <w:rPr>
          <w:rFonts w:ascii="Times New Roman" w:hAnsi="Times New Roman"/>
          <w:bCs/>
        </w:rPr>
        <w:t xml:space="preserve">, </w:t>
      </w:r>
      <w:r w:rsidR="000649EA" w:rsidRPr="001710EA">
        <w:rPr>
          <w:rFonts w:ascii="Times New Roman" w:hAnsi="Times New Roman"/>
          <w:bCs/>
        </w:rPr>
        <w:t xml:space="preserve">these are </w:t>
      </w:r>
      <w:r w:rsidR="000649EA" w:rsidRPr="00242604">
        <w:rPr>
          <w:rFonts w:ascii="Times New Roman" w:hAnsi="Times New Roman"/>
          <w:bCs/>
          <w:iCs/>
        </w:rPr>
        <w:t>furthe</w:t>
      </w:r>
      <w:r w:rsidR="000649EA" w:rsidRPr="00737753">
        <w:rPr>
          <w:rFonts w:ascii="Times New Roman" w:hAnsi="Times New Roman"/>
          <w:bCs/>
          <w:iCs/>
        </w:rPr>
        <w:t xml:space="preserve">r, </w:t>
      </w:r>
      <w:r w:rsidR="00FB290E" w:rsidRPr="00FB290E">
        <w:rPr>
          <w:rFonts w:ascii="Times New Roman" w:hAnsi="Times New Roman"/>
          <w:bCs/>
          <w:iCs/>
        </w:rPr>
        <w:t>new,</w:t>
      </w:r>
      <w:r w:rsidR="000649EA" w:rsidRPr="00FB290E">
        <w:rPr>
          <w:rFonts w:ascii="Times New Roman" w:hAnsi="Times New Roman"/>
          <w:bCs/>
          <w:iCs/>
        </w:rPr>
        <w:t xml:space="preserve"> and different, exemptions and the second amendment instrument is, in no sense, the same in substance as the original instrument.</w:t>
      </w:r>
    </w:p>
    <w:p w14:paraId="2E460AB2" w14:textId="77777777" w:rsidR="007A4B1F" w:rsidRDefault="007A4B1F" w:rsidP="00C45AF7">
      <w:pPr>
        <w:rPr>
          <w:rFonts w:ascii="Times New Roman" w:hAnsi="Times New Roman"/>
          <w:bCs/>
          <w:iCs/>
        </w:rPr>
      </w:pPr>
    </w:p>
    <w:p w14:paraId="0DC37D4D" w14:textId="443CBCF1" w:rsidR="000E130B" w:rsidRPr="000E130B" w:rsidRDefault="000E130B" w:rsidP="000E130B">
      <w:pPr>
        <w:rPr>
          <w:rFonts w:ascii="Times New Roman" w:hAnsi="Times New Roman"/>
          <w:bCs/>
        </w:rPr>
      </w:pPr>
      <w:r w:rsidRPr="000E130B">
        <w:rPr>
          <w:rFonts w:ascii="Times New Roman" w:hAnsi="Times New Roman"/>
          <w:bCs/>
        </w:rPr>
        <w:t>The second amendment instrument is in response to the COVID-19 pandemic social distancing rules which require relevant licence holders to avoid, as far as possible, working in close proximity to others during assessment activities. In addition, the air traffic service provider responsible for these activities (Airservices Australia) has implemented a rostering scheme which aims to mitigate operational and personnel risks associated with COVID-19 and, therefore, the availability of relevant licence holders to conduct assessments and supervision is reduced, and the ability to meet recency requirements is diminished.</w:t>
      </w:r>
    </w:p>
    <w:p w14:paraId="52BC422D" w14:textId="77777777" w:rsidR="001B1541" w:rsidRPr="001B1541" w:rsidRDefault="001B1541" w:rsidP="001B1541">
      <w:pPr>
        <w:pStyle w:val="LDBodytext"/>
      </w:pPr>
    </w:p>
    <w:p w14:paraId="116C5EEF" w14:textId="77777777" w:rsidR="00137848" w:rsidRPr="00370B9C" w:rsidRDefault="00137848" w:rsidP="00137848">
      <w:pPr>
        <w:pStyle w:val="BodyText"/>
        <w:rPr>
          <w:rFonts w:ascii="Times New Roman" w:hAnsi="Times New Roman"/>
          <w:b/>
        </w:rPr>
      </w:pPr>
      <w:r w:rsidRPr="00370B9C">
        <w:rPr>
          <w:rFonts w:ascii="Times New Roman" w:hAnsi="Times New Roman"/>
          <w:b/>
        </w:rPr>
        <w:t>Legislation — exemptions</w:t>
      </w:r>
    </w:p>
    <w:p w14:paraId="0582A2F6" w14:textId="77777777" w:rsidR="00137848" w:rsidRPr="00370B9C" w:rsidRDefault="00137848" w:rsidP="00137848">
      <w:pPr>
        <w:rPr>
          <w:rFonts w:ascii="Times New Roman" w:hAnsi="Times New Roman"/>
        </w:rPr>
      </w:pPr>
      <w:r w:rsidRPr="00370B9C">
        <w:rPr>
          <w:rFonts w:ascii="Times New Roman" w:hAnsi="Times New Roman"/>
        </w:rPr>
        <w:t xml:space="preserve">Subpart 11.F of CASR deals with exemptions. Under subregulation 11.160 (1), and for subsection 98 (5A) of the </w:t>
      </w:r>
      <w:r w:rsidR="00AC458E" w:rsidRPr="00370B9C">
        <w:rPr>
          <w:rFonts w:ascii="Times New Roman" w:hAnsi="Times New Roman"/>
          <w:i/>
        </w:rPr>
        <w:t>Civil Aviation Act 1988</w:t>
      </w:r>
      <w:r w:rsidR="00AC458E" w:rsidRPr="00370B9C">
        <w:rPr>
          <w:rFonts w:ascii="Times New Roman" w:hAnsi="Times New Roman"/>
        </w:rPr>
        <w:t xml:space="preserve"> (the </w:t>
      </w:r>
      <w:r w:rsidRPr="00370B9C">
        <w:rPr>
          <w:rFonts w:ascii="Times New Roman" w:hAnsi="Times New Roman"/>
          <w:b/>
          <w:i/>
        </w:rPr>
        <w:t>Act</w:t>
      </w:r>
      <w:r w:rsidR="00AC458E" w:rsidRPr="00370B9C">
        <w:rPr>
          <w:rFonts w:ascii="Times New Roman" w:hAnsi="Times New Roman"/>
        </w:rPr>
        <w:t>)</w:t>
      </w:r>
      <w:r w:rsidRPr="00370B9C">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0E130B" w:rsidRDefault="00137848" w:rsidP="000E130B">
      <w:pPr>
        <w:pStyle w:val="LDBodytext"/>
      </w:pPr>
    </w:p>
    <w:p w14:paraId="5116C058" w14:textId="7D16A4C5" w:rsidR="00137848" w:rsidRPr="00370B9C" w:rsidRDefault="00137848" w:rsidP="00137848">
      <w:pPr>
        <w:pStyle w:val="LDBodytext"/>
      </w:pPr>
      <w:r w:rsidRPr="00370B9C">
        <w:t xml:space="preserve">Under subregulation 11.160 (2), an exemption may be granted to a person or a class of persons. Under subregulation 11.160 (3), CASA may grant an exemption on application, or on its own initiative. </w:t>
      </w:r>
      <w:r w:rsidR="006D7AB0" w:rsidRPr="006D7AB0">
        <w:rPr>
          <w:color w:val="000000" w:themeColor="text1"/>
        </w:rPr>
        <w:t xml:space="preserve">Under subregulation 11.170 (3), for </w:t>
      </w:r>
      <w:r w:rsidRPr="00370B9C">
        <w:t>an application for an exemption, CASA must regard as paramount the preservation of an acceptable level of safety.</w:t>
      </w:r>
      <w:r w:rsidR="008E3A0F" w:rsidRPr="00370B9C">
        <w:t xml:space="preserve"> </w:t>
      </w:r>
      <w:r w:rsidRPr="00370B9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0E130B" w:rsidRDefault="00137848" w:rsidP="000E130B">
      <w:pPr>
        <w:pStyle w:val="LDBodytext"/>
      </w:pPr>
    </w:p>
    <w:p w14:paraId="099664BA" w14:textId="65B01142" w:rsidR="00137848" w:rsidRPr="00370B9C" w:rsidRDefault="00137848" w:rsidP="00137848">
      <w:pPr>
        <w:rPr>
          <w:rFonts w:ascii="Times New Roman" w:hAnsi="Times New Roman"/>
        </w:rPr>
      </w:pPr>
      <w:r w:rsidRPr="00370B9C">
        <w:rPr>
          <w:rFonts w:ascii="Times New Roman" w:hAnsi="Times New Roman"/>
        </w:rPr>
        <w:lastRenderedPageBreak/>
        <w:t>Under regulation 11.205, CASA may impose conditions on an exemption</w:t>
      </w:r>
      <w:r w:rsidR="004A05BD" w:rsidRPr="00370B9C">
        <w:rPr>
          <w:rFonts w:ascii="Times New Roman" w:hAnsi="Times New Roman"/>
        </w:rPr>
        <w:t>,</w:t>
      </w:r>
      <w:r w:rsidRPr="00370B9C">
        <w:rPr>
          <w:rFonts w:ascii="Times New Roman" w:hAnsi="Times New Roman"/>
        </w:rPr>
        <w:t xml:space="preserve"> if </w:t>
      </w:r>
      <w:r w:rsidR="004A05BD" w:rsidRPr="00370B9C">
        <w:rPr>
          <w:rFonts w:ascii="Times New Roman" w:hAnsi="Times New Roman"/>
        </w:rPr>
        <w:t xml:space="preserve">this is </w:t>
      </w:r>
      <w:r w:rsidRPr="00370B9C">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312F15" w:rsidRDefault="00137848" w:rsidP="00137848">
      <w:pPr>
        <w:rPr>
          <w:rFonts w:ascii="Times New Roman" w:hAnsi="Times New Roman"/>
          <w:sz w:val="20"/>
          <w:szCs w:val="20"/>
        </w:rPr>
      </w:pPr>
    </w:p>
    <w:p w14:paraId="2827D8D0" w14:textId="4F8501E1" w:rsidR="00137848" w:rsidRDefault="00137848" w:rsidP="00137848">
      <w:pPr>
        <w:rPr>
          <w:rFonts w:ascii="Times New Roman" w:hAnsi="Times New Roman"/>
        </w:rPr>
      </w:pPr>
      <w:r w:rsidRPr="00370B9C">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3CA5E4B0" w14:textId="77777777" w:rsidR="0088713F" w:rsidRPr="0088713F" w:rsidRDefault="0088713F" w:rsidP="00DB5F6E">
      <w:pPr>
        <w:pStyle w:val="LDBodytext"/>
      </w:pPr>
    </w:p>
    <w:p w14:paraId="1762E61A" w14:textId="392D42D5" w:rsidR="00137848" w:rsidRPr="00370B9C" w:rsidRDefault="00137848" w:rsidP="0088304D">
      <w:pPr>
        <w:rPr>
          <w:rFonts w:ascii="Times New Roman" w:hAnsi="Times New Roman"/>
        </w:rPr>
      </w:pPr>
      <w:r w:rsidRPr="00370B9C">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312F15" w:rsidRDefault="00646118" w:rsidP="0088304D">
      <w:pPr>
        <w:pStyle w:val="BodyText"/>
        <w:rPr>
          <w:iCs/>
          <w:sz w:val="20"/>
          <w:szCs w:val="20"/>
        </w:rPr>
      </w:pPr>
    </w:p>
    <w:p w14:paraId="56A2F129" w14:textId="372BD9BC" w:rsidR="007C41CC" w:rsidRPr="00370B9C" w:rsidRDefault="00646118" w:rsidP="00646118">
      <w:pPr>
        <w:pStyle w:val="LDBodytext"/>
      </w:pPr>
      <w:r w:rsidRPr="00370B9C">
        <w:t xml:space="preserve">Regulation 11.185 of CASR is similar to regulation 11.160, but is used for exceptional circumstances, for example, in a large-scale emergency such as currently prevails in Australia because of </w:t>
      </w:r>
      <w:r w:rsidR="00014B80" w:rsidRPr="00370B9C">
        <w:t xml:space="preserve">the </w:t>
      </w:r>
      <w:r w:rsidRPr="00370B9C">
        <w:t>COVID-19</w:t>
      </w:r>
      <w:r w:rsidR="00014B80" w:rsidRPr="00370B9C">
        <w:t xml:space="preserve"> pandemic</w:t>
      </w:r>
      <w:r w:rsidRPr="00370B9C">
        <w:t>.</w:t>
      </w:r>
    </w:p>
    <w:p w14:paraId="674E528C" w14:textId="77777777" w:rsidR="007C41CC" w:rsidRPr="00312F15" w:rsidRDefault="007C41CC" w:rsidP="00312F15">
      <w:pPr>
        <w:pStyle w:val="BodyText"/>
        <w:rPr>
          <w:iCs/>
          <w:sz w:val="20"/>
          <w:szCs w:val="20"/>
        </w:rPr>
      </w:pPr>
    </w:p>
    <w:p w14:paraId="1D4798C8" w14:textId="284CE567" w:rsidR="007C41CC" w:rsidRPr="00370B9C" w:rsidRDefault="008E3A0F" w:rsidP="00646118">
      <w:pPr>
        <w:pStyle w:val="LDBodytext"/>
      </w:pPr>
      <w:r w:rsidRPr="00370B9C">
        <w:t>For such an exemption, CASA must regard as paramount the preservation of the highest level of aviation safety that is practicable in the circumstances.</w:t>
      </w:r>
    </w:p>
    <w:p w14:paraId="128B1B5E" w14:textId="77777777" w:rsidR="007C41CC" w:rsidRPr="00312F15" w:rsidRDefault="007C41CC" w:rsidP="00312F15">
      <w:pPr>
        <w:pStyle w:val="BodyText"/>
        <w:rPr>
          <w:iCs/>
          <w:sz w:val="20"/>
          <w:szCs w:val="20"/>
        </w:rPr>
      </w:pPr>
    </w:p>
    <w:p w14:paraId="115A4170" w14:textId="28AAB3D3" w:rsidR="007C41CC" w:rsidRPr="00370B9C" w:rsidRDefault="008E3A0F" w:rsidP="00646118">
      <w:pPr>
        <w:pStyle w:val="LDBodytext"/>
      </w:pPr>
      <w:r w:rsidRPr="00370B9C">
        <w:t>In making the</w:t>
      </w:r>
      <w:r w:rsidR="007C41CC" w:rsidRPr="00370B9C">
        <w:t xml:space="preserve"> instrument</w:t>
      </w:r>
      <w:r w:rsidRPr="00370B9C">
        <w:t xml:space="preserve">, CASA has </w:t>
      </w:r>
      <w:r w:rsidR="007C41CC" w:rsidRPr="00370B9C">
        <w:t xml:space="preserve">arrived at exemption provisions which will preserve the highest level of aviation safety that is reasonably practicable in the circumstances of the COVID-19 </w:t>
      </w:r>
      <w:r w:rsidR="00A12704" w:rsidRPr="00370B9C">
        <w:t>pan</w:t>
      </w:r>
      <w:r w:rsidR="007C41CC" w:rsidRPr="00370B9C">
        <w:t>demic. Thus, both the paramountcy of aviation safety and the practicability of achieving it as the most important consideration in CASA’s assessment, have been preserved in the proportionate approach adopted and the conditions imposed.</w:t>
      </w:r>
    </w:p>
    <w:p w14:paraId="183E9896" w14:textId="77777777" w:rsidR="007C41CC" w:rsidRPr="00312F15" w:rsidRDefault="007C41CC" w:rsidP="00312F15">
      <w:pPr>
        <w:pStyle w:val="BodyText"/>
        <w:rPr>
          <w:iCs/>
          <w:sz w:val="20"/>
          <w:szCs w:val="20"/>
        </w:rPr>
      </w:pPr>
    </w:p>
    <w:p w14:paraId="4A28753F" w14:textId="436B4B2F" w:rsidR="00646118" w:rsidRPr="00370B9C" w:rsidRDefault="00FC37C7" w:rsidP="00646118">
      <w:pPr>
        <w:pStyle w:val="LDBodytext"/>
      </w:pPr>
      <w:r w:rsidRPr="00370B9C">
        <w:t xml:space="preserve">There is a time limit of 12 months on an exceptional circumstances exemption. The exemption instrument </w:t>
      </w:r>
      <w:r w:rsidR="00EA4F6B" w:rsidRPr="00370B9C">
        <w:t>will, therefore, remain in force for</w:t>
      </w:r>
      <w:r w:rsidR="009B0A29" w:rsidRPr="00370B9C">
        <w:t xml:space="preserve"> the original period of</w:t>
      </w:r>
      <w:r w:rsidR="00EA4F6B" w:rsidRPr="00370B9C">
        <w:t xml:space="preserve"> 12</w:t>
      </w:r>
      <w:r w:rsidR="00486443">
        <w:t> </w:t>
      </w:r>
      <w:r w:rsidR="00EA4F6B" w:rsidRPr="00370B9C">
        <w:t>months.</w:t>
      </w:r>
    </w:p>
    <w:p w14:paraId="4822207A" w14:textId="77777777" w:rsidR="00137848" w:rsidRPr="00312F15" w:rsidRDefault="00137848" w:rsidP="00F15472">
      <w:pPr>
        <w:pStyle w:val="BodyText"/>
        <w:rPr>
          <w:iCs/>
          <w:sz w:val="20"/>
          <w:szCs w:val="20"/>
        </w:rPr>
      </w:pPr>
    </w:p>
    <w:p w14:paraId="6044C887" w14:textId="3CE8BAC1" w:rsidR="00F15472" w:rsidRPr="00370B9C" w:rsidRDefault="00F15472" w:rsidP="00D51583">
      <w:pPr>
        <w:pStyle w:val="LDBodytext"/>
        <w:rPr>
          <w:b/>
        </w:rPr>
      </w:pPr>
      <w:r w:rsidRPr="00370B9C">
        <w:rPr>
          <w:b/>
        </w:rPr>
        <w:t>Legislation</w:t>
      </w:r>
      <w:r w:rsidR="00041C40" w:rsidRPr="00370B9C">
        <w:rPr>
          <w:b/>
        </w:rPr>
        <w:t> — CASR</w:t>
      </w:r>
    </w:p>
    <w:p w14:paraId="49CDC593" w14:textId="77777777" w:rsidR="00F15472" w:rsidRPr="00370B9C" w:rsidRDefault="00F15472" w:rsidP="00F15472">
      <w:pPr>
        <w:pStyle w:val="BodyText"/>
        <w:rPr>
          <w:rFonts w:ascii="Times New Roman" w:hAnsi="Times New Roman"/>
        </w:rPr>
      </w:pPr>
      <w:r w:rsidRPr="00370B9C">
        <w:rPr>
          <w:rFonts w:ascii="Times New Roman" w:hAnsi="Times New Roman"/>
        </w:rPr>
        <w:t>Section 98 of the Act empowers the Governor-General to make regulations for the Act and the safety of air navigation.</w:t>
      </w:r>
    </w:p>
    <w:p w14:paraId="76216CC5" w14:textId="77777777" w:rsidR="00F15472" w:rsidRPr="00312F15" w:rsidRDefault="00F15472" w:rsidP="00F15472">
      <w:pPr>
        <w:pStyle w:val="BodyText"/>
        <w:rPr>
          <w:iCs/>
          <w:sz w:val="20"/>
          <w:szCs w:val="20"/>
        </w:rPr>
      </w:pPr>
    </w:p>
    <w:p w14:paraId="006B707A" w14:textId="7117E82B" w:rsidR="005E4D0D" w:rsidRDefault="00A208DD" w:rsidP="00A208DD">
      <w:pPr>
        <w:pStyle w:val="BodyText"/>
        <w:rPr>
          <w:rFonts w:ascii="Times New Roman" w:hAnsi="Times New Roman"/>
        </w:rPr>
      </w:pPr>
      <w:r w:rsidRPr="00370B9C">
        <w:rPr>
          <w:rFonts w:ascii="Times New Roman" w:hAnsi="Times New Roman"/>
        </w:rPr>
        <w:t xml:space="preserve">The regulations in Part </w:t>
      </w:r>
      <w:r w:rsidR="00B14ED4">
        <w:rPr>
          <w:rFonts w:ascii="Times New Roman" w:hAnsi="Times New Roman"/>
        </w:rPr>
        <w:t>65</w:t>
      </w:r>
      <w:r w:rsidR="005E4D0D">
        <w:rPr>
          <w:rFonts w:ascii="Times New Roman" w:hAnsi="Times New Roman"/>
        </w:rPr>
        <w:t xml:space="preserve"> of CASR</w:t>
      </w:r>
      <w:r w:rsidRPr="00370B9C">
        <w:rPr>
          <w:rFonts w:ascii="Times New Roman" w:hAnsi="Times New Roman"/>
        </w:rPr>
        <w:t xml:space="preserve"> </w:t>
      </w:r>
      <w:r w:rsidR="00B700EE">
        <w:rPr>
          <w:rFonts w:ascii="Times New Roman" w:hAnsi="Times New Roman"/>
        </w:rPr>
        <w:t>deal with air traffic service licensing and, relevantly the holders of air traffic control (</w:t>
      </w:r>
      <w:r w:rsidR="00B700EE" w:rsidRPr="00FB290E">
        <w:rPr>
          <w:rFonts w:ascii="Times New Roman" w:hAnsi="Times New Roman"/>
          <w:b/>
          <w:bCs/>
          <w:i/>
          <w:iCs/>
        </w:rPr>
        <w:t>ATC</w:t>
      </w:r>
      <w:r w:rsidR="00B700EE">
        <w:rPr>
          <w:rFonts w:ascii="Times New Roman" w:hAnsi="Times New Roman"/>
        </w:rPr>
        <w:t>) licences and flight service licences, the persons they may supervise</w:t>
      </w:r>
      <w:r w:rsidR="005E4D0D">
        <w:rPr>
          <w:rFonts w:ascii="Times New Roman" w:hAnsi="Times New Roman"/>
        </w:rPr>
        <w:t>, and the offences that may be committed through failure to comply with the regulations</w:t>
      </w:r>
      <w:r w:rsidR="00B700EE">
        <w:rPr>
          <w:rFonts w:ascii="Times New Roman" w:hAnsi="Times New Roman"/>
        </w:rPr>
        <w:t>.</w:t>
      </w:r>
    </w:p>
    <w:p w14:paraId="06D440F5" w14:textId="77777777" w:rsidR="00B700EE" w:rsidRDefault="00B700EE" w:rsidP="00A208DD">
      <w:pPr>
        <w:pStyle w:val="BodyText"/>
        <w:rPr>
          <w:rFonts w:ascii="Times New Roman" w:hAnsi="Times New Roman"/>
        </w:rPr>
      </w:pPr>
    </w:p>
    <w:p w14:paraId="7ADE4626" w14:textId="43011432" w:rsidR="00B700EE" w:rsidRPr="009E6A96" w:rsidRDefault="005E4D0D" w:rsidP="005E4D0D">
      <w:pPr>
        <w:pStyle w:val="BodyText"/>
        <w:rPr>
          <w:rFonts w:ascii="Times New Roman" w:hAnsi="Times New Roman"/>
        </w:rPr>
      </w:pPr>
      <w:r w:rsidRPr="009E6A96">
        <w:rPr>
          <w:rFonts w:ascii="Times New Roman" w:hAnsi="Times New Roman"/>
        </w:rPr>
        <w:t>Under subregulation 65.025</w:t>
      </w:r>
      <w:r w:rsidR="00EF0204" w:rsidRPr="009E6A96">
        <w:rPr>
          <w:rFonts w:ascii="Times New Roman" w:hAnsi="Times New Roman"/>
        </w:rPr>
        <w:t> </w:t>
      </w:r>
      <w:r w:rsidRPr="009E6A96">
        <w:rPr>
          <w:rFonts w:ascii="Times New Roman" w:hAnsi="Times New Roman"/>
        </w:rPr>
        <w:t xml:space="preserve">(1) of CASR, </w:t>
      </w:r>
      <w:bookmarkStart w:id="0" w:name="_Toc23855516"/>
      <w:r w:rsidRPr="009E6A96">
        <w:rPr>
          <w:rFonts w:ascii="Times New Roman" w:hAnsi="Times New Roman"/>
        </w:rPr>
        <w:t>t</w:t>
      </w:r>
      <w:bookmarkEnd w:id="0"/>
      <w:r w:rsidR="00B700EE" w:rsidRPr="009E6A96">
        <w:rPr>
          <w:rFonts w:ascii="Times New Roman" w:hAnsi="Times New Roman"/>
        </w:rPr>
        <w:t xml:space="preserve">he holder of an ATC licence or a flight service licence satisfies the </w:t>
      </w:r>
      <w:r w:rsidR="00B700EE" w:rsidRPr="009E6A96">
        <w:rPr>
          <w:rFonts w:ascii="Times New Roman" w:hAnsi="Times New Roman"/>
          <w:b/>
          <w:i/>
        </w:rPr>
        <w:t>recency requirement</w:t>
      </w:r>
      <w:r w:rsidR="00B700EE" w:rsidRPr="009E6A96">
        <w:rPr>
          <w:rFonts w:ascii="Times New Roman" w:hAnsi="Times New Roman"/>
        </w:rPr>
        <w:t xml:space="preserve"> in relation to an endorsement at a particular time if he or she has performed the duties required by the relevant function at the aerodrome or in relation to the airspace to which the endorsement relates, for at least 5 hours </w:t>
      </w:r>
      <w:r w:rsidR="00B700EE" w:rsidRPr="009E6A96">
        <w:rPr>
          <w:rFonts w:ascii="Times New Roman" w:hAnsi="Times New Roman"/>
          <w:i/>
          <w:iCs/>
        </w:rPr>
        <w:t>within the previous 21 days</w:t>
      </w:r>
      <w:r w:rsidR="00B700EE" w:rsidRPr="009E6A96">
        <w:rPr>
          <w:rFonts w:ascii="Times New Roman" w:hAnsi="Times New Roman"/>
        </w:rPr>
        <w:t>.</w:t>
      </w:r>
    </w:p>
    <w:p w14:paraId="1B9A2D4E" w14:textId="04C8D4DE" w:rsidR="005E4D0D" w:rsidRPr="009E6A96" w:rsidRDefault="005E4D0D" w:rsidP="005E4D0D">
      <w:pPr>
        <w:pStyle w:val="BodyText"/>
        <w:rPr>
          <w:rFonts w:ascii="Times New Roman" w:hAnsi="Times New Roman"/>
        </w:rPr>
      </w:pPr>
    </w:p>
    <w:p w14:paraId="3C362015" w14:textId="48183B50" w:rsidR="00B700EE" w:rsidRPr="009E6A96" w:rsidRDefault="005E4D0D" w:rsidP="005E4D0D">
      <w:pPr>
        <w:pStyle w:val="BodyText"/>
        <w:rPr>
          <w:rFonts w:ascii="Times New Roman" w:hAnsi="Times New Roman"/>
        </w:rPr>
      </w:pPr>
      <w:r w:rsidRPr="009E6A96">
        <w:rPr>
          <w:rFonts w:ascii="Times New Roman" w:hAnsi="Times New Roman"/>
        </w:rPr>
        <w:t>Under subregulation 65.025</w:t>
      </w:r>
      <w:r w:rsidR="00EF0204" w:rsidRPr="009E6A96">
        <w:rPr>
          <w:rFonts w:ascii="Times New Roman" w:hAnsi="Times New Roman"/>
        </w:rPr>
        <w:t> </w:t>
      </w:r>
      <w:r w:rsidRPr="009E6A96">
        <w:rPr>
          <w:rFonts w:ascii="Times New Roman" w:hAnsi="Times New Roman"/>
        </w:rPr>
        <w:t>(2), i</w:t>
      </w:r>
      <w:r w:rsidR="00B700EE" w:rsidRPr="009E6A96">
        <w:rPr>
          <w:rFonts w:ascii="Times New Roman" w:hAnsi="Times New Roman"/>
        </w:rPr>
        <w:t>f an ATS provider specifies in its operations manual that 2 or more endorsements are of like type</w:t>
      </w:r>
      <w:r w:rsidRPr="009E6A96">
        <w:rPr>
          <w:rFonts w:ascii="Times New Roman" w:hAnsi="Times New Roman"/>
        </w:rPr>
        <w:t>,</w:t>
      </w:r>
      <w:r w:rsidR="00B700EE" w:rsidRPr="009E6A96">
        <w:rPr>
          <w:rFonts w:ascii="Times New Roman" w:hAnsi="Times New Roman"/>
        </w:rPr>
        <w:t xml:space="preserve"> a licence holder who performed the duties of any of those endorsements for a total of at least 5 hours within the previous 21 days also satisfies the recency requirement.</w:t>
      </w:r>
    </w:p>
    <w:p w14:paraId="6E12DDD4" w14:textId="64D4EE72" w:rsidR="005E4D0D" w:rsidRPr="009E6A96" w:rsidRDefault="005E4D0D" w:rsidP="005E4D0D">
      <w:pPr>
        <w:pStyle w:val="BodyText"/>
        <w:rPr>
          <w:rFonts w:ascii="Times New Roman" w:hAnsi="Times New Roman"/>
        </w:rPr>
      </w:pPr>
    </w:p>
    <w:p w14:paraId="77653508" w14:textId="4965A54A" w:rsidR="00B700EE" w:rsidRPr="009E6A96" w:rsidRDefault="005E4D0D" w:rsidP="006D605B">
      <w:pPr>
        <w:pStyle w:val="BodyText"/>
        <w:rPr>
          <w:rFonts w:ascii="Times New Roman" w:hAnsi="Times New Roman"/>
        </w:rPr>
      </w:pPr>
      <w:r w:rsidRPr="009E6A96">
        <w:rPr>
          <w:rFonts w:ascii="Times New Roman" w:hAnsi="Times New Roman"/>
        </w:rPr>
        <w:lastRenderedPageBreak/>
        <w:t xml:space="preserve">Under </w:t>
      </w:r>
      <w:r w:rsidR="006D605B" w:rsidRPr="009E6A96">
        <w:rPr>
          <w:rFonts w:ascii="Times New Roman" w:hAnsi="Times New Roman"/>
        </w:rPr>
        <w:t>paragraph</w:t>
      </w:r>
      <w:r w:rsidRPr="009E6A96">
        <w:rPr>
          <w:rFonts w:ascii="Times New Roman" w:hAnsi="Times New Roman"/>
        </w:rPr>
        <w:t xml:space="preserve"> 65</w:t>
      </w:r>
      <w:r w:rsidR="006D605B" w:rsidRPr="009E6A96">
        <w:rPr>
          <w:rFonts w:ascii="Times New Roman" w:hAnsi="Times New Roman"/>
        </w:rPr>
        <w:t>.030</w:t>
      </w:r>
      <w:r w:rsidR="00EF0204" w:rsidRPr="009E6A96">
        <w:rPr>
          <w:rFonts w:ascii="Times New Roman" w:hAnsi="Times New Roman"/>
        </w:rPr>
        <w:t> </w:t>
      </w:r>
      <w:r w:rsidR="006D605B" w:rsidRPr="009E6A96">
        <w:rPr>
          <w:rFonts w:ascii="Times New Roman" w:hAnsi="Times New Roman"/>
        </w:rPr>
        <w:t>(1)</w:t>
      </w:r>
      <w:r w:rsidR="00EF0204" w:rsidRPr="009E6A96">
        <w:rPr>
          <w:rFonts w:ascii="Times New Roman" w:hAnsi="Times New Roman"/>
        </w:rPr>
        <w:t> </w:t>
      </w:r>
      <w:r w:rsidR="006D605B" w:rsidRPr="009E6A96">
        <w:rPr>
          <w:rFonts w:ascii="Times New Roman" w:hAnsi="Times New Roman"/>
        </w:rPr>
        <w:t>(b), t</w:t>
      </w:r>
      <w:r w:rsidR="00B700EE" w:rsidRPr="009E6A96">
        <w:rPr>
          <w:rFonts w:ascii="Times New Roman" w:hAnsi="Times New Roman"/>
        </w:rPr>
        <w:t xml:space="preserve">he holder of an ATC licence or a flight service licence satisfies the </w:t>
      </w:r>
      <w:r w:rsidR="00B700EE" w:rsidRPr="009E6A96">
        <w:rPr>
          <w:rFonts w:ascii="Times New Roman" w:hAnsi="Times New Roman"/>
          <w:b/>
          <w:i/>
        </w:rPr>
        <w:t>currency requirement</w:t>
      </w:r>
      <w:r w:rsidR="00B700EE" w:rsidRPr="009E6A96">
        <w:rPr>
          <w:rFonts w:ascii="Times New Roman" w:hAnsi="Times New Roman"/>
        </w:rPr>
        <w:t xml:space="preserve"> in relation to an endorsement at a particular time if</w:t>
      </w:r>
      <w:r w:rsidR="006D605B" w:rsidRPr="009E6A96">
        <w:rPr>
          <w:rFonts w:ascii="Times New Roman" w:hAnsi="Times New Roman"/>
        </w:rPr>
        <w:t xml:space="preserve"> (among other things) </w:t>
      </w:r>
      <w:r w:rsidR="00B700EE" w:rsidRPr="009E6A96">
        <w:rPr>
          <w:rFonts w:ascii="Times New Roman" w:hAnsi="Times New Roman"/>
        </w:rPr>
        <w:t>within the previous 6 months, his or her performance of the relevant function at the aerodrome, or in relation to the airspace, to which the endorsement relates, has been assessed as satisfactory.</w:t>
      </w:r>
    </w:p>
    <w:p w14:paraId="5B82F520" w14:textId="77777777" w:rsidR="00EF0204" w:rsidRPr="009E6A96" w:rsidRDefault="00EF0204" w:rsidP="006D605B">
      <w:pPr>
        <w:pStyle w:val="BodyText"/>
        <w:rPr>
          <w:rFonts w:ascii="Times New Roman" w:hAnsi="Times New Roman"/>
        </w:rPr>
      </w:pPr>
    </w:p>
    <w:p w14:paraId="0FD6902E" w14:textId="3999DA8F" w:rsidR="006979A5" w:rsidRPr="009E6A96" w:rsidRDefault="006D605B" w:rsidP="006D605B">
      <w:pPr>
        <w:pStyle w:val="BodyText"/>
        <w:rPr>
          <w:rFonts w:ascii="Times New Roman" w:hAnsi="Times New Roman"/>
        </w:rPr>
      </w:pPr>
      <w:r w:rsidRPr="009E6A96">
        <w:rPr>
          <w:rFonts w:ascii="Times New Roman" w:hAnsi="Times New Roman"/>
        </w:rPr>
        <w:t xml:space="preserve">Under </w:t>
      </w:r>
      <w:r w:rsidR="001B1541" w:rsidRPr="009E6A96">
        <w:rPr>
          <w:rFonts w:ascii="Times New Roman" w:hAnsi="Times New Roman"/>
        </w:rPr>
        <w:t>sub</w:t>
      </w:r>
      <w:r w:rsidRPr="009E6A96">
        <w:rPr>
          <w:rFonts w:ascii="Times New Roman" w:hAnsi="Times New Roman"/>
        </w:rPr>
        <w:t>paragraph 65.035</w:t>
      </w:r>
      <w:r w:rsidR="00EF0204" w:rsidRPr="009E6A96">
        <w:rPr>
          <w:rFonts w:ascii="Times New Roman" w:hAnsi="Times New Roman"/>
        </w:rPr>
        <w:t> </w:t>
      </w:r>
      <w:r w:rsidRPr="009E6A96">
        <w:rPr>
          <w:rFonts w:ascii="Times New Roman" w:hAnsi="Times New Roman"/>
        </w:rPr>
        <w:t>(1)</w:t>
      </w:r>
      <w:r w:rsidR="00EF0204" w:rsidRPr="009E6A96">
        <w:rPr>
          <w:rFonts w:ascii="Times New Roman" w:hAnsi="Times New Roman"/>
        </w:rPr>
        <w:t> </w:t>
      </w:r>
      <w:r w:rsidRPr="009E6A96">
        <w:rPr>
          <w:rFonts w:ascii="Times New Roman" w:hAnsi="Times New Roman"/>
        </w:rPr>
        <w:t>(c)</w:t>
      </w:r>
      <w:r w:rsidR="001B1541" w:rsidRPr="009E6A96">
        <w:rPr>
          <w:rFonts w:ascii="Times New Roman" w:hAnsi="Times New Roman"/>
        </w:rPr>
        <w:t> (i)</w:t>
      </w:r>
      <w:r w:rsidRPr="009E6A96">
        <w:rPr>
          <w:rFonts w:ascii="Times New Roman" w:hAnsi="Times New Roman"/>
        </w:rPr>
        <w:t>, a</w:t>
      </w:r>
      <w:r w:rsidR="00B700EE" w:rsidRPr="009E6A96">
        <w:rPr>
          <w:rFonts w:ascii="Times New Roman" w:hAnsi="Times New Roman"/>
        </w:rPr>
        <w:t xml:space="preserve"> person may carry out an </w:t>
      </w:r>
      <w:r w:rsidR="004F4928" w:rsidRPr="009E6A96">
        <w:rPr>
          <w:rFonts w:ascii="Times New Roman" w:hAnsi="Times New Roman"/>
        </w:rPr>
        <w:t>ATC</w:t>
      </w:r>
      <w:r w:rsidR="00B700EE" w:rsidRPr="009E6A96">
        <w:rPr>
          <w:rFonts w:ascii="Times New Roman" w:hAnsi="Times New Roman"/>
        </w:rPr>
        <w:t xml:space="preserve"> function in Australian territory if, at the time the person carries out the function</w:t>
      </w:r>
      <w:r w:rsidRPr="009E6A96">
        <w:rPr>
          <w:rFonts w:ascii="Times New Roman" w:hAnsi="Times New Roman"/>
        </w:rPr>
        <w:t xml:space="preserve"> (among other things)</w:t>
      </w:r>
      <w:r w:rsidR="00B10EF9" w:rsidRPr="009E6A96">
        <w:rPr>
          <w:rFonts w:ascii="Times New Roman" w:hAnsi="Times New Roman"/>
        </w:rPr>
        <w:t>,</w:t>
      </w:r>
      <w:r w:rsidRPr="009E6A96">
        <w:rPr>
          <w:rFonts w:ascii="Times New Roman" w:hAnsi="Times New Roman"/>
        </w:rPr>
        <w:t xml:space="preserve"> </w:t>
      </w:r>
      <w:r w:rsidR="00B700EE" w:rsidRPr="009E6A96">
        <w:rPr>
          <w:rFonts w:ascii="Times New Roman" w:hAnsi="Times New Roman"/>
        </w:rPr>
        <w:t>he or she</w:t>
      </w:r>
      <w:r w:rsidRPr="009E6A96">
        <w:rPr>
          <w:rFonts w:ascii="Times New Roman" w:hAnsi="Times New Roman"/>
        </w:rPr>
        <w:t xml:space="preserve"> </w:t>
      </w:r>
      <w:r w:rsidR="00B700EE" w:rsidRPr="009E6A96">
        <w:rPr>
          <w:rFonts w:ascii="Times New Roman" w:hAnsi="Times New Roman"/>
        </w:rPr>
        <w:t>satisfies the recency and currency requirements in relation to the endorsement</w:t>
      </w:r>
      <w:r w:rsidRPr="009E6A96">
        <w:rPr>
          <w:rFonts w:ascii="Times New Roman" w:hAnsi="Times New Roman"/>
        </w:rPr>
        <w:t>.</w:t>
      </w:r>
    </w:p>
    <w:p w14:paraId="21D407C0" w14:textId="77777777" w:rsidR="006979A5" w:rsidRPr="009E6A96" w:rsidRDefault="006979A5" w:rsidP="006D605B">
      <w:pPr>
        <w:pStyle w:val="BodyText"/>
        <w:rPr>
          <w:rFonts w:ascii="Times New Roman" w:hAnsi="Times New Roman"/>
        </w:rPr>
      </w:pPr>
    </w:p>
    <w:p w14:paraId="08E88771" w14:textId="55AEC28E" w:rsidR="00B700EE" w:rsidRPr="009E6A96" w:rsidRDefault="006979A5" w:rsidP="006979A5">
      <w:pPr>
        <w:pStyle w:val="BodyText"/>
        <w:rPr>
          <w:rFonts w:ascii="Times New Roman" w:hAnsi="Times New Roman"/>
        </w:rPr>
      </w:pPr>
      <w:r w:rsidRPr="009E6A96">
        <w:rPr>
          <w:rFonts w:ascii="Times New Roman" w:hAnsi="Times New Roman"/>
        </w:rPr>
        <w:t xml:space="preserve">Under </w:t>
      </w:r>
      <w:r w:rsidR="006340A0" w:rsidRPr="009E6A96">
        <w:rPr>
          <w:rFonts w:ascii="Times New Roman" w:hAnsi="Times New Roman"/>
        </w:rPr>
        <w:t>subregulation</w:t>
      </w:r>
      <w:r w:rsidRPr="009E6A96">
        <w:rPr>
          <w:rFonts w:ascii="Times New Roman" w:hAnsi="Times New Roman"/>
        </w:rPr>
        <w:t xml:space="preserve"> 65.035</w:t>
      </w:r>
      <w:r w:rsidR="00EF0204" w:rsidRPr="009E6A96">
        <w:rPr>
          <w:rFonts w:ascii="Times New Roman" w:hAnsi="Times New Roman"/>
        </w:rPr>
        <w:t> </w:t>
      </w:r>
      <w:r w:rsidRPr="009E6A96">
        <w:rPr>
          <w:rFonts w:ascii="Times New Roman" w:hAnsi="Times New Roman"/>
        </w:rPr>
        <w:t xml:space="preserve">(2), a </w:t>
      </w:r>
      <w:r w:rsidR="00B700EE" w:rsidRPr="009E6A96">
        <w:rPr>
          <w:rFonts w:ascii="Times New Roman" w:hAnsi="Times New Roman"/>
        </w:rPr>
        <w:t>person to whom subregulation</w:t>
      </w:r>
      <w:r w:rsidRPr="009E6A96">
        <w:rPr>
          <w:rFonts w:ascii="Times New Roman" w:hAnsi="Times New Roman"/>
        </w:rPr>
        <w:t xml:space="preserve"> </w:t>
      </w:r>
      <w:r w:rsidR="00B700EE" w:rsidRPr="009E6A96">
        <w:rPr>
          <w:rFonts w:ascii="Times New Roman" w:hAnsi="Times New Roman"/>
        </w:rPr>
        <w:t xml:space="preserve">(3) applies may carry out an </w:t>
      </w:r>
      <w:r w:rsidR="004F4928" w:rsidRPr="009E6A96">
        <w:rPr>
          <w:rFonts w:ascii="Times New Roman" w:hAnsi="Times New Roman"/>
        </w:rPr>
        <w:t>ATC</w:t>
      </w:r>
      <w:r w:rsidR="00B700EE" w:rsidRPr="009E6A96">
        <w:rPr>
          <w:rFonts w:ascii="Times New Roman" w:hAnsi="Times New Roman"/>
        </w:rPr>
        <w:t xml:space="preserve"> function in Australian territory under the supervision of a person who meets the requirements of subregulation</w:t>
      </w:r>
      <w:r w:rsidR="00EF0204" w:rsidRPr="009E6A96">
        <w:rPr>
          <w:rFonts w:ascii="Times New Roman" w:hAnsi="Times New Roman"/>
        </w:rPr>
        <w:t xml:space="preserve"> </w:t>
      </w:r>
      <w:r w:rsidR="00B700EE" w:rsidRPr="009E6A96">
        <w:rPr>
          <w:rFonts w:ascii="Times New Roman" w:hAnsi="Times New Roman"/>
        </w:rPr>
        <w:t>(1).</w:t>
      </w:r>
    </w:p>
    <w:p w14:paraId="078D9707" w14:textId="5DE7A86E" w:rsidR="006979A5" w:rsidRPr="009E6A96" w:rsidRDefault="006979A5" w:rsidP="006979A5">
      <w:pPr>
        <w:pStyle w:val="BodyText"/>
        <w:rPr>
          <w:rFonts w:ascii="Times New Roman" w:hAnsi="Times New Roman"/>
        </w:rPr>
      </w:pPr>
    </w:p>
    <w:p w14:paraId="6B16FF3A" w14:textId="3EE3F7C5" w:rsidR="006979A5" w:rsidRPr="009E6A96" w:rsidRDefault="006979A5" w:rsidP="006979A5">
      <w:pPr>
        <w:pStyle w:val="BodyText"/>
        <w:rPr>
          <w:rFonts w:ascii="Times New Roman" w:hAnsi="Times New Roman"/>
        </w:rPr>
      </w:pPr>
      <w:r w:rsidRPr="009E6A96">
        <w:rPr>
          <w:rFonts w:ascii="Times New Roman" w:hAnsi="Times New Roman"/>
        </w:rPr>
        <w:t>Subregulation 65.035</w:t>
      </w:r>
      <w:r w:rsidR="00EF0204" w:rsidRPr="009E6A96">
        <w:rPr>
          <w:rFonts w:ascii="Times New Roman" w:hAnsi="Times New Roman"/>
        </w:rPr>
        <w:t> </w:t>
      </w:r>
      <w:r w:rsidRPr="009E6A96">
        <w:rPr>
          <w:rFonts w:ascii="Times New Roman" w:hAnsi="Times New Roman"/>
        </w:rPr>
        <w:t xml:space="preserve">(3) applies to various prescribed classes of </w:t>
      </w:r>
      <w:r w:rsidR="00902D53" w:rsidRPr="009E6A96">
        <w:rPr>
          <w:rFonts w:ascii="Times New Roman" w:hAnsi="Times New Roman"/>
        </w:rPr>
        <w:t>trainees</w:t>
      </w:r>
      <w:r w:rsidRPr="009E6A96">
        <w:rPr>
          <w:rFonts w:ascii="Times New Roman" w:hAnsi="Times New Roman"/>
        </w:rPr>
        <w:t xml:space="preserve"> who may carry out an </w:t>
      </w:r>
      <w:r w:rsidR="004F4928" w:rsidRPr="009E6A96">
        <w:rPr>
          <w:rFonts w:ascii="Times New Roman" w:hAnsi="Times New Roman"/>
        </w:rPr>
        <w:t>ATC</w:t>
      </w:r>
      <w:r w:rsidRPr="009E6A96">
        <w:rPr>
          <w:rFonts w:ascii="Times New Roman" w:hAnsi="Times New Roman"/>
        </w:rPr>
        <w:t xml:space="preserve"> function under appropriate </w:t>
      </w:r>
      <w:r w:rsidR="002F70BA" w:rsidRPr="009E6A96">
        <w:rPr>
          <w:rFonts w:ascii="Times New Roman" w:hAnsi="Times New Roman"/>
        </w:rPr>
        <w:t xml:space="preserve">licence holder </w:t>
      </w:r>
      <w:r w:rsidRPr="009E6A96">
        <w:rPr>
          <w:rFonts w:ascii="Times New Roman" w:hAnsi="Times New Roman"/>
        </w:rPr>
        <w:t>supervision.</w:t>
      </w:r>
    </w:p>
    <w:p w14:paraId="0C088666" w14:textId="3C386C41" w:rsidR="00902D53" w:rsidRPr="009E6A96" w:rsidRDefault="00902D53" w:rsidP="006979A5">
      <w:pPr>
        <w:pStyle w:val="BodyText"/>
        <w:rPr>
          <w:rFonts w:ascii="Times New Roman" w:hAnsi="Times New Roman"/>
        </w:rPr>
      </w:pPr>
    </w:p>
    <w:p w14:paraId="4B8B71FE" w14:textId="6E3872D9" w:rsidR="001739E5" w:rsidRPr="009E6A96" w:rsidRDefault="00902D53" w:rsidP="00902D53">
      <w:pPr>
        <w:pStyle w:val="BodyText"/>
        <w:rPr>
          <w:rFonts w:ascii="Times New Roman" w:hAnsi="Times New Roman"/>
        </w:rPr>
      </w:pPr>
      <w:r w:rsidRPr="009E6A96">
        <w:rPr>
          <w:rFonts w:ascii="Times New Roman" w:hAnsi="Times New Roman"/>
        </w:rPr>
        <w:t>Under subregulation</w:t>
      </w:r>
      <w:r w:rsidR="003F723A" w:rsidRPr="009E6A96">
        <w:rPr>
          <w:rFonts w:ascii="Times New Roman" w:hAnsi="Times New Roman"/>
        </w:rPr>
        <w:t>s</w:t>
      </w:r>
      <w:r w:rsidRPr="009E6A96">
        <w:rPr>
          <w:rFonts w:ascii="Times New Roman" w:hAnsi="Times New Roman"/>
        </w:rPr>
        <w:t xml:space="preserve"> 65.040</w:t>
      </w:r>
      <w:r w:rsidR="00EF0204" w:rsidRPr="009E6A96">
        <w:rPr>
          <w:rFonts w:ascii="Times New Roman" w:hAnsi="Times New Roman"/>
        </w:rPr>
        <w:t> </w:t>
      </w:r>
      <w:r w:rsidRPr="009E6A96">
        <w:rPr>
          <w:rFonts w:ascii="Times New Roman" w:hAnsi="Times New Roman"/>
        </w:rPr>
        <w:t>(1)</w:t>
      </w:r>
      <w:r w:rsidR="003F723A" w:rsidRPr="009E6A96">
        <w:rPr>
          <w:rFonts w:ascii="Times New Roman" w:hAnsi="Times New Roman"/>
        </w:rPr>
        <w:t xml:space="preserve"> and (2)</w:t>
      </w:r>
      <w:r w:rsidR="00B10EF9" w:rsidRPr="009E6A96">
        <w:rPr>
          <w:rFonts w:ascii="Times New Roman" w:hAnsi="Times New Roman"/>
        </w:rPr>
        <w:t>,</w:t>
      </w:r>
      <w:r w:rsidR="003F723A" w:rsidRPr="009E6A96">
        <w:rPr>
          <w:rFonts w:ascii="Times New Roman" w:hAnsi="Times New Roman"/>
        </w:rPr>
        <w:t xml:space="preserve"> it is an offence</w:t>
      </w:r>
      <w:r w:rsidRPr="009E6A96">
        <w:rPr>
          <w:rFonts w:ascii="Times New Roman" w:hAnsi="Times New Roman"/>
        </w:rPr>
        <w:t xml:space="preserve"> i</w:t>
      </w:r>
      <w:r w:rsidR="00B700EE" w:rsidRPr="009E6A96">
        <w:rPr>
          <w:rFonts w:ascii="Times New Roman" w:hAnsi="Times New Roman"/>
        </w:rPr>
        <w:t>f a person to whom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 xml:space="preserve">(3) applies (the </w:t>
      </w:r>
      <w:r w:rsidR="00B700EE" w:rsidRPr="009E6A96">
        <w:rPr>
          <w:rFonts w:ascii="Times New Roman" w:hAnsi="Times New Roman"/>
          <w:b/>
          <w:i/>
        </w:rPr>
        <w:t>trainee</w:t>
      </w:r>
      <w:r w:rsidR="00B700EE" w:rsidRPr="009E6A96">
        <w:rPr>
          <w:rFonts w:ascii="Times New Roman" w:hAnsi="Times New Roman"/>
        </w:rPr>
        <w:t>)</w:t>
      </w:r>
      <w:r w:rsidR="003F723A" w:rsidRPr="009E6A96">
        <w:rPr>
          <w:rFonts w:ascii="Times New Roman" w:hAnsi="Times New Roman"/>
        </w:rPr>
        <w:t xml:space="preserve"> fails to comply</w:t>
      </w:r>
      <w:r w:rsidR="001739E5" w:rsidRPr="009E6A96">
        <w:rPr>
          <w:rFonts w:ascii="Times New Roman" w:hAnsi="Times New Roman"/>
        </w:rPr>
        <w:t xml:space="preserve"> with the supervisor’s directions when</w:t>
      </w:r>
      <w:r w:rsidR="00B700EE" w:rsidRPr="009E6A96">
        <w:rPr>
          <w:rFonts w:ascii="Times New Roman" w:hAnsi="Times New Roman"/>
        </w:rPr>
        <w:t xml:space="preserve"> carrying out an </w:t>
      </w:r>
      <w:r w:rsidR="004F4928" w:rsidRPr="009E6A96">
        <w:rPr>
          <w:rFonts w:ascii="Times New Roman" w:hAnsi="Times New Roman"/>
        </w:rPr>
        <w:t>ATC</w:t>
      </w:r>
      <w:r w:rsidR="00B700EE" w:rsidRPr="009E6A96">
        <w:rPr>
          <w:rFonts w:ascii="Times New Roman" w:hAnsi="Times New Roman"/>
        </w:rPr>
        <w:t xml:space="preserve"> function under the supervision of a person who meets the requirements of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6340A0" w:rsidRPr="009E6A96">
        <w:rPr>
          <w:rFonts w:ascii="Times New Roman" w:hAnsi="Times New Roman"/>
          <w:noProof/>
        </w:rPr>
        <w:t> </w:t>
      </w:r>
      <w:r w:rsidR="00B700EE" w:rsidRPr="009E6A96">
        <w:rPr>
          <w:rFonts w:ascii="Times New Roman" w:hAnsi="Times New Roman"/>
        </w:rPr>
        <w:t>(1)</w:t>
      </w:r>
      <w:r w:rsidR="001739E5" w:rsidRPr="009E6A96">
        <w:rPr>
          <w:rFonts w:ascii="Times New Roman" w:hAnsi="Times New Roman"/>
        </w:rPr>
        <w:t>.</w:t>
      </w:r>
    </w:p>
    <w:p w14:paraId="1DF85C6A" w14:textId="77777777" w:rsidR="001739E5" w:rsidRPr="009E6A96" w:rsidRDefault="001739E5" w:rsidP="00902D53">
      <w:pPr>
        <w:pStyle w:val="BodyText"/>
        <w:rPr>
          <w:rFonts w:ascii="Times New Roman" w:hAnsi="Times New Roman"/>
        </w:rPr>
      </w:pPr>
    </w:p>
    <w:p w14:paraId="3DB75A7E" w14:textId="226C1ED0" w:rsidR="001739E5" w:rsidRPr="009E6A96" w:rsidRDefault="001739E5" w:rsidP="001739E5">
      <w:pPr>
        <w:pStyle w:val="BodyText"/>
        <w:rPr>
          <w:rFonts w:ascii="Times New Roman" w:hAnsi="Times New Roman"/>
        </w:rPr>
      </w:pPr>
      <w:r w:rsidRPr="009E6A96">
        <w:rPr>
          <w:rFonts w:ascii="Times New Roman" w:hAnsi="Times New Roman"/>
        </w:rPr>
        <w:t>Under subregulation 65.045</w:t>
      </w:r>
      <w:r w:rsidR="00EF0204" w:rsidRPr="009E6A96">
        <w:rPr>
          <w:rFonts w:ascii="Times New Roman" w:hAnsi="Times New Roman"/>
        </w:rPr>
        <w:t> </w:t>
      </w:r>
      <w:r w:rsidRPr="009E6A96">
        <w:rPr>
          <w:rFonts w:ascii="Times New Roman" w:hAnsi="Times New Roman"/>
        </w:rPr>
        <w:t xml:space="preserve">(1), </w:t>
      </w:r>
      <w:bookmarkStart w:id="1" w:name="_Toc23855522"/>
      <w:r w:rsidRPr="009E6A96">
        <w:rPr>
          <w:rFonts w:ascii="Times New Roman" w:hAnsi="Times New Roman"/>
        </w:rPr>
        <w:t>it is an offence for a</w:t>
      </w:r>
      <w:bookmarkEnd w:id="1"/>
      <w:r w:rsidRPr="009E6A96">
        <w:rPr>
          <w:rFonts w:ascii="Times New Roman" w:hAnsi="Times New Roman"/>
        </w:rPr>
        <w:t xml:space="preserve"> </w:t>
      </w:r>
      <w:r w:rsidR="00B700EE" w:rsidRPr="009E6A96">
        <w:rPr>
          <w:rFonts w:ascii="Times New Roman" w:hAnsi="Times New Roman"/>
        </w:rPr>
        <w:t>person who is not authorised to do so by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 xml:space="preserve">(1) or (2) </w:t>
      </w:r>
      <w:r w:rsidRPr="009E6A96">
        <w:rPr>
          <w:rFonts w:ascii="Times New Roman" w:hAnsi="Times New Roman"/>
        </w:rPr>
        <w:t>to</w:t>
      </w:r>
      <w:r w:rsidR="00B700EE" w:rsidRPr="009E6A96">
        <w:rPr>
          <w:rFonts w:ascii="Times New Roman" w:hAnsi="Times New Roman"/>
        </w:rPr>
        <w:t xml:space="preserve"> carry out an </w:t>
      </w:r>
      <w:r w:rsidR="004F4928" w:rsidRPr="009E6A96">
        <w:rPr>
          <w:rFonts w:ascii="Times New Roman" w:hAnsi="Times New Roman"/>
        </w:rPr>
        <w:t>ATC</w:t>
      </w:r>
      <w:r w:rsidR="00B700EE" w:rsidRPr="009E6A96">
        <w:rPr>
          <w:rFonts w:ascii="Times New Roman" w:hAnsi="Times New Roman"/>
        </w:rPr>
        <w:t xml:space="preserve"> function in Australian territory</w:t>
      </w:r>
      <w:r w:rsidRPr="009E6A96">
        <w:rPr>
          <w:rFonts w:ascii="Times New Roman" w:hAnsi="Times New Roman"/>
        </w:rPr>
        <w:t>.</w:t>
      </w:r>
    </w:p>
    <w:p w14:paraId="44DA5EBA" w14:textId="0870ED33" w:rsidR="001739E5" w:rsidRPr="009E6A96" w:rsidRDefault="001739E5" w:rsidP="001739E5">
      <w:pPr>
        <w:pStyle w:val="BodyText"/>
        <w:rPr>
          <w:rFonts w:ascii="Times New Roman" w:hAnsi="Times New Roman"/>
        </w:rPr>
      </w:pPr>
    </w:p>
    <w:p w14:paraId="1FA76595" w14:textId="0160B78E" w:rsidR="00B700EE" w:rsidRPr="009E6A96" w:rsidRDefault="001739E5" w:rsidP="001739E5">
      <w:pPr>
        <w:pStyle w:val="BodyText"/>
        <w:rPr>
          <w:rFonts w:ascii="Times New Roman" w:hAnsi="Times New Roman"/>
        </w:rPr>
      </w:pPr>
      <w:r w:rsidRPr="009E6A96">
        <w:rPr>
          <w:rFonts w:ascii="Times New Roman" w:hAnsi="Times New Roman"/>
        </w:rPr>
        <w:t>Under subregulation 65.045</w:t>
      </w:r>
      <w:r w:rsidR="00EF0204" w:rsidRPr="009E6A96">
        <w:rPr>
          <w:rFonts w:ascii="Times New Roman" w:hAnsi="Times New Roman"/>
        </w:rPr>
        <w:t> </w:t>
      </w:r>
      <w:r w:rsidRPr="009E6A96">
        <w:rPr>
          <w:rFonts w:ascii="Times New Roman" w:hAnsi="Times New Roman"/>
        </w:rPr>
        <w:t xml:space="preserve">(2), it is an offence for a person </w:t>
      </w:r>
      <w:r w:rsidR="00B700EE" w:rsidRPr="009E6A96">
        <w:rPr>
          <w:rFonts w:ascii="Times New Roman" w:hAnsi="Times New Roman"/>
        </w:rPr>
        <w:t>to whom subregulation</w:t>
      </w:r>
      <w:r w:rsidR="00EF0204" w:rsidRPr="009E6A96">
        <w:rPr>
          <w:rFonts w:ascii="Times New Roman" w:hAnsi="Times New Roman"/>
        </w:rPr>
        <w:t>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 xml:space="preserve">(3) applies </w:t>
      </w:r>
      <w:r w:rsidRPr="009E6A96">
        <w:rPr>
          <w:rFonts w:ascii="Times New Roman" w:hAnsi="Times New Roman"/>
        </w:rPr>
        <w:t xml:space="preserve">to </w:t>
      </w:r>
      <w:r w:rsidR="00B700EE" w:rsidRPr="009E6A96">
        <w:rPr>
          <w:rFonts w:ascii="Times New Roman" w:hAnsi="Times New Roman"/>
        </w:rPr>
        <w:t xml:space="preserve">carry out an </w:t>
      </w:r>
      <w:r w:rsidR="004F4928" w:rsidRPr="009E6A96">
        <w:rPr>
          <w:rFonts w:ascii="Times New Roman" w:hAnsi="Times New Roman"/>
        </w:rPr>
        <w:t>ATC</w:t>
      </w:r>
      <w:r w:rsidR="00B700EE" w:rsidRPr="009E6A96">
        <w:rPr>
          <w:rFonts w:ascii="Times New Roman" w:hAnsi="Times New Roman"/>
        </w:rPr>
        <w:t xml:space="preserve"> function in Australian territory if</w:t>
      </w:r>
      <w:r w:rsidR="00E95855" w:rsidRPr="009E6A96">
        <w:rPr>
          <w:rFonts w:ascii="Times New Roman" w:hAnsi="Times New Roman"/>
        </w:rPr>
        <w:t> </w:t>
      </w:r>
      <w:r w:rsidR="00B700EE" w:rsidRPr="009E6A96">
        <w:rPr>
          <w:rFonts w:ascii="Times New Roman" w:hAnsi="Times New Roman"/>
        </w:rPr>
        <w:t>the person is not acting under the supervision of a person who meets the requirements of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(1).</w:t>
      </w:r>
    </w:p>
    <w:p w14:paraId="758EDDF2" w14:textId="41A4EAED" w:rsidR="001739E5" w:rsidRPr="009E6A96" w:rsidRDefault="001739E5" w:rsidP="001739E5">
      <w:pPr>
        <w:pStyle w:val="BodyText"/>
        <w:rPr>
          <w:rFonts w:ascii="Times New Roman" w:hAnsi="Times New Roman"/>
        </w:rPr>
      </w:pPr>
    </w:p>
    <w:p w14:paraId="5C459892" w14:textId="72528227" w:rsidR="00F13B45" w:rsidRPr="009E6A96" w:rsidRDefault="001739E5" w:rsidP="00F13B45">
      <w:pPr>
        <w:pStyle w:val="BodyText"/>
        <w:rPr>
          <w:rFonts w:ascii="Times New Roman" w:hAnsi="Times New Roman"/>
        </w:rPr>
      </w:pPr>
      <w:r w:rsidRPr="009E6A96">
        <w:rPr>
          <w:rFonts w:ascii="Times New Roman" w:hAnsi="Times New Roman"/>
        </w:rPr>
        <w:t xml:space="preserve">Under </w:t>
      </w:r>
      <w:r w:rsidR="001B1541" w:rsidRPr="009E6A96">
        <w:rPr>
          <w:rFonts w:ascii="Times New Roman" w:hAnsi="Times New Roman"/>
        </w:rPr>
        <w:t>sub</w:t>
      </w:r>
      <w:r w:rsidR="00F13B45" w:rsidRPr="009E6A96">
        <w:rPr>
          <w:rFonts w:ascii="Times New Roman" w:hAnsi="Times New Roman"/>
        </w:rPr>
        <w:t>paragraph 65.050</w:t>
      </w:r>
      <w:r w:rsidR="00EF0204" w:rsidRPr="009E6A96">
        <w:rPr>
          <w:rFonts w:ascii="Times New Roman" w:hAnsi="Times New Roman"/>
        </w:rPr>
        <w:t> </w:t>
      </w:r>
      <w:r w:rsidR="00F13B45" w:rsidRPr="009E6A96">
        <w:rPr>
          <w:rFonts w:ascii="Times New Roman" w:hAnsi="Times New Roman"/>
        </w:rPr>
        <w:t>(1)</w:t>
      </w:r>
      <w:r w:rsidR="00EF0204" w:rsidRPr="009E6A96">
        <w:rPr>
          <w:rFonts w:ascii="Times New Roman" w:hAnsi="Times New Roman"/>
        </w:rPr>
        <w:t> </w:t>
      </w:r>
      <w:r w:rsidR="00F13B45" w:rsidRPr="009E6A96">
        <w:rPr>
          <w:rFonts w:ascii="Times New Roman" w:hAnsi="Times New Roman"/>
        </w:rPr>
        <w:t>(c)</w:t>
      </w:r>
      <w:r w:rsidR="001B1541" w:rsidRPr="009E6A96">
        <w:rPr>
          <w:rFonts w:ascii="Times New Roman" w:hAnsi="Times New Roman"/>
        </w:rPr>
        <w:t> (i)</w:t>
      </w:r>
      <w:r w:rsidR="00F13B45" w:rsidRPr="009E6A96">
        <w:rPr>
          <w:rFonts w:ascii="Times New Roman" w:hAnsi="Times New Roman"/>
        </w:rPr>
        <w:t>, a</w:t>
      </w:r>
      <w:r w:rsidR="00B700EE" w:rsidRPr="009E6A96">
        <w:rPr>
          <w:rFonts w:ascii="Times New Roman" w:hAnsi="Times New Roman"/>
        </w:rPr>
        <w:t xml:space="preserve"> person may carry out a flight service function in Australian territory if, at the time he or she carries out the function</w:t>
      </w:r>
      <w:r w:rsidR="00B10EF9" w:rsidRPr="009E6A96">
        <w:rPr>
          <w:rFonts w:ascii="Times New Roman" w:hAnsi="Times New Roman"/>
        </w:rPr>
        <w:t>,</w:t>
      </w:r>
      <w:r w:rsidR="00F13B45" w:rsidRPr="009E6A96">
        <w:rPr>
          <w:rFonts w:ascii="Times New Roman" w:hAnsi="Times New Roman"/>
        </w:rPr>
        <w:t xml:space="preserve"> </w:t>
      </w:r>
      <w:r w:rsidR="00B700EE" w:rsidRPr="009E6A96">
        <w:rPr>
          <w:rFonts w:ascii="Times New Roman" w:hAnsi="Times New Roman"/>
        </w:rPr>
        <w:t>he or she</w:t>
      </w:r>
      <w:r w:rsidR="00F13B45" w:rsidRPr="009E6A96">
        <w:rPr>
          <w:rFonts w:ascii="Times New Roman" w:hAnsi="Times New Roman"/>
        </w:rPr>
        <w:t xml:space="preserve"> </w:t>
      </w:r>
      <w:r w:rsidR="00B700EE" w:rsidRPr="009E6A96">
        <w:rPr>
          <w:rFonts w:ascii="Times New Roman" w:hAnsi="Times New Roman"/>
        </w:rPr>
        <w:t>satisfies the recency and currency requirements in relation to the endorsement</w:t>
      </w:r>
      <w:r w:rsidR="00F13B45" w:rsidRPr="009E6A96">
        <w:rPr>
          <w:rFonts w:ascii="Times New Roman" w:hAnsi="Times New Roman"/>
        </w:rPr>
        <w:t>.</w:t>
      </w:r>
    </w:p>
    <w:p w14:paraId="59EB576B" w14:textId="77777777" w:rsidR="00F13B45" w:rsidRPr="009E6A96" w:rsidRDefault="00F13B45" w:rsidP="00F13B45">
      <w:pPr>
        <w:pStyle w:val="BodyText"/>
        <w:rPr>
          <w:rFonts w:ascii="Times New Roman" w:hAnsi="Times New Roman"/>
        </w:rPr>
      </w:pPr>
    </w:p>
    <w:p w14:paraId="30A08C7C" w14:textId="193BDC52" w:rsidR="00B700EE" w:rsidRPr="009E6A96" w:rsidRDefault="00F13B45" w:rsidP="00F13B45">
      <w:pPr>
        <w:pStyle w:val="BodyText"/>
        <w:rPr>
          <w:rFonts w:ascii="Times New Roman" w:hAnsi="Times New Roman"/>
        </w:rPr>
      </w:pPr>
      <w:r w:rsidRPr="009E6A96">
        <w:rPr>
          <w:rFonts w:ascii="Times New Roman" w:hAnsi="Times New Roman"/>
        </w:rPr>
        <w:t>Under subregulation 65.050</w:t>
      </w:r>
      <w:r w:rsidR="00EF0204" w:rsidRPr="009E6A96">
        <w:rPr>
          <w:rFonts w:ascii="Times New Roman" w:hAnsi="Times New Roman"/>
        </w:rPr>
        <w:t> </w:t>
      </w:r>
      <w:r w:rsidRPr="009E6A96">
        <w:rPr>
          <w:rFonts w:ascii="Times New Roman" w:hAnsi="Times New Roman"/>
        </w:rPr>
        <w:t xml:space="preserve">(2), </w:t>
      </w:r>
      <w:r w:rsidR="00FB290E" w:rsidRPr="009E6A96">
        <w:rPr>
          <w:rFonts w:ascii="Times New Roman" w:hAnsi="Times New Roman"/>
        </w:rPr>
        <w:t>a person</w:t>
      </w:r>
      <w:r w:rsidR="00B700EE" w:rsidRPr="009E6A96">
        <w:rPr>
          <w:rFonts w:ascii="Times New Roman" w:hAnsi="Times New Roman"/>
        </w:rPr>
        <w:t xml:space="preserve"> to whom subregulation</w:t>
      </w:r>
      <w:r w:rsidRPr="009E6A96">
        <w:rPr>
          <w:rFonts w:ascii="Times New Roman" w:hAnsi="Times New Roman"/>
        </w:rPr>
        <w:t xml:space="preserve"> </w:t>
      </w:r>
      <w:r w:rsidR="00B700EE" w:rsidRPr="009E6A96">
        <w:rPr>
          <w:rFonts w:ascii="Times New Roman" w:hAnsi="Times New Roman"/>
        </w:rPr>
        <w:t>(3) applies may carry out a flight service function in Australian territory under the supervision of a person who meets the requirements of subregulation</w:t>
      </w:r>
      <w:r w:rsidRPr="009E6A96">
        <w:rPr>
          <w:rFonts w:ascii="Times New Roman" w:hAnsi="Times New Roman"/>
        </w:rPr>
        <w:t xml:space="preserve"> </w:t>
      </w:r>
      <w:r w:rsidR="00B700EE" w:rsidRPr="009E6A96">
        <w:rPr>
          <w:rFonts w:ascii="Times New Roman" w:hAnsi="Times New Roman"/>
        </w:rPr>
        <w:t>(1).</w:t>
      </w:r>
    </w:p>
    <w:p w14:paraId="47FAEF23" w14:textId="00B4F2AD" w:rsidR="00F13B45" w:rsidRPr="009E6A96" w:rsidRDefault="00F13B45" w:rsidP="00F13B45">
      <w:pPr>
        <w:pStyle w:val="BodyText"/>
        <w:rPr>
          <w:rFonts w:ascii="Times New Roman" w:hAnsi="Times New Roman"/>
        </w:rPr>
      </w:pPr>
    </w:p>
    <w:p w14:paraId="66DCA0FA" w14:textId="4CBBF771" w:rsidR="00F13B45" w:rsidRPr="009E6A96" w:rsidRDefault="00F13B45" w:rsidP="00F13B45">
      <w:pPr>
        <w:pStyle w:val="BodyText"/>
        <w:rPr>
          <w:rFonts w:ascii="Times New Roman" w:hAnsi="Times New Roman"/>
        </w:rPr>
      </w:pPr>
      <w:r w:rsidRPr="009E6A96">
        <w:rPr>
          <w:rFonts w:ascii="Times New Roman" w:hAnsi="Times New Roman"/>
        </w:rPr>
        <w:t>Subregulation 65.050</w:t>
      </w:r>
      <w:r w:rsidR="00EF0204" w:rsidRPr="009E6A96">
        <w:rPr>
          <w:rFonts w:ascii="Times New Roman" w:hAnsi="Times New Roman"/>
        </w:rPr>
        <w:t> </w:t>
      </w:r>
      <w:r w:rsidRPr="009E6A96">
        <w:rPr>
          <w:rFonts w:ascii="Times New Roman" w:hAnsi="Times New Roman"/>
        </w:rPr>
        <w:t>(3) applies to various prescribed classes of trainees who may carry out flight service functions under appropriate licence holder supervision.</w:t>
      </w:r>
    </w:p>
    <w:p w14:paraId="38CE8BF9" w14:textId="7FB74A47" w:rsidR="00F13B45" w:rsidRPr="009E6A96" w:rsidRDefault="00F13B45" w:rsidP="00F13B45">
      <w:pPr>
        <w:pStyle w:val="BodyText"/>
        <w:rPr>
          <w:rFonts w:ascii="Times New Roman" w:hAnsi="Times New Roman"/>
        </w:rPr>
      </w:pPr>
    </w:p>
    <w:p w14:paraId="4089BBC9" w14:textId="2EC03214" w:rsidR="00F13B45" w:rsidRPr="009E6A96" w:rsidRDefault="00F13B45" w:rsidP="00F13B45">
      <w:pPr>
        <w:pStyle w:val="BodyText"/>
        <w:rPr>
          <w:rFonts w:ascii="Times New Roman" w:hAnsi="Times New Roman"/>
        </w:rPr>
      </w:pPr>
      <w:r w:rsidRPr="009E6A96">
        <w:rPr>
          <w:rFonts w:ascii="Times New Roman" w:hAnsi="Times New Roman"/>
        </w:rPr>
        <w:t>Under subregulations 65.055</w:t>
      </w:r>
      <w:r w:rsidR="00EF0204" w:rsidRPr="009E6A96">
        <w:rPr>
          <w:rFonts w:ascii="Times New Roman" w:hAnsi="Times New Roman"/>
        </w:rPr>
        <w:t> </w:t>
      </w:r>
      <w:r w:rsidRPr="009E6A96">
        <w:rPr>
          <w:rFonts w:ascii="Times New Roman" w:hAnsi="Times New Roman"/>
        </w:rPr>
        <w:t>(1) and (2)</w:t>
      </w:r>
      <w:r w:rsidR="00E52727" w:rsidRPr="009E6A96">
        <w:rPr>
          <w:rFonts w:ascii="Times New Roman" w:hAnsi="Times New Roman"/>
        </w:rPr>
        <w:t>,</w:t>
      </w:r>
      <w:r w:rsidRPr="009E6A96">
        <w:rPr>
          <w:rFonts w:ascii="Times New Roman" w:hAnsi="Times New Roman"/>
        </w:rPr>
        <w:t xml:space="preserve"> it is an offence if a person to whom subregulation 65.</w:t>
      </w:r>
      <w:r w:rsidRPr="009E6A96">
        <w:rPr>
          <w:rFonts w:ascii="Times New Roman" w:hAnsi="Times New Roman"/>
          <w:noProof/>
        </w:rPr>
        <w:t>050</w:t>
      </w:r>
      <w:r w:rsidR="00EF0204" w:rsidRPr="009E6A96">
        <w:rPr>
          <w:rFonts w:ascii="Times New Roman" w:hAnsi="Times New Roman"/>
          <w:noProof/>
        </w:rPr>
        <w:t> </w:t>
      </w:r>
      <w:r w:rsidRPr="009E6A96">
        <w:rPr>
          <w:rFonts w:ascii="Times New Roman" w:hAnsi="Times New Roman"/>
        </w:rPr>
        <w:t xml:space="preserve">(3) applies (the </w:t>
      </w:r>
      <w:r w:rsidRPr="009E6A96">
        <w:rPr>
          <w:rFonts w:ascii="Times New Roman" w:hAnsi="Times New Roman"/>
          <w:b/>
          <w:i/>
        </w:rPr>
        <w:t>trainee</w:t>
      </w:r>
      <w:r w:rsidRPr="009E6A96">
        <w:rPr>
          <w:rFonts w:ascii="Times New Roman" w:hAnsi="Times New Roman"/>
        </w:rPr>
        <w:t>) fails to comply with the supervisor’s directions when carrying out a flight service function under the supervision of a person who meets the requirements of subregulation 65.</w:t>
      </w:r>
      <w:r w:rsidRPr="009E6A96">
        <w:rPr>
          <w:rFonts w:ascii="Times New Roman" w:hAnsi="Times New Roman"/>
          <w:noProof/>
        </w:rPr>
        <w:t>055</w:t>
      </w:r>
      <w:r w:rsidR="006340A0" w:rsidRPr="009E6A96">
        <w:rPr>
          <w:rFonts w:ascii="Times New Roman" w:hAnsi="Times New Roman"/>
          <w:noProof/>
        </w:rPr>
        <w:t> </w:t>
      </w:r>
      <w:r w:rsidRPr="009E6A96">
        <w:rPr>
          <w:rFonts w:ascii="Times New Roman" w:hAnsi="Times New Roman"/>
        </w:rPr>
        <w:t>(1).</w:t>
      </w:r>
    </w:p>
    <w:p w14:paraId="35A97211" w14:textId="3B6EA81C" w:rsidR="00F13B45" w:rsidRPr="009E6A96" w:rsidRDefault="00F13B45" w:rsidP="00F13B45">
      <w:pPr>
        <w:pStyle w:val="BodyText"/>
        <w:rPr>
          <w:rFonts w:ascii="Times New Roman" w:hAnsi="Times New Roman"/>
        </w:rPr>
      </w:pPr>
    </w:p>
    <w:p w14:paraId="4CC63FCA" w14:textId="61A7F420" w:rsidR="00F13B45" w:rsidRPr="009E6A96" w:rsidRDefault="00F13B45" w:rsidP="00F13B45">
      <w:pPr>
        <w:pStyle w:val="BodyText"/>
        <w:rPr>
          <w:rFonts w:ascii="Times New Roman" w:hAnsi="Times New Roman"/>
        </w:rPr>
      </w:pPr>
      <w:r w:rsidRPr="009E6A96">
        <w:rPr>
          <w:rFonts w:ascii="Times New Roman" w:hAnsi="Times New Roman"/>
        </w:rPr>
        <w:t>Under subregulation 65.060</w:t>
      </w:r>
      <w:r w:rsidR="00EF0204" w:rsidRPr="009E6A96">
        <w:rPr>
          <w:rFonts w:ascii="Times New Roman" w:hAnsi="Times New Roman"/>
        </w:rPr>
        <w:t> </w:t>
      </w:r>
      <w:r w:rsidRPr="009E6A96">
        <w:rPr>
          <w:rFonts w:ascii="Times New Roman" w:hAnsi="Times New Roman"/>
        </w:rPr>
        <w:t>(1), it is an offence for a person who is not authorised to do so by subregulation 65.</w:t>
      </w:r>
      <w:r w:rsidRPr="009E6A96">
        <w:rPr>
          <w:rFonts w:ascii="Times New Roman" w:hAnsi="Times New Roman"/>
          <w:noProof/>
        </w:rPr>
        <w:t>050</w:t>
      </w:r>
      <w:r w:rsidR="00EF0204" w:rsidRPr="009E6A96">
        <w:rPr>
          <w:rFonts w:ascii="Times New Roman" w:hAnsi="Times New Roman"/>
          <w:noProof/>
        </w:rPr>
        <w:t> </w:t>
      </w:r>
      <w:r w:rsidRPr="009E6A96">
        <w:rPr>
          <w:rFonts w:ascii="Times New Roman" w:hAnsi="Times New Roman"/>
        </w:rPr>
        <w:t>(1) or (2) to carry out a flight service function in Australian territory.</w:t>
      </w:r>
    </w:p>
    <w:p w14:paraId="6C89F70E" w14:textId="77777777" w:rsidR="00F13B45" w:rsidRPr="009E6A96" w:rsidRDefault="00F13B45" w:rsidP="00F13B45">
      <w:pPr>
        <w:pStyle w:val="BodyText"/>
        <w:rPr>
          <w:rFonts w:ascii="Times New Roman" w:hAnsi="Times New Roman"/>
        </w:rPr>
      </w:pPr>
    </w:p>
    <w:p w14:paraId="3EC1EBC9" w14:textId="4494EA0B" w:rsidR="000F49D4" w:rsidRPr="009E6A96" w:rsidRDefault="00F13B45" w:rsidP="000F49D4">
      <w:pPr>
        <w:pStyle w:val="BodyText"/>
        <w:rPr>
          <w:rFonts w:ascii="Times New Roman" w:hAnsi="Times New Roman"/>
          <w:b/>
          <w:bCs/>
        </w:rPr>
      </w:pPr>
      <w:r w:rsidRPr="009E6A96">
        <w:rPr>
          <w:rFonts w:ascii="Times New Roman" w:hAnsi="Times New Roman"/>
        </w:rPr>
        <w:lastRenderedPageBreak/>
        <w:t>Under subregulation 65.060</w:t>
      </w:r>
      <w:r w:rsidR="00EF0204" w:rsidRPr="009E6A96">
        <w:rPr>
          <w:rFonts w:ascii="Times New Roman" w:hAnsi="Times New Roman"/>
        </w:rPr>
        <w:t> </w:t>
      </w:r>
      <w:r w:rsidRPr="009E6A96">
        <w:rPr>
          <w:rFonts w:ascii="Times New Roman" w:hAnsi="Times New Roman"/>
        </w:rPr>
        <w:t>(2), it is an offence for a person to whom subregulation</w:t>
      </w:r>
      <w:r w:rsidR="00EF0204" w:rsidRPr="009E6A96">
        <w:rPr>
          <w:rFonts w:ascii="Times New Roman" w:hAnsi="Times New Roman"/>
        </w:rPr>
        <w:t> </w:t>
      </w:r>
      <w:r w:rsidRPr="009E6A96">
        <w:rPr>
          <w:rFonts w:ascii="Times New Roman" w:hAnsi="Times New Roman"/>
        </w:rPr>
        <w:t>65.</w:t>
      </w:r>
      <w:r w:rsidRPr="009E6A96">
        <w:rPr>
          <w:rFonts w:ascii="Times New Roman" w:hAnsi="Times New Roman"/>
          <w:noProof/>
        </w:rPr>
        <w:t>050</w:t>
      </w:r>
      <w:r w:rsidR="00EF0204" w:rsidRPr="009E6A96">
        <w:rPr>
          <w:rFonts w:ascii="Times New Roman" w:hAnsi="Times New Roman"/>
          <w:noProof/>
        </w:rPr>
        <w:t> </w:t>
      </w:r>
      <w:r w:rsidRPr="009E6A96">
        <w:rPr>
          <w:rFonts w:ascii="Times New Roman" w:hAnsi="Times New Roman"/>
        </w:rPr>
        <w:t>(3) applies to carry out a</w:t>
      </w:r>
      <w:r w:rsidR="000F49D4" w:rsidRPr="009E6A96">
        <w:rPr>
          <w:rFonts w:ascii="Times New Roman" w:hAnsi="Times New Roman"/>
        </w:rPr>
        <w:t xml:space="preserve"> flight service</w:t>
      </w:r>
      <w:r w:rsidRPr="009E6A96">
        <w:rPr>
          <w:rFonts w:ascii="Times New Roman" w:hAnsi="Times New Roman"/>
        </w:rPr>
        <w:t xml:space="preserve"> function in Australian territory if the person is not acting under the supervision of a person who meets the requirements of subregulation 65.</w:t>
      </w:r>
      <w:r w:rsidRPr="009E6A96">
        <w:rPr>
          <w:rFonts w:ascii="Times New Roman" w:hAnsi="Times New Roman"/>
          <w:noProof/>
        </w:rPr>
        <w:t>0</w:t>
      </w:r>
      <w:r w:rsidR="000F49D4" w:rsidRPr="009E6A96">
        <w:rPr>
          <w:rFonts w:ascii="Times New Roman" w:hAnsi="Times New Roman"/>
          <w:noProof/>
        </w:rPr>
        <w:t>50</w:t>
      </w:r>
      <w:r w:rsidR="00EF0204" w:rsidRPr="009E6A96">
        <w:rPr>
          <w:rFonts w:ascii="Times New Roman" w:hAnsi="Times New Roman"/>
          <w:noProof/>
        </w:rPr>
        <w:t> </w:t>
      </w:r>
      <w:r w:rsidRPr="009E6A96">
        <w:rPr>
          <w:rFonts w:ascii="Times New Roman" w:hAnsi="Times New Roman"/>
        </w:rPr>
        <w:t>(1).</w:t>
      </w:r>
    </w:p>
    <w:p w14:paraId="1E1B7E76" w14:textId="77777777" w:rsidR="000F49D4" w:rsidRPr="009E6A96" w:rsidRDefault="000F49D4" w:rsidP="000F49D4">
      <w:pPr>
        <w:pStyle w:val="BodyText"/>
        <w:rPr>
          <w:rFonts w:ascii="Times New Roman" w:hAnsi="Times New Roman"/>
          <w:b/>
          <w:bCs/>
        </w:rPr>
      </w:pPr>
    </w:p>
    <w:p w14:paraId="6C032A57" w14:textId="74EAB739" w:rsidR="000F49D4" w:rsidRPr="009E6A96" w:rsidRDefault="00A4211C" w:rsidP="00EF0204">
      <w:pPr>
        <w:pStyle w:val="BodyText"/>
        <w:keepNext/>
        <w:rPr>
          <w:rFonts w:ascii="Times New Roman" w:hAnsi="Times New Roman"/>
          <w:b/>
          <w:bCs/>
        </w:rPr>
      </w:pPr>
      <w:r w:rsidRPr="009E6A96">
        <w:rPr>
          <w:rFonts w:ascii="Times New Roman" w:hAnsi="Times New Roman"/>
          <w:b/>
          <w:bCs/>
        </w:rPr>
        <w:t xml:space="preserve">The </w:t>
      </w:r>
      <w:r w:rsidR="00087E12" w:rsidRPr="009E6A96">
        <w:rPr>
          <w:rFonts w:ascii="Times New Roman" w:hAnsi="Times New Roman"/>
          <w:b/>
          <w:bCs/>
        </w:rPr>
        <w:t xml:space="preserve">second </w:t>
      </w:r>
      <w:r w:rsidRPr="009E6A96">
        <w:rPr>
          <w:rFonts w:ascii="Times New Roman" w:hAnsi="Times New Roman"/>
          <w:b/>
          <w:bCs/>
        </w:rPr>
        <w:t>amendment instrument</w:t>
      </w:r>
    </w:p>
    <w:p w14:paraId="19145688" w14:textId="1E4DFBB0" w:rsidR="00EC3360" w:rsidRPr="009E6A96" w:rsidRDefault="00B77F18" w:rsidP="000F49D4">
      <w:pPr>
        <w:pStyle w:val="BodyText"/>
        <w:rPr>
          <w:rFonts w:ascii="Times New Roman" w:hAnsi="Times New Roman"/>
        </w:rPr>
      </w:pPr>
      <w:r w:rsidRPr="009E6A96">
        <w:rPr>
          <w:rFonts w:ascii="Times New Roman" w:hAnsi="Times New Roman"/>
        </w:rPr>
        <w:t xml:space="preserve">In general terms, the exemptions </w:t>
      </w:r>
      <w:r w:rsidR="000F49D4" w:rsidRPr="009E6A96">
        <w:rPr>
          <w:rFonts w:ascii="Times New Roman" w:hAnsi="Times New Roman"/>
        </w:rPr>
        <w:t xml:space="preserve">are designed to provide the holders of </w:t>
      </w:r>
      <w:r w:rsidR="004F4928" w:rsidRPr="009E6A96">
        <w:rPr>
          <w:rFonts w:ascii="Times New Roman" w:hAnsi="Times New Roman"/>
        </w:rPr>
        <w:t>ATC</w:t>
      </w:r>
      <w:r w:rsidR="000F49D4" w:rsidRPr="009E6A96">
        <w:rPr>
          <w:rFonts w:ascii="Times New Roman" w:hAnsi="Times New Roman"/>
        </w:rPr>
        <w:t xml:space="preserve"> licences and flight service licences</w:t>
      </w:r>
      <w:r w:rsidR="00123610" w:rsidRPr="009E6A96">
        <w:rPr>
          <w:rFonts w:ascii="Times New Roman" w:hAnsi="Times New Roman"/>
        </w:rPr>
        <w:t xml:space="preserve"> that are endorsed for particular duties and functions at particular aerodromes or in relation to particular airspace</w:t>
      </w:r>
      <w:r w:rsidR="000F49D4" w:rsidRPr="009E6A96">
        <w:rPr>
          <w:rFonts w:ascii="Times New Roman" w:hAnsi="Times New Roman"/>
        </w:rPr>
        <w:t xml:space="preserve">, </w:t>
      </w:r>
      <w:r w:rsidR="00123610" w:rsidRPr="009E6A96">
        <w:rPr>
          <w:rFonts w:ascii="Times New Roman" w:hAnsi="Times New Roman"/>
        </w:rPr>
        <w:t xml:space="preserve">and </w:t>
      </w:r>
      <w:r w:rsidR="000F49D4" w:rsidRPr="009E6A96">
        <w:rPr>
          <w:rFonts w:ascii="Times New Roman" w:hAnsi="Times New Roman"/>
        </w:rPr>
        <w:t>that were in force immediately before 1 April 2020, with additional time in which to satisfy their recency and currency requirements without committing offences</w:t>
      </w:r>
      <w:r w:rsidR="00123610" w:rsidRPr="009E6A96">
        <w:rPr>
          <w:rFonts w:ascii="Times New Roman" w:hAnsi="Times New Roman"/>
        </w:rPr>
        <w:t>.</w:t>
      </w:r>
    </w:p>
    <w:p w14:paraId="3F7AC46F" w14:textId="77777777" w:rsidR="00EC3360" w:rsidRPr="009E6A96" w:rsidRDefault="00EC3360" w:rsidP="000F49D4">
      <w:pPr>
        <w:pStyle w:val="BodyText"/>
        <w:rPr>
          <w:rFonts w:ascii="Times New Roman" w:hAnsi="Times New Roman"/>
        </w:rPr>
      </w:pPr>
    </w:p>
    <w:p w14:paraId="542AB2B4" w14:textId="7D911BD6" w:rsidR="00EC3360" w:rsidRPr="009E6A96" w:rsidRDefault="00123610" w:rsidP="00EC3360">
      <w:pPr>
        <w:pStyle w:val="BodyText"/>
        <w:rPr>
          <w:rFonts w:ascii="Times New Roman" w:hAnsi="Times New Roman"/>
        </w:rPr>
      </w:pPr>
      <w:r w:rsidRPr="009E6A96">
        <w:rPr>
          <w:rFonts w:ascii="Times New Roman" w:hAnsi="Times New Roman"/>
        </w:rPr>
        <w:t xml:space="preserve">Thus, under the exemption, these licence holders would satisfy their </w:t>
      </w:r>
      <w:r w:rsidRPr="009E6A96">
        <w:rPr>
          <w:rFonts w:ascii="Times New Roman" w:hAnsi="Times New Roman"/>
          <w:b/>
          <w:bCs/>
        </w:rPr>
        <w:t>recency</w:t>
      </w:r>
      <w:r w:rsidRPr="009E6A96">
        <w:rPr>
          <w:rFonts w:ascii="Times New Roman" w:hAnsi="Times New Roman"/>
        </w:rPr>
        <w:t xml:space="preserve"> requirement by performing relevant duties within the previous 30 days of last </w:t>
      </w:r>
      <w:r w:rsidR="00EC3360" w:rsidRPr="009E6A96">
        <w:rPr>
          <w:rFonts w:ascii="Times New Roman" w:hAnsi="Times New Roman"/>
        </w:rPr>
        <w:t>performance</w:t>
      </w:r>
      <w:r w:rsidRPr="009E6A96">
        <w:rPr>
          <w:rFonts w:ascii="Times New Roman" w:hAnsi="Times New Roman"/>
        </w:rPr>
        <w:t xml:space="preserve"> instead of the current 21 days</w:t>
      </w:r>
      <w:r w:rsidR="00EC3360" w:rsidRPr="009E6A96">
        <w:rPr>
          <w:rFonts w:ascii="Times New Roman" w:hAnsi="Times New Roman"/>
        </w:rPr>
        <w:t>. Under the exemptions,</w:t>
      </w:r>
      <w:r w:rsidRPr="009E6A96">
        <w:rPr>
          <w:rFonts w:ascii="Times New Roman" w:hAnsi="Times New Roman"/>
        </w:rPr>
        <w:t xml:space="preserve"> </w:t>
      </w:r>
      <w:r w:rsidR="00EC3360" w:rsidRPr="009E6A96">
        <w:rPr>
          <w:rFonts w:ascii="Times New Roman" w:hAnsi="Times New Roman"/>
        </w:rPr>
        <w:t xml:space="preserve">these licence holders would satisfy their </w:t>
      </w:r>
      <w:r w:rsidR="00EC3360" w:rsidRPr="009E6A96">
        <w:rPr>
          <w:rFonts w:ascii="Times New Roman" w:hAnsi="Times New Roman"/>
          <w:b/>
          <w:bCs/>
        </w:rPr>
        <w:t>currency</w:t>
      </w:r>
      <w:r w:rsidR="00EC3360" w:rsidRPr="009E6A96">
        <w:rPr>
          <w:rFonts w:ascii="Times New Roman" w:hAnsi="Times New Roman"/>
        </w:rPr>
        <w:t xml:space="preserve"> requirement by performing relevant functions within the previous 9 months rather than the previous 6 months.</w:t>
      </w:r>
    </w:p>
    <w:p w14:paraId="42E5E704" w14:textId="08DC4B1D" w:rsidR="008F18FB" w:rsidRPr="009E6A96" w:rsidRDefault="008F18FB" w:rsidP="00EC3360">
      <w:pPr>
        <w:pStyle w:val="BodyText"/>
        <w:rPr>
          <w:rFonts w:ascii="Times New Roman" w:hAnsi="Times New Roman"/>
        </w:rPr>
      </w:pPr>
    </w:p>
    <w:p w14:paraId="063A5607" w14:textId="4BAA5698" w:rsidR="008F18FB" w:rsidRPr="009E6A96" w:rsidRDefault="008F18FB" w:rsidP="00EC3360">
      <w:pPr>
        <w:pStyle w:val="BodyText"/>
        <w:rPr>
          <w:rFonts w:ascii="Times New Roman" w:hAnsi="Times New Roman"/>
        </w:rPr>
      </w:pPr>
      <w:r w:rsidRPr="009E6A96">
        <w:rPr>
          <w:rFonts w:ascii="Times New Roman" w:hAnsi="Times New Roman"/>
        </w:rPr>
        <w:t xml:space="preserve">The exemptions also enable trainees to continue to be lawfully supervised by relevant licence holders who for recency and currency purposes take advantage of the </w:t>
      </w:r>
      <w:r w:rsidR="001710EA" w:rsidRPr="009E6A96">
        <w:rPr>
          <w:rFonts w:ascii="Times New Roman" w:hAnsi="Times New Roman"/>
        </w:rPr>
        <w:t>exemptions</w:t>
      </w:r>
      <w:r w:rsidRPr="009E6A96">
        <w:rPr>
          <w:rFonts w:ascii="Times New Roman" w:hAnsi="Times New Roman"/>
        </w:rPr>
        <w:t>.</w:t>
      </w:r>
    </w:p>
    <w:p w14:paraId="7E9DCF55" w14:textId="77777777" w:rsidR="000F49D4" w:rsidRPr="009E6A96" w:rsidRDefault="000F49D4" w:rsidP="00A208DD">
      <w:pPr>
        <w:pStyle w:val="BodyText"/>
        <w:rPr>
          <w:rFonts w:ascii="Times New Roman" w:hAnsi="Times New Roman"/>
          <w:iCs/>
          <w:sz w:val="20"/>
          <w:szCs w:val="20"/>
        </w:rPr>
      </w:pPr>
    </w:p>
    <w:p w14:paraId="7BEF4486" w14:textId="062555C7" w:rsidR="00A4211C" w:rsidRPr="009E6A96" w:rsidRDefault="00A4211C" w:rsidP="00A208DD">
      <w:pPr>
        <w:pStyle w:val="BodyText"/>
        <w:rPr>
          <w:rFonts w:ascii="Times New Roman" w:hAnsi="Times New Roman"/>
        </w:rPr>
      </w:pPr>
      <w:r w:rsidRPr="009E6A96">
        <w:rPr>
          <w:rFonts w:ascii="Times New Roman" w:hAnsi="Times New Roman"/>
        </w:rPr>
        <w:t xml:space="preserve">Details of the </w:t>
      </w:r>
      <w:r w:rsidR="00087E12" w:rsidRPr="009E6A96">
        <w:rPr>
          <w:rFonts w:ascii="Times New Roman" w:hAnsi="Times New Roman"/>
        </w:rPr>
        <w:t xml:space="preserve">second </w:t>
      </w:r>
      <w:r w:rsidRPr="009E6A96">
        <w:rPr>
          <w:rFonts w:ascii="Times New Roman" w:hAnsi="Times New Roman"/>
        </w:rPr>
        <w:t>amendment instrument are set out in Appendix 1.</w:t>
      </w:r>
    </w:p>
    <w:p w14:paraId="3657D4E0" w14:textId="628E7761" w:rsidR="007F1B16" w:rsidRPr="009E6A96" w:rsidRDefault="007F1B16" w:rsidP="00A208DD">
      <w:pPr>
        <w:pStyle w:val="BodyText"/>
        <w:rPr>
          <w:rFonts w:ascii="Times New Roman" w:hAnsi="Times New Roman"/>
        </w:rPr>
      </w:pPr>
    </w:p>
    <w:p w14:paraId="0E86B48F" w14:textId="04D4AE40" w:rsidR="007F1B16" w:rsidRPr="009E6A96" w:rsidRDefault="007F1B16" w:rsidP="00A208DD">
      <w:pPr>
        <w:pStyle w:val="BodyText"/>
        <w:rPr>
          <w:rFonts w:ascii="Times New Roman" w:hAnsi="Times New Roman"/>
          <w:b/>
          <w:bCs/>
        </w:rPr>
      </w:pPr>
      <w:r w:rsidRPr="009E6A96">
        <w:rPr>
          <w:rFonts w:ascii="Times New Roman" w:hAnsi="Times New Roman"/>
          <w:b/>
          <w:bCs/>
        </w:rPr>
        <w:t>Not the same in substance</w:t>
      </w:r>
    </w:p>
    <w:p w14:paraId="5FF0165E" w14:textId="53A1E4B6" w:rsidR="007F1B16" w:rsidRPr="009E6A96" w:rsidRDefault="007F1B16" w:rsidP="00BC139D">
      <w:pPr>
        <w:pStyle w:val="BodyText"/>
        <w:rPr>
          <w:rFonts w:ascii="Times New Roman" w:hAnsi="Times New Roman"/>
          <w:iCs/>
        </w:rPr>
      </w:pPr>
      <w:r w:rsidRPr="009E6A96">
        <w:rPr>
          <w:rFonts w:ascii="Times New Roman" w:hAnsi="Times New Roman"/>
          <w:iCs/>
        </w:rPr>
        <w:t xml:space="preserve">For the convenience of the affected aviation industry personnel at a time of emergency, CASA has chosen to </w:t>
      </w:r>
      <w:r w:rsidR="00087E12" w:rsidRPr="009E6A96">
        <w:rPr>
          <w:rFonts w:ascii="Times New Roman" w:hAnsi="Times New Roman"/>
          <w:iCs/>
        </w:rPr>
        <w:t xml:space="preserve">make </w:t>
      </w:r>
      <w:r w:rsidRPr="009E6A96">
        <w:rPr>
          <w:rFonts w:ascii="Times New Roman" w:hAnsi="Times New Roman"/>
          <w:iCs/>
        </w:rPr>
        <w:t xml:space="preserve">additional exemptions as amendments to </w:t>
      </w:r>
      <w:r w:rsidR="00FB290E" w:rsidRPr="009E6A96">
        <w:rPr>
          <w:rFonts w:ascii="Times New Roman" w:hAnsi="Times New Roman"/>
          <w:iCs/>
        </w:rPr>
        <w:t>the original</w:t>
      </w:r>
      <w:r w:rsidRPr="009E6A96">
        <w:rPr>
          <w:rFonts w:ascii="Times New Roman" w:hAnsi="Times New Roman"/>
          <w:iCs/>
        </w:rPr>
        <w:t xml:space="preserve"> exemption instrument which is then compiled to contain the set</w:t>
      </w:r>
      <w:r w:rsidR="0088713F" w:rsidRPr="009E6A96">
        <w:rPr>
          <w:rFonts w:ascii="Times New Roman" w:hAnsi="Times New Roman"/>
          <w:iCs/>
        </w:rPr>
        <w:t xml:space="preserve"> for ease of reference</w:t>
      </w:r>
      <w:r w:rsidRPr="009E6A96">
        <w:rPr>
          <w:rFonts w:ascii="Times New Roman" w:hAnsi="Times New Roman"/>
          <w:iCs/>
        </w:rPr>
        <w:t>.</w:t>
      </w:r>
    </w:p>
    <w:p w14:paraId="75BE2055" w14:textId="77777777" w:rsidR="007F1B16" w:rsidRPr="009E6A96" w:rsidRDefault="007F1B16" w:rsidP="00BC139D">
      <w:pPr>
        <w:pStyle w:val="BodyText"/>
        <w:rPr>
          <w:rFonts w:ascii="Times New Roman" w:hAnsi="Times New Roman"/>
          <w:iCs/>
        </w:rPr>
      </w:pPr>
    </w:p>
    <w:p w14:paraId="2EF3EB78" w14:textId="59DFB2AD" w:rsidR="00BA2A63" w:rsidRPr="009E6A96" w:rsidRDefault="008E33DC" w:rsidP="00BC139D">
      <w:pPr>
        <w:pStyle w:val="BodyText"/>
        <w:rPr>
          <w:rFonts w:ascii="Times New Roman" w:hAnsi="Times New Roman"/>
          <w:iCs/>
        </w:rPr>
      </w:pPr>
      <w:r w:rsidRPr="009E6A96">
        <w:rPr>
          <w:rFonts w:ascii="Times New Roman" w:hAnsi="Times New Roman"/>
          <w:iCs/>
        </w:rPr>
        <w:t xml:space="preserve">Because the </w:t>
      </w:r>
      <w:r w:rsidR="00087E12" w:rsidRPr="009E6A96">
        <w:rPr>
          <w:rFonts w:ascii="Times New Roman" w:hAnsi="Times New Roman"/>
          <w:iCs/>
        </w:rPr>
        <w:t xml:space="preserve">second </w:t>
      </w:r>
      <w:r w:rsidRPr="009E6A96">
        <w:rPr>
          <w:rFonts w:ascii="Times New Roman" w:hAnsi="Times New Roman"/>
          <w:iCs/>
        </w:rPr>
        <w:t>amendment instrument introduce</w:t>
      </w:r>
      <w:r w:rsidR="0088713F" w:rsidRPr="009E6A96">
        <w:rPr>
          <w:rFonts w:ascii="Times New Roman" w:hAnsi="Times New Roman"/>
          <w:iCs/>
        </w:rPr>
        <w:t>s</w:t>
      </w:r>
      <w:r w:rsidRPr="009E6A96">
        <w:rPr>
          <w:rFonts w:ascii="Times New Roman" w:hAnsi="Times New Roman"/>
          <w:iCs/>
        </w:rPr>
        <w:t xml:space="preserve"> further, new</w:t>
      </w:r>
      <w:r w:rsidR="0088713F" w:rsidRPr="009E6A96">
        <w:rPr>
          <w:rFonts w:ascii="Times New Roman" w:hAnsi="Times New Roman"/>
          <w:iCs/>
        </w:rPr>
        <w:t>,</w:t>
      </w:r>
      <w:r w:rsidRPr="009E6A96">
        <w:rPr>
          <w:rFonts w:ascii="Times New Roman" w:hAnsi="Times New Roman"/>
          <w:iCs/>
        </w:rPr>
        <w:t xml:space="preserve"> and different, exemptions to deal with other emerging impacts of the pandemic, th</w:t>
      </w:r>
      <w:r w:rsidR="007F1B16" w:rsidRPr="009E6A96">
        <w:rPr>
          <w:rFonts w:ascii="Times New Roman" w:hAnsi="Times New Roman"/>
          <w:iCs/>
        </w:rPr>
        <w:t>is does not constitute the remaking of a legislative instrument that is the same in</w:t>
      </w:r>
      <w:r w:rsidRPr="009E6A96">
        <w:rPr>
          <w:rFonts w:ascii="Times New Roman" w:hAnsi="Times New Roman"/>
          <w:iCs/>
        </w:rPr>
        <w:t xml:space="preserve"> substance as an original legislative instrument</w:t>
      </w:r>
      <w:r w:rsidR="00087E12" w:rsidRPr="009E6A96">
        <w:rPr>
          <w:rFonts w:ascii="Times New Roman" w:hAnsi="Times New Roman"/>
          <w:iCs/>
        </w:rPr>
        <w:t xml:space="preserve">, namely the first amendment instrument, CASA EX63/20, that has </w:t>
      </w:r>
      <w:r w:rsidRPr="009E6A96">
        <w:rPr>
          <w:rFonts w:ascii="Times New Roman" w:hAnsi="Times New Roman"/>
          <w:iCs/>
        </w:rPr>
        <w:t>not have b</w:t>
      </w:r>
      <w:r w:rsidR="0088713F" w:rsidRPr="009E6A96">
        <w:rPr>
          <w:rFonts w:ascii="Times New Roman" w:hAnsi="Times New Roman"/>
          <w:iCs/>
        </w:rPr>
        <w:t>e</w:t>
      </w:r>
      <w:r w:rsidRPr="009E6A96">
        <w:rPr>
          <w:rFonts w:ascii="Times New Roman" w:hAnsi="Times New Roman"/>
          <w:iCs/>
        </w:rPr>
        <w:t>en tabled before each House of the Parliament due to the restricted sittings of the House at this time.</w:t>
      </w:r>
      <w:r w:rsidR="00087E12" w:rsidRPr="009E6A96">
        <w:rPr>
          <w:rFonts w:ascii="Times New Roman" w:hAnsi="Times New Roman"/>
          <w:iCs/>
        </w:rPr>
        <w:t xml:space="preserve"> (The original instrument was tabled on 8 April 2020.)</w:t>
      </w:r>
    </w:p>
    <w:p w14:paraId="2E1A80F2" w14:textId="49D19D74" w:rsidR="008E33DC" w:rsidRPr="009E6A96" w:rsidRDefault="008E33DC" w:rsidP="00BC139D">
      <w:pPr>
        <w:pStyle w:val="BodyText"/>
        <w:rPr>
          <w:rFonts w:ascii="Times New Roman" w:hAnsi="Times New Roman"/>
          <w:iCs/>
        </w:rPr>
      </w:pPr>
    </w:p>
    <w:p w14:paraId="195CE846" w14:textId="448952C8" w:rsidR="008E33DC" w:rsidRPr="009E6A96" w:rsidRDefault="008E33DC" w:rsidP="00AE7507">
      <w:pPr>
        <w:pStyle w:val="BodyText"/>
        <w:rPr>
          <w:rFonts w:ascii="Times New Roman" w:hAnsi="Times New Roman"/>
        </w:rPr>
      </w:pPr>
      <w:bookmarkStart w:id="2" w:name="_Hlk38373934"/>
      <w:r w:rsidRPr="009E6A96">
        <w:rPr>
          <w:rFonts w:ascii="Times New Roman" w:hAnsi="Times New Roman"/>
          <w:iCs/>
        </w:rPr>
        <w:t xml:space="preserve">Under </w:t>
      </w:r>
      <w:r w:rsidR="006340A0" w:rsidRPr="009E6A96">
        <w:rPr>
          <w:rFonts w:ascii="Times New Roman" w:hAnsi="Times New Roman"/>
          <w:iCs/>
        </w:rPr>
        <w:t>sub</w:t>
      </w:r>
      <w:r w:rsidRPr="009E6A96">
        <w:rPr>
          <w:rFonts w:ascii="Times New Roman" w:hAnsi="Times New Roman"/>
          <w:iCs/>
        </w:rPr>
        <w:t>section 46</w:t>
      </w:r>
      <w:r w:rsidR="006340A0" w:rsidRPr="009E6A96">
        <w:rPr>
          <w:rFonts w:ascii="Times New Roman" w:hAnsi="Times New Roman"/>
          <w:iCs/>
        </w:rPr>
        <w:t> </w:t>
      </w:r>
      <w:r w:rsidR="00AE7507" w:rsidRPr="009E6A96">
        <w:rPr>
          <w:rFonts w:ascii="Times New Roman" w:hAnsi="Times New Roman"/>
          <w:iCs/>
        </w:rPr>
        <w:t>(1)</w:t>
      </w:r>
      <w:r w:rsidRPr="009E6A96">
        <w:rPr>
          <w:rFonts w:ascii="Times New Roman" w:hAnsi="Times New Roman"/>
          <w:iCs/>
        </w:rPr>
        <w:t xml:space="preserve"> of the </w:t>
      </w:r>
      <w:r w:rsidRPr="009E6A96">
        <w:rPr>
          <w:rFonts w:ascii="Times New Roman" w:hAnsi="Times New Roman"/>
          <w:i/>
        </w:rPr>
        <w:t>Legislation Act 2003</w:t>
      </w:r>
      <w:r w:rsidR="00AE7507" w:rsidRPr="009E6A96">
        <w:rPr>
          <w:rFonts w:ascii="Times New Roman" w:hAnsi="Times New Roman"/>
          <w:iCs/>
        </w:rPr>
        <w:t xml:space="preserve"> (</w:t>
      </w:r>
      <w:bookmarkStart w:id="3" w:name="_Toc1469196"/>
      <w:r w:rsidR="0098521D" w:rsidRPr="009E6A96">
        <w:rPr>
          <w:rFonts w:ascii="Times New Roman" w:hAnsi="Times New Roman"/>
        </w:rPr>
        <w:t>l</w:t>
      </w:r>
      <w:r w:rsidRPr="009E6A96">
        <w:rPr>
          <w:rFonts w:ascii="Times New Roman" w:hAnsi="Times New Roman"/>
        </w:rPr>
        <w:t>egislative instruments not to be remade while required to be tabled</w:t>
      </w:r>
      <w:bookmarkEnd w:id="3"/>
      <w:r w:rsidR="00AE7507" w:rsidRPr="009E6A96">
        <w:rPr>
          <w:rFonts w:ascii="Times New Roman" w:hAnsi="Times New Roman"/>
        </w:rPr>
        <w:t>) i</w:t>
      </w:r>
      <w:r w:rsidRPr="009E6A96">
        <w:rPr>
          <w:rFonts w:ascii="Times New Roman" w:hAnsi="Times New Roman"/>
        </w:rPr>
        <w:t xml:space="preserve">f a legislative instrument (the </w:t>
      </w:r>
      <w:r w:rsidRPr="009E6A96">
        <w:rPr>
          <w:rFonts w:ascii="Times New Roman" w:hAnsi="Times New Roman"/>
          <w:b/>
          <w:i/>
        </w:rPr>
        <w:t>original legislative instrument</w:t>
      </w:r>
      <w:r w:rsidRPr="009E6A96">
        <w:rPr>
          <w:rFonts w:ascii="Times New Roman" w:hAnsi="Times New Roman"/>
        </w:rPr>
        <w:t>) has been registered</w:t>
      </w:r>
      <w:r w:rsidR="00AE7507" w:rsidRPr="009E6A96">
        <w:rPr>
          <w:rFonts w:ascii="Times New Roman" w:hAnsi="Times New Roman"/>
        </w:rPr>
        <w:t xml:space="preserve"> (in this case CASA EX</w:t>
      </w:r>
      <w:r w:rsidR="000B6DA1">
        <w:rPr>
          <w:rFonts w:ascii="Times New Roman" w:hAnsi="Times New Roman"/>
        </w:rPr>
        <w:t>63</w:t>
      </w:r>
      <w:r w:rsidR="00AE7507" w:rsidRPr="009E6A96">
        <w:rPr>
          <w:rFonts w:ascii="Times New Roman" w:hAnsi="Times New Roman"/>
        </w:rPr>
        <w:t>/20)</w:t>
      </w:r>
      <w:r w:rsidRPr="009E6A96">
        <w:rPr>
          <w:rFonts w:ascii="Times New Roman" w:hAnsi="Times New Roman"/>
        </w:rPr>
        <w:t>, no legislative instrument the same in substance as the original legislative instrument is to be made during the period defined by subsection</w:t>
      </w:r>
      <w:r w:rsidR="00AE7507" w:rsidRPr="009E6A96">
        <w:rPr>
          <w:rFonts w:ascii="Times New Roman" w:hAnsi="Times New Roman"/>
        </w:rPr>
        <w:t xml:space="preserve"> </w:t>
      </w:r>
      <w:r w:rsidRPr="009E6A96">
        <w:rPr>
          <w:rFonts w:ascii="Times New Roman" w:hAnsi="Times New Roman"/>
        </w:rPr>
        <w:t>(2) unless both Houses of the Parliament by resolution approve the making of an instrument the same in substance as the original legislative instrument.</w:t>
      </w:r>
    </w:p>
    <w:p w14:paraId="4A0EE488" w14:textId="38620DBF" w:rsidR="00AE7507" w:rsidRPr="009E6A96" w:rsidRDefault="00AE7507" w:rsidP="00AE7507">
      <w:pPr>
        <w:pStyle w:val="BodyText"/>
        <w:rPr>
          <w:rFonts w:ascii="Times New Roman" w:hAnsi="Times New Roman"/>
        </w:rPr>
      </w:pPr>
    </w:p>
    <w:bookmarkEnd w:id="2"/>
    <w:p w14:paraId="10FE9E11" w14:textId="615FEF1F" w:rsidR="00DE3740" w:rsidRPr="009E6A96" w:rsidRDefault="00AE7507" w:rsidP="00AE7507">
      <w:pPr>
        <w:pStyle w:val="BodyText"/>
        <w:rPr>
          <w:rFonts w:ascii="Times New Roman" w:hAnsi="Times New Roman"/>
        </w:rPr>
      </w:pPr>
      <w:r w:rsidRPr="009E6A96">
        <w:rPr>
          <w:rFonts w:ascii="Times New Roman" w:hAnsi="Times New Roman"/>
        </w:rPr>
        <w:t xml:space="preserve">Under subsection </w:t>
      </w:r>
      <w:r w:rsidR="006340A0" w:rsidRPr="009E6A96">
        <w:rPr>
          <w:rFonts w:ascii="Times New Roman" w:hAnsi="Times New Roman"/>
        </w:rPr>
        <w:t>46 </w:t>
      </w:r>
      <w:r w:rsidRPr="009E6A96">
        <w:rPr>
          <w:rFonts w:ascii="Times New Roman" w:hAnsi="Times New Roman"/>
        </w:rPr>
        <w:t>(2), t</w:t>
      </w:r>
      <w:r w:rsidR="008E33DC" w:rsidRPr="009E6A96">
        <w:rPr>
          <w:rFonts w:ascii="Times New Roman" w:hAnsi="Times New Roman"/>
        </w:rPr>
        <w:t>he period referred to in subsection</w:t>
      </w:r>
      <w:r w:rsidR="0088713F" w:rsidRPr="009E6A96">
        <w:rPr>
          <w:rFonts w:ascii="Times New Roman" w:hAnsi="Times New Roman"/>
        </w:rPr>
        <w:t xml:space="preserve"> </w:t>
      </w:r>
      <w:r w:rsidR="008E33DC" w:rsidRPr="009E6A96">
        <w:rPr>
          <w:rFonts w:ascii="Times New Roman" w:hAnsi="Times New Roman"/>
        </w:rPr>
        <w:t>(1) is the period starting on the day on which the original legislative instrument was registered and ending at the end of 7 days after</w:t>
      </w:r>
      <w:r w:rsidRPr="009E6A96">
        <w:rPr>
          <w:rFonts w:ascii="Times New Roman" w:hAnsi="Times New Roman"/>
        </w:rPr>
        <w:t>, in effect, tabling of the instrument, in order to allow both Houses of the Parliament sufficient time to consider a remade instrument.</w:t>
      </w:r>
      <w:r w:rsidR="00DE3740" w:rsidRPr="009E6A96">
        <w:rPr>
          <w:rFonts w:ascii="Times New Roman" w:hAnsi="Times New Roman"/>
        </w:rPr>
        <w:t xml:space="preserve"> These rules are an element of a set of rules that have their origin in controversial attempts in the 1930s to continuously remake and keep in force “same in substance” instruments that a House of the Parliament </w:t>
      </w:r>
      <w:r w:rsidR="0088713F" w:rsidRPr="009E6A96">
        <w:rPr>
          <w:rFonts w:ascii="Times New Roman" w:hAnsi="Times New Roman"/>
        </w:rPr>
        <w:t>had</w:t>
      </w:r>
      <w:r w:rsidR="00DE3740" w:rsidRPr="009E6A96">
        <w:rPr>
          <w:rFonts w:ascii="Times New Roman" w:hAnsi="Times New Roman"/>
        </w:rPr>
        <w:t xml:space="preserve"> disallowed.</w:t>
      </w:r>
    </w:p>
    <w:p w14:paraId="667A5645" w14:textId="77777777" w:rsidR="00DE3740" w:rsidRDefault="00DE3740" w:rsidP="00AE7507">
      <w:pPr>
        <w:pStyle w:val="BodyText"/>
        <w:rPr>
          <w:rFonts w:ascii="Times New Roman" w:hAnsi="Times New Roman"/>
        </w:rPr>
      </w:pPr>
    </w:p>
    <w:p w14:paraId="25F1976F" w14:textId="77777777" w:rsidR="00087E12" w:rsidRPr="00271081" w:rsidRDefault="00087E12" w:rsidP="00087E12">
      <w:pPr>
        <w:pStyle w:val="BodyText"/>
        <w:rPr>
          <w:rFonts w:ascii="Times New Roman" w:hAnsi="Times New Roman"/>
        </w:rPr>
      </w:pPr>
      <w:r w:rsidRPr="00271081">
        <w:rPr>
          <w:rFonts w:ascii="Times New Roman" w:hAnsi="Times New Roman"/>
        </w:rPr>
        <w:lastRenderedPageBreak/>
        <w:t xml:space="preserve">These rules do not apply to the </w:t>
      </w:r>
      <w:r>
        <w:rPr>
          <w:rFonts w:ascii="Times New Roman" w:hAnsi="Times New Roman"/>
        </w:rPr>
        <w:t>second</w:t>
      </w:r>
      <w:r w:rsidRPr="00271081">
        <w:rPr>
          <w:rFonts w:ascii="Times New Roman" w:hAnsi="Times New Roman"/>
        </w:rPr>
        <w:t xml:space="preserve"> amendment instrument because </w:t>
      </w:r>
      <w:r>
        <w:rPr>
          <w:rFonts w:ascii="Times New Roman" w:hAnsi="Times New Roman"/>
        </w:rPr>
        <w:t>it is</w:t>
      </w:r>
      <w:r w:rsidRPr="00271081">
        <w:rPr>
          <w:rFonts w:ascii="Times New Roman" w:hAnsi="Times New Roman"/>
        </w:rPr>
        <w:t xml:space="preserve">, quite patently, on </w:t>
      </w:r>
      <w:r>
        <w:rPr>
          <w:rFonts w:ascii="Times New Roman" w:hAnsi="Times New Roman"/>
        </w:rPr>
        <w:t>its</w:t>
      </w:r>
      <w:r w:rsidRPr="00271081">
        <w:rPr>
          <w:rFonts w:ascii="Times New Roman" w:hAnsi="Times New Roman"/>
        </w:rPr>
        <w:t xml:space="preserve"> face, not the same in substance as the </w:t>
      </w:r>
      <w:r>
        <w:rPr>
          <w:rFonts w:ascii="Times New Roman" w:hAnsi="Times New Roman"/>
        </w:rPr>
        <w:t>first amendment</w:t>
      </w:r>
      <w:r w:rsidRPr="00271081">
        <w:rPr>
          <w:rFonts w:ascii="Times New Roman" w:hAnsi="Times New Roman"/>
        </w:rPr>
        <w:t xml:space="preserve"> instrument which dealt with different exemptions, from different provisions of CASR, for different purposes.</w:t>
      </w:r>
    </w:p>
    <w:p w14:paraId="404B3E5D" w14:textId="77777777" w:rsidR="00087E12" w:rsidRPr="00271081" w:rsidRDefault="00087E12" w:rsidP="00087E12">
      <w:pPr>
        <w:pStyle w:val="BodyText"/>
        <w:rPr>
          <w:rFonts w:ascii="Times New Roman" w:hAnsi="Times New Roman"/>
        </w:rPr>
      </w:pPr>
    </w:p>
    <w:p w14:paraId="3B8CF6A2" w14:textId="0BC022DC" w:rsidR="0088748B" w:rsidRPr="0088748B" w:rsidRDefault="00BD0031" w:rsidP="0088748B">
      <w:pPr>
        <w:pStyle w:val="BodyText"/>
        <w:rPr>
          <w:rFonts w:ascii="Times New Roman" w:hAnsi="Times New Roman"/>
          <w:bCs/>
        </w:rPr>
      </w:pPr>
      <w:r>
        <w:rPr>
          <w:rFonts w:ascii="Times New Roman" w:hAnsi="Times New Roman"/>
        </w:rPr>
        <w:t xml:space="preserve">The leading authority on this is </w:t>
      </w:r>
      <w:r w:rsidRPr="00FB290E">
        <w:rPr>
          <w:rFonts w:ascii="Times New Roman" w:hAnsi="Times New Roman"/>
          <w:bCs/>
          <w:i/>
          <w:iCs/>
        </w:rPr>
        <w:t>Victorian Chamber of Manufactures v Commonwealth (Women's Employment Regulations) [1943] HCA 21</w:t>
      </w:r>
      <w:r w:rsidR="0088748B">
        <w:rPr>
          <w:rFonts w:ascii="Times New Roman" w:hAnsi="Times New Roman"/>
          <w:bCs/>
          <w:i/>
          <w:iCs/>
        </w:rPr>
        <w:t xml:space="preserve"> </w:t>
      </w:r>
      <w:r w:rsidR="0088748B" w:rsidRPr="00FB290E">
        <w:rPr>
          <w:rFonts w:ascii="Times New Roman" w:hAnsi="Times New Roman"/>
          <w:bCs/>
        </w:rPr>
        <w:t xml:space="preserve">which concerned the remaking of regulations </w:t>
      </w:r>
      <w:r w:rsidR="0086476E">
        <w:rPr>
          <w:rFonts w:ascii="Times New Roman" w:hAnsi="Times New Roman"/>
          <w:bCs/>
        </w:rPr>
        <w:t>(</w:t>
      </w:r>
      <w:r w:rsidR="0088748B" w:rsidRPr="00FB290E">
        <w:rPr>
          <w:rFonts w:ascii="Times New Roman" w:hAnsi="Times New Roman"/>
          <w:bCs/>
        </w:rPr>
        <w:t xml:space="preserve">after </w:t>
      </w:r>
      <w:r w:rsidR="0088713F">
        <w:rPr>
          <w:rFonts w:ascii="Times New Roman" w:hAnsi="Times New Roman"/>
          <w:bCs/>
        </w:rPr>
        <w:t xml:space="preserve">parliamentary </w:t>
      </w:r>
      <w:r w:rsidR="0088748B" w:rsidRPr="00FB290E">
        <w:rPr>
          <w:rFonts w:ascii="Times New Roman" w:hAnsi="Times New Roman"/>
          <w:bCs/>
        </w:rPr>
        <w:t>disallowance</w:t>
      </w:r>
      <w:r w:rsidR="0086476E">
        <w:rPr>
          <w:rFonts w:ascii="Times New Roman" w:hAnsi="Times New Roman"/>
          <w:bCs/>
        </w:rPr>
        <w:t>)</w:t>
      </w:r>
      <w:r w:rsidR="0088748B" w:rsidRPr="00FB290E">
        <w:rPr>
          <w:rFonts w:ascii="Times New Roman" w:hAnsi="Times New Roman"/>
          <w:bCs/>
        </w:rPr>
        <w:t>, in alleged</w:t>
      </w:r>
      <w:r w:rsidR="0088748B">
        <w:rPr>
          <w:rFonts w:ascii="Times New Roman" w:hAnsi="Times New Roman"/>
          <w:bCs/>
        </w:rPr>
        <w:t xml:space="preserve"> </w:t>
      </w:r>
      <w:r w:rsidR="0088748B" w:rsidRPr="0088748B">
        <w:rPr>
          <w:rFonts w:ascii="Times New Roman" w:hAnsi="Times New Roman"/>
          <w:bCs/>
        </w:rPr>
        <w:t>contravention</w:t>
      </w:r>
      <w:r w:rsidR="0088748B" w:rsidRPr="00FB290E">
        <w:rPr>
          <w:rFonts w:ascii="Times New Roman" w:hAnsi="Times New Roman"/>
          <w:bCs/>
        </w:rPr>
        <w:t xml:space="preserve"> of “the same in substance</w:t>
      </w:r>
      <w:r w:rsidR="0088748B">
        <w:rPr>
          <w:rFonts w:ascii="Times New Roman" w:hAnsi="Times New Roman"/>
          <w:bCs/>
        </w:rPr>
        <w:t>”</w:t>
      </w:r>
      <w:r w:rsidR="0088748B" w:rsidRPr="00FB290E">
        <w:rPr>
          <w:rFonts w:ascii="Times New Roman" w:hAnsi="Times New Roman"/>
          <w:bCs/>
        </w:rPr>
        <w:t xml:space="preserve"> rule as it then appeared in </w:t>
      </w:r>
      <w:r w:rsidR="0088748B">
        <w:rPr>
          <w:rFonts w:ascii="Times New Roman" w:hAnsi="Times New Roman"/>
          <w:bCs/>
        </w:rPr>
        <w:t xml:space="preserve">section 49 of </w:t>
      </w:r>
      <w:r w:rsidR="0088748B" w:rsidRPr="00FB290E">
        <w:rPr>
          <w:rFonts w:ascii="Times New Roman" w:hAnsi="Times New Roman"/>
          <w:bCs/>
        </w:rPr>
        <w:t xml:space="preserve">the </w:t>
      </w:r>
      <w:r w:rsidR="0088748B" w:rsidRPr="0088748B">
        <w:rPr>
          <w:rFonts w:ascii="Times New Roman" w:hAnsi="Times New Roman"/>
          <w:bCs/>
          <w:i/>
          <w:iCs/>
        </w:rPr>
        <w:t xml:space="preserve">Acts </w:t>
      </w:r>
      <w:r w:rsidR="0088748B" w:rsidRPr="00FB290E">
        <w:rPr>
          <w:rFonts w:ascii="Times New Roman" w:hAnsi="Times New Roman"/>
          <w:bCs/>
          <w:i/>
          <w:iCs/>
        </w:rPr>
        <w:t>Interpretation</w:t>
      </w:r>
      <w:r w:rsidR="0088748B" w:rsidRPr="0088748B">
        <w:rPr>
          <w:rFonts w:ascii="Times New Roman" w:hAnsi="Times New Roman"/>
          <w:bCs/>
          <w:i/>
          <w:iCs/>
        </w:rPr>
        <w:t xml:space="preserve"> </w:t>
      </w:r>
      <w:r w:rsidR="0098521D">
        <w:rPr>
          <w:rFonts w:ascii="Times New Roman" w:hAnsi="Times New Roman"/>
          <w:bCs/>
          <w:i/>
          <w:iCs/>
        </w:rPr>
        <w:t>A</w:t>
      </w:r>
      <w:r w:rsidR="0088748B" w:rsidRPr="0088748B">
        <w:rPr>
          <w:rFonts w:ascii="Times New Roman" w:hAnsi="Times New Roman"/>
          <w:bCs/>
          <w:i/>
          <w:iCs/>
        </w:rPr>
        <w:t>ct 1901</w:t>
      </w:r>
      <w:r w:rsidR="0088748B" w:rsidRPr="00FB290E">
        <w:rPr>
          <w:rFonts w:ascii="Times New Roman" w:hAnsi="Times New Roman"/>
          <w:bCs/>
        </w:rPr>
        <w:t>.</w:t>
      </w:r>
      <w:r w:rsidR="0088748B">
        <w:rPr>
          <w:rFonts w:ascii="Times New Roman" w:hAnsi="Times New Roman"/>
          <w:bCs/>
        </w:rPr>
        <w:t xml:space="preserve"> </w:t>
      </w:r>
      <w:r w:rsidRPr="00FB290E">
        <w:rPr>
          <w:rFonts w:ascii="Times New Roman" w:hAnsi="Times New Roman"/>
          <w:bCs/>
        </w:rPr>
        <w:t xml:space="preserve">Latham CJ </w:t>
      </w:r>
      <w:r w:rsidR="0088748B">
        <w:rPr>
          <w:rFonts w:ascii="Times New Roman" w:hAnsi="Times New Roman"/>
          <w:bCs/>
        </w:rPr>
        <w:t xml:space="preserve">noted </w:t>
      </w:r>
      <w:r w:rsidRPr="0088748B">
        <w:rPr>
          <w:rFonts w:ascii="Times New Roman" w:hAnsi="Times New Roman"/>
          <w:bCs/>
        </w:rPr>
        <w:t xml:space="preserve">that regulations should be held to be substantially the same if their material provisions, as in fact operative, produce </w:t>
      </w:r>
      <w:r w:rsidRPr="00FB290E">
        <w:rPr>
          <w:rFonts w:ascii="Times New Roman" w:hAnsi="Times New Roman"/>
          <w:bCs/>
          <w:i/>
          <w:iCs/>
        </w:rPr>
        <w:t>the same substantial result</w:t>
      </w:r>
      <w:r w:rsidR="0088748B">
        <w:rPr>
          <w:rFonts w:ascii="Times New Roman" w:hAnsi="Times New Roman"/>
          <w:bCs/>
          <w:i/>
          <w:iCs/>
        </w:rPr>
        <w:t xml:space="preserve"> </w:t>
      </w:r>
      <w:r w:rsidR="0088748B" w:rsidRPr="00FB290E">
        <w:rPr>
          <w:rFonts w:ascii="Times New Roman" w:hAnsi="Times New Roman"/>
          <w:bCs/>
        </w:rPr>
        <w:t>and</w:t>
      </w:r>
      <w:r w:rsidRPr="0088748B">
        <w:rPr>
          <w:rFonts w:ascii="Times New Roman" w:hAnsi="Times New Roman"/>
          <w:bCs/>
        </w:rPr>
        <w:t xml:space="preserve"> produce substantially, that is, in large measure, though not in all details, </w:t>
      </w:r>
      <w:r w:rsidRPr="00FB290E">
        <w:rPr>
          <w:rFonts w:ascii="Times New Roman" w:hAnsi="Times New Roman"/>
          <w:bCs/>
          <w:i/>
          <w:iCs/>
        </w:rPr>
        <w:t>the same effect</w:t>
      </w:r>
      <w:r w:rsidRPr="0088748B">
        <w:rPr>
          <w:rFonts w:ascii="Times New Roman" w:hAnsi="Times New Roman"/>
          <w:bCs/>
        </w:rPr>
        <w:t xml:space="preserve"> as the disallowed regulation. This is clearly not the case here</w:t>
      </w:r>
      <w:r w:rsidR="00087E12">
        <w:rPr>
          <w:rFonts w:ascii="Times New Roman" w:hAnsi="Times New Roman"/>
          <w:bCs/>
        </w:rPr>
        <w:t xml:space="preserve"> vis-a-vis the first amendment instrument</w:t>
      </w:r>
      <w:r w:rsidR="00087E12" w:rsidRPr="00271081">
        <w:rPr>
          <w:rFonts w:ascii="Times New Roman" w:hAnsi="Times New Roman"/>
          <w:bCs/>
        </w:rPr>
        <w:t>.</w:t>
      </w:r>
    </w:p>
    <w:p w14:paraId="54E63E0B" w14:textId="77777777" w:rsidR="0088748B" w:rsidRPr="00FB290E" w:rsidRDefault="0088748B" w:rsidP="0088748B">
      <w:pPr>
        <w:pStyle w:val="BodyText"/>
        <w:rPr>
          <w:rFonts w:ascii="Times New Roman" w:hAnsi="Times New Roman"/>
          <w:bCs/>
        </w:rPr>
      </w:pPr>
    </w:p>
    <w:p w14:paraId="53570A74" w14:textId="016149EE" w:rsidR="00BD0031" w:rsidRPr="00FB290E" w:rsidRDefault="00BD0031" w:rsidP="0088748B">
      <w:pPr>
        <w:pStyle w:val="BodyText"/>
        <w:rPr>
          <w:rFonts w:ascii="Times New Roman" w:hAnsi="Times New Roman"/>
          <w:bCs/>
        </w:rPr>
      </w:pPr>
      <w:r w:rsidRPr="00FB290E">
        <w:rPr>
          <w:bCs/>
        </w:rPr>
        <w:t>McTiernan J</w:t>
      </w:r>
      <w:r w:rsidR="0088748B" w:rsidRPr="00FB290E">
        <w:rPr>
          <w:bCs/>
        </w:rPr>
        <w:t xml:space="preserve"> </w:t>
      </w:r>
      <w:r w:rsidR="0088748B">
        <w:rPr>
          <w:bCs/>
        </w:rPr>
        <w:t xml:space="preserve">noted </w:t>
      </w:r>
      <w:r w:rsidR="0088748B" w:rsidRPr="00FB290E">
        <w:rPr>
          <w:bCs/>
        </w:rPr>
        <w:t xml:space="preserve">that a </w:t>
      </w:r>
      <w:r w:rsidRPr="0088748B">
        <w:rPr>
          <w:rFonts w:ascii="Times New Roman" w:hAnsi="Times New Roman"/>
          <w:bCs/>
        </w:rPr>
        <w:t xml:space="preserve">new regulation would be the </w:t>
      </w:r>
      <w:r w:rsidR="00C93FE8">
        <w:rPr>
          <w:rFonts w:ascii="Times New Roman" w:hAnsi="Times New Roman"/>
          <w:bCs/>
        </w:rPr>
        <w:t>“</w:t>
      </w:r>
      <w:r w:rsidRPr="0088748B">
        <w:rPr>
          <w:rFonts w:ascii="Times New Roman" w:hAnsi="Times New Roman"/>
          <w:bCs/>
        </w:rPr>
        <w:t>same in substance</w:t>
      </w:r>
      <w:r w:rsidR="00C93FE8">
        <w:rPr>
          <w:rFonts w:ascii="Times New Roman" w:hAnsi="Times New Roman"/>
          <w:bCs/>
        </w:rPr>
        <w:t>”</w:t>
      </w:r>
      <w:r w:rsidRPr="0088748B">
        <w:rPr>
          <w:rFonts w:ascii="Times New Roman" w:hAnsi="Times New Roman"/>
          <w:bCs/>
        </w:rPr>
        <w:t xml:space="preserve"> as a disallowed regulation if, irrespective of form or expression, it were so much like the disallowed regulation in its general legal operation that it could be fairly said to be </w:t>
      </w:r>
      <w:r w:rsidRPr="00FB290E">
        <w:rPr>
          <w:rFonts w:ascii="Times New Roman" w:hAnsi="Times New Roman"/>
          <w:bCs/>
          <w:i/>
          <w:iCs/>
        </w:rPr>
        <w:t>the same law</w:t>
      </w:r>
      <w:r w:rsidRPr="0088748B">
        <w:rPr>
          <w:rFonts w:ascii="Times New Roman" w:hAnsi="Times New Roman"/>
          <w:bCs/>
        </w:rPr>
        <w:t xml:space="preserve"> as the disallowed regulation.</w:t>
      </w:r>
      <w:r w:rsidR="0088748B" w:rsidRPr="00FB290E">
        <w:rPr>
          <w:rFonts w:ascii="Times New Roman" w:hAnsi="Times New Roman"/>
          <w:bCs/>
        </w:rPr>
        <w:t xml:space="preserve"> </w:t>
      </w:r>
      <w:r w:rsidR="00087E12">
        <w:rPr>
          <w:rFonts w:ascii="Times New Roman" w:hAnsi="Times New Roman"/>
          <w:bCs/>
        </w:rPr>
        <w:t>Again, t</w:t>
      </w:r>
      <w:r w:rsidR="0088748B" w:rsidRPr="00FB290E">
        <w:rPr>
          <w:rFonts w:ascii="Times New Roman" w:hAnsi="Times New Roman"/>
          <w:bCs/>
        </w:rPr>
        <w:t>his is clearly not the case here.</w:t>
      </w:r>
    </w:p>
    <w:p w14:paraId="457F5C9E" w14:textId="77777777" w:rsidR="0088748B" w:rsidRPr="00FB290E" w:rsidRDefault="0088748B" w:rsidP="00FB290E">
      <w:pPr>
        <w:pStyle w:val="BodyText"/>
        <w:rPr>
          <w:rFonts w:ascii="Times New Roman" w:hAnsi="Times New Roman"/>
          <w:bCs/>
        </w:rPr>
      </w:pPr>
    </w:p>
    <w:p w14:paraId="104B5B14" w14:textId="57FD6EC3" w:rsidR="008E33DC" w:rsidRDefault="00BD0031" w:rsidP="0088748B">
      <w:pPr>
        <w:rPr>
          <w:rFonts w:ascii="Times New Roman" w:hAnsi="Times New Roman"/>
          <w:bCs/>
        </w:rPr>
      </w:pPr>
      <w:r w:rsidRPr="00FB290E">
        <w:rPr>
          <w:rFonts w:ascii="Times New Roman" w:hAnsi="Times New Roman"/>
          <w:bCs/>
        </w:rPr>
        <w:t>Williams J</w:t>
      </w:r>
      <w:r w:rsidR="0088748B" w:rsidRPr="00FB290E">
        <w:rPr>
          <w:rFonts w:ascii="Times New Roman" w:hAnsi="Times New Roman"/>
          <w:bCs/>
        </w:rPr>
        <w:t xml:space="preserve"> </w:t>
      </w:r>
      <w:r w:rsidR="0088713F">
        <w:rPr>
          <w:rFonts w:ascii="Times New Roman" w:hAnsi="Times New Roman"/>
          <w:bCs/>
        </w:rPr>
        <w:t>noted</w:t>
      </w:r>
      <w:r w:rsidR="0088748B" w:rsidRPr="00FB290E">
        <w:rPr>
          <w:rFonts w:ascii="Times New Roman" w:hAnsi="Times New Roman"/>
          <w:bCs/>
        </w:rPr>
        <w:t xml:space="preserve"> that s</w:t>
      </w:r>
      <w:r w:rsidRPr="0088748B">
        <w:rPr>
          <w:rFonts w:ascii="Times New Roman" w:hAnsi="Times New Roman"/>
          <w:bCs/>
        </w:rPr>
        <w:t>ection 49 require</w:t>
      </w:r>
      <w:r w:rsidR="0088748B" w:rsidRPr="0088748B">
        <w:rPr>
          <w:rFonts w:ascii="Times New Roman" w:hAnsi="Times New Roman"/>
          <w:bCs/>
        </w:rPr>
        <w:t>d</w:t>
      </w:r>
      <w:r w:rsidRPr="0088748B">
        <w:rPr>
          <w:rFonts w:ascii="Times New Roman" w:hAnsi="Times New Roman"/>
          <w:bCs/>
        </w:rPr>
        <w:t xml:space="preserve"> that each regulation forming part of a set of regulations which has been disallowed </w:t>
      </w:r>
      <w:r w:rsidR="0088748B" w:rsidRPr="00FB290E">
        <w:rPr>
          <w:rFonts w:ascii="Times New Roman" w:hAnsi="Times New Roman"/>
          <w:bCs/>
        </w:rPr>
        <w:t>must</w:t>
      </w:r>
      <w:r w:rsidRPr="00FB290E">
        <w:rPr>
          <w:rFonts w:ascii="Times New Roman" w:hAnsi="Times New Roman"/>
          <w:bCs/>
        </w:rPr>
        <w:t xml:space="preserve"> be contrasted with the regulation </w:t>
      </w:r>
      <w:r w:rsidRPr="00FB290E">
        <w:rPr>
          <w:rFonts w:ascii="Times New Roman" w:hAnsi="Times New Roman"/>
          <w:bCs/>
          <w:i/>
          <w:iCs/>
        </w:rPr>
        <w:t>which replaces it.</w:t>
      </w:r>
      <w:r w:rsidRPr="0088748B">
        <w:rPr>
          <w:rFonts w:ascii="Times New Roman" w:hAnsi="Times New Roman"/>
          <w:bCs/>
        </w:rPr>
        <w:t xml:space="preserve"> </w:t>
      </w:r>
      <w:r w:rsidR="0088748B">
        <w:rPr>
          <w:rFonts w:ascii="Times New Roman" w:hAnsi="Times New Roman"/>
          <w:bCs/>
        </w:rPr>
        <w:t>There is no replacement</w:t>
      </w:r>
      <w:r w:rsidR="00087E12">
        <w:rPr>
          <w:rFonts w:ascii="Times New Roman" w:hAnsi="Times New Roman"/>
          <w:bCs/>
        </w:rPr>
        <w:t>, as such,</w:t>
      </w:r>
      <w:r w:rsidR="0088748B">
        <w:rPr>
          <w:rFonts w:ascii="Times New Roman" w:hAnsi="Times New Roman"/>
          <w:bCs/>
        </w:rPr>
        <w:t xml:space="preserve"> in operation here.</w:t>
      </w:r>
    </w:p>
    <w:p w14:paraId="0C22942B" w14:textId="259AEEF1" w:rsidR="00896B72" w:rsidRDefault="00896B72" w:rsidP="00896B72">
      <w:pPr>
        <w:pStyle w:val="LDBodytext"/>
      </w:pPr>
    </w:p>
    <w:p w14:paraId="3A3BE9BD" w14:textId="162A670A" w:rsidR="007F1B16" w:rsidRDefault="00896B72" w:rsidP="002E41D4">
      <w:pPr>
        <w:rPr>
          <w:iCs/>
        </w:rPr>
      </w:pPr>
      <w:proofErr w:type="spellStart"/>
      <w:r>
        <w:t>Dowsett</w:t>
      </w:r>
      <w:proofErr w:type="spellEnd"/>
      <w:r>
        <w:t xml:space="preserve"> J, </w:t>
      </w:r>
      <w:r w:rsidRPr="00896B72">
        <w:t xml:space="preserve">in </w:t>
      </w:r>
      <w:r w:rsidRPr="00FB290E">
        <w:rPr>
          <w:rFonts w:ascii="Times New Roman" w:hAnsi="Times New Roman"/>
          <w:i/>
          <w:iCs/>
        </w:rPr>
        <w:t>Perrett v Attorney General of the Commonwealth of Australia [2015] FCA 834</w:t>
      </w:r>
      <w:r w:rsidRPr="00D7325D">
        <w:rPr>
          <w:rFonts w:ascii="Times New Roman" w:hAnsi="Times New Roman"/>
        </w:rPr>
        <w:t xml:space="preserve">, </w:t>
      </w:r>
      <w:r w:rsidR="000E130B">
        <w:rPr>
          <w:rFonts w:ascii="Times New Roman" w:hAnsi="Times New Roman"/>
        </w:rPr>
        <w:t xml:space="preserve">held </w:t>
      </w:r>
      <w:r w:rsidRPr="00FB290E">
        <w:rPr>
          <w:rFonts w:ascii="Times New Roman" w:hAnsi="Times New Roman"/>
        </w:rPr>
        <w:t>that</w:t>
      </w:r>
      <w:r>
        <w:rPr>
          <w:rFonts w:ascii="Times New Roman" w:hAnsi="Times New Roman"/>
        </w:rPr>
        <w:t xml:space="preserve"> </w:t>
      </w:r>
      <w:r w:rsidRPr="00A33341">
        <w:rPr>
          <w:rFonts w:ascii="Times New Roman" w:hAnsi="Times New Roman"/>
          <w:color w:val="000000"/>
          <w:lang w:eastAsia="en-AU"/>
        </w:rPr>
        <w:t>s</w:t>
      </w:r>
      <w:r>
        <w:rPr>
          <w:rFonts w:ascii="Times New Roman" w:hAnsi="Times New Roman"/>
          <w:color w:val="000000"/>
          <w:lang w:eastAsia="en-AU"/>
        </w:rPr>
        <w:t>ection</w:t>
      </w:r>
      <w:r w:rsidRPr="00A33341">
        <w:rPr>
          <w:rFonts w:ascii="Times New Roman" w:hAnsi="Times New Roman"/>
          <w:color w:val="000000"/>
          <w:lang w:eastAsia="en-AU"/>
        </w:rPr>
        <w:t xml:space="preserve"> 48 should be construed as requiring that, in order that a legislative instrument be invalid, it </w:t>
      </w:r>
      <w:r w:rsidR="000E130B">
        <w:rPr>
          <w:rFonts w:ascii="Times New Roman" w:hAnsi="Times New Roman"/>
          <w:color w:val="000000"/>
          <w:lang w:eastAsia="en-AU"/>
        </w:rPr>
        <w:t xml:space="preserve">must </w:t>
      </w:r>
      <w:r w:rsidRPr="00A33341">
        <w:rPr>
          <w:rFonts w:ascii="Times New Roman" w:hAnsi="Times New Roman"/>
          <w:color w:val="000000"/>
          <w:lang w:eastAsia="en-AU"/>
        </w:rPr>
        <w:t xml:space="preserve">be, in substance or legal effect, </w:t>
      </w:r>
      <w:r w:rsidRPr="00FB290E">
        <w:rPr>
          <w:rFonts w:ascii="Times New Roman" w:hAnsi="Times New Roman"/>
          <w:i/>
          <w:iCs/>
          <w:color w:val="000000"/>
          <w:lang w:eastAsia="en-AU"/>
        </w:rPr>
        <w:t>identical to</w:t>
      </w:r>
      <w:r w:rsidRPr="00A33341">
        <w:rPr>
          <w:rFonts w:ascii="Times New Roman" w:hAnsi="Times New Roman"/>
          <w:color w:val="000000"/>
          <w:lang w:eastAsia="en-AU"/>
        </w:rPr>
        <w:t xml:space="preserve"> the previously disallowed measure.</w:t>
      </w:r>
      <w:r>
        <w:rPr>
          <w:rFonts w:ascii="Times New Roman" w:hAnsi="Times New Roman"/>
          <w:color w:val="000000"/>
          <w:lang w:eastAsia="en-AU"/>
        </w:rPr>
        <w:t xml:space="preserve"> </w:t>
      </w:r>
      <w:r w:rsidR="00087E12" w:rsidRPr="00271081">
        <w:rPr>
          <w:rFonts w:ascii="Times New Roman" w:hAnsi="Times New Roman"/>
          <w:color w:val="000000"/>
          <w:lang w:eastAsia="en-AU"/>
        </w:rPr>
        <w:t xml:space="preserve">The </w:t>
      </w:r>
      <w:r w:rsidR="00087E12">
        <w:rPr>
          <w:rFonts w:ascii="Times New Roman" w:hAnsi="Times New Roman"/>
          <w:color w:val="000000"/>
          <w:lang w:eastAsia="en-AU"/>
        </w:rPr>
        <w:t xml:space="preserve">second </w:t>
      </w:r>
      <w:r w:rsidR="00087E12" w:rsidRPr="00271081">
        <w:rPr>
          <w:rFonts w:ascii="Times New Roman" w:hAnsi="Times New Roman"/>
          <w:color w:val="000000"/>
          <w:lang w:eastAsia="en-AU"/>
        </w:rPr>
        <w:t xml:space="preserve">amendment instrument is clearly not identical to the </w:t>
      </w:r>
      <w:r w:rsidR="00087E12">
        <w:rPr>
          <w:rFonts w:ascii="Times New Roman" w:hAnsi="Times New Roman"/>
          <w:color w:val="000000"/>
          <w:lang w:eastAsia="en-AU"/>
        </w:rPr>
        <w:t>first amendment</w:t>
      </w:r>
      <w:r w:rsidR="00087E12" w:rsidRPr="00271081">
        <w:rPr>
          <w:rFonts w:ascii="Times New Roman" w:hAnsi="Times New Roman"/>
          <w:color w:val="000000"/>
          <w:lang w:eastAsia="en-AU"/>
        </w:rPr>
        <w:t xml:space="preserve"> instrument. However, for the purposes of the </w:t>
      </w:r>
      <w:r w:rsidR="00087E12">
        <w:rPr>
          <w:rFonts w:ascii="Times New Roman" w:hAnsi="Times New Roman"/>
          <w:color w:val="000000"/>
          <w:lang w:eastAsia="en-AU"/>
        </w:rPr>
        <w:t xml:space="preserve">second </w:t>
      </w:r>
      <w:r w:rsidR="00087E12" w:rsidRPr="00271081">
        <w:rPr>
          <w:rFonts w:ascii="Times New Roman" w:hAnsi="Times New Roman"/>
          <w:color w:val="000000"/>
          <w:lang w:eastAsia="en-AU"/>
        </w:rPr>
        <w:t>amendment instrument,</w:t>
      </w:r>
      <w:r w:rsidR="002E41D4">
        <w:rPr>
          <w:rFonts w:ascii="Times New Roman" w:hAnsi="Times New Roman"/>
          <w:color w:val="000000"/>
          <w:lang w:eastAsia="en-AU"/>
        </w:rPr>
        <w:t xml:space="preserve"> it is not necessary to rely on this decision in light of </w:t>
      </w:r>
      <w:r w:rsidR="006A619C">
        <w:rPr>
          <w:rFonts w:ascii="Times New Roman" w:hAnsi="Times New Roman"/>
          <w:color w:val="000000"/>
          <w:lang w:eastAsia="en-AU"/>
        </w:rPr>
        <w:t xml:space="preserve">CASA’s reliance on </w:t>
      </w:r>
      <w:r w:rsidR="002E41D4">
        <w:rPr>
          <w:rFonts w:ascii="Times New Roman" w:hAnsi="Times New Roman"/>
          <w:color w:val="000000"/>
          <w:lang w:eastAsia="en-AU"/>
        </w:rPr>
        <w:t xml:space="preserve">the opinions expressed </w:t>
      </w:r>
      <w:r w:rsidR="006A619C">
        <w:rPr>
          <w:rFonts w:ascii="Times New Roman" w:hAnsi="Times New Roman"/>
          <w:color w:val="000000"/>
          <w:lang w:eastAsia="en-AU"/>
        </w:rPr>
        <w:t xml:space="preserve">in </w:t>
      </w:r>
      <w:r w:rsidR="002E41D4" w:rsidRPr="00DF0ABE">
        <w:rPr>
          <w:rFonts w:ascii="Times New Roman" w:hAnsi="Times New Roman"/>
          <w:bCs/>
          <w:i/>
          <w:iCs/>
        </w:rPr>
        <w:t>Victorian Chamber of Manufactures v Commonwealth (Women</w:t>
      </w:r>
      <w:r w:rsidR="00D7325D">
        <w:rPr>
          <w:rFonts w:ascii="Times New Roman" w:hAnsi="Times New Roman"/>
          <w:bCs/>
          <w:i/>
          <w:iCs/>
        </w:rPr>
        <w:t>’</w:t>
      </w:r>
      <w:r w:rsidR="002E41D4" w:rsidRPr="00DF0ABE">
        <w:rPr>
          <w:rFonts w:ascii="Times New Roman" w:hAnsi="Times New Roman"/>
          <w:bCs/>
          <w:i/>
          <w:iCs/>
        </w:rPr>
        <w:t>s Employment Regulations)</w:t>
      </w:r>
      <w:r w:rsidR="00DB5F6E">
        <w:rPr>
          <w:rFonts w:ascii="Times New Roman" w:hAnsi="Times New Roman"/>
          <w:bCs/>
          <w:i/>
          <w:iCs/>
        </w:rPr>
        <w:t xml:space="preserve"> </w:t>
      </w:r>
      <w:r w:rsidR="00DB5F6E" w:rsidRPr="00DB5F6E">
        <w:rPr>
          <w:rFonts w:ascii="Times New Roman" w:hAnsi="Times New Roman"/>
          <w:bCs/>
        </w:rPr>
        <w:t>as summarised above</w:t>
      </w:r>
      <w:r w:rsidR="006A619C" w:rsidRPr="00DB5F6E">
        <w:rPr>
          <w:rFonts w:ascii="Times New Roman" w:hAnsi="Times New Roman"/>
          <w:bCs/>
        </w:rPr>
        <w:t>.</w:t>
      </w:r>
    </w:p>
    <w:p w14:paraId="5E2AEA03" w14:textId="77777777" w:rsidR="007F1B16" w:rsidRPr="00FB290E" w:rsidRDefault="007F1B16" w:rsidP="00BC139D">
      <w:pPr>
        <w:pStyle w:val="BodyText"/>
        <w:rPr>
          <w:iCs/>
        </w:rPr>
      </w:pPr>
    </w:p>
    <w:p w14:paraId="5736C871" w14:textId="446D44C4" w:rsidR="00D61249" w:rsidRPr="00370B9C" w:rsidRDefault="00F445DE" w:rsidP="00D51583">
      <w:pPr>
        <w:pStyle w:val="LDBodytext"/>
        <w:rPr>
          <w:b/>
        </w:rPr>
      </w:pPr>
      <w:r w:rsidRPr="00370B9C">
        <w:rPr>
          <w:b/>
          <w:i/>
        </w:rPr>
        <w:t>Legislation Act 2003</w:t>
      </w:r>
      <w:r w:rsidR="00F03ED0" w:rsidRPr="00370B9C">
        <w:rPr>
          <w:b/>
          <w:i/>
        </w:rPr>
        <w:t xml:space="preserve"> </w:t>
      </w:r>
      <w:r w:rsidR="00F03ED0" w:rsidRPr="00370B9C">
        <w:rPr>
          <w:b/>
        </w:rPr>
        <w:t>(the</w:t>
      </w:r>
      <w:r w:rsidR="00F03ED0" w:rsidRPr="00370B9C">
        <w:rPr>
          <w:b/>
          <w:i/>
        </w:rPr>
        <w:t xml:space="preserve"> LA</w:t>
      </w:r>
      <w:r w:rsidR="00F03ED0" w:rsidRPr="00370B9C">
        <w:rPr>
          <w:b/>
        </w:rPr>
        <w:t>)</w:t>
      </w:r>
    </w:p>
    <w:p w14:paraId="6BB4809F" w14:textId="40834EE5" w:rsidR="00F15472" w:rsidRPr="00370B9C" w:rsidRDefault="00F15472" w:rsidP="00BC139D">
      <w:pPr>
        <w:pStyle w:val="BodyText"/>
        <w:rPr>
          <w:rFonts w:ascii="Times New Roman" w:hAnsi="Times New Roman"/>
        </w:rPr>
      </w:pPr>
      <w:r w:rsidRPr="00370B9C">
        <w:rPr>
          <w:rFonts w:ascii="Times New Roman" w:hAnsi="Times New Roman"/>
        </w:rPr>
        <w:t>As noted above, exemptions under Subpart 11.F of CASR are “for subsection</w:t>
      </w:r>
      <w:r w:rsidR="00D7325D">
        <w:rPr>
          <w:rFonts w:ascii="Times New Roman" w:hAnsi="Times New Roman"/>
        </w:rPr>
        <w:t xml:space="preserve"> </w:t>
      </w:r>
      <w:r w:rsidRPr="00370B9C">
        <w:rPr>
          <w:rFonts w:ascii="Times New Roman" w:hAnsi="Times New Roman"/>
        </w:rPr>
        <w:t>98</w:t>
      </w:r>
      <w:r w:rsidR="0087565B" w:rsidRPr="00370B9C">
        <w:rPr>
          <w:rFonts w:ascii="Times New Roman" w:hAnsi="Times New Roman"/>
        </w:rPr>
        <w:t> </w:t>
      </w:r>
      <w:r w:rsidRPr="00370B9C">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1B1541" w:rsidRDefault="00F15472" w:rsidP="001B1541">
      <w:pPr>
        <w:pStyle w:val="LDBodytext"/>
      </w:pPr>
    </w:p>
    <w:p w14:paraId="41B860EE" w14:textId="77777777" w:rsidR="00F15472" w:rsidRPr="00370B9C" w:rsidRDefault="00F15472" w:rsidP="00BC139D">
      <w:pPr>
        <w:pStyle w:val="BodyText"/>
        <w:rPr>
          <w:rFonts w:ascii="Times New Roman" w:hAnsi="Times New Roman"/>
        </w:rPr>
      </w:pPr>
      <w:r w:rsidRPr="00370B9C">
        <w:rPr>
          <w:rFonts w:ascii="Times New Roman" w:hAnsi="Times New Roman"/>
        </w:rPr>
        <w:t>The exemption is clearly one in relation to matters affecting the safe navigation and operation of aircraft. Under subsection 98</w:t>
      </w:r>
      <w:r w:rsidR="003F6830" w:rsidRPr="00370B9C">
        <w:rPr>
          <w:rFonts w:ascii="Times New Roman" w:hAnsi="Times New Roman"/>
        </w:rPr>
        <w:t> </w:t>
      </w:r>
      <w:r w:rsidRPr="00370B9C">
        <w:rPr>
          <w:rFonts w:ascii="Times New Roman" w:hAnsi="Times New Roman"/>
        </w:rPr>
        <w:t>(5AA) of the Act, an exemption issued under paragraph 98</w:t>
      </w:r>
      <w:r w:rsidR="003F6830" w:rsidRPr="00370B9C">
        <w:rPr>
          <w:rFonts w:ascii="Times New Roman" w:hAnsi="Times New Roman"/>
        </w:rPr>
        <w:t> </w:t>
      </w:r>
      <w:r w:rsidRPr="00370B9C">
        <w:rPr>
          <w:rFonts w:ascii="Times New Roman" w:hAnsi="Times New Roman"/>
        </w:rPr>
        <w:t>(5A)</w:t>
      </w:r>
      <w:r w:rsidR="003F6830" w:rsidRPr="00370B9C">
        <w:rPr>
          <w:rFonts w:ascii="Times New Roman" w:hAnsi="Times New Roman"/>
        </w:rPr>
        <w:t> </w:t>
      </w:r>
      <w:r w:rsidRPr="00370B9C">
        <w:rPr>
          <w:rFonts w:ascii="Times New Roman" w:hAnsi="Times New Roman"/>
        </w:rPr>
        <w:t>(a), for such matters, is a legislative instrument if expressed to apply in relation to a class of persons, a class of aircraft or a class of aeronautical products (as distinct f</w:t>
      </w:r>
      <w:r w:rsidR="0016073F" w:rsidRPr="00370B9C">
        <w:rPr>
          <w:rFonts w:ascii="Times New Roman" w:hAnsi="Times New Roman"/>
        </w:rPr>
        <w:t>r</w:t>
      </w:r>
      <w:r w:rsidRPr="00370B9C">
        <w:rPr>
          <w:rFonts w:ascii="Times New Roman" w:hAnsi="Times New Roman"/>
        </w:rPr>
        <w:t>om a particula</w:t>
      </w:r>
      <w:r w:rsidR="00F5444A" w:rsidRPr="00370B9C">
        <w:rPr>
          <w:rFonts w:ascii="Times New Roman" w:hAnsi="Times New Roman"/>
        </w:rPr>
        <w:t>r person, aircraft or product).</w:t>
      </w:r>
    </w:p>
    <w:p w14:paraId="596B5AA2" w14:textId="77777777" w:rsidR="00F15472" w:rsidRPr="001B1541" w:rsidRDefault="00F15472" w:rsidP="001B1541">
      <w:pPr>
        <w:pStyle w:val="LDBodytext"/>
      </w:pPr>
    </w:p>
    <w:p w14:paraId="37352773" w14:textId="77777777" w:rsidR="001B1541" w:rsidRPr="00370B9C" w:rsidRDefault="001B1541" w:rsidP="001B1541">
      <w:pPr>
        <w:pStyle w:val="BodyText"/>
        <w:rPr>
          <w:rFonts w:ascii="Times New Roman" w:hAnsi="Times New Roman"/>
        </w:rPr>
      </w:pPr>
      <w:r w:rsidRPr="007F241D">
        <w:rPr>
          <w:rFonts w:ascii="Times New Roman" w:hAnsi="Times New Roman"/>
        </w:rPr>
        <w:t>The exemption applies to class</w:t>
      </w:r>
      <w:r>
        <w:rPr>
          <w:rFonts w:ascii="Times New Roman" w:hAnsi="Times New Roman"/>
        </w:rPr>
        <w:t>es</w:t>
      </w:r>
      <w:r w:rsidRPr="007F241D">
        <w:rPr>
          <w:rFonts w:ascii="Times New Roman" w:hAnsi="Times New Roman"/>
        </w:rPr>
        <w:t xml:space="preserve"> of persons</w:t>
      </w:r>
      <w:r>
        <w:rPr>
          <w:rFonts w:ascii="Times New Roman" w:hAnsi="Times New Roman"/>
        </w:rPr>
        <w:t xml:space="preserve">, namely the relevant licence holders and trainees, </w:t>
      </w:r>
      <w:r w:rsidRPr="007F241D">
        <w:rPr>
          <w:rFonts w:ascii="Times New Roman" w:hAnsi="Times New Roman"/>
        </w:rPr>
        <w:t xml:space="preserve">and is, therefore, a legislative instrument </w:t>
      </w:r>
      <w:r w:rsidRPr="007F241D">
        <w:rPr>
          <w:rFonts w:ascii="Times New Roman" w:hAnsi="Times New Roman"/>
          <w:iCs/>
        </w:rPr>
        <w:t>subject to registration, and tabling and disallowance in the Parliament, under sections 15G, and 38 and 42, of the LA</w:t>
      </w:r>
      <w:r w:rsidRPr="007F241D">
        <w:rPr>
          <w:rFonts w:ascii="Times New Roman" w:hAnsi="Times New Roman"/>
        </w:rPr>
        <w:t>.</w:t>
      </w:r>
    </w:p>
    <w:p w14:paraId="192ACA70" w14:textId="77777777" w:rsidR="0095042D" w:rsidRPr="001B1541" w:rsidRDefault="0095042D" w:rsidP="001B1541">
      <w:pPr>
        <w:pStyle w:val="LDBodytext"/>
      </w:pPr>
    </w:p>
    <w:p w14:paraId="19A4EEF3" w14:textId="77777777" w:rsidR="00487302" w:rsidRPr="00370B9C" w:rsidRDefault="00487302" w:rsidP="00BC139D">
      <w:pPr>
        <w:pStyle w:val="LDBodytext"/>
        <w:keepNext/>
        <w:rPr>
          <w:b/>
        </w:rPr>
      </w:pPr>
      <w:r w:rsidRPr="00370B9C">
        <w:rPr>
          <w:b/>
        </w:rPr>
        <w:t>Consultation</w:t>
      </w:r>
    </w:p>
    <w:p w14:paraId="404D7B3F" w14:textId="6E2519D7" w:rsidR="003646F4" w:rsidRPr="00370B9C" w:rsidRDefault="00487302" w:rsidP="00BC139D">
      <w:pPr>
        <w:pStyle w:val="BodyText"/>
        <w:rPr>
          <w:rFonts w:ascii="Times New Roman" w:hAnsi="Times New Roman"/>
        </w:rPr>
      </w:pPr>
      <w:r w:rsidRPr="00370B9C">
        <w:rPr>
          <w:rFonts w:ascii="Times New Roman" w:hAnsi="Times New Roman"/>
        </w:rPr>
        <w:t xml:space="preserve">Exemptions from regulatory requirements are considered to be beneficial for those to whom they apply, who voluntarily elect to take advantage of them, and who comply </w:t>
      </w:r>
      <w:r w:rsidRPr="00370B9C">
        <w:rPr>
          <w:rFonts w:ascii="Times New Roman" w:hAnsi="Times New Roman"/>
        </w:rPr>
        <w:lastRenderedPageBreak/>
        <w:t>with their conditions. It is, therefore, rarely necessary to engage in extensive public consultation on a proposed exemption. However, it is CASA’s policy to consult</w:t>
      </w:r>
      <w:r w:rsidR="00014B80" w:rsidRPr="00370B9C">
        <w:rPr>
          <w:rFonts w:ascii="Times New Roman" w:hAnsi="Times New Roman"/>
        </w:rPr>
        <w:t>, where possible,</w:t>
      </w:r>
      <w:r w:rsidRPr="00370B9C">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1B1541" w:rsidRDefault="003646F4" w:rsidP="001B1541">
      <w:pPr>
        <w:pStyle w:val="LDBodytext"/>
      </w:pPr>
    </w:p>
    <w:p w14:paraId="676FA5F5" w14:textId="608DABE7" w:rsidR="00487302" w:rsidRPr="00370B9C" w:rsidRDefault="003646F4" w:rsidP="00BC139D">
      <w:pPr>
        <w:pStyle w:val="BodyText"/>
        <w:rPr>
          <w:rFonts w:ascii="Times New Roman" w:hAnsi="Times New Roman"/>
        </w:rPr>
      </w:pPr>
      <w:r w:rsidRPr="00370B9C">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1B1541" w:rsidRDefault="003646F4" w:rsidP="001B1541">
      <w:pPr>
        <w:pStyle w:val="LDBodytext"/>
      </w:pPr>
    </w:p>
    <w:p w14:paraId="4B90BF95" w14:textId="284DB334" w:rsidR="001B1541" w:rsidRPr="00FB290E" w:rsidRDefault="003646F4" w:rsidP="001B1541">
      <w:pPr>
        <w:pStyle w:val="BodyText"/>
        <w:rPr>
          <w:rFonts w:ascii="Times New Roman" w:hAnsi="Times New Roman"/>
        </w:rPr>
      </w:pPr>
      <w:r w:rsidRPr="00FB290E">
        <w:rPr>
          <w:rFonts w:ascii="Times New Roman" w:hAnsi="Times New Roman"/>
        </w:rPr>
        <w:t xml:space="preserve">In this case, CASA considers that no consultation is </w:t>
      </w:r>
      <w:r w:rsidR="001B1541">
        <w:rPr>
          <w:rFonts w:ascii="Times New Roman" w:hAnsi="Times New Roman"/>
        </w:rPr>
        <w:t xml:space="preserve">formally </w:t>
      </w:r>
      <w:r w:rsidRPr="00FB290E">
        <w:rPr>
          <w:rFonts w:ascii="Times New Roman" w:hAnsi="Times New Roman"/>
        </w:rPr>
        <w:t xml:space="preserve">required because of the necessity to </w:t>
      </w:r>
      <w:r w:rsidR="00014B80" w:rsidRPr="00FB290E">
        <w:rPr>
          <w:rFonts w:ascii="Times New Roman" w:hAnsi="Times New Roman"/>
        </w:rPr>
        <w:t xml:space="preserve">make and register the exemption as a matter of urgency in the present circumstances of the COVID-19 </w:t>
      </w:r>
      <w:r w:rsidR="003C5318" w:rsidRPr="00FB290E">
        <w:rPr>
          <w:rFonts w:ascii="Times New Roman" w:hAnsi="Times New Roman"/>
        </w:rPr>
        <w:t>pan</w:t>
      </w:r>
      <w:r w:rsidR="00014B80" w:rsidRPr="00FB290E">
        <w:rPr>
          <w:rFonts w:ascii="Times New Roman" w:hAnsi="Times New Roman"/>
        </w:rPr>
        <w:t>demic so that those in the aviation industry who are affected know as soon as possible where they stand and that relief has been provided for certain time</w:t>
      </w:r>
      <w:r w:rsidR="00BA332B" w:rsidRPr="00FB290E">
        <w:rPr>
          <w:rFonts w:ascii="Times New Roman" w:hAnsi="Times New Roman"/>
        </w:rPr>
        <w:noBreakHyphen/>
      </w:r>
      <w:r w:rsidR="00014B80" w:rsidRPr="00FB290E">
        <w:rPr>
          <w:rFonts w:ascii="Times New Roman" w:hAnsi="Times New Roman"/>
        </w:rPr>
        <w:t>based obligations.</w:t>
      </w:r>
      <w:r w:rsidR="001B1541">
        <w:rPr>
          <w:rFonts w:ascii="Times New Roman" w:hAnsi="Times New Roman"/>
        </w:rPr>
        <w:t xml:space="preserve"> Nevertheless, CASA has engaged with Airservices Australia to confirm the suitability of the amendment instrument in the particular circumstances.</w:t>
      </w:r>
    </w:p>
    <w:p w14:paraId="413EA55C" w14:textId="77777777" w:rsidR="00487302" w:rsidRPr="001B1541" w:rsidRDefault="00487302" w:rsidP="001B1541">
      <w:pPr>
        <w:pStyle w:val="LDBodytext"/>
      </w:pPr>
    </w:p>
    <w:p w14:paraId="322B04EE" w14:textId="77777777" w:rsidR="00196951" w:rsidRPr="00370B9C" w:rsidRDefault="00196951" w:rsidP="00F5042E">
      <w:pPr>
        <w:pStyle w:val="LDBodytext"/>
        <w:keepNext/>
        <w:rPr>
          <w:b/>
        </w:rPr>
      </w:pPr>
      <w:r w:rsidRPr="00370B9C">
        <w:rPr>
          <w:b/>
        </w:rPr>
        <w:t>Office of Best Practice Regulation (</w:t>
      </w:r>
      <w:r w:rsidRPr="00370B9C">
        <w:rPr>
          <w:b/>
          <w:i/>
        </w:rPr>
        <w:t>OBPR</w:t>
      </w:r>
      <w:r w:rsidRPr="00370B9C">
        <w:rPr>
          <w:b/>
        </w:rPr>
        <w:t>)</w:t>
      </w:r>
    </w:p>
    <w:p w14:paraId="3768FD19" w14:textId="77777777" w:rsidR="00196951" w:rsidRPr="00370B9C" w:rsidRDefault="00196951" w:rsidP="00196951">
      <w:pPr>
        <w:pStyle w:val="LDBodytext"/>
      </w:pPr>
      <w:r w:rsidRPr="00370B9C">
        <w:t>A Regulation Impact Statement (</w:t>
      </w:r>
      <w:r w:rsidRPr="00370B9C">
        <w:rPr>
          <w:b/>
          <w:i/>
        </w:rPr>
        <w:t>RIS</w:t>
      </w:r>
      <w:r w:rsidRPr="00370B9C">
        <w:t>) is not required because the exemption instrument is covered by a standing agreement between CASA and OBPR under which a RIS is not required for an exemption (OBPR id: 14507).</w:t>
      </w:r>
    </w:p>
    <w:p w14:paraId="51C26B5E" w14:textId="77777777" w:rsidR="00196951" w:rsidRPr="001B1541" w:rsidRDefault="00196951" w:rsidP="001B1541">
      <w:pPr>
        <w:pStyle w:val="LDBodytext"/>
      </w:pPr>
    </w:p>
    <w:p w14:paraId="2179841A" w14:textId="77777777" w:rsidR="00672B98" w:rsidRPr="0095042D" w:rsidRDefault="00672B98" w:rsidP="00672B98">
      <w:pPr>
        <w:pStyle w:val="LDBodytext"/>
        <w:keepNext/>
        <w:rPr>
          <w:b/>
        </w:rPr>
      </w:pPr>
      <w:r w:rsidRPr="0095042D">
        <w:rPr>
          <w:b/>
        </w:rPr>
        <w:t>Statement of Compatibility with Human Rights</w:t>
      </w:r>
    </w:p>
    <w:p w14:paraId="4DCDA918" w14:textId="3D7D6F6C" w:rsidR="00672B98" w:rsidRDefault="00672B98" w:rsidP="00672B98">
      <w:pPr>
        <w:pStyle w:val="Default"/>
      </w:pPr>
      <w:r w:rsidRPr="0095042D">
        <w:rPr>
          <w:iCs/>
        </w:rPr>
        <w:t xml:space="preserve">The Statement in Appendix </w:t>
      </w:r>
      <w:r>
        <w:rPr>
          <w:iCs/>
        </w:rPr>
        <w:t>1</w:t>
      </w:r>
      <w:r w:rsidRPr="0095042D">
        <w:rPr>
          <w:iCs/>
        </w:rPr>
        <w:t xml:space="preserve"> is prepared in accordance with Part 3 of the </w:t>
      </w:r>
      <w:r w:rsidRPr="0095042D">
        <w:rPr>
          <w:i/>
          <w:iCs/>
        </w:rPr>
        <w:t>Human Rights (Parliamentary Scrutiny) Act 2011</w:t>
      </w:r>
      <w:r w:rsidRPr="0095042D">
        <w:rPr>
          <w:iCs/>
        </w:rPr>
        <w:t xml:space="preserve">. </w:t>
      </w:r>
      <w:r w:rsidRPr="00A623C3">
        <w:t>Th</w:t>
      </w:r>
      <w:r>
        <w:t>e exemption</w:t>
      </w:r>
      <w:r w:rsidRPr="00A623C3">
        <w:t xml:space="preserve"> instrument is compatible with human rights</w:t>
      </w:r>
      <w:r>
        <w:t xml:space="preserve"> and, to the extent that it engages certain rights, it does so in a way that, in the context of the COVID-19 pandemic, as far as practicable, promotes rather than limits those rights</w:t>
      </w:r>
      <w:r w:rsidRPr="00A623C3">
        <w:t>.</w:t>
      </w:r>
    </w:p>
    <w:p w14:paraId="2943D82E" w14:textId="77777777" w:rsidR="00F15472" w:rsidRPr="001B1541" w:rsidRDefault="00F15472" w:rsidP="001B1541">
      <w:pPr>
        <w:pStyle w:val="LDBodytext"/>
      </w:pPr>
    </w:p>
    <w:p w14:paraId="2AC91A4E" w14:textId="77777777" w:rsidR="00F15472" w:rsidRPr="00370B9C" w:rsidRDefault="00F15472" w:rsidP="00D51583">
      <w:pPr>
        <w:pStyle w:val="LDBodytext"/>
        <w:rPr>
          <w:b/>
        </w:rPr>
      </w:pPr>
      <w:r w:rsidRPr="00370B9C">
        <w:rPr>
          <w:b/>
        </w:rPr>
        <w:t>Commencement and making</w:t>
      </w:r>
    </w:p>
    <w:p w14:paraId="0002E1A8" w14:textId="6E2A1508" w:rsidR="00F15472" w:rsidRPr="00370B9C" w:rsidRDefault="00F15472" w:rsidP="001C6A4E">
      <w:pPr>
        <w:pStyle w:val="LDMinuteParagraph"/>
        <w:spacing w:after="0"/>
        <w:ind w:right="-142"/>
        <w:rPr>
          <w:rFonts w:ascii="Times New Roman" w:hAnsi="Times New Roman"/>
          <w:szCs w:val="24"/>
        </w:rPr>
      </w:pPr>
      <w:r w:rsidRPr="00370B9C">
        <w:rPr>
          <w:rFonts w:ascii="Times New Roman" w:hAnsi="Times New Roman"/>
          <w:szCs w:val="24"/>
        </w:rPr>
        <w:t>The exemption commences on</w:t>
      </w:r>
      <w:r w:rsidR="000E5E74" w:rsidRPr="00370B9C">
        <w:rPr>
          <w:rFonts w:ascii="Times New Roman" w:hAnsi="Times New Roman"/>
          <w:szCs w:val="24"/>
        </w:rPr>
        <w:t xml:space="preserve"> </w:t>
      </w:r>
      <w:r w:rsidR="00FA7465">
        <w:rPr>
          <w:rFonts w:ascii="Times New Roman" w:hAnsi="Times New Roman"/>
          <w:szCs w:val="24"/>
        </w:rPr>
        <w:t>the day it is registered</w:t>
      </w:r>
      <w:r w:rsidR="000E5E74" w:rsidRPr="00370B9C">
        <w:rPr>
          <w:rFonts w:ascii="Times New Roman" w:hAnsi="Times New Roman"/>
          <w:szCs w:val="24"/>
        </w:rPr>
        <w:t xml:space="preserve"> and</w:t>
      </w:r>
      <w:r w:rsidRPr="00370B9C">
        <w:rPr>
          <w:rFonts w:ascii="Times New Roman" w:hAnsi="Times New Roman"/>
          <w:szCs w:val="24"/>
        </w:rPr>
        <w:t xml:space="preserve"> </w:t>
      </w:r>
      <w:r w:rsidR="001C4F02" w:rsidRPr="00370B9C">
        <w:rPr>
          <w:rFonts w:ascii="Times New Roman" w:hAnsi="Times New Roman"/>
          <w:szCs w:val="24"/>
        </w:rPr>
        <w:t>is repealed</w:t>
      </w:r>
      <w:r w:rsidR="003118B6" w:rsidRPr="00370B9C">
        <w:rPr>
          <w:rFonts w:ascii="Times New Roman" w:hAnsi="Times New Roman"/>
          <w:szCs w:val="24"/>
        </w:rPr>
        <w:t xml:space="preserve"> </w:t>
      </w:r>
      <w:r w:rsidRPr="00370B9C">
        <w:rPr>
          <w:rFonts w:ascii="Times New Roman" w:hAnsi="Times New Roman"/>
          <w:szCs w:val="24"/>
        </w:rPr>
        <w:t xml:space="preserve">at the end of </w:t>
      </w:r>
      <w:r w:rsidR="001C4F02" w:rsidRPr="00370B9C">
        <w:rPr>
          <w:rFonts w:ascii="Times New Roman" w:hAnsi="Times New Roman"/>
          <w:szCs w:val="24"/>
        </w:rPr>
        <w:t>3</w:t>
      </w:r>
      <w:r w:rsidR="001C6A4E" w:rsidRPr="00370B9C">
        <w:rPr>
          <w:rFonts w:ascii="Times New Roman" w:hAnsi="Times New Roman"/>
          <w:szCs w:val="24"/>
        </w:rPr>
        <w:t>1</w:t>
      </w:r>
      <w:r w:rsidR="00FA7465">
        <w:rPr>
          <w:rFonts w:ascii="Times New Roman" w:hAnsi="Times New Roman"/>
          <w:szCs w:val="24"/>
        </w:rPr>
        <w:t> </w:t>
      </w:r>
      <w:r w:rsidR="00FA705F" w:rsidRPr="00370B9C">
        <w:rPr>
          <w:rFonts w:ascii="Times New Roman" w:hAnsi="Times New Roman"/>
          <w:szCs w:val="24"/>
        </w:rPr>
        <w:t>Ma</w:t>
      </w:r>
      <w:r w:rsidR="00BA332B" w:rsidRPr="00370B9C">
        <w:rPr>
          <w:rFonts w:ascii="Times New Roman" w:hAnsi="Times New Roman"/>
          <w:szCs w:val="24"/>
        </w:rPr>
        <w:t>r</w:t>
      </w:r>
      <w:r w:rsidR="00FA705F" w:rsidRPr="00370B9C">
        <w:rPr>
          <w:rFonts w:ascii="Times New Roman" w:hAnsi="Times New Roman"/>
          <w:szCs w:val="24"/>
        </w:rPr>
        <w:t>ch</w:t>
      </w:r>
      <w:r w:rsidR="001C6A4E" w:rsidRPr="00370B9C">
        <w:rPr>
          <w:rFonts w:ascii="Times New Roman" w:hAnsi="Times New Roman"/>
          <w:szCs w:val="24"/>
        </w:rPr>
        <w:t xml:space="preserve"> </w:t>
      </w:r>
      <w:r w:rsidR="00736945" w:rsidRPr="00370B9C">
        <w:rPr>
          <w:rFonts w:ascii="Times New Roman" w:hAnsi="Times New Roman"/>
          <w:szCs w:val="24"/>
        </w:rPr>
        <w:t>20</w:t>
      </w:r>
      <w:r w:rsidR="00295588" w:rsidRPr="00370B9C">
        <w:rPr>
          <w:rFonts w:ascii="Times New Roman" w:hAnsi="Times New Roman"/>
          <w:szCs w:val="24"/>
        </w:rPr>
        <w:t>2</w:t>
      </w:r>
      <w:r w:rsidR="00BA332B" w:rsidRPr="00370B9C">
        <w:rPr>
          <w:rFonts w:ascii="Times New Roman" w:hAnsi="Times New Roman"/>
          <w:szCs w:val="24"/>
        </w:rPr>
        <w:t>1</w:t>
      </w:r>
      <w:r w:rsidR="001C4F02" w:rsidRPr="00370B9C">
        <w:rPr>
          <w:rFonts w:ascii="Times New Roman" w:hAnsi="Times New Roman"/>
          <w:szCs w:val="24"/>
        </w:rPr>
        <w:t>.</w:t>
      </w:r>
    </w:p>
    <w:p w14:paraId="19C449A1" w14:textId="77777777" w:rsidR="0098521D" w:rsidRPr="001B1541" w:rsidRDefault="0098521D" w:rsidP="001B1541">
      <w:pPr>
        <w:pStyle w:val="LDBodytext"/>
      </w:pPr>
    </w:p>
    <w:p w14:paraId="158E57EA" w14:textId="11588F56" w:rsidR="00F15472" w:rsidRPr="00370B9C" w:rsidRDefault="00F15472" w:rsidP="0016073F">
      <w:pPr>
        <w:ind w:right="-1"/>
        <w:rPr>
          <w:rFonts w:ascii="Times New Roman" w:hAnsi="Times New Roman"/>
        </w:rPr>
      </w:pPr>
      <w:r w:rsidRPr="00370B9C">
        <w:rPr>
          <w:rFonts w:ascii="Times New Roman" w:hAnsi="Times New Roman"/>
        </w:rPr>
        <w:t>The exemption has been made by the Director of Aviation Safety, on behalf of CASA, in accordance with subsection 73 (2) of the Act.</w:t>
      </w:r>
    </w:p>
    <w:p w14:paraId="6078C3C0" w14:textId="3F8A8A77" w:rsidR="00A4211C" w:rsidRPr="00370B9C" w:rsidRDefault="00A4211C" w:rsidP="00A4211C">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B77F18" w:rsidRPr="00370B9C">
        <w:rPr>
          <w:rFonts w:cs="Arial"/>
        </w:rPr>
        <w:t>1</w:t>
      </w:r>
    </w:p>
    <w:p w14:paraId="0994F1BC" w14:textId="0B121361" w:rsidR="00A4211C" w:rsidRPr="00370B9C" w:rsidRDefault="00A4211C" w:rsidP="00A4211C">
      <w:pPr>
        <w:pStyle w:val="LDDescription"/>
      </w:pPr>
      <w:r w:rsidRPr="00370B9C">
        <w:t>CASA EX</w:t>
      </w:r>
      <w:r w:rsidR="001710EA">
        <w:t>70</w:t>
      </w:r>
      <w:r w:rsidRPr="00370B9C">
        <w:t xml:space="preserve">/20 — Licensing, and Operator Training and Checking (Extensions of Time Due to COVID-19) Exemptions Amendment Instrument 2020 (No. </w:t>
      </w:r>
      <w:r w:rsidR="001710EA">
        <w:t>2</w:t>
      </w:r>
      <w:r w:rsidRPr="00370B9C">
        <w:t>)</w:t>
      </w:r>
    </w:p>
    <w:p w14:paraId="320A6F3F" w14:textId="77777777" w:rsidR="00A4211C" w:rsidRPr="00370B9C" w:rsidRDefault="00A4211C" w:rsidP="00FA7465">
      <w:pPr>
        <w:pStyle w:val="LDClauseHeading"/>
        <w:tabs>
          <w:tab w:val="center" w:pos="4252"/>
        </w:tabs>
        <w:spacing w:after="0"/>
        <w:outlineLvl w:val="0"/>
      </w:pPr>
      <w:r w:rsidRPr="00370B9C">
        <w:t>1</w:t>
      </w:r>
      <w:r w:rsidRPr="00370B9C">
        <w:tab/>
        <w:t>Name</w:t>
      </w:r>
    </w:p>
    <w:p w14:paraId="6EBB3ACE" w14:textId="002BB89E" w:rsidR="00E41D2E" w:rsidRDefault="00A4211C" w:rsidP="00FA7465">
      <w:pPr>
        <w:pStyle w:val="LDClause"/>
        <w:spacing w:before="0" w:after="0"/>
      </w:pPr>
      <w:r w:rsidRPr="00370B9C">
        <w:tab/>
      </w:r>
      <w:r w:rsidRPr="00370B9C">
        <w:tab/>
      </w:r>
      <w:r w:rsidR="00E41D2E" w:rsidRPr="00370B9C">
        <w:t>This provision names the instrument.</w:t>
      </w:r>
    </w:p>
    <w:p w14:paraId="28563907" w14:textId="77777777" w:rsidR="00312F15" w:rsidRPr="00FA7465" w:rsidRDefault="00312F15" w:rsidP="00FA7465">
      <w:pPr>
        <w:pStyle w:val="BodyText"/>
        <w:rPr>
          <w:rFonts w:ascii="Times New Roman" w:hAnsi="Times New Roman"/>
        </w:rPr>
      </w:pPr>
    </w:p>
    <w:p w14:paraId="0F1FC8BB" w14:textId="77777777" w:rsidR="00A4211C" w:rsidRPr="00370B9C" w:rsidRDefault="00A4211C" w:rsidP="008557F6">
      <w:pPr>
        <w:pStyle w:val="LDClauseHeading"/>
        <w:tabs>
          <w:tab w:val="center" w:pos="4252"/>
        </w:tabs>
        <w:spacing w:before="0" w:after="0"/>
        <w:outlineLvl w:val="0"/>
      </w:pPr>
      <w:r w:rsidRPr="00370B9C">
        <w:t>2</w:t>
      </w:r>
      <w:r w:rsidRPr="00370B9C">
        <w:tab/>
        <w:t>Duration</w:t>
      </w:r>
    </w:p>
    <w:p w14:paraId="62A6B038" w14:textId="0ED67ACB" w:rsidR="00A4211C" w:rsidRDefault="00A4211C" w:rsidP="00FA7465">
      <w:pPr>
        <w:pStyle w:val="LDClause"/>
        <w:spacing w:before="0" w:after="0"/>
      </w:pPr>
      <w:r w:rsidRPr="00370B9C">
        <w:tab/>
      </w:r>
      <w:r w:rsidRPr="00370B9C">
        <w:tab/>
      </w:r>
      <w:r w:rsidR="00E41D2E" w:rsidRPr="00370B9C">
        <w:t>Under this provision, the</w:t>
      </w:r>
      <w:r w:rsidRPr="00370B9C">
        <w:t xml:space="preserve"> instrument</w:t>
      </w:r>
      <w:r w:rsidR="00E41D2E" w:rsidRPr="00370B9C">
        <w:t xml:space="preserve"> </w:t>
      </w:r>
      <w:r w:rsidRPr="00370B9C">
        <w:t>commences on the day of registration</w:t>
      </w:r>
      <w:r w:rsidR="00E41D2E" w:rsidRPr="00370B9C">
        <w:t>,</w:t>
      </w:r>
      <w:r w:rsidRPr="00370B9C">
        <w:t xml:space="preserve"> and</w:t>
      </w:r>
      <w:r w:rsidR="00E41D2E" w:rsidRPr="00370B9C">
        <w:t xml:space="preserve"> </w:t>
      </w:r>
      <w:r w:rsidRPr="00370B9C">
        <w:t>is repealed at the end of 31 March 2021</w:t>
      </w:r>
      <w:r w:rsidR="00E41D2E" w:rsidRPr="00370B9C">
        <w:t xml:space="preserve">, the same date as the original </w:t>
      </w:r>
      <w:r w:rsidR="00370B9C" w:rsidRPr="00370B9C">
        <w:t>12-month</w:t>
      </w:r>
      <w:r w:rsidR="00E41D2E" w:rsidRPr="00370B9C">
        <w:t xml:space="preserve"> instrument</w:t>
      </w:r>
      <w:r w:rsidRPr="00370B9C">
        <w:t>.</w:t>
      </w:r>
    </w:p>
    <w:p w14:paraId="553176EA" w14:textId="77777777" w:rsidR="00312F15" w:rsidRPr="00FA7465" w:rsidRDefault="00312F15" w:rsidP="00FA7465">
      <w:pPr>
        <w:pStyle w:val="BodyText"/>
        <w:rPr>
          <w:rFonts w:ascii="Times New Roman" w:hAnsi="Times New Roman"/>
        </w:rPr>
      </w:pPr>
    </w:p>
    <w:p w14:paraId="2FC34CAE" w14:textId="40986850" w:rsidR="00A4211C" w:rsidRPr="00370B9C" w:rsidRDefault="00A4211C" w:rsidP="00FA7465">
      <w:pPr>
        <w:pStyle w:val="LDClauseHeading"/>
        <w:tabs>
          <w:tab w:val="center" w:pos="4252"/>
        </w:tabs>
        <w:spacing w:before="0" w:after="0"/>
        <w:outlineLvl w:val="0"/>
      </w:pPr>
      <w:r w:rsidRPr="00370B9C">
        <w:t>3</w:t>
      </w:r>
      <w:r w:rsidRPr="00370B9C">
        <w:tab/>
        <w:t xml:space="preserve">Amendment of </w:t>
      </w:r>
      <w:r w:rsidRPr="00FA7465">
        <w:t>CASA EX57/20</w:t>
      </w:r>
    </w:p>
    <w:p w14:paraId="409C4F55" w14:textId="276C1457" w:rsidR="00E41D2E" w:rsidRDefault="00A4211C" w:rsidP="00FA7465">
      <w:pPr>
        <w:pStyle w:val="LDClause"/>
        <w:spacing w:before="0" w:after="0"/>
      </w:pPr>
      <w:r w:rsidRPr="00370B9C">
        <w:tab/>
      </w:r>
      <w:r w:rsidRPr="00370B9C">
        <w:tab/>
      </w:r>
      <w:r w:rsidR="00E41D2E" w:rsidRPr="00370B9C">
        <w:t xml:space="preserve">Under this provision, </w:t>
      </w:r>
      <w:r w:rsidRPr="00370B9C">
        <w:t xml:space="preserve">Schedule 1 amends </w:t>
      </w:r>
      <w:r w:rsidR="00E41D2E" w:rsidRPr="00370B9C">
        <w:t>the original instrument.</w:t>
      </w:r>
    </w:p>
    <w:p w14:paraId="785515C2" w14:textId="77777777" w:rsidR="00FA7465" w:rsidRPr="00FA7465" w:rsidRDefault="00FA7465" w:rsidP="00FA7465">
      <w:pPr>
        <w:pStyle w:val="BodyText"/>
        <w:rPr>
          <w:rFonts w:ascii="Times New Roman" w:hAnsi="Times New Roman"/>
        </w:rPr>
      </w:pPr>
    </w:p>
    <w:p w14:paraId="212FDC47" w14:textId="78922C4E" w:rsidR="00A4211C" w:rsidRDefault="00A4211C" w:rsidP="00FA7465">
      <w:pPr>
        <w:pStyle w:val="LDScheduleheading"/>
        <w:spacing w:before="0" w:after="0"/>
      </w:pPr>
      <w:bookmarkStart w:id="4" w:name="_Hlk36841671"/>
      <w:r w:rsidRPr="004C2576">
        <w:t>Schedule 1</w:t>
      </w:r>
      <w:r w:rsidRPr="004C2576">
        <w:tab/>
        <w:t>Amendments</w:t>
      </w:r>
    </w:p>
    <w:p w14:paraId="1ABAA8A5" w14:textId="77777777" w:rsidR="00FA7465" w:rsidRPr="00FA7465" w:rsidRDefault="00FA7465" w:rsidP="00FA7465">
      <w:pPr>
        <w:pStyle w:val="BodyText"/>
        <w:rPr>
          <w:rFonts w:ascii="Times New Roman" w:hAnsi="Times New Roman"/>
        </w:rPr>
      </w:pPr>
    </w:p>
    <w:p w14:paraId="45531CA5" w14:textId="77777777" w:rsidR="001710EA" w:rsidRPr="001C7C64" w:rsidRDefault="001710EA" w:rsidP="008557F6">
      <w:pPr>
        <w:pStyle w:val="LDScheduleClauseHead"/>
        <w:spacing w:before="0" w:after="0"/>
      </w:pPr>
      <w:r w:rsidRPr="001C7C64">
        <w:t>[</w:t>
      </w:r>
      <w:r>
        <w:t>1</w:t>
      </w:r>
      <w:r w:rsidRPr="001C7C64">
        <w:t>]</w:t>
      </w:r>
      <w:r w:rsidRPr="001C7C64">
        <w:tab/>
        <w:t xml:space="preserve">After </w:t>
      </w:r>
      <w:r>
        <w:t>paragraph</w:t>
      </w:r>
      <w:r w:rsidRPr="001C7C64">
        <w:t xml:space="preserve"> </w:t>
      </w:r>
      <w:r>
        <w:t>4</w:t>
      </w:r>
      <w:r w:rsidRPr="001C7C64">
        <w:t> (1)</w:t>
      </w:r>
      <w:r>
        <w:t> (bb)</w:t>
      </w:r>
    </w:p>
    <w:p w14:paraId="0B9DBC06" w14:textId="169FB4AE" w:rsidR="001710EA" w:rsidRDefault="0098521D" w:rsidP="0098521D">
      <w:pPr>
        <w:pStyle w:val="LDClause"/>
        <w:spacing w:before="0" w:after="0"/>
        <w:rPr>
          <w:iCs/>
        </w:rPr>
      </w:pPr>
      <w:r>
        <w:rPr>
          <w:iCs/>
        </w:rPr>
        <w:tab/>
      </w:r>
      <w:r>
        <w:rPr>
          <w:iCs/>
        </w:rPr>
        <w:tab/>
      </w:r>
      <w:r w:rsidR="001710EA" w:rsidRPr="00FB290E">
        <w:rPr>
          <w:iCs/>
        </w:rPr>
        <w:t xml:space="preserve">This amendment indicates that the exemption instrument also applies to a person who is </w:t>
      </w:r>
      <w:bookmarkStart w:id="5" w:name="_Hlk38270467"/>
      <w:r w:rsidR="001710EA" w:rsidRPr="00FB290E">
        <w:rPr>
          <w:iCs/>
        </w:rPr>
        <w:t xml:space="preserve">the holder of an </w:t>
      </w:r>
      <w:r w:rsidR="004F4928">
        <w:rPr>
          <w:iCs/>
        </w:rPr>
        <w:t>ATC</w:t>
      </w:r>
      <w:r w:rsidR="001710EA" w:rsidRPr="00FB290E">
        <w:rPr>
          <w:iCs/>
        </w:rPr>
        <w:t xml:space="preserve"> licence or a flight service licence that was in force immediately before 1 April 2020; </w:t>
      </w:r>
      <w:r w:rsidR="00CB6B2B">
        <w:rPr>
          <w:iCs/>
        </w:rPr>
        <w:t>or</w:t>
      </w:r>
      <w:r w:rsidR="001710EA" w:rsidRPr="00FB290E">
        <w:rPr>
          <w:iCs/>
        </w:rPr>
        <w:t xml:space="preserve"> </w:t>
      </w:r>
      <w:r w:rsidR="008C7876">
        <w:rPr>
          <w:iCs/>
        </w:rPr>
        <w:t xml:space="preserve">such </w:t>
      </w:r>
      <w:r w:rsidR="001710EA" w:rsidRPr="00FB290E">
        <w:rPr>
          <w:iCs/>
        </w:rPr>
        <w:t>a person who, for subregulation 65.035 (3) or 65.050 (3) of CASR,</w:t>
      </w:r>
      <w:r w:rsidR="001710EA">
        <w:rPr>
          <w:iCs/>
        </w:rPr>
        <w:t xml:space="preserve"> </w:t>
      </w:r>
      <w:r w:rsidR="001710EA" w:rsidRPr="00FB290E">
        <w:rPr>
          <w:iCs/>
        </w:rPr>
        <w:t xml:space="preserve">is under the supervision of </w:t>
      </w:r>
      <w:r w:rsidR="001710EA">
        <w:rPr>
          <w:iCs/>
        </w:rPr>
        <w:t>such</w:t>
      </w:r>
      <w:r w:rsidR="008C7876">
        <w:rPr>
          <w:iCs/>
        </w:rPr>
        <w:t xml:space="preserve"> other</w:t>
      </w:r>
      <w:r w:rsidR="001710EA">
        <w:rPr>
          <w:iCs/>
        </w:rPr>
        <w:t xml:space="preserve"> persons</w:t>
      </w:r>
      <w:r w:rsidR="001710EA" w:rsidRPr="00FB290E">
        <w:rPr>
          <w:iCs/>
        </w:rPr>
        <w:t xml:space="preserve"> and, in either case, </w:t>
      </w:r>
      <w:bookmarkEnd w:id="5"/>
      <w:r w:rsidR="001710EA" w:rsidRPr="00FB290E">
        <w:rPr>
          <w:iCs/>
        </w:rPr>
        <w:t>is not the subject of an active show cause notice</w:t>
      </w:r>
      <w:r w:rsidR="008557F6">
        <w:rPr>
          <w:iCs/>
        </w:rPr>
        <w:t>.</w:t>
      </w:r>
    </w:p>
    <w:p w14:paraId="112CA40E" w14:textId="77777777" w:rsidR="0098521D" w:rsidRPr="00FB290E" w:rsidRDefault="0098521D" w:rsidP="0098521D">
      <w:pPr>
        <w:pStyle w:val="LDClause"/>
        <w:spacing w:before="0" w:after="0"/>
        <w:ind w:left="-284" w:firstLine="1021"/>
        <w:rPr>
          <w:i/>
          <w:iCs/>
        </w:rPr>
      </w:pPr>
    </w:p>
    <w:p w14:paraId="3D42DB64" w14:textId="77777777" w:rsidR="001710EA" w:rsidRPr="001C7C64" w:rsidRDefault="001710EA" w:rsidP="008557F6">
      <w:pPr>
        <w:pStyle w:val="LDScheduleClauseHead"/>
        <w:spacing w:before="0" w:after="0"/>
      </w:pPr>
      <w:r w:rsidRPr="001C7C64">
        <w:t>[</w:t>
      </w:r>
      <w:r>
        <w:t>2</w:t>
      </w:r>
      <w:r w:rsidRPr="001C7C64">
        <w:t>]</w:t>
      </w:r>
      <w:r w:rsidRPr="001C7C64">
        <w:tab/>
      </w:r>
      <w:r>
        <w:t>P</w:t>
      </w:r>
      <w:r w:rsidRPr="001C7C64">
        <w:t xml:space="preserve">aragraph </w:t>
      </w:r>
      <w:r>
        <w:t>8</w:t>
      </w:r>
      <w:r w:rsidRPr="001C7C64">
        <w:t> (1) (b)</w:t>
      </w:r>
    </w:p>
    <w:p w14:paraId="56B51238" w14:textId="789E6A13" w:rsidR="00CB6B2B" w:rsidRDefault="0098521D" w:rsidP="0098521D">
      <w:pPr>
        <w:pStyle w:val="LDClause"/>
        <w:spacing w:before="0" w:after="0"/>
        <w:rPr>
          <w:iCs/>
        </w:rPr>
      </w:pPr>
      <w:r>
        <w:rPr>
          <w:iCs/>
        </w:rPr>
        <w:tab/>
      </w:r>
      <w:r>
        <w:rPr>
          <w:iCs/>
        </w:rPr>
        <w:tab/>
      </w:r>
      <w:r w:rsidR="00CB6B2B" w:rsidRPr="00FB290E">
        <w:rPr>
          <w:iCs/>
        </w:rPr>
        <w:t xml:space="preserve">This amendment clarifies the scope of the existing exemption regarding medical </w:t>
      </w:r>
      <w:r w:rsidR="00CB6B2B" w:rsidRPr="00CB6B2B">
        <w:rPr>
          <w:iCs/>
        </w:rPr>
        <w:t>certificates</w:t>
      </w:r>
      <w:r w:rsidR="00CB6B2B" w:rsidRPr="00FB290E">
        <w:rPr>
          <w:iCs/>
        </w:rPr>
        <w:t>.</w:t>
      </w:r>
    </w:p>
    <w:p w14:paraId="7058558F" w14:textId="77777777" w:rsidR="0098521D" w:rsidRPr="00FB290E" w:rsidRDefault="0098521D" w:rsidP="0098521D">
      <w:pPr>
        <w:pStyle w:val="LDClause"/>
        <w:spacing w:before="0" w:after="0"/>
        <w:ind w:left="-284" w:firstLine="1021"/>
        <w:rPr>
          <w:i/>
          <w:iCs/>
        </w:rPr>
      </w:pPr>
    </w:p>
    <w:p w14:paraId="31880C1B" w14:textId="77777777" w:rsidR="001710EA" w:rsidRPr="001C7C64" w:rsidRDefault="001710EA" w:rsidP="008557F6">
      <w:pPr>
        <w:pStyle w:val="LDScheduleClauseHead"/>
        <w:spacing w:before="0" w:after="0"/>
      </w:pPr>
      <w:r w:rsidRPr="001C7C64">
        <w:t>[</w:t>
      </w:r>
      <w:r>
        <w:t>3</w:t>
      </w:r>
      <w:r w:rsidRPr="001C7C64">
        <w:t>]</w:t>
      </w:r>
      <w:r w:rsidRPr="001C7C64">
        <w:tab/>
      </w:r>
      <w:r>
        <w:t>After section 17</w:t>
      </w:r>
    </w:p>
    <w:p w14:paraId="4B452360" w14:textId="4BF2FD11" w:rsidR="001710EA" w:rsidRDefault="0098521D" w:rsidP="004F4928">
      <w:pPr>
        <w:pStyle w:val="LDClause"/>
        <w:spacing w:before="0" w:after="0"/>
        <w:rPr>
          <w:i/>
          <w:iCs/>
        </w:rPr>
      </w:pPr>
      <w:r>
        <w:rPr>
          <w:iCs/>
        </w:rPr>
        <w:tab/>
      </w:r>
      <w:r>
        <w:rPr>
          <w:iCs/>
        </w:rPr>
        <w:tab/>
      </w:r>
      <w:r w:rsidR="00CB6B2B" w:rsidRPr="00FB290E">
        <w:rPr>
          <w:iCs/>
        </w:rPr>
        <w:t xml:space="preserve">This </w:t>
      </w:r>
      <w:r w:rsidR="00CB6B2B" w:rsidRPr="00CB6B2B">
        <w:rPr>
          <w:iCs/>
        </w:rPr>
        <w:t>amendment</w:t>
      </w:r>
      <w:r w:rsidR="00CB6B2B">
        <w:rPr>
          <w:iCs/>
        </w:rPr>
        <w:t xml:space="preserve"> inserts a new section 18 containing new exemptions.</w:t>
      </w:r>
    </w:p>
    <w:p w14:paraId="1A495824" w14:textId="77777777" w:rsidR="0098521D" w:rsidRPr="0098521D" w:rsidRDefault="0098521D" w:rsidP="0098521D">
      <w:pPr>
        <w:pStyle w:val="LDClause"/>
        <w:spacing w:before="0" w:after="0"/>
        <w:ind w:left="-284" w:firstLine="1021"/>
        <w:rPr>
          <w:i/>
          <w:iCs/>
        </w:rPr>
      </w:pPr>
    </w:p>
    <w:p w14:paraId="42678A62" w14:textId="01CB6498" w:rsidR="001710EA" w:rsidRDefault="0098521D" w:rsidP="0098521D">
      <w:pPr>
        <w:pStyle w:val="LDClause"/>
        <w:spacing w:before="0" w:after="0"/>
      </w:pPr>
      <w:r>
        <w:tab/>
      </w:r>
      <w:r>
        <w:tab/>
      </w:r>
      <w:r w:rsidR="00CB6B2B">
        <w:t>Under subsection (1)</w:t>
      </w:r>
      <w:r w:rsidR="004173E9">
        <w:t xml:space="preserve">, the section applies to </w:t>
      </w:r>
      <w:r w:rsidR="001710EA" w:rsidRPr="001C7C64">
        <w:t>each person</w:t>
      </w:r>
      <w:r w:rsidR="001710EA">
        <w:t xml:space="preserve"> (the </w:t>
      </w:r>
      <w:r w:rsidR="001710EA" w:rsidRPr="006E3836">
        <w:rPr>
          <w:b/>
          <w:bCs/>
          <w:i/>
          <w:iCs/>
        </w:rPr>
        <w:t>licence holder</w:t>
      </w:r>
      <w:r w:rsidR="001710EA">
        <w:t>)</w:t>
      </w:r>
      <w:r w:rsidR="001710EA" w:rsidRPr="001C7C64">
        <w:t xml:space="preserve"> who is the holder of</w:t>
      </w:r>
      <w:r w:rsidR="001710EA">
        <w:t xml:space="preserve"> one of the following licences that is endorsed for certain duties for a particular aerodrome or in relation to particular airspace (the </w:t>
      </w:r>
      <w:r w:rsidR="001710EA" w:rsidRPr="009D1F8D">
        <w:rPr>
          <w:b/>
          <w:bCs/>
          <w:i/>
          <w:iCs/>
        </w:rPr>
        <w:t xml:space="preserve">relevant </w:t>
      </w:r>
      <w:r w:rsidR="001710EA" w:rsidRPr="00771A6F">
        <w:rPr>
          <w:b/>
          <w:bCs/>
          <w:i/>
          <w:iCs/>
        </w:rPr>
        <w:t>endorsement</w:t>
      </w:r>
      <w:r w:rsidR="001710EA">
        <w:t>):</w:t>
      </w:r>
    </w:p>
    <w:p w14:paraId="1934A1ED" w14:textId="3D1FD714" w:rsidR="001710EA" w:rsidRDefault="001710EA" w:rsidP="001710EA">
      <w:pPr>
        <w:pStyle w:val="LDP1a"/>
      </w:pPr>
      <w:r>
        <w:t>(a)</w:t>
      </w:r>
      <w:r>
        <w:tab/>
      </w:r>
      <w:r w:rsidRPr="001C7C64">
        <w:t xml:space="preserve">an </w:t>
      </w:r>
      <w:r w:rsidR="004F4928">
        <w:t>ATC</w:t>
      </w:r>
      <w:r>
        <w:t xml:space="preserve"> licence, so endorsed under regulation 65.085 of CASR;</w:t>
      </w:r>
    </w:p>
    <w:p w14:paraId="1334D026" w14:textId="77777777" w:rsidR="001710EA" w:rsidRDefault="001710EA" w:rsidP="004F4928">
      <w:pPr>
        <w:pStyle w:val="LDP1a"/>
        <w:spacing w:after="0"/>
      </w:pPr>
      <w:r>
        <w:t>(b)</w:t>
      </w:r>
      <w:r>
        <w:tab/>
        <w:t>a flight service licence, so endorsed under regulation 65.140 of CASR.</w:t>
      </w:r>
    </w:p>
    <w:p w14:paraId="0AC72ED4" w14:textId="77777777" w:rsidR="0098521D" w:rsidRPr="0098521D" w:rsidRDefault="0098521D" w:rsidP="0098521D">
      <w:pPr>
        <w:pStyle w:val="LDClause"/>
        <w:spacing w:before="0" w:after="0"/>
        <w:ind w:left="-284" w:firstLine="1021"/>
        <w:rPr>
          <w:i/>
          <w:iCs/>
        </w:rPr>
      </w:pPr>
    </w:p>
    <w:p w14:paraId="6C220D7B" w14:textId="17549EF0" w:rsidR="001710EA" w:rsidRDefault="0098521D" w:rsidP="0098521D">
      <w:pPr>
        <w:pStyle w:val="LDClause"/>
        <w:spacing w:before="0" w:after="0"/>
      </w:pPr>
      <w:r>
        <w:tab/>
      </w:r>
      <w:r>
        <w:tab/>
      </w:r>
      <w:r w:rsidR="004173E9">
        <w:t>Under subsection (2) e</w:t>
      </w:r>
      <w:r w:rsidR="001710EA">
        <w:t>ach</w:t>
      </w:r>
      <w:r w:rsidR="001710EA" w:rsidRPr="001C7C64">
        <w:t xml:space="preserve"> </w:t>
      </w:r>
      <w:r w:rsidR="001710EA">
        <w:t>licence holder</w:t>
      </w:r>
      <w:r w:rsidR="001710EA" w:rsidRPr="001C7C64">
        <w:t xml:space="preserve"> to whom a provision of CASR mentioned </w:t>
      </w:r>
      <w:r w:rsidR="00E95855">
        <w:t xml:space="preserve">in </w:t>
      </w:r>
      <w:r w:rsidR="001710EA" w:rsidRPr="001C7C64">
        <w:t xml:space="preserve">subsection (3) applies is exempt from the provision </w:t>
      </w:r>
      <w:r w:rsidR="001710EA">
        <w:t xml:space="preserve">but </w:t>
      </w:r>
      <w:r w:rsidR="001710EA" w:rsidRPr="001C7C64">
        <w:t>only:</w:t>
      </w:r>
    </w:p>
    <w:p w14:paraId="716C130E" w14:textId="77777777" w:rsidR="001710EA" w:rsidRPr="001C7C64" w:rsidRDefault="001710EA" w:rsidP="001710EA">
      <w:pPr>
        <w:pStyle w:val="LDP1a"/>
      </w:pPr>
      <w:r>
        <w:t>(a)</w:t>
      </w:r>
      <w:r>
        <w:tab/>
        <w:t>to the extent mentioned in subsection (4); and</w:t>
      </w:r>
    </w:p>
    <w:p w14:paraId="5A23E52A" w14:textId="77777777" w:rsidR="001710EA" w:rsidRDefault="001710EA" w:rsidP="001710EA">
      <w:pPr>
        <w:pStyle w:val="LDP1a"/>
      </w:pPr>
      <w:r w:rsidRPr="001C7C64">
        <w:t>(</w:t>
      </w:r>
      <w:r>
        <w:t>b</w:t>
      </w:r>
      <w:r w:rsidRPr="001C7C64">
        <w:t>)</w:t>
      </w:r>
      <w:r w:rsidRPr="001C7C64">
        <w:tab/>
        <w:t>if the requirement in subsection (</w:t>
      </w:r>
      <w:r>
        <w:t>5</w:t>
      </w:r>
      <w:r w:rsidRPr="001C7C64">
        <w:t>) is met; and</w:t>
      </w:r>
    </w:p>
    <w:p w14:paraId="2E1B5772" w14:textId="77777777" w:rsidR="001710EA" w:rsidRPr="001C7C64" w:rsidRDefault="001710EA" w:rsidP="004F4928">
      <w:pPr>
        <w:pStyle w:val="LDP1a"/>
        <w:spacing w:after="0"/>
      </w:pPr>
      <w:r w:rsidRPr="001C7C64">
        <w:t>(</w:t>
      </w:r>
      <w:r>
        <w:t>c</w:t>
      </w:r>
      <w:r w:rsidRPr="001C7C64">
        <w:t>)</w:t>
      </w:r>
      <w:r w:rsidRPr="001C7C64">
        <w:tab/>
      </w:r>
      <w:r>
        <w:t xml:space="preserve">if the condition mentioned in </w:t>
      </w:r>
      <w:r w:rsidRPr="001C7C64">
        <w:t>subsection (</w:t>
      </w:r>
      <w:r>
        <w:t>6</w:t>
      </w:r>
      <w:r w:rsidRPr="001C7C64">
        <w:t>)</w:t>
      </w:r>
      <w:r>
        <w:t xml:space="preserve"> is complied with</w:t>
      </w:r>
      <w:r w:rsidRPr="001C7C64">
        <w:t>.</w:t>
      </w:r>
    </w:p>
    <w:p w14:paraId="165C3503" w14:textId="77777777" w:rsidR="0098521D" w:rsidRPr="0098521D" w:rsidRDefault="0098521D" w:rsidP="0098521D">
      <w:pPr>
        <w:pStyle w:val="LDClause"/>
        <w:spacing w:before="0" w:after="0"/>
        <w:ind w:left="-284" w:firstLine="1021"/>
        <w:rPr>
          <w:i/>
          <w:iCs/>
        </w:rPr>
      </w:pPr>
    </w:p>
    <w:p w14:paraId="69F68C6C" w14:textId="3D07528E" w:rsidR="001710EA" w:rsidRPr="001C7C64" w:rsidRDefault="0098521D" w:rsidP="0098521D">
      <w:pPr>
        <w:pStyle w:val="LDClause"/>
        <w:spacing w:before="0" w:after="0"/>
      </w:pPr>
      <w:r>
        <w:tab/>
      </w:r>
      <w:r>
        <w:tab/>
      </w:r>
      <w:r w:rsidR="00242604">
        <w:t>Under subsection (3</w:t>
      </w:r>
      <w:r w:rsidR="00FB290E">
        <w:t>), for</w:t>
      </w:r>
      <w:r w:rsidR="001710EA" w:rsidRPr="001C7C64">
        <w:t xml:space="preserve"> subsection (2), the provisions are the following:</w:t>
      </w:r>
    </w:p>
    <w:p w14:paraId="32760D89" w14:textId="35EBCA78" w:rsidR="001710EA" w:rsidRDefault="001710EA" w:rsidP="001710EA">
      <w:pPr>
        <w:pStyle w:val="LDP1a"/>
        <w:ind w:right="-285"/>
      </w:pPr>
      <w:r>
        <w:t>(a)</w:t>
      </w:r>
      <w:r>
        <w:tab/>
        <w:t>subregulation 65.045 (1)</w:t>
      </w:r>
      <w:r w:rsidR="0098521D">
        <w:t> </w:t>
      </w:r>
      <w:r>
        <w:t xml:space="preserve">— but only with respect to </w:t>
      </w:r>
      <w:r w:rsidR="008C7876">
        <w:t>sub</w:t>
      </w:r>
      <w:r>
        <w:t>paragraph 65.035 (1) (c)</w:t>
      </w:r>
      <w:r w:rsidR="008C7876">
        <w:t xml:space="preserve"> (i)</w:t>
      </w:r>
      <w:r>
        <w:t>;</w:t>
      </w:r>
    </w:p>
    <w:p w14:paraId="75F215BC" w14:textId="60765A35" w:rsidR="001710EA" w:rsidRPr="003C5E9D" w:rsidRDefault="001710EA" w:rsidP="008557F6">
      <w:pPr>
        <w:pStyle w:val="LDP1a"/>
        <w:spacing w:after="0"/>
        <w:ind w:right="-426"/>
        <w:rPr>
          <w:color w:val="000000" w:themeColor="text1"/>
        </w:rPr>
      </w:pPr>
      <w:r w:rsidRPr="003C5E9D">
        <w:rPr>
          <w:color w:val="000000" w:themeColor="text1"/>
        </w:rPr>
        <w:t>(b)</w:t>
      </w:r>
      <w:r w:rsidRPr="003C5E9D">
        <w:rPr>
          <w:color w:val="000000" w:themeColor="text1"/>
        </w:rPr>
        <w:tab/>
        <w:t>subregulation 65.060</w:t>
      </w:r>
      <w:r>
        <w:rPr>
          <w:color w:val="000000" w:themeColor="text1"/>
        </w:rPr>
        <w:t> </w:t>
      </w:r>
      <w:r w:rsidRPr="003C5E9D">
        <w:rPr>
          <w:color w:val="000000" w:themeColor="text1"/>
        </w:rPr>
        <w:t xml:space="preserve">(1) — but only with respect to </w:t>
      </w:r>
      <w:r w:rsidR="008C7876">
        <w:rPr>
          <w:color w:val="000000" w:themeColor="text1"/>
        </w:rPr>
        <w:t>sub</w:t>
      </w:r>
      <w:r w:rsidRPr="003C5E9D">
        <w:rPr>
          <w:color w:val="000000" w:themeColor="text1"/>
        </w:rPr>
        <w:t>paragraph 65.050</w:t>
      </w:r>
      <w:r>
        <w:rPr>
          <w:color w:val="000000" w:themeColor="text1"/>
        </w:rPr>
        <w:t> </w:t>
      </w:r>
      <w:r w:rsidRPr="003C5E9D">
        <w:rPr>
          <w:color w:val="000000" w:themeColor="text1"/>
        </w:rPr>
        <w:t>(1)</w:t>
      </w:r>
      <w:r>
        <w:rPr>
          <w:color w:val="000000" w:themeColor="text1"/>
        </w:rPr>
        <w:t> </w:t>
      </w:r>
      <w:r w:rsidRPr="003C5E9D">
        <w:rPr>
          <w:color w:val="000000" w:themeColor="text1"/>
        </w:rPr>
        <w:t>(c)</w:t>
      </w:r>
      <w:r w:rsidR="008C7876">
        <w:rPr>
          <w:color w:val="000000" w:themeColor="text1"/>
        </w:rPr>
        <w:t xml:space="preserve"> (i)</w:t>
      </w:r>
      <w:r>
        <w:rPr>
          <w:color w:val="000000" w:themeColor="text1"/>
        </w:rPr>
        <w:t>.</w:t>
      </w:r>
    </w:p>
    <w:p w14:paraId="6A6A7E31" w14:textId="77777777" w:rsidR="0098521D" w:rsidRPr="0098521D" w:rsidRDefault="0098521D" w:rsidP="0098521D">
      <w:pPr>
        <w:pStyle w:val="LDClause"/>
        <w:spacing w:before="0" w:after="0"/>
        <w:ind w:left="-284" w:firstLine="1021"/>
        <w:rPr>
          <w:i/>
          <w:iCs/>
        </w:rPr>
      </w:pPr>
    </w:p>
    <w:p w14:paraId="6338CCC0" w14:textId="05B89D09" w:rsidR="001710EA" w:rsidRDefault="0098521D" w:rsidP="0098521D">
      <w:pPr>
        <w:pStyle w:val="LDClause"/>
        <w:spacing w:before="0" w:after="0"/>
      </w:pPr>
      <w:r>
        <w:tab/>
      </w:r>
      <w:r>
        <w:tab/>
      </w:r>
      <w:r w:rsidR="00242604">
        <w:t>Under subsection (4), f</w:t>
      </w:r>
      <w:r w:rsidR="001710EA">
        <w:t>or paragraph (2) (a), the exemption applies only to the extent that, but for the exemption, the licence holder would commit an offence by failing, at a particular time, to satisfy:</w:t>
      </w:r>
    </w:p>
    <w:p w14:paraId="1513BA8B" w14:textId="77777777" w:rsidR="001710EA" w:rsidRDefault="001710EA" w:rsidP="001710EA">
      <w:pPr>
        <w:pStyle w:val="LDP1a"/>
      </w:pPr>
      <w:r>
        <w:t>(a)</w:t>
      </w:r>
      <w:r>
        <w:tab/>
        <w:t>the applicable recency requirement under subregulation 65.025 (1) or (2) for the relevant endorsement; or</w:t>
      </w:r>
    </w:p>
    <w:p w14:paraId="30E82357" w14:textId="77777777" w:rsidR="001710EA" w:rsidRPr="00175DA1" w:rsidRDefault="001710EA" w:rsidP="004F4928">
      <w:pPr>
        <w:pStyle w:val="LDP1a"/>
        <w:spacing w:after="0"/>
        <w:rPr>
          <w:b/>
          <w:bCs/>
          <w:color w:val="000000" w:themeColor="text1"/>
        </w:rPr>
      </w:pPr>
      <w:r>
        <w:t>(b)</w:t>
      </w:r>
      <w:r>
        <w:tab/>
        <w:t>the applicable currency requirement under paragraph 65.030 (1) (b) for the relevant endorsement.</w:t>
      </w:r>
    </w:p>
    <w:p w14:paraId="1278104B" w14:textId="77777777" w:rsidR="0098521D" w:rsidRPr="0098521D" w:rsidRDefault="0098521D" w:rsidP="0098521D">
      <w:pPr>
        <w:pStyle w:val="LDClause"/>
        <w:spacing w:before="0" w:after="0"/>
        <w:ind w:left="-284" w:firstLine="1021"/>
        <w:rPr>
          <w:i/>
          <w:iCs/>
        </w:rPr>
      </w:pPr>
    </w:p>
    <w:p w14:paraId="54A086F6" w14:textId="714CD90A" w:rsidR="001710EA" w:rsidRDefault="0098521D" w:rsidP="0098521D">
      <w:pPr>
        <w:pStyle w:val="LDClause"/>
        <w:spacing w:before="0" w:after="0"/>
      </w:pPr>
      <w:r>
        <w:tab/>
      </w:r>
      <w:r>
        <w:tab/>
      </w:r>
      <w:r w:rsidR="00242604">
        <w:t>Under subsection (5), f</w:t>
      </w:r>
      <w:r w:rsidR="001710EA">
        <w:t>or paragraph (2) (b), the exemption applies only if the licence holder:</w:t>
      </w:r>
    </w:p>
    <w:p w14:paraId="2D667AB6" w14:textId="77777777" w:rsidR="001710EA" w:rsidRDefault="001710EA" w:rsidP="001710EA">
      <w:pPr>
        <w:pStyle w:val="LDP1a"/>
      </w:pPr>
      <w:r w:rsidRPr="001C7C64">
        <w:t>(a)</w:t>
      </w:r>
      <w:r w:rsidRPr="001C7C64">
        <w:tab/>
        <w:t>i</w:t>
      </w:r>
      <w:r>
        <w:t>s employed by Airservices Australia</w:t>
      </w:r>
      <w:r w:rsidRPr="001C7C64">
        <w:t>; and</w:t>
      </w:r>
    </w:p>
    <w:p w14:paraId="4F7E6ECF" w14:textId="77777777" w:rsidR="001710EA" w:rsidRDefault="001710EA" w:rsidP="001710EA">
      <w:pPr>
        <w:pStyle w:val="LDP1a"/>
      </w:pPr>
      <w:r>
        <w:t>(b)</w:t>
      </w:r>
      <w:r>
        <w:tab/>
        <w:t>was authorised to perform the duties under the relevant endorsement on 1 March 2020.</w:t>
      </w:r>
    </w:p>
    <w:p w14:paraId="2315D5B4" w14:textId="77777777" w:rsidR="0098521D" w:rsidRPr="0098521D" w:rsidRDefault="0098521D" w:rsidP="0098521D">
      <w:pPr>
        <w:pStyle w:val="LDClause"/>
        <w:spacing w:before="0" w:after="0"/>
        <w:ind w:left="-284" w:firstLine="1021"/>
        <w:rPr>
          <w:i/>
          <w:iCs/>
        </w:rPr>
      </w:pPr>
    </w:p>
    <w:p w14:paraId="406DDB1C" w14:textId="2D9FF575" w:rsidR="001710EA" w:rsidRDefault="0098521D" w:rsidP="0098521D">
      <w:pPr>
        <w:pStyle w:val="LDClause"/>
        <w:spacing w:before="0" w:after="0"/>
      </w:pPr>
      <w:r>
        <w:tab/>
      </w:r>
      <w:r>
        <w:tab/>
      </w:r>
      <w:r w:rsidR="00242604">
        <w:t>Under subsection (6), f</w:t>
      </w:r>
      <w:r w:rsidR="001710EA">
        <w:t>or paragraph (2) (c), the licence holder must comply, to the extent applicable, with:</w:t>
      </w:r>
    </w:p>
    <w:p w14:paraId="517B87D4" w14:textId="77777777" w:rsidR="001710EA" w:rsidRDefault="001710EA" w:rsidP="001710EA">
      <w:pPr>
        <w:pStyle w:val="LDP1a"/>
      </w:pPr>
      <w:r>
        <w:t>(a)</w:t>
      </w:r>
      <w:r>
        <w:tab/>
        <w:t>subregulations 65.025 (1) and (2) — as if the reference to 21 days was a reference to 30 days; and</w:t>
      </w:r>
    </w:p>
    <w:p w14:paraId="0B16B4DF" w14:textId="77777777" w:rsidR="001710EA" w:rsidRPr="001C7C64" w:rsidRDefault="001710EA" w:rsidP="004F4928">
      <w:pPr>
        <w:pStyle w:val="LDP1a"/>
        <w:spacing w:after="0"/>
      </w:pPr>
      <w:r>
        <w:t>(b)</w:t>
      </w:r>
      <w:r>
        <w:tab/>
        <w:t>paragraph 65.030 (1) (b) — as if the reference to 6 months was a reference to 9 months.</w:t>
      </w:r>
    </w:p>
    <w:p w14:paraId="17B426AC" w14:textId="77777777" w:rsidR="0098521D" w:rsidRPr="0098521D" w:rsidRDefault="0098521D" w:rsidP="0098521D">
      <w:pPr>
        <w:pStyle w:val="LDClause"/>
        <w:spacing w:before="0" w:after="0"/>
        <w:ind w:left="-284" w:firstLine="1021"/>
        <w:rPr>
          <w:i/>
          <w:iCs/>
        </w:rPr>
      </w:pPr>
    </w:p>
    <w:p w14:paraId="01259539" w14:textId="2BD7A7C6" w:rsidR="001710EA" w:rsidRDefault="0098521D" w:rsidP="0098521D">
      <w:pPr>
        <w:pStyle w:val="LDClause"/>
        <w:spacing w:before="0" w:after="0"/>
      </w:pPr>
      <w:r>
        <w:tab/>
      </w:r>
      <w:r>
        <w:tab/>
      </w:r>
      <w:r w:rsidR="00242604">
        <w:t>Under subsection (7), but s</w:t>
      </w:r>
      <w:r w:rsidR="001710EA">
        <w:t>ubject to subsection (8):</w:t>
      </w:r>
    </w:p>
    <w:p w14:paraId="19DA66C1" w14:textId="77777777" w:rsidR="001710EA" w:rsidRDefault="001710EA" w:rsidP="001710EA">
      <w:pPr>
        <w:pStyle w:val="LDP1a"/>
      </w:pPr>
      <w:r>
        <w:t>(a)</w:t>
      </w:r>
      <w:r>
        <w:tab/>
        <w:t>a person to whom subregulation 65.035 (3) applies is exempt from subregulation 65.045 (2); and</w:t>
      </w:r>
    </w:p>
    <w:p w14:paraId="6AA4B2AF" w14:textId="6C9A47F3" w:rsidR="001710EA" w:rsidRDefault="001710EA" w:rsidP="001710EA">
      <w:pPr>
        <w:pStyle w:val="LDP1a"/>
      </w:pPr>
      <w:bookmarkStart w:id="6" w:name="_Hlk38268473"/>
      <w:r>
        <w:t>(b)</w:t>
      </w:r>
      <w:r>
        <w:tab/>
        <w:t>a person to whom subregulation 65.040 (1) applies is exempt from subregulation 65.040 (2); and</w:t>
      </w:r>
    </w:p>
    <w:p w14:paraId="75C7382D" w14:textId="52ADC44F" w:rsidR="00737753" w:rsidRDefault="00737753" w:rsidP="008557F6">
      <w:pPr>
        <w:pStyle w:val="LDP1a"/>
        <w:spacing w:after="0"/>
      </w:pPr>
      <w:r>
        <w:t>(c)</w:t>
      </w:r>
      <w:r w:rsidR="008557F6">
        <w:tab/>
      </w:r>
      <w:r>
        <w:t>a person to whom subregulation 65.055 (1) applies is exempt from subregulation 65.055 (2); and</w:t>
      </w:r>
    </w:p>
    <w:bookmarkEnd w:id="6"/>
    <w:p w14:paraId="4B67CE3C" w14:textId="76703A1F" w:rsidR="001710EA" w:rsidRPr="001C7C64" w:rsidRDefault="001710EA" w:rsidP="004F4928">
      <w:pPr>
        <w:pStyle w:val="LDP1a"/>
        <w:spacing w:after="0"/>
      </w:pPr>
      <w:r>
        <w:t>(</w:t>
      </w:r>
      <w:r w:rsidR="00737753">
        <w:t>d</w:t>
      </w:r>
      <w:r>
        <w:t>)</w:t>
      </w:r>
      <w:r>
        <w:tab/>
        <w:t>a person to whom subregulation 65.050 (3) applies is exempt from subregulation 65.060 (2).</w:t>
      </w:r>
    </w:p>
    <w:p w14:paraId="753C4483" w14:textId="77777777" w:rsidR="0098521D" w:rsidRPr="0098521D" w:rsidRDefault="0098521D" w:rsidP="0098521D">
      <w:pPr>
        <w:pStyle w:val="LDClause"/>
        <w:spacing w:before="0" w:after="0"/>
        <w:ind w:left="-284" w:firstLine="1021"/>
        <w:rPr>
          <w:i/>
          <w:iCs/>
        </w:rPr>
      </w:pPr>
      <w:bookmarkStart w:id="7" w:name="_Hlk38269457"/>
    </w:p>
    <w:p w14:paraId="29375AE1" w14:textId="026E2478" w:rsidR="00242604" w:rsidRDefault="0098521D" w:rsidP="0098521D">
      <w:pPr>
        <w:pStyle w:val="LDClause"/>
        <w:spacing w:before="0" w:after="0"/>
        <w:rPr>
          <w:sz w:val="20"/>
          <w:szCs w:val="20"/>
        </w:rPr>
      </w:pPr>
      <w:r>
        <w:tab/>
      </w:r>
      <w:r>
        <w:tab/>
      </w:r>
      <w:r w:rsidR="00242604">
        <w:t>Under subsection (8), exemption under subsection (7) applies:</w:t>
      </w:r>
    </w:p>
    <w:p w14:paraId="4BA62634" w14:textId="38807D3A" w:rsidR="00242604" w:rsidRDefault="00242604" w:rsidP="00242604">
      <w:pPr>
        <w:pStyle w:val="P1"/>
      </w:pPr>
      <w:r>
        <w:t>(a)</w:t>
      </w:r>
      <w:r>
        <w:tab/>
        <w:t>only to the extent that the person is acting under the supervision of an applicable licence holder mentioned in subsection (1), who is the subject of an applicable exemption under subsection</w:t>
      </w:r>
      <w:r w:rsidR="00DE2AFA">
        <w:t xml:space="preserve"> </w:t>
      </w:r>
      <w:r>
        <w:t>(2); and</w:t>
      </w:r>
    </w:p>
    <w:p w14:paraId="40148922" w14:textId="1B8ED156" w:rsidR="00242604" w:rsidRDefault="00242604" w:rsidP="004F4928">
      <w:pPr>
        <w:pStyle w:val="LDP1a"/>
        <w:spacing w:after="0"/>
      </w:pPr>
      <w:r>
        <w:t>(b)</w:t>
      </w:r>
      <w:r>
        <w:tab/>
        <w:t>subject to the condition that the person complies with the directions of the person as if regulation 65.040 or 65.055 (as the case requires) continued to apply despite the supervisor acting under an applicable exemption under subsection (2).</w:t>
      </w:r>
    </w:p>
    <w:bookmarkEnd w:id="4"/>
    <w:bookmarkEnd w:id="7"/>
    <w:p w14:paraId="02032DEE" w14:textId="62717FDF" w:rsidR="00F15472" w:rsidRPr="00370B9C" w:rsidRDefault="00F15472" w:rsidP="00D46070">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A4211C" w:rsidRPr="00370B9C">
        <w:rPr>
          <w:rFonts w:cs="Arial"/>
        </w:rPr>
        <w:t>2</w:t>
      </w:r>
    </w:p>
    <w:p w14:paraId="4F05B3DD" w14:textId="77777777" w:rsidR="00F15472" w:rsidRPr="00370B9C" w:rsidRDefault="00F15472" w:rsidP="00F15472">
      <w:pPr>
        <w:spacing w:before="360" w:after="120"/>
        <w:jc w:val="center"/>
        <w:rPr>
          <w:rFonts w:ascii="Arial" w:hAnsi="Arial" w:cs="Arial"/>
          <w:b/>
        </w:rPr>
      </w:pPr>
      <w:r w:rsidRPr="00370B9C">
        <w:rPr>
          <w:rFonts w:ascii="Arial" w:hAnsi="Arial" w:cs="Arial"/>
          <w:b/>
        </w:rPr>
        <w:t>Statement of Compatibility with Human Rights</w:t>
      </w:r>
    </w:p>
    <w:p w14:paraId="28D20C2A" w14:textId="3127D1EB" w:rsidR="00F15472" w:rsidRPr="00370B9C" w:rsidRDefault="00F15472" w:rsidP="00A66375">
      <w:pPr>
        <w:spacing w:before="120" w:after="120"/>
        <w:jc w:val="center"/>
        <w:rPr>
          <w:rFonts w:ascii="Times New Roman" w:hAnsi="Times New Roman"/>
          <w:i/>
        </w:rPr>
      </w:pPr>
      <w:r w:rsidRPr="00370B9C">
        <w:rPr>
          <w:rFonts w:ascii="Times New Roman" w:hAnsi="Times New Roman"/>
          <w:i/>
        </w:rPr>
        <w:t>Prepared in accordance with Part 3 of the</w:t>
      </w:r>
      <w:r w:rsidRPr="00370B9C">
        <w:rPr>
          <w:rFonts w:ascii="Times New Roman" w:hAnsi="Times New Roman"/>
          <w:i/>
        </w:rPr>
        <w:br/>
        <w:t>Human Rights (Parliamentary Scrutiny) Act 2011</w:t>
      </w:r>
    </w:p>
    <w:p w14:paraId="5FACF524" w14:textId="77777777" w:rsidR="00034F94" w:rsidRPr="00370B9C" w:rsidRDefault="00034F94" w:rsidP="00A4211C">
      <w:pPr>
        <w:pStyle w:val="LDBodytext"/>
      </w:pPr>
    </w:p>
    <w:p w14:paraId="159757D7" w14:textId="45521519" w:rsidR="00FA705F" w:rsidRPr="00370B9C" w:rsidRDefault="00FA705F" w:rsidP="00A66375">
      <w:pPr>
        <w:pStyle w:val="LDClause"/>
        <w:ind w:left="-284" w:firstLine="0"/>
        <w:jc w:val="center"/>
        <w:rPr>
          <w:rFonts w:ascii="Arial" w:hAnsi="Arial" w:cs="Arial"/>
          <w:b/>
          <w:bCs/>
          <w:iCs/>
        </w:rPr>
      </w:pPr>
      <w:r w:rsidRPr="00370B9C">
        <w:rPr>
          <w:rFonts w:ascii="Arial" w:hAnsi="Arial" w:cs="Arial"/>
          <w:b/>
          <w:bCs/>
          <w:iCs/>
        </w:rPr>
        <w:t>CASA EX</w:t>
      </w:r>
      <w:r w:rsidR="001710EA">
        <w:rPr>
          <w:rFonts w:ascii="Arial" w:hAnsi="Arial" w:cs="Arial"/>
          <w:b/>
          <w:bCs/>
          <w:iCs/>
        </w:rPr>
        <w:t>70</w:t>
      </w:r>
      <w:r w:rsidRPr="00370B9C">
        <w:rPr>
          <w:rFonts w:ascii="Arial" w:hAnsi="Arial" w:cs="Arial"/>
          <w:b/>
          <w:bCs/>
          <w:iCs/>
        </w:rPr>
        <w:t>/20 — Licensing, and Operator Training and Checking (Extensions of Time Due to COVID-19) Exemptions</w:t>
      </w:r>
      <w:r w:rsidR="00A4211C" w:rsidRPr="00370B9C">
        <w:rPr>
          <w:rFonts w:ascii="Arial" w:hAnsi="Arial" w:cs="Arial"/>
          <w:b/>
          <w:bCs/>
          <w:iCs/>
        </w:rPr>
        <w:t xml:space="preserve"> Amendment</w:t>
      </w:r>
      <w:r w:rsidRPr="00370B9C">
        <w:rPr>
          <w:rFonts w:ascii="Arial" w:hAnsi="Arial" w:cs="Arial"/>
          <w:b/>
          <w:bCs/>
          <w:iCs/>
        </w:rPr>
        <w:t xml:space="preserve"> Instrument</w:t>
      </w:r>
      <w:r w:rsidR="000C2832">
        <w:rPr>
          <w:rFonts w:ascii="Arial" w:hAnsi="Arial" w:cs="Arial"/>
          <w:b/>
          <w:bCs/>
          <w:iCs/>
        </w:rPr>
        <w:t> </w:t>
      </w:r>
      <w:r w:rsidRPr="00370B9C">
        <w:rPr>
          <w:rFonts w:ascii="Arial" w:hAnsi="Arial" w:cs="Arial"/>
          <w:b/>
          <w:bCs/>
          <w:iCs/>
        </w:rPr>
        <w:t>2020</w:t>
      </w:r>
      <w:r w:rsidR="00A4211C" w:rsidRPr="00370B9C">
        <w:rPr>
          <w:rFonts w:ascii="Arial" w:hAnsi="Arial" w:cs="Arial"/>
          <w:b/>
          <w:bCs/>
          <w:iCs/>
        </w:rPr>
        <w:t xml:space="preserve"> No. 1)</w:t>
      </w:r>
    </w:p>
    <w:p w14:paraId="51E3A8C1" w14:textId="77777777" w:rsidR="000C2832" w:rsidRPr="00370B9C" w:rsidRDefault="000C2832" w:rsidP="000C2832">
      <w:pPr>
        <w:pStyle w:val="LDClause"/>
        <w:ind w:hanging="737"/>
      </w:pPr>
    </w:p>
    <w:p w14:paraId="7547B6F0" w14:textId="77777777" w:rsidR="00F15472" w:rsidRPr="00370B9C" w:rsidRDefault="00F15472" w:rsidP="000C2832">
      <w:pPr>
        <w:spacing w:before="120" w:after="420"/>
        <w:jc w:val="center"/>
        <w:rPr>
          <w:rFonts w:ascii="Times New Roman" w:hAnsi="Times New Roman"/>
        </w:rPr>
      </w:pPr>
      <w:r w:rsidRPr="00370B9C">
        <w:rPr>
          <w:rFonts w:ascii="Times New Roman" w:hAnsi="Times New Roman"/>
        </w:rPr>
        <w:t xml:space="preserve">This legislative instrument is compatible with the human rights and freedoms recognised or declared in the international instruments listed in section 3 of the </w:t>
      </w:r>
      <w:r w:rsidRPr="00370B9C">
        <w:rPr>
          <w:rFonts w:ascii="Times New Roman" w:hAnsi="Times New Roman"/>
          <w:i/>
        </w:rPr>
        <w:t>Human Rights (Parliamentary Scrutiny) Act 2011</w:t>
      </w:r>
      <w:r w:rsidRPr="00370B9C">
        <w:rPr>
          <w:rFonts w:ascii="Times New Roman" w:hAnsi="Times New Roman"/>
        </w:rPr>
        <w:t>.</w:t>
      </w:r>
    </w:p>
    <w:p w14:paraId="5B420847" w14:textId="77777777" w:rsidR="00F15472" w:rsidRPr="00370B9C" w:rsidRDefault="00F15472" w:rsidP="00F15472">
      <w:pPr>
        <w:jc w:val="both"/>
        <w:rPr>
          <w:rFonts w:ascii="Times New Roman" w:hAnsi="Times New Roman"/>
          <w:b/>
        </w:rPr>
      </w:pPr>
      <w:r w:rsidRPr="00370B9C">
        <w:rPr>
          <w:rFonts w:ascii="Times New Roman" w:hAnsi="Times New Roman"/>
          <w:b/>
        </w:rPr>
        <w:t>Overview of the legislative instrument</w:t>
      </w:r>
    </w:p>
    <w:p w14:paraId="5528C1D0" w14:textId="0780AB4E" w:rsidR="008F18FB" w:rsidRDefault="008F18FB" w:rsidP="008F18FB">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Pr>
          <w:rFonts w:ascii="Times New Roman" w:hAnsi="Times New Roman"/>
          <w:b w:val="0"/>
          <w:bCs/>
          <w:i/>
        </w:rPr>
        <w:t>, as amended</w:t>
      </w:r>
      <w:r w:rsidRPr="00370B9C">
        <w:rPr>
          <w:rFonts w:ascii="Times New Roman" w:hAnsi="Times New Roman"/>
          <w:b w:val="0"/>
          <w:bCs/>
          <w:iCs/>
        </w:rPr>
        <w:t xml:space="preserve"> (F2020</w:t>
      </w:r>
      <w:r>
        <w:rPr>
          <w:rFonts w:ascii="Times New Roman" w:hAnsi="Times New Roman"/>
          <w:b w:val="0"/>
          <w:bCs/>
          <w:iCs/>
        </w:rPr>
        <w:t>C</w:t>
      </w:r>
      <w:r w:rsidRPr="00370B9C">
        <w:rPr>
          <w:rFonts w:ascii="Times New Roman" w:hAnsi="Times New Roman"/>
          <w:b w:val="0"/>
          <w:bCs/>
          <w:iCs/>
        </w:rPr>
        <w:t>00</w:t>
      </w:r>
      <w:r>
        <w:rPr>
          <w:rFonts w:ascii="Times New Roman" w:hAnsi="Times New Roman"/>
          <w:b w:val="0"/>
          <w:bCs/>
          <w:iCs/>
        </w:rPr>
        <w:t>256</w:t>
      </w:r>
      <w:r w:rsidRPr="00370B9C">
        <w:rPr>
          <w:rFonts w:ascii="Times New Roman" w:hAnsi="Times New Roman"/>
          <w:b w:val="0"/>
          <w:bCs/>
          <w:iCs/>
        </w:rPr>
        <w:t>)</w:t>
      </w:r>
      <w:r w:rsidRPr="00370B9C">
        <w:rPr>
          <w:rFonts w:ascii="Times New Roman" w:hAnsi="Times New Roman"/>
          <w:b w:val="0"/>
          <w:bCs/>
          <w:i/>
        </w:rPr>
        <w:t xml:space="preserve"> </w:t>
      </w:r>
      <w:r w:rsidRPr="00370B9C">
        <w:rPr>
          <w:rFonts w:ascii="Times New Roman" w:hAnsi="Times New Roman"/>
          <w:b w:val="0"/>
          <w:bCs/>
          <w:iCs/>
        </w:rPr>
        <w:t>(</w:t>
      </w:r>
      <w:r w:rsidRPr="00370B9C">
        <w:rPr>
          <w:rFonts w:ascii="Times New Roman" w:hAnsi="Times New Roman"/>
          <w:i/>
        </w:rPr>
        <w:t>CASA</w:t>
      </w:r>
      <w:r w:rsidR="00DE2AFA">
        <w:rPr>
          <w:rFonts w:ascii="Times New Roman" w:hAnsi="Times New Roman"/>
          <w:i/>
        </w:rPr>
        <w:t> </w:t>
      </w:r>
      <w:r w:rsidRPr="00370B9C">
        <w:rPr>
          <w:rFonts w:ascii="Times New Roman" w:hAnsi="Times New Roman"/>
          <w:i/>
        </w:rPr>
        <w:t>EX57/20</w:t>
      </w:r>
      <w:r w:rsidRPr="00370B9C">
        <w:rPr>
          <w:rFonts w:ascii="Times New Roman" w:hAnsi="Times New Roman"/>
          <w:b w:val="0"/>
          <w:bCs/>
          <w:iCs/>
        </w:rPr>
        <w:t xml:space="preserve"> </w:t>
      </w:r>
      <w:r w:rsidRPr="00DE2AFA">
        <w:rPr>
          <w:rFonts w:ascii="Times New Roman" w:hAnsi="Times New Roman"/>
          <w:b w:val="0"/>
          <w:bCs/>
          <w:iCs/>
        </w:rPr>
        <w:t>or the</w:t>
      </w:r>
      <w:r w:rsidRPr="00370B9C">
        <w:rPr>
          <w:rFonts w:ascii="Times New Roman" w:hAnsi="Times New Roman"/>
          <w:i/>
        </w:rPr>
        <w:t xml:space="preserve"> original instrument</w:t>
      </w:r>
      <w:r w:rsidRPr="00370B9C">
        <w:rPr>
          <w:rFonts w:ascii="Times New Roman" w:hAnsi="Times New Roman"/>
          <w:b w:val="0"/>
          <w:bCs/>
          <w:iCs/>
        </w:rPr>
        <w:t xml:space="preserve">) </w:t>
      </w:r>
      <w:r w:rsidRPr="00370B9C">
        <w:rPr>
          <w:rFonts w:ascii="Times New Roman" w:hAnsi="Times New Roman"/>
          <w:b w:val="0"/>
          <w:bCs/>
        </w:rPr>
        <w:t xml:space="preserve">contained a series of emergency exemptions from certain provisions of the </w:t>
      </w:r>
      <w:r w:rsidRPr="00370B9C">
        <w:rPr>
          <w:rFonts w:ascii="Times New Roman" w:hAnsi="Times New Roman"/>
          <w:b w:val="0"/>
          <w:bCs/>
          <w:i/>
        </w:rPr>
        <w:t>Civil Aviation Regulations 1988</w:t>
      </w:r>
      <w:r w:rsidRPr="00370B9C">
        <w:rPr>
          <w:rFonts w:ascii="Times New Roman" w:hAnsi="Times New Roman"/>
          <w:b w:val="0"/>
          <w:bCs/>
        </w:rPr>
        <w:t xml:space="preserve">, the </w:t>
      </w:r>
      <w:r w:rsidRPr="00370B9C">
        <w:rPr>
          <w:rFonts w:ascii="Times New Roman" w:hAnsi="Times New Roman"/>
          <w:b w:val="0"/>
          <w:bCs/>
          <w:i/>
        </w:rPr>
        <w:t>Civil Aviation Safety Regulations 1998</w:t>
      </w:r>
      <w:r w:rsidRPr="00370B9C">
        <w:rPr>
          <w:rFonts w:ascii="Times New Roman" w:hAnsi="Times New Roman"/>
          <w:b w:val="0"/>
          <w:bCs/>
        </w:rPr>
        <w:t xml:space="preserve"> and Civil Aviation Order 20.11 to extend a range of licence</w:t>
      </w:r>
      <w:r>
        <w:rPr>
          <w:rFonts w:ascii="Times New Roman" w:hAnsi="Times New Roman"/>
          <w:b w:val="0"/>
          <w:bCs/>
        </w:rPr>
        <w:t>-</w:t>
      </w:r>
      <w:r w:rsidRPr="00370B9C">
        <w:rPr>
          <w:rFonts w:ascii="Times New Roman" w:hAnsi="Times New Roman"/>
          <w:b w:val="0"/>
          <w:bCs/>
        </w:rPr>
        <w:t>related and other time limits</w:t>
      </w:r>
      <w:r>
        <w:rPr>
          <w:rFonts w:ascii="Times New Roman" w:hAnsi="Times New Roman"/>
          <w:b w:val="0"/>
          <w:bCs/>
        </w:rPr>
        <w:t xml:space="preserve"> in response to the COVID-19 pandemic</w:t>
      </w:r>
      <w:r w:rsidRPr="00370B9C">
        <w:rPr>
          <w:rFonts w:ascii="Times New Roman" w:hAnsi="Times New Roman"/>
          <w:b w:val="0"/>
          <w:bCs/>
        </w:rPr>
        <w:t>.</w:t>
      </w:r>
    </w:p>
    <w:p w14:paraId="17A0367C" w14:textId="77777777" w:rsidR="008F18FB" w:rsidRPr="00CE4CF1" w:rsidRDefault="008F18FB" w:rsidP="00CE4CF1">
      <w:pPr>
        <w:pStyle w:val="BodyText"/>
        <w:rPr>
          <w:rFonts w:ascii="Times New Roman" w:hAnsi="Times New Roman"/>
        </w:rPr>
      </w:pPr>
    </w:p>
    <w:p w14:paraId="2EDBC8FC" w14:textId="77777777" w:rsidR="00CE4CF1" w:rsidRPr="000E130B" w:rsidRDefault="00CE4CF1" w:rsidP="00CE4CF1">
      <w:pPr>
        <w:rPr>
          <w:rFonts w:ascii="Times New Roman" w:hAnsi="Times New Roman"/>
          <w:bCs/>
        </w:rPr>
      </w:pPr>
      <w:r w:rsidRPr="000E130B">
        <w:rPr>
          <w:rFonts w:ascii="Times New Roman" w:hAnsi="Times New Roman"/>
          <w:bCs/>
        </w:rPr>
        <w:t>The second amendment instrument is in response to the COVID-19 pandemic social distancing rules which require relevant licence holders to avoid, as far as possible, working in close proximity to others during assessment activities. In addition, the air traffic service provider responsible for these activities (Airservices Australia) has implemented a rostering scheme which aims to mitigate operational and personnel risks associated with COVID-19 and, therefore, the availability of relevant licence holders to conduct assessments and supervision is reduced, and the ability to meet recency requirements is diminished.</w:t>
      </w:r>
    </w:p>
    <w:p w14:paraId="6B452966" w14:textId="57521B86" w:rsidR="00CE4CF1" w:rsidRDefault="00CE4CF1" w:rsidP="008F18FB">
      <w:pPr>
        <w:pStyle w:val="BodyText"/>
        <w:rPr>
          <w:rFonts w:ascii="Times New Roman" w:hAnsi="Times New Roman"/>
        </w:rPr>
      </w:pPr>
    </w:p>
    <w:p w14:paraId="53DBBE36" w14:textId="1CEA333B" w:rsidR="008F18FB" w:rsidRDefault="008F18FB" w:rsidP="008F18FB">
      <w:pPr>
        <w:pStyle w:val="BodyText"/>
      </w:pPr>
      <w:r w:rsidRPr="00370B9C">
        <w:rPr>
          <w:rFonts w:ascii="Times New Roman" w:hAnsi="Times New Roman"/>
        </w:rPr>
        <w:t xml:space="preserve">In general terms, the exemptions </w:t>
      </w:r>
      <w:r>
        <w:rPr>
          <w:rFonts w:ascii="Times New Roman" w:hAnsi="Times New Roman"/>
        </w:rPr>
        <w:t xml:space="preserve">are designed to provide </w:t>
      </w:r>
      <w:r w:rsidRPr="0004546D">
        <w:t>the holder</w:t>
      </w:r>
      <w:r>
        <w:t>s</w:t>
      </w:r>
      <w:r w:rsidRPr="0004546D">
        <w:t xml:space="preserve"> of air traffic control licence</w:t>
      </w:r>
      <w:r>
        <w:t xml:space="preserve">s and </w:t>
      </w:r>
      <w:r w:rsidRPr="0004546D">
        <w:t>flight service licence</w:t>
      </w:r>
      <w:r>
        <w:t>s that are endorsed for particular duties and functions at particular aerodromes or in relation to particular airspace,</w:t>
      </w:r>
      <w:r w:rsidRPr="0004546D">
        <w:t xml:space="preserve"> </w:t>
      </w:r>
      <w:r>
        <w:t xml:space="preserve">and </w:t>
      </w:r>
      <w:r w:rsidRPr="0004546D">
        <w:t>that w</w:t>
      </w:r>
      <w:r>
        <w:t>ere</w:t>
      </w:r>
      <w:r w:rsidRPr="0004546D">
        <w:t xml:space="preserve"> in force immediately before 1 April 2020</w:t>
      </w:r>
      <w:r>
        <w:t>, with additional time in which to satisfy their recency and currency requirements without committing offences.</w:t>
      </w:r>
    </w:p>
    <w:p w14:paraId="301CED6B" w14:textId="77777777" w:rsidR="008F18FB" w:rsidRDefault="008F18FB" w:rsidP="008F18FB">
      <w:pPr>
        <w:pStyle w:val="BodyText"/>
      </w:pPr>
    </w:p>
    <w:p w14:paraId="60CCE681" w14:textId="77777777" w:rsidR="008F18FB" w:rsidRDefault="008F18FB" w:rsidP="008F18FB">
      <w:pPr>
        <w:pStyle w:val="BodyText"/>
      </w:pPr>
      <w:r>
        <w:t xml:space="preserve">Thus, under the exemption, these licence holders would satisfy their </w:t>
      </w:r>
      <w:r w:rsidRPr="00DF0ABE">
        <w:rPr>
          <w:b/>
          <w:bCs/>
        </w:rPr>
        <w:t>recency</w:t>
      </w:r>
      <w:r>
        <w:t xml:space="preserve"> requirement by performing relevant duties within the previous 30 days of last performance instead of the current 21 days. Under the exemptions, these licence holders would satisfy their </w:t>
      </w:r>
      <w:r w:rsidRPr="00DF0ABE">
        <w:rPr>
          <w:b/>
          <w:bCs/>
        </w:rPr>
        <w:t>currency</w:t>
      </w:r>
      <w:r>
        <w:t xml:space="preserve"> requirement by performing relevant functions within the previous 9 months rather than the previous 6 months.</w:t>
      </w:r>
    </w:p>
    <w:p w14:paraId="2FB3CB64" w14:textId="77777777" w:rsidR="008F18FB" w:rsidRDefault="008F18FB" w:rsidP="008F18FB">
      <w:pPr>
        <w:pStyle w:val="BodyText"/>
      </w:pPr>
    </w:p>
    <w:p w14:paraId="1F8E7DB8" w14:textId="3CA0C940" w:rsidR="008F18FB" w:rsidRDefault="008F18FB" w:rsidP="008F18FB">
      <w:pPr>
        <w:pStyle w:val="BodyText"/>
      </w:pPr>
      <w:r>
        <w:t xml:space="preserve">The exemptions also enable trainees to continue to be lawfully supervised by relevant licence holders who for recency and currency purposes take advantage of the </w:t>
      </w:r>
      <w:r w:rsidR="001710EA">
        <w:t>exemptions</w:t>
      </w:r>
      <w:r>
        <w:t>.</w:t>
      </w:r>
    </w:p>
    <w:p w14:paraId="33BAA303" w14:textId="77777777" w:rsidR="00A4211C" w:rsidRPr="00370B9C" w:rsidRDefault="00A4211C" w:rsidP="000E2632">
      <w:pPr>
        <w:pStyle w:val="BodyText"/>
        <w:rPr>
          <w:rFonts w:ascii="Times New Roman" w:hAnsi="Times New Roman"/>
        </w:rPr>
      </w:pPr>
    </w:p>
    <w:p w14:paraId="51C37138" w14:textId="77777777" w:rsidR="00672B98" w:rsidRPr="00172CBF" w:rsidRDefault="00672B98" w:rsidP="0070654E">
      <w:pPr>
        <w:keepNext/>
        <w:shd w:val="clear" w:color="auto" w:fill="FFFFFF"/>
        <w:rPr>
          <w:rFonts w:ascii="Times New Roman" w:hAnsi="Times New Roman"/>
          <w:b/>
          <w:bCs/>
          <w:lang w:eastAsia="en-AU"/>
        </w:rPr>
      </w:pPr>
      <w:bookmarkStart w:id="8" w:name="_Hlk39478321"/>
      <w:r w:rsidRPr="00172CBF">
        <w:rPr>
          <w:rFonts w:ascii="Times New Roman" w:hAnsi="Times New Roman"/>
          <w:b/>
          <w:bCs/>
          <w:lang w:eastAsia="en-AU"/>
        </w:rPr>
        <w:lastRenderedPageBreak/>
        <w:t>Human rights implications</w:t>
      </w:r>
    </w:p>
    <w:p w14:paraId="51DB409E" w14:textId="77777777" w:rsidR="00672B98" w:rsidRPr="00172CBF" w:rsidRDefault="00672B98" w:rsidP="0070654E">
      <w:pPr>
        <w:keepNext/>
        <w:shd w:val="clear" w:color="auto" w:fill="FFFFFF"/>
        <w:rPr>
          <w:rFonts w:ascii="Times New Roman" w:hAnsi="Times New Roman"/>
          <w:lang w:eastAsia="en-AU"/>
        </w:rPr>
      </w:pPr>
      <w:r w:rsidRPr="00172CBF">
        <w:rPr>
          <w:rFonts w:ascii="Times New Roman" w:hAnsi="Times New Roman"/>
          <w:lang w:eastAsia="en-AU"/>
        </w:rPr>
        <w:t xml:space="preserve">The </w:t>
      </w:r>
      <w:r>
        <w:rPr>
          <w:rFonts w:ascii="Times New Roman" w:hAnsi="Times New Roman"/>
          <w:lang w:eastAsia="en-AU"/>
        </w:rPr>
        <w:t>exemption instrument</w:t>
      </w:r>
      <w:r w:rsidRPr="00172CBF">
        <w:rPr>
          <w:rFonts w:ascii="Times New Roman" w:hAnsi="Times New Roman"/>
          <w:lang w:eastAsia="en-AU"/>
        </w:rPr>
        <w:t xml:space="preserve"> may engage the following human rights:</w:t>
      </w:r>
    </w:p>
    <w:p w14:paraId="634ACDFB" w14:textId="3E18FB53" w:rsidR="00672B98" w:rsidRPr="00172CBF" w:rsidRDefault="00672B98" w:rsidP="00672B98">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172CBF">
        <w:rPr>
          <w:rFonts w:ascii="Times New Roman" w:hAnsi="Times New Roman"/>
          <w:lang w:eastAsia="en-AU"/>
        </w:rPr>
        <w:t xml:space="preserve">the right to life under Article 6 of the International Covenant on Civil and Political Rights (the </w:t>
      </w:r>
      <w:r w:rsidRPr="00172CBF">
        <w:rPr>
          <w:rFonts w:ascii="Times New Roman" w:hAnsi="Times New Roman"/>
          <w:b/>
          <w:bCs/>
          <w:i/>
          <w:iCs/>
          <w:lang w:eastAsia="en-AU"/>
        </w:rPr>
        <w:t>ICCPR</w:t>
      </w:r>
      <w:r w:rsidRPr="00172CBF">
        <w:rPr>
          <w:rFonts w:ascii="Times New Roman" w:hAnsi="Times New Roman"/>
          <w:lang w:eastAsia="en-AU"/>
        </w:rPr>
        <w:t>)</w:t>
      </w:r>
    </w:p>
    <w:p w14:paraId="47CCF531" w14:textId="2941BB2F" w:rsidR="00672B98" w:rsidRPr="00213C9B" w:rsidRDefault="00672B98" w:rsidP="00672B98">
      <w:pPr>
        <w:pStyle w:val="ListParagraph"/>
        <w:numPr>
          <w:ilvl w:val="0"/>
          <w:numId w:val="13"/>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 xml:space="preserve">the right to safe and healthy working conditions under Article 7 </w:t>
      </w:r>
      <w:r w:rsidRPr="004D6BA1">
        <w:rPr>
          <w:rFonts w:ascii="Times New Roman" w:hAnsi="Times New Roman"/>
          <w:lang w:eastAsia="en-AU"/>
        </w:rPr>
        <w:t>of the</w:t>
      </w:r>
      <w:r>
        <w:rPr>
          <w:rFonts w:ascii="Times New Roman" w:hAnsi="Times New Roman"/>
          <w:lang w:eastAsia="en-AU"/>
        </w:rPr>
        <w:t xml:space="preserve"> </w:t>
      </w:r>
      <w:r w:rsidRPr="004D6BA1">
        <w:rPr>
          <w:rFonts w:ascii="Times New Roman" w:hAnsi="Times New Roman"/>
          <w:lang w:eastAsia="en-AU"/>
        </w:rPr>
        <w:t xml:space="preserve">International Covenant on Economic, Social and Cultural Rights (the </w:t>
      </w:r>
      <w:r w:rsidRPr="004D6BA1">
        <w:rPr>
          <w:rFonts w:ascii="Times New Roman" w:hAnsi="Times New Roman"/>
          <w:b/>
          <w:bCs/>
          <w:i/>
          <w:iCs/>
          <w:lang w:eastAsia="en-AU"/>
        </w:rPr>
        <w:t>ICESCR</w:t>
      </w:r>
      <w:r w:rsidRPr="004D6BA1">
        <w:rPr>
          <w:rFonts w:ascii="Times New Roman" w:hAnsi="Times New Roman"/>
          <w:lang w:eastAsia="en-AU"/>
        </w:rPr>
        <w:t>)</w:t>
      </w:r>
    </w:p>
    <w:p w14:paraId="1CE73EEE" w14:textId="77777777" w:rsidR="00672B98" w:rsidRPr="00213C9B" w:rsidRDefault="00672B98" w:rsidP="00672B98">
      <w:pPr>
        <w:pStyle w:val="ListParagraph"/>
        <w:numPr>
          <w:ilvl w:val="0"/>
          <w:numId w:val="13"/>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 xml:space="preserve">the right to work under Article 6 (1) </w:t>
      </w:r>
      <w:r w:rsidRPr="004D6BA1">
        <w:rPr>
          <w:rFonts w:ascii="Times New Roman" w:hAnsi="Times New Roman"/>
          <w:lang w:eastAsia="en-AU"/>
        </w:rPr>
        <w:t xml:space="preserve">of the </w:t>
      </w:r>
      <w:r w:rsidRPr="00213C9B">
        <w:rPr>
          <w:rFonts w:ascii="Times New Roman" w:hAnsi="Times New Roman"/>
          <w:lang w:eastAsia="en-AU"/>
        </w:rPr>
        <w:t>ICESCR</w:t>
      </w:r>
      <w:r w:rsidRPr="004D6BA1">
        <w:rPr>
          <w:rFonts w:ascii="Times New Roman" w:hAnsi="Times New Roman"/>
          <w:lang w:eastAsia="en-AU"/>
        </w:rPr>
        <w:t>.</w:t>
      </w:r>
    </w:p>
    <w:p w14:paraId="6E65FA0A" w14:textId="77777777" w:rsidR="00672B98" w:rsidRPr="003E685B" w:rsidRDefault="00672B98" w:rsidP="00672B98">
      <w:pPr>
        <w:jc w:val="both"/>
        <w:rPr>
          <w:rFonts w:ascii="Times New Roman" w:hAnsi="Times New Roman"/>
          <w:bCs/>
        </w:rPr>
      </w:pPr>
    </w:p>
    <w:p w14:paraId="593639B5" w14:textId="77777777" w:rsidR="00672B98" w:rsidRDefault="00672B98" w:rsidP="0070654E">
      <w:pPr>
        <w:rPr>
          <w:b/>
          <w:bCs/>
          <w:i/>
          <w:iCs/>
        </w:rPr>
      </w:pPr>
      <w:r>
        <w:rPr>
          <w:b/>
          <w:bCs/>
          <w:i/>
          <w:iCs/>
        </w:rPr>
        <w:t>Right to life under the ICCPR</w:t>
      </w:r>
    </w:p>
    <w:p w14:paraId="1050BA23" w14:textId="77777777" w:rsidR="00672B98" w:rsidRDefault="00672B98" w:rsidP="00672B98">
      <w:pPr>
        <w:rPr>
          <w:b/>
          <w:bCs/>
          <w:i/>
          <w:iCs/>
        </w:rPr>
      </w:pPr>
      <w:r>
        <w:rPr>
          <w:b/>
          <w:bCs/>
          <w:i/>
          <w:iCs/>
        </w:rPr>
        <w:t>Right to safe and healthy working conditions under the ICESCR</w:t>
      </w:r>
    </w:p>
    <w:p w14:paraId="04017AFA" w14:textId="77777777" w:rsidR="00672B98" w:rsidRPr="00213C9B" w:rsidRDefault="00672B98" w:rsidP="00672B98">
      <w:pPr>
        <w:pStyle w:val="LDBodytext"/>
        <w:rPr>
          <w:b/>
          <w:bCs/>
          <w:i/>
          <w:iCs/>
        </w:rPr>
      </w:pPr>
      <w:r w:rsidRPr="00213C9B">
        <w:rPr>
          <w:b/>
          <w:bCs/>
          <w:i/>
          <w:iCs/>
        </w:rPr>
        <w:t xml:space="preserve">Right to work under the </w:t>
      </w:r>
      <w:r w:rsidRPr="00213C9B">
        <w:rPr>
          <w:b/>
          <w:bCs/>
          <w:i/>
          <w:iCs/>
          <w:lang w:eastAsia="en-AU"/>
        </w:rPr>
        <w:t>ICESCR</w:t>
      </w:r>
    </w:p>
    <w:p w14:paraId="47D78D61" w14:textId="77777777" w:rsidR="00672B98" w:rsidRPr="00213C9B" w:rsidRDefault="00672B98" w:rsidP="00672B98">
      <w:pPr>
        <w:pStyle w:val="LDBodytext"/>
      </w:pPr>
    </w:p>
    <w:p w14:paraId="44338F9E" w14:textId="7D8B340B" w:rsidR="00672B98" w:rsidRDefault="00672B98" w:rsidP="00672B98">
      <w:pPr>
        <w:shd w:val="clear" w:color="auto" w:fill="FFFFFF"/>
        <w:rPr>
          <w:rFonts w:ascii="Times New Roman" w:hAnsi="Times New Roman"/>
          <w:color w:val="000000"/>
        </w:rPr>
      </w:pPr>
      <w:r w:rsidRPr="00213C9B">
        <w:rPr>
          <w:rFonts w:ascii="Times New Roman" w:hAnsi="Times New Roman"/>
        </w:rPr>
        <w:t xml:space="preserve">The COVID-19 pandemic has given rise to the need to observe </w:t>
      </w:r>
      <w:r>
        <w:rPr>
          <w:rFonts w:ascii="Times New Roman" w:hAnsi="Times New Roman"/>
        </w:rPr>
        <w:t xml:space="preserve">Australian Government </w:t>
      </w:r>
      <w:r w:rsidRPr="00213C9B">
        <w:rPr>
          <w:rFonts w:ascii="Times New Roman" w:hAnsi="Times New Roman"/>
        </w:rPr>
        <w:t xml:space="preserve">social distancing rules to prevent people contracting or spreading the virus. </w:t>
      </w:r>
      <w:r>
        <w:rPr>
          <w:rFonts w:ascii="Times New Roman" w:hAnsi="Times New Roman"/>
        </w:rPr>
        <w:t>These rules apply to all, including to protect the life, health and safety of personnel engaged in air traffic services</w:t>
      </w:r>
      <w:r w:rsidR="00264287">
        <w:rPr>
          <w:rFonts w:ascii="Times New Roman" w:hAnsi="Times New Roman"/>
        </w:rPr>
        <w:t xml:space="preserve"> and</w:t>
      </w:r>
      <w:r>
        <w:rPr>
          <w:rFonts w:ascii="Times New Roman" w:hAnsi="Times New Roman"/>
        </w:rPr>
        <w:t xml:space="preserve"> associated activities. </w:t>
      </w:r>
      <w:r w:rsidRPr="00213C9B">
        <w:rPr>
          <w:rFonts w:ascii="Times New Roman" w:hAnsi="Times New Roman"/>
        </w:rPr>
        <w:t>At the same time, aviation safety require</w:t>
      </w:r>
      <w:r>
        <w:rPr>
          <w:rFonts w:ascii="Times New Roman" w:hAnsi="Times New Roman"/>
        </w:rPr>
        <w:t>s</w:t>
      </w:r>
      <w:r w:rsidRPr="00213C9B">
        <w:rPr>
          <w:rFonts w:ascii="Times New Roman" w:hAnsi="Times New Roman"/>
        </w:rPr>
        <w:t xml:space="preserve"> </w:t>
      </w:r>
      <w:r w:rsidR="00264287">
        <w:rPr>
          <w:rFonts w:ascii="Times New Roman" w:hAnsi="Times New Roman"/>
        </w:rPr>
        <w:t>air traffic licence holders and flight service licence holders</w:t>
      </w:r>
      <w:r w:rsidRPr="00213C9B">
        <w:rPr>
          <w:rFonts w:ascii="Times New Roman" w:hAnsi="Times New Roman"/>
        </w:rPr>
        <w:t xml:space="preserve"> to adhere to </w:t>
      </w:r>
      <w:r w:rsidRPr="00213C9B">
        <w:rPr>
          <w:rFonts w:ascii="Times New Roman" w:hAnsi="Times New Roman"/>
          <w:color w:val="000000"/>
        </w:rPr>
        <w:t>certain regulatory requirements</w:t>
      </w:r>
      <w:r>
        <w:rPr>
          <w:rFonts w:ascii="Times New Roman" w:hAnsi="Times New Roman"/>
          <w:color w:val="000000"/>
        </w:rPr>
        <w:t xml:space="preserve"> </w:t>
      </w:r>
      <w:r w:rsidRPr="00213C9B">
        <w:rPr>
          <w:rFonts w:ascii="Times New Roman" w:hAnsi="Times New Roman"/>
          <w:color w:val="000000"/>
        </w:rPr>
        <w:t>concerning</w:t>
      </w:r>
      <w:r>
        <w:rPr>
          <w:rFonts w:ascii="Times New Roman" w:hAnsi="Times New Roman"/>
          <w:color w:val="000000"/>
        </w:rPr>
        <w:t xml:space="preserve">, </w:t>
      </w:r>
      <w:r w:rsidRPr="00213C9B">
        <w:rPr>
          <w:rFonts w:ascii="Times New Roman" w:hAnsi="Times New Roman"/>
          <w:color w:val="000000"/>
        </w:rPr>
        <w:t>for example,</w:t>
      </w:r>
      <w:r>
        <w:rPr>
          <w:rFonts w:ascii="Times New Roman" w:hAnsi="Times New Roman"/>
          <w:color w:val="000000"/>
        </w:rPr>
        <w:t xml:space="preserve"> </w:t>
      </w:r>
      <w:r w:rsidR="00264287">
        <w:rPr>
          <w:rFonts w:ascii="Times New Roman" w:hAnsi="Times New Roman"/>
          <w:color w:val="000000"/>
        </w:rPr>
        <w:t>recency, currency, training and assessment.</w:t>
      </w:r>
    </w:p>
    <w:p w14:paraId="417DE3E5" w14:textId="77777777" w:rsidR="00264287" w:rsidRDefault="00264287" w:rsidP="00672B98">
      <w:pPr>
        <w:shd w:val="clear" w:color="auto" w:fill="FFFFFF"/>
        <w:rPr>
          <w:rFonts w:ascii="Times New Roman" w:hAnsi="Times New Roman"/>
          <w:color w:val="000000"/>
        </w:rPr>
      </w:pPr>
    </w:p>
    <w:p w14:paraId="75047382" w14:textId="05A67A34" w:rsidR="004A601F" w:rsidRDefault="00672B98" w:rsidP="00672B98">
      <w:pPr>
        <w:shd w:val="clear" w:color="auto" w:fill="FFFFFF"/>
        <w:rPr>
          <w:rFonts w:ascii="Times New Roman" w:hAnsi="Times New Roman"/>
          <w:color w:val="000000"/>
        </w:rPr>
      </w:pPr>
      <w:r>
        <w:rPr>
          <w:rFonts w:ascii="Times New Roman" w:hAnsi="Times New Roman"/>
          <w:color w:val="000000"/>
        </w:rPr>
        <w:t xml:space="preserve">It follows that if essential aviation services are to be safely continued, a careful and calculated balance has had to be struck between these competing objectives. Because of their temporary, calibrated and conditional nature, the range of exemptions in the exemption instrument </w:t>
      </w:r>
      <w:r w:rsidR="0070654E">
        <w:rPr>
          <w:rFonts w:ascii="Times New Roman" w:hAnsi="Times New Roman"/>
          <w:color w:val="000000"/>
        </w:rPr>
        <w:t>is</w:t>
      </w:r>
      <w:r>
        <w:rPr>
          <w:rFonts w:ascii="Times New Roman" w:hAnsi="Times New Roman"/>
          <w:color w:val="000000"/>
        </w:rPr>
        <w:t xml:space="preserve"> considered to achieve an appropriate balance </w:t>
      </w:r>
      <w:r w:rsidR="004A601F">
        <w:rPr>
          <w:rFonts w:ascii="Times New Roman" w:hAnsi="Times New Roman"/>
          <w:color w:val="000000"/>
        </w:rPr>
        <w:t>by providing some limited extensions of time for compliance with recency, currency and training and assessment requirements.</w:t>
      </w:r>
    </w:p>
    <w:p w14:paraId="3589D4BA" w14:textId="77777777" w:rsidR="004A601F" w:rsidRPr="0070654E" w:rsidRDefault="004A601F" w:rsidP="0070654E">
      <w:pPr>
        <w:pStyle w:val="LDBodytext"/>
      </w:pPr>
    </w:p>
    <w:p w14:paraId="61DD6E08" w14:textId="56744F7E" w:rsidR="00672B98" w:rsidRDefault="00672B98" w:rsidP="00672B98">
      <w:pPr>
        <w:pStyle w:val="LDBodytext"/>
        <w:rPr>
          <w:color w:val="000000"/>
        </w:rPr>
      </w:pPr>
      <w:r>
        <w:t xml:space="preserve">A consequential effect of the careful balance described above is to protect the right to work of various categories of aviation personnel who might otherwise have lost that right, for example, by losing </w:t>
      </w:r>
      <w:r w:rsidR="004A601F">
        <w:rPr>
          <w:color w:val="000000"/>
        </w:rPr>
        <w:t xml:space="preserve">recency, currency or training and assessment </w:t>
      </w:r>
      <w:r w:rsidR="006367F8">
        <w:rPr>
          <w:color w:val="000000"/>
        </w:rPr>
        <w:t>opportunities</w:t>
      </w:r>
      <w:r>
        <w:rPr>
          <w:color w:val="000000"/>
        </w:rPr>
        <w:t>.</w:t>
      </w:r>
    </w:p>
    <w:p w14:paraId="06D30EE3" w14:textId="77777777" w:rsidR="00672B98" w:rsidRDefault="00672B98" w:rsidP="00672B98">
      <w:pPr>
        <w:pStyle w:val="LDBodytext"/>
        <w:rPr>
          <w:color w:val="000000"/>
        </w:rPr>
      </w:pPr>
    </w:p>
    <w:p w14:paraId="69EED61B" w14:textId="77777777" w:rsidR="00672B98" w:rsidRPr="00A623C3" w:rsidRDefault="00672B98" w:rsidP="00672B98">
      <w:pPr>
        <w:jc w:val="both"/>
        <w:rPr>
          <w:rFonts w:ascii="Times New Roman" w:hAnsi="Times New Roman"/>
          <w:b/>
        </w:rPr>
      </w:pPr>
      <w:r w:rsidRPr="00A623C3">
        <w:rPr>
          <w:rFonts w:ascii="Times New Roman" w:hAnsi="Times New Roman"/>
          <w:b/>
        </w:rPr>
        <w:t>Human rights implications</w:t>
      </w:r>
    </w:p>
    <w:p w14:paraId="0A98BA21" w14:textId="77777777" w:rsidR="00672B98" w:rsidRDefault="00672B98" w:rsidP="00672B98">
      <w:pPr>
        <w:pStyle w:val="BodyText"/>
        <w:rPr>
          <w:rFonts w:eastAsia="Calibri"/>
        </w:rPr>
      </w:pPr>
      <w:r w:rsidRPr="00A623C3">
        <w:rPr>
          <w:rFonts w:ascii="Times New Roman" w:hAnsi="Times New Roman"/>
        </w:rPr>
        <w:t>The exemption</w:t>
      </w:r>
      <w:r>
        <w:rPr>
          <w:rFonts w:ascii="Times New Roman" w:hAnsi="Times New Roman"/>
        </w:rPr>
        <w:t>s</w:t>
      </w:r>
      <w:r w:rsidRPr="00A623C3">
        <w:rPr>
          <w:rFonts w:ascii="Times New Roman" w:hAnsi="Times New Roman"/>
        </w:rPr>
        <w:t xml:space="preserve"> in the legislative instrument </w:t>
      </w:r>
      <w:r>
        <w:rPr>
          <w:rFonts w:ascii="Times New Roman" w:hAnsi="Times New Roman"/>
        </w:rPr>
        <w:t>are</w:t>
      </w:r>
      <w:r w:rsidRPr="00A623C3">
        <w:rPr>
          <w:rFonts w:ascii="Times New Roman" w:hAnsi="Times New Roman"/>
        </w:rPr>
        <w:t xml:space="preserve"> compatible with the human rights and freedoms recognised or declared in the international instruments listed in section 3 of the </w:t>
      </w:r>
      <w:r w:rsidRPr="00A623C3">
        <w:rPr>
          <w:rFonts w:ascii="Times New Roman" w:hAnsi="Times New Roman"/>
          <w:i/>
          <w:iCs/>
        </w:rPr>
        <w:t>Human Rights (Parliamentary Scrutiny) Act 2011</w:t>
      </w:r>
      <w:r w:rsidRPr="00A623C3">
        <w:rPr>
          <w:rFonts w:ascii="Times New Roman" w:hAnsi="Times New Roman"/>
        </w:rPr>
        <w:t xml:space="preserve">. </w:t>
      </w:r>
      <w:r>
        <w:rPr>
          <w:rFonts w:ascii="Times New Roman" w:hAnsi="Times New Roman"/>
        </w:rPr>
        <w:t xml:space="preserve">To the extent that the instrument engages certain of these rights, it does so in a way that is </w:t>
      </w:r>
      <w:r w:rsidRPr="00D43C3A">
        <w:rPr>
          <w:rFonts w:eastAsia="Calibri"/>
        </w:rPr>
        <w:t xml:space="preserve">reasonable, necessary and proportionate to ensure the safety of </w:t>
      </w:r>
      <w:r>
        <w:rPr>
          <w:rFonts w:eastAsia="Calibri"/>
        </w:rPr>
        <w:t>relevant aviation personnel during the COVID-19 pandemic, but also in a calculated and balanced way that does not undermine aviation safety.</w:t>
      </w:r>
    </w:p>
    <w:p w14:paraId="2029422E" w14:textId="77777777" w:rsidR="00672B98" w:rsidRPr="00A623C3" w:rsidRDefault="00672B98" w:rsidP="00672B98">
      <w:pPr>
        <w:pStyle w:val="BodyText"/>
        <w:rPr>
          <w:rFonts w:ascii="Times New Roman" w:hAnsi="Times New Roman"/>
        </w:rPr>
      </w:pPr>
    </w:p>
    <w:p w14:paraId="69DCAF68" w14:textId="77777777" w:rsidR="00672B98" w:rsidRPr="00A623C3" w:rsidRDefault="00672B98" w:rsidP="00672B98">
      <w:pPr>
        <w:jc w:val="both"/>
        <w:rPr>
          <w:rFonts w:ascii="Times New Roman" w:hAnsi="Times New Roman"/>
          <w:b/>
        </w:rPr>
      </w:pPr>
      <w:r w:rsidRPr="00A623C3">
        <w:rPr>
          <w:rFonts w:ascii="Times New Roman" w:hAnsi="Times New Roman"/>
          <w:b/>
        </w:rPr>
        <w:t>Conclusion</w:t>
      </w:r>
    </w:p>
    <w:p w14:paraId="52421AAC" w14:textId="77777777" w:rsidR="00672B98" w:rsidRDefault="00672B98" w:rsidP="00672B98">
      <w:pPr>
        <w:pStyle w:val="BodyText"/>
        <w:rPr>
          <w:rFonts w:ascii="Times New Roman" w:hAnsi="Times New Roman"/>
        </w:rPr>
      </w:pPr>
      <w:r w:rsidRPr="00A623C3">
        <w:rPr>
          <w:rFonts w:ascii="Times New Roman" w:hAnsi="Times New Roman"/>
        </w:rPr>
        <w:t>This legislative instrument is compatible with human rights</w:t>
      </w:r>
      <w:r>
        <w:rPr>
          <w:rFonts w:ascii="Times New Roman" w:hAnsi="Times New Roman"/>
        </w:rPr>
        <w:t>, and to the extent that it engages certain rights it does so in a way that, in the context of the COVID-19 pandemic, as far as practicable, promotes rather than limits those rights</w:t>
      </w:r>
      <w:r w:rsidRPr="00A623C3">
        <w:rPr>
          <w:rFonts w:ascii="Times New Roman" w:hAnsi="Times New Roman"/>
        </w:rPr>
        <w:t>.</w:t>
      </w:r>
    </w:p>
    <w:bookmarkEnd w:id="8"/>
    <w:p w14:paraId="661C79BA" w14:textId="77777777" w:rsidR="00F15472" w:rsidRPr="00370B9C" w:rsidRDefault="00F15472" w:rsidP="00A257D6">
      <w:pPr>
        <w:spacing w:before="480" w:after="120"/>
        <w:jc w:val="center"/>
        <w:rPr>
          <w:rFonts w:ascii="Times New Roman" w:hAnsi="Times New Roman"/>
          <w:b/>
          <w:bCs/>
        </w:rPr>
      </w:pPr>
      <w:r w:rsidRPr="00370B9C">
        <w:rPr>
          <w:rFonts w:ascii="Times New Roman" w:hAnsi="Times New Roman"/>
          <w:b/>
          <w:bCs/>
        </w:rPr>
        <w:t>Civil Aviation Safety Authority</w:t>
      </w:r>
    </w:p>
    <w:sectPr w:rsidR="00F15472" w:rsidRPr="00370B9C"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6B19B" w14:textId="77777777" w:rsidR="00481388" w:rsidRDefault="00481388">
      <w:r>
        <w:separator/>
      </w:r>
    </w:p>
  </w:endnote>
  <w:endnote w:type="continuationSeparator" w:id="0">
    <w:p w14:paraId="37956120" w14:textId="77777777" w:rsidR="00481388" w:rsidRDefault="0048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8F18FB" w:rsidRDefault="008F1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8F18FB" w:rsidRDefault="008F1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8F18FB" w:rsidRDefault="008F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DF0BC" w14:textId="77777777" w:rsidR="00481388" w:rsidRDefault="00481388">
      <w:r>
        <w:separator/>
      </w:r>
    </w:p>
  </w:footnote>
  <w:footnote w:type="continuationSeparator" w:id="0">
    <w:p w14:paraId="7648B2BA" w14:textId="77777777" w:rsidR="00481388" w:rsidRDefault="0048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8F18FB" w:rsidRDefault="008F18F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8F18FB" w:rsidRDefault="008F1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8F18FB" w:rsidRPr="00DE500D" w:rsidRDefault="003E685B">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8F18FB" w:rsidRPr="00DE500D">
          <w:rPr>
            <w:rFonts w:ascii="Times New Roman" w:hAnsi="Times New Roman"/>
          </w:rPr>
          <w:fldChar w:fldCharType="begin"/>
        </w:r>
        <w:r w:rsidR="008F18FB" w:rsidRPr="00DE500D">
          <w:rPr>
            <w:rFonts w:ascii="Times New Roman" w:hAnsi="Times New Roman"/>
          </w:rPr>
          <w:instrText xml:space="preserve"> PAGE   \* MERGEFORMAT </w:instrText>
        </w:r>
        <w:r w:rsidR="008F18FB" w:rsidRPr="00DE500D">
          <w:rPr>
            <w:rFonts w:ascii="Times New Roman" w:hAnsi="Times New Roman"/>
          </w:rPr>
          <w:fldChar w:fldCharType="separate"/>
        </w:r>
        <w:r w:rsidR="008F18FB">
          <w:rPr>
            <w:rFonts w:ascii="Times New Roman" w:hAnsi="Times New Roman"/>
            <w:noProof/>
          </w:rPr>
          <w:t>7</w:t>
        </w:r>
        <w:r w:rsidR="008F18FB" w:rsidRPr="00DE500D">
          <w:rPr>
            <w:rFonts w:ascii="Times New Roman" w:hAnsi="Times New Roman"/>
            <w:noProof/>
          </w:rPr>
          <w:fldChar w:fldCharType="end"/>
        </w:r>
      </w:sdtContent>
    </w:sdt>
  </w:p>
  <w:p w14:paraId="3C79C794" w14:textId="77777777" w:rsidR="008F18FB" w:rsidRPr="00DE500D" w:rsidRDefault="008F18F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8F18FB" w:rsidRDefault="008F1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6"/>
  </w:num>
  <w:num w:numId="8">
    <w:abstractNumId w:val="12"/>
  </w:num>
  <w:num w:numId="9">
    <w:abstractNumId w:val="11"/>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3205"/>
    <w:rsid w:val="00004406"/>
    <w:rsid w:val="00010B13"/>
    <w:rsid w:val="00011C42"/>
    <w:rsid w:val="000138B2"/>
    <w:rsid w:val="00014B80"/>
    <w:rsid w:val="00015467"/>
    <w:rsid w:val="00016A72"/>
    <w:rsid w:val="0001723C"/>
    <w:rsid w:val="00022831"/>
    <w:rsid w:val="000267B6"/>
    <w:rsid w:val="00026D3D"/>
    <w:rsid w:val="00034F94"/>
    <w:rsid w:val="00036A46"/>
    <w:rsid w:val="00036CB4"/>
    <w:rsid w:val="00040E9D"/>
    <w:rsid w:val="00041A34"/>
    <w:rsid w:val="00041C40"/>
    <w:rsid w:val="00053356"/>
    <w:rsid w:val="000533BB"/>
    <w:rsid w:val="00055749"/>
    <w:rsid w:val="00060741"/>
    <w:rsid w:val="00060822"/>
    <w:rsid w:val="00061641"/>
    <w:rsid w:val="000621C3"/>
    <w:rsid w:val="000649EA"/>
    <w:rsid w:val="00064A49"/>
    <w:rsid w:val="00065309"/>
    <w:rsid w:val="00070628"/>
    <w:rsid w:val="0007169F"/>
    <w:rsid w:val="00074414"/>
    <w:rsid w:val="000753DC"/>
    <w:rsid w:val="000755D1"/>
    <w:rsid w:val="00075A43"/>
    <w:rsid w:val="000800F9"/>
    <w:rsid w:val="00087E12"/>
    <w:rsid w:val="000960ED"/>
    <w:rsid w:val="000B3546"/>
    <w:rsid w:val="000B6DA1"/>
    <w:rsid w:val="000B7CE3"/>
    <w:rsid w:val="000C0FB8"/>
    <w:rsid w:val="000C2832"/>
    <w:rsid w:val="000C398B"/>
    <w:rsid w:val="000C49EA"/>
    <w:rsid w:val="000D2BCF"/>
    <w:rsid w:val="000E130B"/>
    <w:rsid w:val="000E2632"/>
    <w:rsid w:val="000E2EDF"/>
    <w:rsid w:val="000E5E74"/>
    <w:rsid w:val="000E7541"/>
    <w:rsid w:val="000F1625"/>
    <w:rsid w:val="000F49D4"/>
    <w:rsid w:val="000F69D6"/>
    <w:rsid w:val="0010297C"/>
    <w:rsid w:val="001040D9"/>
    <w:rsid w:val="001117BC"/>
    <w:rsid w:val="00111F03"/>
    <w:rsid w:val="00112B87"/>
    <w:rsid w:val="0012048F"/>
    <w:rsid w:val="00122A90"/>
    <w:rsid w:val="00123610"/>
    <w:rsid w:val="00123FD4"/>
    <w:rsid w:val="0013404B"/>
    <w:rsid w:val="00137848"/>
    <w:rsid w:val="001416F8"/>
    <w:rsid w:val="00147014"/>
    <w:rsid w:val="00147A8F"/>
    <w:rsid w:val="00152AF9"/>
    <w:rsid w:val="0016073F"/>
    <w:rsid w:val="0016598B"/>
    <w:rsid w:val="00165C94"/>
    <w:rsid w:val="00167A8B"/>
    <w:rsid w:val="00167F3C"/>
    <w:rsid w:val="0017091E"/>
    <w:rsid w:val="001710EA"/>
    <w:rsid w:val="00171CBE"/>
    <w:rsid w:val="001739E5"/>
    <w:rsid w:val="00175C40"/>
    <w:rsid w:val="00175FFD"/>
    <w:rsid w:val="00182CB3"/>
    <w:rsid w:val="00185F18"/>
    <w:rsid w:val="001915ED"/>
    <w:rsid w:val="00192345"/>
    <w:rsid w:val="00194C1C"/>
    <w:rsid w:val="00196951"/>
    <w:rsid w:val="001A04AD"/>
    <w:rsid w:val="001A3C7F"/>
    <w:rsid w:val="001A4BF8"/>
    <w:rsid w:val="001A565C"/>
    <w:rsid w:val="001B0B74"/>
    <w:rsid w:val="001B1541"/>
    <w:rsid w:val="001B2932"/>
    <w:rsid w:val="001B6ADD"/>
    <w:rsid w:val="001C0A45"/>
    <w:rsid w:val="001C4F02"/>
    <w:rsid w:val="001C6A4E"/>
    <w:rsid w:val="001C737A"/>
    <w:rsid w:val="001C7889"/>
    <w:rsid w:val="001D185E"/>
    <w:rsid w:val="001E2227"/>
    <w:rsid w:val="001E6EB3"/>
    <w:rsid w:val="001F1F38"/>
    <w:rsid w:val="001F6E08"/>
    <w:rsid w:val="002003CA"/>
    <w:rsid w:val="00205BE7"/>
    <w:rsid w:val="0020678C"/>
    <w:rsid w:val="002110B1"/>
    <w:rsid w:val="002113D6"/>
    <w:rsid w:val="00212DC3"/>
    <w:rsid w:val="002150FC"/>
    <w:rsid w:val="0022022E"/>
    <w:rsid w:val="0022668C"/>
    <w:rsid w:val="00233306"/>
    <w:rsid w:val="00236271"/>
    <w:rsid w:val="00240BAB"/>
    <w:rsid w:val="002419B6"/>
    <w:rsid w:val="00242604"/>
    <w:rsid w:val="002426E8"/>
    <w:rsid w:val="00243DED"/>
    <w:rsid w:val="002472BB"/>
    <w:rsid w:val="00247B1B"/>
    <w:rsid w:val="00264287"/>
    <w:rsid w:val="0026718E"/>
    <w:rsid w:val="00274D07"/>
    <w:rsid w:val="002835F9"/>
    <w:rsid w:val="0028527D"/>
    <w:rsid w:val="002877C6"/>
    <w:rsid w:val="00293BB6"/>
    <w:rsid w:val="0029424C"/>
    <w:rsid w:val="00295588"/>
    <w:rsid w:val="0029689B"/>
    <w:rsid w:val="002A06D3"/>
    <w:rsid w:val="002A1419"/>
    <w:rsid w:val="002A1E89"/>
    <w:rsid w:val="002A3C18"/>
    <w:rsid w:val="002A5299"/>
    <w:rsid w:val="002A64BF"/>
    <w:rsid w:val="002B417A"/>
    <w:rsid w:val="002B5F8D"/>
    <w:rsid w:val="002B6535"/>
    <w:rsid w:val="002B6899"/>
    <w:rsid w:val="002B69CA"/>
    <w:rsid w:val="002C0F30"/>
    <w:rsid w:val="002C7E6E"/>
    <w:rsid w:val="002D0790"/>
    <w:rsid w:val="002D3638"/>
    <w:rsid w:val="002D5C0E"/>
    <w:rsid w:val="002E023A"/>
    <w:rsid w:val="002E292F"/>
    <w:rsid w:val="002E41D4"/>
    <w:rsid w:val="002E61C2"/>
    <w:rsid w:val="002F6BA2"/>
    <w:rsid w:val="002F70BA"/>
    <w:rsid w:val="003068D0"/>
    <w:rsid w:val="003109E4"/>
    <w:rsid w:val="003118B6"/>
    <w:rsid w:val="00312F15"/>
    <w:rsid w:val="003224BD"/>
    <w:rsid w:val="003231EC"/>
    <w:rsid w:val="003246CB"/>
    <w:rsid w:val="00324A5B"/>
    <w:rsid w:val="00325792"/>
    <w:rsid w:val="00332A6C"/>
    <w:rsid w:val="00333DF9"/>
    <w:rsid w:val="00336E3A"/>
    <w:rsid w:val="003372FB"/>
    <w:rsid w:val="00340712"/>
    <w:rsid w:val="0034240C"/>
    <w:rsid w:val="00342B33"/>
    <w:rsid w:val="00343AFC"/>
    <w:rsid w:val="00344148"/>
    <w:rsid w:val="003472DA"/>
    <w:rsid w:val="00347736"/>
    <w:rsid w:val="00355A26"/>
    <w:rsid w:val="003614EC"/>
    <w:rsid w:val="003625B5"/>
    <w:rsid w:val="003646F4"/>
    <w:rsid w:val="0037070B"/>
    <w:rsid w:val="00370B9C"/>
    <w:rsid w:val="00371C2C"/>
    <w:rsid w:val="00372AD9"/>
    <w:rsid w:val="00372CA1"/>
    <w:rsid w:val="0037388B"/>
    <w:rsid w:val="00375DDB"/>
    <w:rsid w:val="00381968"/>
    <w:rsid w:val="00385426"/>
    <w:rsid w:val="00395991"/>
    <w:rsid w:val="003A52DD"/>
    <w:rsid w:val="003A5769"/>
    <w:rsid w:val="003A681B"/>
    <w:rsid w:val="003A7E5C"/>
    <w:rsid w:val="003B259D"/>
    <w:rsid w:val="003B5D0D"/>
    <w:rsid w:val="003C5318"/>
    <w:rsid w:val="003D37BE"/>
    <w:rsid w:val="003D4005"/>
    <w:rsid w:val="003D5B11"/>
    <w:rsid w:val="003D6D7B"/>
    <w:rsid w:val="003E0426"/>
    <w:rsid w:val="003E1083"/>
    <w:rsid w:val="003E685B"/>
    <w:rsid w:val="003F1CE7"/>
    <w:rsid w:val="003F39B1"/>
    <w:rsid w:val="003F4408"/>
    <w:rsid w:val="003F6830"/>
    <w:rsid w:val="003F6A81"/>
    <w:rsid w:val="003F723A"/>
    <w:rsid w:val="00402119"/>
    <w:rsid w:val="00405C77"/>
    <w:rsid w:val="00406E53"/>
    <w:rsid w:val="004144E5"/>
    <w:rsid w:val="00416CA5"/>
    <w:rsid w:val="004173E9"/>
    <w:rsid w:val="004174CA"/>
    <w:rsid w:val="00426700"/>
    <w:rsid w:val="004303FA"/>
    <w:rsid w:val="0043264F"/>
    <w:rsid w:val="00432E63"/>
    <w:rsid w:val="00435589"/>
    <w:rsid w:val="00435656"/>
    <w:rsid w:val="004369E9"/>
    <w:rsid w:val="00437324"/>
    <w:rsid w:val="004375A7"/>
    <w:rsid w:val="0044009D"/>
    <w:rsid w:val="00444508"/>
    <w:rsid w:val="00456059"/>
    <w:rsid w:val="004642DB"/>
    <w:rsid w:val="00470FCF"/>
    <w:rsid w:val="00471EF8"/>
    <w:rsid w:val="00475DF8"/>
    <w:rsid w:val="00475EC3"/>
    <w:rsid w:val="00480771"/>
    <w:rsid w:val="00481388"/>
    <w:rsid w:val="0048144D"/>
    <w:rsid w:val="00483C14"/>
    <w:rsid w:val="00485920"/>
    <w:rsid w:val="00486443"/>
    <w:rsid w:val="00486E67"/>
    <w:rsid w:val="00487302"/>
    <w:rsid w:val="00491AE3"/>
    <w:rsid w:val="00492881"/>
    <w:rsid w:val="004A05BD"/>
    <w:rsid w:val="004A2525"/>
    <w:rsid w:val="004A3B69"/>
    <w:rsid w:val="004A502E"/>
    <w:rsid w:val="004A5BF6"/>
    <w:rsid w:val="004A601F"/>
    <w:rsid w:val="004A651B"/>
    <w:rsid w:val="004B029C"/>
    <w:rsid w:val="004C146B"/>
    <w:rsid w:val="004C227D"/>
    <w:rsid w:val="004C2576"/>
    <w:rsid w:val="004C3D19"/>
    <w:rsid w:val="004D2ED2"/>
    <w:rsid w:val="004D58BE"/>
    <w:rsid w:val="004D73F7"/>
    <w:rsid w:val="004E2A4D"/>
    <w:rsid w:val="004F007E"/>
    <w:rsid w:val="004F09BF"/>
    <w:rsid w:val="004F24BE"/>
    <w:rsid w:val="004F32BA"/>
    <w:rsid w:val="004F4928"/>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BE3"/>
    <w:rsid w:val="0055487B"/>
    <w:rsid w:val="00554FED"/>
    <w:rsid w:val="00556645"/>
    <w:rsid w:val="00556D7B"/>
    <w:rsid w:val="00557748"/>
    <w:rsid w:val="00561037"/>
    <w:rsid w:val="005622ED"/>
    <w:rsid w:val="00562C0B"/>
    <w:rsid w:val="0056477D"/>
    <w:rsid w:val="00567E05"/>
    <w:rsid w:val="005721FE"/>
    <w:rsid w:val="00577D54"/>
    <w:rsid w:val="00582FEC"/>
    <w:rsid w:val="00585EAA"/>
    <w:rsid w:val="00586DE4"/>
    <w:rsid w:val="00591F19"/>
    <w:rsid w:val="00593649"/>
    <w:rsid w:val="00597C08"/>
    <w:rsid w:val="005A028B"/>
    <w:rsid w:val="005A2AE9"/>
    <w:rsid w:val="005B0126"/>
    <w:rsid w:val="005B3751"/>
    <w:rsid w:val="005B3B9B"/>
    <w:rsid w:val="005C1BEF"/>
    <w:rsid w:val="005C2285"/>
    <w:rsid w:val="005C43E0"/>
    <w:rsid w:val="005C7863"/>
    <w:rsid w:val="005D0C6B"/>
    <w:rsid w:val="005D196C"/>
    <w:rsid w:val="005D766B"/>
    <w:rsid w:val="005E4D0D"/>
    <w:rsid w:val="005E70E1"/>
    <w:rsid w:val="005F24D7"/>
    <w:rsid w:val="005F27BE"/>
    <w:rsid w:val="005F623B"/>
    <w:rsid w:val="005F63CD"/>
    <w:rsid w:val="005F6CD9"/>
    <w:rsid w:val="006109DD"/>
    <w:rsid w:val="00610E66"/>
    <w:rsid w:val="00612DDB"/>
    <w:rsid w:val="00615A68"/>
    <w:rsid w:val="00621729"/>
    <w:rsid w:val="00621B3D"/>
    <w:rsid w:val="0062346F"/>
    <w:rsid w:val="00624ECD"/>
    <w:rsid w:val="00631BBA"/>
    <w:rsid w:val="00633B9C"/>
    <w:rsid w:val="006340A0"/>
    <w:rsid w:val="006361BF"/>
    <w:rsid w:val="006367F8"/>
    <w:rsid w:val="00637861"/>
    <w:rsid w:val="00640430"/>
    <w:rsid w:val="00642009"/>
    <w:rsid w:val="00643EE2"/>
    <w:rsid w:val="00646118"/>
    <w:rsid w:val="0064751B"/>
    <w:rsid w:val="00657652"/>
    <w:rsid w:val="0065771E"/>
    <w:rsid w:val="006615A1"/>
    <w:rsid w:val="00664B8C"/>
    <w:rsid w:val="00665F76"/>
    <w:rsid w:val="00672B98"/>
    <w:rsid w:val="00676727"/>
    <w:rsid w:val="00677897"/>
    <w:rsid w:val="00677FE6"/>
    <w:rsid w:val="00681E76"/>
    <w:rsid w:val="006827C8"/>
    <w:rsid w:val="00695F02"/>
    <w:rsid w:val="006979A5"/>
    <w:rsid w:val="006A1D98"/>
    <w:rsid w:val="006A619C"/>
    <w:rsid w:val="006B27EF"/>
    <w:rsid w:val="006C1EDB"/>
    <w:rsid w:val="006C28A3"/>
    <w:rsid w:val="006C293D"/>
    <w:rsid w:val="006C4A2A"/>
    <w:rsid w:val="006D01BB"/>
    <w:rsid w:val="006D605B"/>
    <w:rsid w:val="006D7AB0"/>
    <w:rsid w:val="006D7D0C"/>
    <w:rsid w:val="006E2F37"/>
    <w:rsid w:val="006E7488"/>
    <w:rsid w:val="006F3119"/>
    <w:rsid w:val="006F49AD"/>
    <w:rsid w:val="007004BB"/>
    <w:rsid w:val="00702806"/>
    <w:rsid w:val="00706280"/>
    <w:rsid w:val="0070654E"/>
    <w:rsid w:val="0071261B"/>
    <w:rsid w:val="00715473"/>
    <w:rsid w:val="00717B27"/>
    <w:rsid w:val="00721F14"/>
    <w:rsid w:val="007320F0"/>
    <w:rsid w:val="00736558"/>
    <w:rsid w:val="00736945"/>
    <w:rsid w:val="007372D7"/>
    <w:rsid w:val="00737753"/>
    <w:rsid w:val="007465DA"/>
    <w:rsid w:val="007472C1"/>
    <w:rsid w:val="00747B16"/>
    <w:rsid w:val="00754F6A"/>
    <w:rsid w:val="007570F5"/>
    <w:rsid w:val="00761F11"/>
    <w:rsid w:val="007635D5"/>
    <w:rsid w:val="0076546F"/>
    <w:rsid w:val="00766056"/>
    <w:rsid w:val="00767F43"/>
    <w:rsid w:val="007770A5"/>
    <w:rsid w:val="00777A32"/>
    <w:rsid w:val="00777BFF"/>
    <w:rsid w:val="007845BA"/>
    <w:rsid w:val="007863CA"/>
    <w:rsid w:val="007871C5"/>
    <w:rsid w:val="007952BC"/>
    <w:rsid w:val="0079536A"/>
    <w:rsid w:val="00795A57"/>
    <w:rsid w:val="00796BF0"/>
    <w:rsid w:val="007A1161"/>
    <w:rsid w:val="007A30E3"/>
    <w:rsid w:val="007A3FDE"/>
    <w:rsid w:val="007A4B1F"/>
    <w:rsid w:val="007A52AD"/>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7BC0"/>
    <w:rsid w:val="007F1B16"/>
    <w:rsid w:val="007F1BC6"/>
    <w:rsid w:val="007F1DB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7E5C"/>
    <w:rsid w:val="00851F50"/>
    <w:rsid w:val="008521DC"/>
    <w:rsid w:val="00853110"/>
    <w:rsid w:val="008557F6"/>
    <w:rsid w:val="00857CBD"/>
    <w:rsid w:val="008641A5"/>
    <w:rsid w:val="00864336"/>
    <w:rsid w:val="0086476E"/>
    <w:rsid w:val="00864CC1"/>
    <w:rsid w:val="008704AA"/>
    <w:rsid w:val="00870EE6"/>
    <w:rsid w:val="00871ECF"/>
    <w:rsid w:val="00872E2D"/>
    <w:rsid w:val="0087565B"/>
    <w:rsid w:val="0088304D"/>
    <w:rsid w:val="0088713F"/>
    <w:rsid w:val="0088748B"/>
    <w:rsid w:val="0089111F"/>
    <w:rsid w:val="00892889"/>
    <w:rsid w:val="00893143"/>
    <w:rsid w:val="00893D88"/>
    <w:rsid w:val="00896B72"/>
    <w:rsid w:val="008A18FE"/>
    <w:rsid w:val="008A28F1"/>
    <w:rsid w:val="008A567A"/>
    <w:rsid w:val="008A6853"/>
    <w:rsid w:val="008B5640"/>
    <w:rsid w:val="008C7876"/>
    <w:rsid w:val="008C7BC7"/>
    <w:rsid w:val="008D51D3"/>
    <w:rsid w:val="008E33DC"/>
    <w:rsid w:val="008E3A0F"/>
    <w:rsid w:val="008E6A91"/>
    <w:rsid w:val="008E708F"/>
    <w:rsid w:val="008F18FB"/>
    <w:rsid w:val="008F31D4"/>
    <w:rsid w:val="008F4717"/>
    <w:rsid w:val="00902D53"/>
    <w:rsid w:val="00904AE6"/>
    <w:rsid w:val="0090623A"/>
    <w:rsid w:val="00906644"/>
    <w:rsid w:val="0091681D"/>
    <w:rsid w:val="00917169"/>
    <w:rsid w:val="009222A7"/>
    <w:rsid w:val="0092322C"/>
    <w:rsid w:val="00924257"/>
    <w:rsid w:val="00924E49"/>
    <w:rsid w:val="00932AE2"/>
    <w:rsid w:val="00935C5F"/>
    <w:rsid w:val="009436FD"/>
    <w:rsid w:val="00944EB6"/>
    <w:rsid w:val="0095042D"/>
    <w:rsid w:val="00951D77"/>
    <w:rsid w:val="00952DF5"/>
    <w:rsid w:val="00961FD3"/>
    <w:rsid w:val="00962CEC"/>
    <w:rsid w:val="0096537F"/>
    <w:rsid w:val="0096714A"/>
    <w:rsid w:val="009713EE"/>
    <w:rsid w:val="00974AD1"/>
    <w:rsid w:val="0098521D"/>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E6A96"/>
    <w:rsid w:val="009F3823"/>
    <w:rsid w:val="009F7042"/>
    <w:rsid w:val="00A02592"/>
    <w:rsid w:val="00A02957"/>
    <w:rsid w:val="00A12704"/>
    <w:rsid w:val="00A15CF4"/>
    <w:rsid w:val="00A16F24"/>
    <w:rsid w:val="00A17EFC"/>
    <w:rsid w:val="00A208DD"/>
    <w:rsid w:val="00A21B0B"/>
    <w:rsid w:val="00A226D3"/>
    <w:rsid w:val="00A22F52"/>
    <w:rsid w:val="00A24AC3"/>
    <w:rsid w:val="00A257D6"/>
    <w:rsid w:val="00A26AB4"/>
    <w:rsid w:val="00A26DBA"/>
    <w:rsid w:val="00A30989"/>
    <w:rsid w:val="00A344D3"/>
    <w:rsid w:val="00A35842"/>
    <w:rsid w:val="00A40C5E"/>
    <w:rsid w:val="00A4211C"/>
    <w:rsid w:val="00A44D37"/>
    <w:rsid w:val="00A45165"/>
    <w:rsid w:val="00A46A24"/>
    <w:rsid w:val="00A4729A"/>
    <w:rsid w:val="00A47524"/>
    <w:rsid w:val="00A5335F"/>
    <w:rsid w:val="00A53FE8"/>
    <w:rsid w:val="00A575EB"/>
    <w:rsid w:val="00A57DAF"/>
    <w:rsid w:val="00A623C3"/>
    <w:rsid w:val="00A6467E"/>
    <w:rsid w:val="00A66375"/>
    <w:rsid w:val="00A70C87"/>
    <w:rsid w:val="00A71CFA"/>
    <w:rsid w:val="00A72877"/>
    <w:rsid w:val="00A81DA4"/>
    <w:rsid w:val="00A847DF"/>
    <w:rsid w:val="00A87417"/>
    <w:rsid w:val="00A879D7"/>
    <w:rsid w:val="00A9048C"/>
    <w:rsid w:val="00AA0A0C"/>
    <w:rsid w:val="00AA13CC"/>
    <w:rsid w:val="00AA60F9"/>
    <w:rsid w:val="00AA76A4"/>
    <w:rsid w:val="00AB0410"/>
    <w:rsid w:val="00AB4998"/>
    <w:rsid w:val="00AC0919"/>
    <w:rsid w:val="00AC458E"/>
    <w:rsid w:val="00AD03D2"/>
    <w:rsid w:val="00AD2C23"/>
    <w:rsid w:val="00AD3C07"/>
    <w:rsid w:val="00AE00B6"/>
    <w:rsid w:val="00AE0F92"/>
    <w:rsid w:val="00AE253A"/>
    <w:rsid w:val="00AE5BB7"/>
    <w:rsid w:val="00AE7507"/>
    <w:rsid w:val="00AF5674"/>
    <w:rsid w:val="00AF663E"/>
    <w:rsid w:val="00B03D22"/>
    <w:rsid w:val="00B0578D"/>
    <w:rsid w:val="00B10EF9"/>
    <w:rsid w:val="00B11BC6"/>
    <w:rsid w:val="00B11D80"/>
    <w:rsid w:val="00B14ED4"/>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0EE"/>
    <w:rsid w:val="00B7029C"/>
    <w:rsid w:val="00B70A8F"/>
    <w:rsid w:val="00B73130"/>
    <w:rsid w:val="00B76185"/>
    <w:rsid w:val="00B77F18"/>
    <w:rsid w:val="00B82A07"/>
    <w:rsid w:val="00B84780"/>
    <w:rsid w:val="00B85232"/>
    <w:rsid w:val="00B8767F"/>
    <w:rsid w:val="00B90FCD"/>
    <w:rsid w:val="00B93A57"/>
    <w:rsid w:val="00B93DF9"/>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0031"/>
    <w:rsid w:val="00BD50C3"/>
    <w:rsid w:val="00BD60B7"/>
    <w:rsid w:val="00BD6197"/>
    <w:rsid w:val="00BD68DA"/>
    <w:rsid w:val="00BE06EB"/>
    <w:rsid w:val="00BE18F4"/>
    <w:rsid w:val="00BF1698"/>
    <w:rsid w:val="00BF6839"/>
    <w:rsid w:val="00C10F70"/>
    <w:rsid w:val="00C13E2C"/>
    <w:rsid w:val="00C14058"/>
    <w:rsid w:val="00C16780"/>
    <w:rsid w:val="00C22E2B"/>
    <w:rsid w:val="00C318C1"/>
    <w:rsid w:val="00C32BFF"/>
    <w:rsid w:val="00C43A67"/>
    <w:rsid w:val="00C4578B"/>
    <w:rsid w:val="00C45AF7"/>
    <w:rsid w:val="00C52B73"/>
    <w:rsid w:val="00C56EED"/>
    <w:rsid w:val="00C608AA"/>
    <w:rsid w:val="00C62571"/>
    <w:rsid w:val="00C646FB"/>
    <w:rsid w:val="00C64EFB"/>
    <w:rsid w:val="00C7498B"/>
    <w:rsid w:val="00C812B2"/>
    <w:rsid w:val="00C853F3"/>
    <w:rsid w:val="00C911C2"/>
    <w:rsid w:val="00C93FE8"/>
    <w:rsid w:val="00CA0ECE"/>
    <w:rsid w:val="00CA19D9"/>
    <w:rsid w:val="00CA409A"/>
    <w:rsid w:val="00CB44F5"/>
    <w:rsid w:val="00CB6B2B"/>
    <w:rsid w:val="00CE2087"/>
    <w:rsid w:val="00CE3F5E"/>
    <w:rsid w:val="00CE4CF1"/>
    <w:rsid w:val="00CE7578"/>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7325D"/>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A131F"/>
    <w:rsid w:val="00DA27E3"/>
    <w:rsid w:val="00DA587F"/>
    <w:rsid w:val="00DA616F"/>
    <w:rsid w:val="00DB5F6E"/>
    <w:rsid w:val="00DC00EE"/>
    <w:rsid w:val="00DC0ADF"/>
    <w:rsid w:val="00DC0B05"/>
    <w:rsid w:val="00DD5813"/>
    <w:rsid w:val="00DD5E59"/>
    <w:rsid w:val="00DD7872"/>
    <w:rsid w:val="00DE2AFA"/>
    <w:rsid w:val="00DE3740"/>
    <w:rsid w:val="00DE500D"/>
    <w:rsid w:val="00DF0906"/>
    <w:rsid w:val="00DF0A85"/>
    <w:rsid w:val="00DF4EB9"/>
    <w:rsid w:val="00E02C05"/>
    <w:rsid w:val="00E06862"/>
    <w:rsid w:val="00E10030"/>
    <w:rsid w:val="00E12F38"/>
    <w:rsid w:val="00E16CFE"/>
    <w:rsid w:val="00E20EA4"/>
    <w:rsid w:val="00E364D8"/>
    <w:rsid w:val="00E36A50"/>
    <w:rsid w:val="00E41D2E"/>
    <w:rsid w:val="00E42306"/>
    <w:rsid w:val="00E52727"/>
    <w:rsid w:val="00E528D7"/>
    <w:rsid w:val="00E6565D"/>
    <w:rsid w:val="00E6687D"/>
    <w:rsid w:val="00E67D1C"/>
    <w:rsid w:val="00E739D7"/>
    <w:rsid w:val="00E74C1F"/>
    <w:rsid w:val="00E81F57"/>
    <w:rsid w:val="00E83263"/>
    <w:rsid w:val="00E83E2A"/>
    <w:rsid w:val="00E91B5F"/>
    <w:rsid w:val="00E9282E"/>
    <w:rsid w:val="00E92877"/>
    <w:rsid w:val="00E95855"/>
    <w:rsid w:val="00EA3245"/>
    <w:rsid w:val="00EA4F6B"/>
    <w:rsid w:val="00EA7576"/>
    <w:rsid w:val="00EB2033"/>
    <w:rsid w:val="00EB7F22"/>
    <w:rsid w:val="00EC05A4"/>
    <w:rsid w:val="00EC3360"/>
    <w:rsid w:val="00EC5D18"/>
    <w:rsid w:val="00EC6CF1"/>
    <w:rsid w:val="00ED38A8"/>
    <w:rsid w:val="00EE67A7"/>
    <w:rsid w:val="00EF0204"/>
    <w:rsid w:val="00EF08D3"/>
    <w:rsid w:val="00EF38F1"/>
    <w:rsid w:val="00EF7666"/>
    <w:rsid w:val="00EF7DF2"/>
    <w:rsid w:val="00F00E34"/>
    <w:rsid w:val="00F03ED0"/>
    <w:rsid w:val="00F0469F"/>
    <w:rsid w:val="00F072B4"/>
    <w:rsid w:val="00F125C3"/>
    <w:rsid w:val="00F12A0B"/>
    <w:rsid w:val="00F13B45"/>
    <w:rsid w:val="00F15472"/>
    <w:rsid w:val="00F154A2"/>
    <w:rsid w:val="00F23009"/>
    <w:rsid w:val="00F3061F"/>
    <w:rsid w:val="00F31D77"/>
    <w:rsid w:val="00F31DB5"/>
    <w:rsid w:val="00F3359D"/>
    <w:rsid w:val="00F348BB"/>
    <w:rsid w:val="00F34C92"/>
    <w:rsid w:val="00F367A8"/>
    <w:rsid w:val="00F42CDE"/>
    <w:rsid w:val="00F430DD"/>
    <w:rsid w:val="00F445DE"/>
    <w:rsid w:val="00F44DF1"/>
    <w:rsid w:val="00F466C2"/>
    <w:rsid w:val="00F470A7"/>
    <w:rsid w:val="00F47F2C"/>
    <w:rsid w:val="00F500B0"/>
    <w:rsid w:val="00F5042E"/>
    <w:rsid w:val="00F50D31"/>
    <w:rsid w:val="00F52DEF"/>
    <w:rsid w:val="00F53B6C"/>
    <w:rsid w:val="00F5444A"/>
    <w:rsid w:val="00F6019F"/>
    <w:rsid w:val="00F60260"/>
    <w:rsid w:val="00F6058C"/>
    <w:rsid w:val="00F60C0F"/>
    <w:rsid w:val="00F65ED0"/>
    <w:rsid w:val="00F66C27"/>
    <w:rsid w:val="00F73FCD"/>
    <w:rsid w:val="00F74035"/>
    <w:rsid w:val="00F7433F"/>
    <w:rsid w:val="00F808A5"/>
    <w:rsid w:val="00F816A3"/>
    <w:rsid w:val="00F84C57"/>
    <w:rsid w:val="00F85539"/>
    <w:rsid w:val="00F860BA"/>
    <w:rsid w:val="00F86A58"/>
    <w:rsid w:val="00F86D88"/>
    <w:rsid w:val="00F875D2"/>
    <w:rsid w:val="00F9162D"/>
    <w:rsid w:val="00F9217B"/>
    <w:rsid w:val="00F92C44"/>
    <w:rsid w:val="00F9316F"/>
    <w:rsid w:val="00FA1AB5"/>
    <w:rsid w:val="00FA2F2F"/>
    <w:rsid w:val="00FA4ED5"/>
    <w:rsid w:val="00FA705F"/>
    <w:rsid w:val="00FA7465"/>
    <w:rsid w:val="00FB26C0"/>
    <w:rsid w:val="00FB290E"/>
    <w:rsid w:val="00FB2AD9"/>
    <w:rsid w:val="00FB677D"/>
    <w:rsid w:val="00FC37C7"/>
    <w:rsid w:val="00FC741C"/>
    <w:rsid w:val="00FD0BFD"/>
    <w:rsid w:val="00FD69F6"/>
    <w:rsid w:val="00FD6D55"/>
    <w:rsid w:val="00FD6FCD"/>
    <w:rsid w:val="00FE100D"/>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0A4B-AC98-4D7B-986E-EE93CAF9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CASA EX133/16 - Explanatory Statement</vt:lpstr>
    </vt:vector>
  </TitlesOfParts>
  <Company>Civil Aviation Safety Authority</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EX133/16 - Explanatory Statement</dc:title>
  <dc:subject>Exemption — from examiner proficiency check for flight examiner rating holders</dc:subject>
  <dc:creator>Civil Aviation Safety Authority</dc:creator>
  <cp:lastModifiedBy>Spesyvy, Nadia</cp:lastModifiedBy>
  <cp:revision>4</cp:revision>
  <cp:lastPrinted>2020-04-21T00:31:00Z</cp:lastPrinted>
  <dcterms:created xsi:type="dcterms:W3CDTF">2020-05-05T02:16:00Z</dcterms:created>
  <dcterms:modified xsi:type="dcterms:W3CDTF">2020-05-05T04:49:00Z</dcterms:modified>
  <cp:category>Exemptions</cp:category>
</cp:coreProperties>
</file>