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E84217" w:rsidRDefault="00FA6784" w:rsidP="00FA6784">
      <w:pPr>
        <w:pStyle w:val="H3"/>
        <w:jc w:val="center"/>
        <w:rPr>
          <w:sz w:val="24"/>
          <w:szCs w:val="24"/>
        </w:rPr>
      </w:pPr>
      <w:r w:rsidRPr="00E84217">
        <w:rPr>
          <w:sz w:val="24"/>
          <w:szCs w:val="24"/>
        </w:rPr>
        <w:t>EXPLANATORY STATEMENT</w:t>
      </w:r>
    </w:p>
    <w:p w14:paraId="2412D122" w14:textId="77777777" w:rsidR="00FA6784" w:rsidRPr="00E84217" w:rsidRDefault="00FA6784" w:rsidP="00FA6784">
      <w:pPr>
        <w:jc w:val="center"/>
        <w:rPr>
          <w:i/>
          <w:iCs/>
          <w:sz w:val="20"/>
        </w:rPr>
      </w:pPr>
    </w:p>
    <w:p w14:paraId="2412D123" w14:textId="77777777" w:rsidR="00FA6784" w:rsidRPr="00E84217" w:rsidRDefault="00FA6784" w:rsidP="00FA6784">
      <w:pPr>
        <w:jc w:val="center"/>
        <w:rPr>
          <w:i/>
          <w:iCs/>
        </w:rPr>
      </w:pPr>
      <w:r w:rsidRPr="00E84217">
        <w:rPr>
          <w:i/>
          <w:iCs/>
        </w:rPr>
        <w:t>Health Insurance Act 1973</w:t>
      </w:r>
    </w:p>
    <w:p w14:paraId="2412D124" w14:textId="77777777" w:rsidR="00A1739A" w:rsidRPr="00E84217" w:rsidRDefault="00A1739A" w:rsidP="00A1739A">
      <w:pPr>
        <w:rPr>
          <w:szCs w:val="24"/>
          <w:u w:val="single"/>
        </w:rPr>
      </w:pPr>
    </w:p>
    <w:p w14:paraId="052E97C1" w14:textId="49AB862F" w:rsidR="00164A69" w:rsidRPr="00E84217" w:rsidRDefault="003A2458" w:rsidP="003A24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E84217">
        <w:rPr>
          <w:i/>
          <w:iCs/>
        </w:rPr>
        <w:t>Health Insurance (Section 3C General Medical Services – GP and Allied Health COVID-19 Services) Amendment (Consequential) Determination 2020</w:t>
      </w:r>
    </w:p>
    <w:p w14:paraId="54479310" w14:textId="77777777" w:rsidR="003A2458" w:rsidRPr="00E84217" w:rsidRDefault="003A2458"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7291544" w:rsidR="00164A69" w:rsidRPr="00E8421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E84217">
        <w:rPr>
          <w:color w:val="000000"/>
          <w:shd w:val="clear" w:color="auto" w:fill="FFFFFF"/>
        </w:rPr>
        <w:t xml:space="preserve">Subsection 3C(1) of the </w:t>
      </w:r>
      <w:r w:rsidRPr="00E84217">
        <w:rPr>
          <w:i/>
          <w:color w:val="000000"/>
          <w:shd w:val="clear" w:color="auto" w:fill="FFFFFF"/>
        </w:rPr>
        <w:t>Health Insurance Act 1973</w:t>
      </w:r>
      <w:r w:rsidRPr="00E84217">
        <w:rPr>
          <w:color w:val="000000"/>
          <w:shd w:val="clear" w:color="auto" w:fill="FFFFFF"/>
        </w:rPr>
        <w:t xml:space="preserve"> (the Act) </w:t>
      </w:r>
      <w:r w:rsidR="00477C74" w:rsidRPr="00E84217">
        <w:rPr>
          <w:color w:val="000000"/>
          <w:shd w:val="clear" w:color="auto" w:fill="FFFFFF"/>
        </w:rPr>
        <w:t>provide</w:t>
      </w:r>
      <w:r w:rsidR="002E5708" w:rsidRPr="00E84217">
        <w:rPr>
          <w:color w:val="000000"/>
          <w:shd w:val="clear" w:color="auto" w:fill="FFFFFF"/>
        </w:rPr>
        <w:t>s</w:t>
      </w:r>
      <w:r w:rsidR="00477C74" w:rsidRPr="00E84217">
        <w:rPr>
          <w:color w:val="000000"/>
          <w:shd w:val="clear" w:color="auto" w:fill="FFFFFF"/>
        </w:rPr>
        <w:t xml:space="preserve"> that</w:t>
      </w:r>
      <w:r w:rsidRPr="00E84217">
        <w:rPr>
          <w:color w:val="000000"/>
          <w:shd w:val="clear" w:color="auto" w:fill="FFFFFF"/>
        </w:rPr>
        <w:t xml:space="preserve"> the Minister </w:t>
      </w:r>
      <w:r w:rsidR="00477C74" w:rsidRPr="00E84217">
        <w:rPr>
          <w:color w:val="000000"/>
          <w:shd w:val="clear" w:color="auto" w:fill="FFFFFF"/>
        </w:rPr>
        <w:t>may</w:t>
      </w:r>
      <w:r w:rsidRPr="00E84217">
        <w:rPr>
          <w:color w:val="000000"/>
          <w:shd w:val="clear" w:color="auto" w:fill="FFFFFF"/>
        </w:rPr>
        <w:t>, by legislative instrument, determine that a health service not specified in an item in the</w:t>
      </w:r>
      <w:r w:rsidR="0016010C" w:rsidRPr="00E84217">
        <w:rPr>
          <w:color w:val="000000"/>
          <w:shd w:val="clear" w:color="auto" w:fill="FFFFFF"/>
        </w:rPr>
        <w:t xml:space="preserve"> general medical services </w:t>
      </w:r>
      <w:r w:rsidRPr="00E84217">
        <w:rPr>
          <w:color w:val="000000"/>
          <w:shd w:val="clear" w:color="auto" w:fill="FFFFFF"/>
        </w:rPr>
        <w:t xml:space="preserve">table </w:t>
      </w:r>
      <w:r w:rsidR="00D01D5A" w:rsidRPr="00E84217">
        <w:rPr>
          <w:color w:val="000000"/>
          <w:shd w:val="clear" w:color="auto" w:fill="FFFFFF"/>
        </w:rPr>
        <w:t xml:space="preserve">(the Table) </w:t>
      </w:r>
      <w:r w:rsidRPr="00E84217">
        <w:rPr>
          <w:color w:val="000000"/>
          <w:shd w:val="clear" w:color="auto" w:fill="FFFFFF"/>
        </w:rPr>
        <w:t xml:space="preserve">shall, in specified circumstances and for specified statutory provisions, be treated as if it were specified in the </w:t>
      </w:r>
      <w:r w:rsidR="00D01D5A" w:rsidRPr="00E84217">
        <w:rPr>
          <w:color w:val="000000"/>
          <w:shd w:val="clear" w:color="auto" w:fill="FFFFFF"/>
        </w:rPr>
        <w:t xml:space="preserve">Table. </w:t>
      </w:r>
      <w:r w:rsidRPr="00E84217">
        <w:rPr>
          <w:color w:val="FF0000"/>
          <w:shd w:val="clear" w:color="auto" w:fill="FFFFFF"/>
        </w:rPr>
        <w:t xml:space="preserve">  </w:t>
      </w:r>
    </w:p>
    <w:p w14:paraId="7DB18649" w14:textId="77777777" w:rsidR="00841EDA" w:rsidRPr="00E8421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5082157B" w:rsidR="00050623" w:rsidRPr="00E8421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E84217">
        <w:t xml:space="preserve">The </w:t>
      </w:r>
      <w:r w:rsidR="00D01D5A" w:rsidRPr="00E84217">
        <w:t>Table</w:t>
      </w:r>
      <w:r w:rsidRPr="00E84217">
        <w:t xml:space="preserve"> is set out in the regulations made under subsection 4(1) of the Act.  The most recent v</w:t>
      </w:r>
      <w:r w:rsidR="0016010C" w:rsidRPr="00E84217">
        <w:t xml:space="preserve">ersion of the regulations is the </w:t>
      </w:r>
      <w:r w:rsidR="0016010C" w:rsidRPr="00E84217">
        <w:rPr>
          <w:i/>
          <w:iCs/>
        </w:rPr>
        <w:t>Health Insurance (General Medical Services Table) Regulations 2019</w:t>
      </w:r>
      <w:r w:rsidR="0016010C" w:rsidRPr="00E84217">
        <w:t>.</w:t>
      </w:r>
    </w:p>
    <w:p w14:paraId="2E6FE463" w14:textId="77777777" w:rsidR="00050623" w:rsidRPr="00E8421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E8421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84217">
        <w:t xml:space="preserve">This instrument relies on subsection 33(3) of the </w:t>
      </w:r>
      <w:r w:rsidRPr="00E84217">
        <w:rPr>
          <w:i/>
        </w:rPr>
        <w:t>Acts Interpretation Act 1901</w:t>
      </w:r>
      <w:r w:rsidRPr="00E84217">
        <w:t xml:space="preserve"> (AIA).  Subsection 33(3) of the AIA</w:t>
      </w:r>
      <w:r w:rsidRPr="00E84217">
        <w:rPr>
          <w:i/>
        </w:rPr>
        <w:t xml:space="preserve"> </w:t>
      </w:r>
      <w:r w:rsidRPr="00E8421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84217" w:rsidRDefault="008C5F1C" w:rsidP="00D33180">
      <w:pPr>
        <w:autoSpaceDE w:val="0"/>
        <w:autoSpaceDN w:val="0"/>
        <w:adjustRightInd w:val="0"/>
        <w:ind w:right="-483"/>
        <w:rPr>
          <w:szCs w:val="24"/>
        </w:rPr>
      </w:pPr>
    </w:p>
    <w:p w14:paraId="297F0134" w14:textId="36A4EBCA" w:rsidR="0016010C" w:rsidRPr="00E84217" w:rsidRDefault="00A1739A" w:rsidP="00EB2C2B">
      <w:pPr>
        <w:rPr>
          <w:b/>
          <w:szCs w:val="24"/>
          <w:lang w:val="en-US" w:eastAsia="en-US"/>
        </w:rPr>
      </w:pPr>
      <w:r w:rsidRPr="00E84217">
        <w:rPr>
          <w:b/>
          <w:szCs w:val="24"/>
          <w:lang w:val="en-US" w:eastAsia="en-US"/>
        </w:rPr>
        <w:t>Purpose</w:t>
      </w:r>
    </w:p>
    <w:p w14:paraId="041D4BA7" w14:textId="55F01486" w:rsidR="0016010C" w:rsidRPr="00E84217" w:rsidRDefault="0016010C" w:rsidP="0039170C">
      <w:pPr>
        <w:ind w:right="-483"/>
        <w:rPr>
          <w:szCs w:val="24"/>
        </w:rPr>
      </w:pPr>
      <w:r w:rsidRPr="00E84217">
        <w:rPr>
          <w:szCs w:val="24"/>
        </w:rPr>
        <w:t xml:space="preserve">The purpose of the </w:t>
      </w:r>
      <w:r w:rsidR="003A2458" w:rsidRPr="00E84217">
        <w:rPr>
          <w:i/>
          <w:szCs w:val="24"/>
        </w:rPr>
        <w:t>Health Insurance (Section 3C General Medical Services – GP and Allied Health COVID-19 Services) Amendment (Consequential) Determination 2020</w:t>
      </w:r>
      <w:r w:rsidR="003A2458" w:rsidRPr="00E84217">
        <w:rPr>
          <w:szCs w:val="24"/>
        </w:rPr>
        <w:t xml:space="preserve"> </w:t>
      </w:r>
      <w:r w:rsidRPr="00E84217">
        <w:rPr>
          <w:szCs w:val="24"/>
        </w:rPr>
        <w:t>(the Determination) is to make consequential amendments to the:</w:t>
      </w:r>
    </w:p>
    <w:p w14:paraId="2C95B81F" w14:textId="451E4BB7" w:rsidR="0016010C" w:rsidRPr="00E84217" w:rsidRDefault="0016010C" w:rsidP="0016010C">
      <w:pPr>
        <w:pStyle w:val="ListParagraph"/>
        <w:numPr>
          <w:ilvl w:val="0"/>
          <w:numId w:val="33"/>
        </w:numPr>
        <w:ind w:right="-483"/>
        <w:rPr>
          <w:szCs w:val="24"/>
        </w:rPr>
      </w:pPr>
      <w:r w:rsidRPr="00E84217">
        <w:rPr>
          <w:i/>
          <w:szCs w:val="24"/>
        </w:rPr>
        <w:t xml:space="preserve">Health Insurance (Allied Health Services) Determination 2014 </w:t>
      </w:r>
      <w:r w:rsidRPr="00E84217">
        <w:rPr>
          <w:szCs w:val="24"/>
        </w:rPr>
        <w:t>(the Allied Health Determination)</w:t>
      </w:r>
      <w:r w:rsidR="00EB2C2B" w:rsidRPr="00E84217">
        <w:rPr>
          <w:szCs w:val="24"/>
        </w:rPr>
        <w:t>;</w:t>
      </w:r>
    </w:p>
    <w:p w14:paraId="0825B277" w14:textId="07806C68" w:rsidR="0016010C" w:rsidRPr="00E84217" w:rsidRDefault="0016010C" w:rsidP="0016010C">
      <w:pPr>
        <w:pStyle w:val="ListParagraph"/>
        <w:numPr>
          <w:ilvl w:val="0"/>
          <w:numId w:val="33"/>
        </w:numPr>
        <w:ind w:right="-483"/>
        <w:rPr>
          <w:szCs w:val="24"/>
        </w:rPr>
      </w:pPr>
      <w:r w:rsidRPr="00E84217">
        <w:rPr>
          <w:i/>
          <w:szCs w:val="24"/>
        </w:rPr>
        <w:t xml:space="preserve">Health Insurance (General Medical Services – Other Medical Practitioner) Determination 2018 </w:t>
      </w:r>
      <w:r w:rsidRPr="00E84217">
        <w:rPr>
          <w:szCs w:val="24"/>
        </w:rPr>
        <w:t xml:space="preserve">(the Other Medical Practitioner </w:t>
      </w:r>
      <w:r w:rsidR="00E32E6B" w:rsidRPr="00E84217">
        <w:rPr>
          <w:szCs w:val="24"/>
        </w:rPr>
        <w:t>Determination</w:t>
      </w:r>
      <w:r w:rsidR="00EB2C2B" w:rsidRPr="00E84217">
        <w:rPr>
          <w:szCs w:val="24"/>
        </w:rPr>
        <w:t>);</w:t>
      </w:r>
    </w:p>
    <w:p w14:paraId="59A8C944" w14:textId="28F9F53A" w:rsidR="0016010C" w:rsidRPr="00E84217" w:rsidRDefault="0016010C" w:rsidP="0016010C">
      <w:pPr>
        <w:pStyle w:val="ListParagraph"/>
        <w:numPr>
          <w:ilvl w:val="0"/>
          <w:numId w:val="33"/>
        </w:numPr>
        <w:ind w:right="-483"/>
        <w:rPr>
          <w:szCs w:val="24"/>
        </w:rPr>
      </w:pPr>
      <w:r w:rsidRPr="00E84217">
        <w:rPr>
          <w:i/>
          <w:szCs w:val="24"/>
        </w:rPr>
        <w:t>Health Insurance (Section 3C General Med</w:t>
      </w:r>
      <w:r w:rsidR="00793DF5" w:rsidRPr="00E84217">
        <w:rPr>
          <w:i/>
          <w:szCs w:val="24"/>
        </w:rPr>
        <w:t>ic</w:t>
      </w:r>
      <w:r w:rsidRPr="00E84217">
        <w:rPr>
          <w:i/>
          <w:szCs w:val="24"/>
        </w:rPr>
        <w:t xml:space="preserve">al Services – Eating Disorders Treatment Plan and Psychological Treatment Services) Determination 2019 </w:t>
      </w:r>
      <w:r w:rsidRPr="00E84217">
        <w:rPr>
          <w:szCs w:val="24"/>
        </w:rPr>
        <w:t>(the Eating Disorders Services Determination)</w:t>
      </w:r>
      <w:r w:rsidR="00EB2C2B" w:rsidRPr="00E84217">
        <w:rPr>
          <w:szCs w:val="24"/>
        </w:rPr>
        <w:t xml:space="preserve">; and </w:t>
      </w:r>
    </w:p>
    <w:p w14:paraId="59CA7666" w14:textId="24569432" w:rsidR="0016010C" w:rsidRPr="00E84217" w:rsidRDefault="0016010C" w:rsidP="0016010C">
      <w:pPr>
        <w:pStyle w:val="ListParagraph"/>
        <w:numPr>
          <w:ilvl w:val="0"/>
          <w:numId w:val="33"/>
        </w:numPr>
        <w:ind w:right="-483"/>
        <w:rPr>
          <w:rStyle w:val="CommentReference"/>
          <w:sz w:val="24"/>
          <w:szCs w:val="24"/>
        </w:rPr>
      </w:pPr>
      <w:r w:rsidRPr="00E84217">
        <w:rPr>
          <w:rStyle w:val="CommentReference"/>
          <w:i/>
          <w:sz w:val="24"/>
          <w:szCs w:val="24"/>
        </w:rPr>
        <w:t xml:space="preserve">Health Insurance (Section 3C General Medical Services - COVID-19 Telehealth and Telephone Attendances) Determination 2020 </w:t>
      </w:r>
      <w:r w:rsidRPr="00E84217">
        <w:rPr>
          <w:rStyle w:val="CommentReference"/>
          <w:sz w:val="24"/>
          <w:szCs w:val="24"/>
        </w:rPr>
        <w:t>(</w:t>
      </w:r>
      <w:r w:rsidR="00881FA8" w:rsidRPr="00E84217">
        <w:rPr>
          <w:rStyle w:val="CommentReference"/>
          <w:sz w:val="24"/>
          <w:szCs w:val="24"/>
        </w:rPr>
        <w:t xml:space="preserve">the </w:t>
      </w:r>
      <w:r w:rsidRPr="00E84217">
        <w:rPr>
          <w:rStyle w:val="CommentReference"/>
          <w:sz w:val="24"/>
          <w:szCs w:val="24"/>
        </w:rPr>
        <w:t>COVID-19 Determination</w:t>
      </w:r>
      <w:r w:rsidR="00EB2C2B" w:rsidRPr="00E84217">
        <w:rPr>
          <w:rStyle w:val="CommentReference"/>
          <w:sz w:val="24"/>
          <w:szCs w:val="24"/>
        </w:rPr>
        <w:t>).</w:t>
      </w:r>
    </w:p>
    <w:p w14:paraId="4DB87CB1" w14:textId="77777777" w:rsidR="0016010C" w:rsidRPr="00E84217" w:rsidRDefault="0016010C" w:rsidP="0016010C">
      <w:pPr>
        <w:ind w:right="-483"/>
        <w:rPr>
          <w:rStyle w:val="CommentReference"/>
          <w:sz w:val="24"/>
          <w:szCs w:val="24"/>
        </w:rPr>
      </w:pPr>
    </w:p>
    <w:p w14:paraId="5CEC257D" w14:textId="75114AC5" w:rsidR="00EB2C2B" w:rsidRPr="00E84217" w:rsidRDefault="0016010C" w:rsidP="00E32E6B">
      <w:pPr>
        <w:ind w:right="-483"/>
        <w:rPr>
          <w:szCs w:val="24"/>
        </w:rPr>
      </w:pPr>
      <w:r w:rsidRPr="00E84217">
        <w:rPr>
          <w:szCs w:val="24"/>
        </w:rPr>
        <w:t xml:space="preserve">The COVID-19 Determination </w:t>
      </w:r>
      <w:r w:rsidR="00226281" w:rsidRPr="00E84217">
        <w:rPr>
          <w:szCs w:val="24"/>
        </w:rPr>
        <w:t xml:space="preserve">currently prescribes 272 temporary </w:t>
      </w:r>
      <w:r w:rsidRPr="00E84217">
        <w:rPr>
          <w:szCs w:val="24"/>
        </w:rPr>
        <w:t xml:space="preserve">telehealth and </w:t>
      </w:r>
      <w:r w:rsidR="00E32E6B" w:rsidRPr="00E84217">
        <w:rPr>
          <w:szCs w:val="24"/>
        </w:rPr>
        <w:t>telephone</w:t>
      </w:r>
      <w:r w:rsidRPr="00E84217">
        <w:rPr>
          <w:szCs w:val="24"/>
        </w:rPr>
        <w:t xml:space="preserve"> it</w:t>
      </w:r>
      <w:r w:rsidR="00E32E6B" w:rsidRPr="00E84217">
        <w:rPr>
          <w:szCs w:val="24"/>
        </w:rPr>
        <w:t xml:space="preserve">ems </w:t>
      </w:r>
      <w:r w:rsidR="00226281" w:rsidRPr="00E84217">
        <w:rPr>
          <w:szCs w:val="24"/>
        </w:rPr>
        <w:t>that cover many general practice, specialist and consultant physician, nurse practitioner, midwife, and allied health attendances</w:t>
      </w:r>
      <w:r w:rsidR="00E32E6B" w:rsidRPr="00E84217">
        <w:rPr>
          <w:szCs w:val="24"/>
        </w:rPr>
        <w:t xml:space="preserve">. These new items include telehealth and </w:t>
      </w:r>
      <w:r w:rsidR="00881FA8" w:rsidRPr="00E84217">
        <w:rPr>
          <w:szCs w:val="24"/>
        </w:rPr>
        <w:t>tele</w:t>
      </w:r>
      <w:r w:rsidR="00E32E6B" w:rsidRPr="00E84217">
        <w:rPr>
          <w:szCs w:val="24"/>
        </w:rPr>
        <w:t>phone attendance items equivalent to the ‘face-to-face’ items specified in the Allied Health Determ</w:t>
      </w:r>
      <w:r w:rsidR="00793DF5" w:rsidRPr="00E84217">
        <w:rPr>
          <w:szCs w:val="24"/>
        </w:rPr>
        <w:t>in</w:t>
      </w:r>
      <w:r w:rsidR="00E32E6B" w:rsidRPr="00E84217">
        <w:rPr>
          <w:szCs w:val="24"/>
        </w:rPr>
        <w:t>ation, Other Medical Practitioner Determination and the Eating Disorders Services Determination. The introduction of these new items necessitates co</w:t>
      </w:r>
      <w:r w:rsidR="00040157" w:rsidRPr="00E84217">
        <w:rPr>
          <w:szCs w:val="24"/>
        </w:rPr>
        <w:t xml:space="preserve">nsequential amendments to the above instruments </w:t>
      </w:r>
      <w:r w:rsidR="008A11EC" w:rsidRPr="00E84217">
        <w:rPr>
          <w:szCs w:val="24"/>
        </w:rPr>
        <w:t xml:space="preserve">to ensure that definitions, </w:t>
      </w:r>
      <w:r w:rsidR="00B63FD7" w:rsidRPr="00E84217">
        <w:rPr>
          <w:szCs w:val="24"/>
        </w:rPr>
        <w:t>limitation</w:t>
      </w:r>
      <w:r w:rsidR="008A11EC" w:rsidRPr="00E84217">
        <w:rPr>
          <w:szCs w:val="24"/>
        </w:rPr>
        <w:t xml:space="preserve"> provisions</w:t>
      </w:r>
      <w:r w:rsidR="00B63FD7" w:rsidRPr="00E84217">
        <w:rPr>
          <w:szCs w:val="24"/>
        </w:rPr>
        <w:t xml:space="preserve"> and referral pathways </w:t>
      </w:r>
      <w:r w:rsidR="00040157" w:rsidRPr="00E84217">
        <w:rPr>
          <w:szCs w:val="24"/>
        </w:rPr>
        <w:t>are applied consistently so the equivalent face-to-face and remote items can operate together</w:t>
      </w:r>
      <w:r w:rsidR="00C75A5F" w:rsidRPr="00E84217">
        <w:rPr>
          <w:szCs w:val="24"/>
        </w:rPr>
        <w:t xml:space="preserve">. The Determination also makes tidying up amendments to these </w:t>
      </w:r>
      <w:r w:rsidR="00226281" w:rsidRPr="00E84217">
        <w:rPr>
          <w:szCs w:val="24"/>
        </w:rPr>
        <w:t>instruments</w:t>
      </w:r>
      <w:r w:rsidR="00C75A5F" w:rsidRPr="00E84217">
        <w:rPr>
          <w:szCs w:val="24"/>
        </w:rPr>
        <w:t>.</w:t>
      </w:r>
    </w:p>
    <w:p w14:paraId="100558CB" w14:textId="77777777" w:rsidR="00EB2C2B" w:rsidRPr="00E84217" w:rsidRDefault="00EB2C2B" w:rsidP="00E32E6B">
      <w:pPr>
        <w:ind w:right="-483"/>
        <w:rPr>
          <w:szCs w:val="24"/>
        </w:rPr>
      </w:pPr>
    </w:p>
    <w:p w14:paraId="1054A558" w14:textId="6FF662A5" w:rsidR="00B63FD7" w:rsidRPr="00E84217" w:rsidRDefault="00A1739A" w:rsidP="00EB2C2B">
      <w:pPr>
        <w:shd w:val="clear" w:color="auto" w:fill="FFFFFF"/>
        <w:spacing w:before="100" w:beforeAutospacing="1"/>
        <w:rPr>
          <w:rFonts w:ascii="Helvetica Neue" w:hAnsi="Helvetica Neue"/>
          <w:szCs w:val="24"/>
          <w:lang w:val="en-US"/>
        </w:rPr>
      </w:pPr>
      <w:r w:rsidRPr="00E84217">
        <w:rPr>
          <w:b/>
        </w:rPr>
        <w:lastRenderedPageBreak/>
        <w:t>Consultation</w:t>
      </w:r>
    </w:p>
    <w:p w14:paraId="1A57E66E" w14:textId="38549F75" w:rsidR="00B63FD7" w:rsidRPr="00E84217" w:rsidRDefault="00226281" w:rsidP="002806A1">
      <w:pPr>
        <w:shd w:val="clear" w:color="auto" w:fill="FFFFFF"/>
        <w:rPr>
          <w:szCs w:val="24"/>
        </w:rPr>
      </w:pPr>
      <w:r w:rsidRPr="00E84217">
        <w:rPr>
          <w:szCs w:val="24"/>
        </w:rPr>
        <w:t xml:space="preserve">The Government has been expanding access to temporary telehealth and telephone services in partnership with key stakeholders in the sector, including representatives of general practice, specialist and allied health professionals. </w:t>
      </w:r>
      <w:r w:rsidR="00B63FD7" w:rsidRPr="00E84217">
        <w:rPr>
          <w:szCs w:val="24"/>
        </w:rPr>
        <w:t xml:space="preserve">Consultation was not undertaken on the Determination because it is consequential in nature. </w:t>
      </w:r>
    </w:p>
    <w:p w14:paraId="79B3CA23" w14:textId="77777777" w:rsidR="00B63FD7" w:rsidRPr="00E84217" w:rsidRDefault="00B63FD7" w:rsidP="002806A1">
      <w:pPr>
        <w:shd w:val="clear" w:color="auto" w:fill="FFFFFF"/>
        <w:rPr>
          <w:color w:val="FF0000"/>
          <w:szCs w:val="24"/>
        </w:rPr>
      </w:pPr>
    </w:p>
    <w:p w14:paraId="2412D134" w14:textId="77777777" w:rsidR="00967E51" w:rsidRPr="00E84217" w:rsidRDefault="00A1739A" w:rsidP="000337CB">
      <w:pPr>
        <w:rPr>
          <w:szCs w:val="24"/>
        </w:rPr>
      </w:pPr>
      <w:r w:rsidRPr="00E84217">
        <w:rPr>
          <w:szCs w:val="24"/>
        </w:rPr>
        <w:t xml:space="preserve">Details of the </w:t>
      </w:r>
      <w:r w:rsidR="00574E71" w:rsidRPr="00E84217">
        <w:rPr>
          <w:szCs w:val="24"/>
        </w:rPr>
        <w:t>Determination</w:t>
      </w:r>
      <w:r w:rsidRPr="00E84217">
        <w:rPr>
          <w:szCs w:val="24"/>
        </w:rPr>
        <w:t xml:space="preserve"> are set out in the </w:t>
      </w:r>
      <w:r w:rsidRPr="00E84217">
        <w:rPr>
          <w:szCs w:val="24"/>
          <w:u w:val="single"/>
        </w:rPr>
        <w:t>Attachment</w:t>
      </w:r>
      <w:r w:rsidRPr="00E84217">
        <w:rPr>
          <w:szCs w:val="24"/>
        </w:rPr>
        <w:t>.</w:t>
      </w:r>
    </w:p>
    <w:p w14:paraId="2412D135" w14:textId="18D0D5C3" w:rsidR="006C138D" w:rsidRPr="00E84217" w:rsidRDefault="00297AD0" w:rsidP="006C138D">
      <w:pPr>
        <w:tabs>
          <w:tab w:val="left" w:pos="567"/>
        </w:tabs>
        <w:spacing w:before="240"/>
        <w:rPr>
          <w:szCs w:val="24"/>
        </w:rPr>
      </w:pPr>
      <w:r w:rsidRPr="00E84217">
        <w:rPr>
          <w:szCs w:val="24"/>
        </w:rPr>
        <w:t xml:space="preserve">The </w:t>
      </w:r>
      <w:r w:rsidR="00967E51" w:rsidRPr="00E84217">
        <w:rPr>
          <w:szCs w:val="24"/>
        </w:rPr>
        <w:t>Determination</w:t>
      </w:r>
      <w:r w:rsidRPr="00E84217">
        <w:rPr>
          <w:szCs w:val="24"/>
        </w:rPr>
        <w:t xml:space="preserve"> </w:t>
      </w:r>
      <w:r w:rsidR="007524B0" w:rsidRPr="00E84217">
        <w:rPr>
          <w:szCs w:val="24"/>
        </w:rPr>
        <w:t xml:space="preserve">commences </w:t>
      </w:r>
      <w:r w:rsidR="002513C4" w:rsidRPr="00E84217">
        <w:rPr>
          <w:szCs w:val="24"/>
        </w:rPr>
        <w:t>immediately after registration</w:t>
      </w:r>
      <w:r w:rsidR="00EB2C2B" w:rsidRPr="00E84217">
        <w:rPr>
          <w:szCs w:val="24"/>
        </w:rPr>
        <w:t>.</w:t>
      </w:r>
      <w:r w:rsidR="00C63FDC" w:rsidRPr="00E84217">
        <w:rPr>
          <w:szCs w:val="24"/>
        </w:rPr>
        <w:t xml:space="preserve"> </w:t>
      </w:r>
    </w:p>
    <w:p w14:paraId="2412D136" w14:textId="77777777" w:rsidR="00236DF2" w:rsidRPr="00E84217" w:rsidRDefault="00236DF2" w:rsidP="00574E71">
      <w:pPr>
        <w:rPr>
          <w:szCs w:val="24"/>
        </w:rPr>
      </w:pPr>
    </w:p>
    <w:p w14:paraId="2412D138" w14:textId="65B73875" w:rsidR="00574E71" w:rsidRPr="00E84217" w:rsidRDefault="0002728B" w:rsidP="00DE07E4">
      <w:pPr>
        <w:spacing w:after="200" w:line="276" w:lineRule="auto"/>
        <w:rPr>
          <w:szCs w:val="24"/>
        </w:rPr>
      </w:pPr>
      <w:r w:rsidRPr="00E84217">
        <w:rPr>
          <w:szCs w:val="24"/>
        </w:rPr>
        <w:t>T</w:t>
      </w:r>
      <w:r w:rsidR="00574E71" w:rsidRPr="00E84217">
        <w:rPr>
          <w:szCs w:val="24"/>
        </w:rPr>
        <w:t xml:space="preserve">he Determination is </w:t>
      </w:r>
      <w:r w:rsidR="004417A2" w:rsidRPr="00E84217">
        <w:rPr>
          <w:szCs w:val="24"/>
        </w:rPr>
        <w:t xml:space="preserve">a </w:t>
      </w:r>
      <w:r w:rsidR="00574E71" w:rsidRPr="00E84217">
        <w:rPr>
          <w:szCs w:val="24"/>
        </w:rPr>
        <w:t xml:space="preserve">legislative instrument for the purposes of the </w:t>
      </w:r>
      <w:r w:rsidR="00574E71" w:rsidRPr="00E84217">
        <w:rPr>
          <w:i/>
        </w:rPr>
        <w:t>Legislation Act 2003</w:t>
      </w:r>
      <w:r w:rsidR="00574E71" w:rsidRPr="00E84217">
        <w:rPr>
          <w:szCs w:val="24"/>
        </w:rPr>
        <w:t>.</w:t>
      </w:r>
    </w:p>
    <w:p w14:paraId="2412D139" w14:textId="77777777" w:rsidR="00A1739A" w:rsidRPr="00E84217" w:rsidRDefault="00A1739A" w:rsidP="000337CB">
      <w:pPr>
        <w:ind w:left="6663" w:hanging="3119"/>
        <w:rPr>
          <w:szCs w:val="24"/>
        </w:rPr>
      </w:pPr>
      <w:r w:rsidRPr="00E84217">
        <w:rPr>
          <w:szCs w:val="24"/>
        </w:rPr>
        <w:t xml:space="preserve">           </w:t>
      </w:r>
    </w:p>
    <w:p w14:paraId="2412D13A" w14:textId="77777777" w:rsidR="00A1739A" w:rsidRPr="00E84217" w:rsidRDefault="00A1739A" w:rsidP="000337CB">
      <w:pPr>
        <w:ind w:left="6663" w:hanging="3119"/>
        <w:rPr>
          <w:szCs w:val="24"/>
        </w:rPr>
      </w:pPr>
      <w:r w:rsidRPr="00E84217">
        <w:rPr>
          <w:szCs w:val="24"/>
          <w:u w:val="single"/>
        </w:rPr>
        <w:t>Authority</w:t>
      </w:r>
      <w:r w:rsidR="00967E51" w:rsidRPr="00E84217">
        <w:rPr>
          <w:szCs w:val="24"/>
        </w:rPr>
        <w:t xml:space="preserve">:     Subsection </w:t>
      </w:r>
      <w:r w:rsidRPr="00E84217">
        <w:rPr>
          <w:szCs w:val="24"/>
        </w:rPr>
        <w:t>3</w:t>
      </w:r>
      <w:r w:rsidR="00967E51" w:rsidRPr="00E84217">
        <w:rPr>
          <w:szCs w:val="24"/>
        </w:rPr>
        <w:t>C</w:t>
      </w:r>
      <w:r w:rsidRPr="00E84217">
        <w:rPr>
          <w:szCs w:val="24"/>
        </w:rPr>
        <w:t xml:space="preserve">(1) of the </w:t>
      </w:r>
    </w:p>
    <w:p w14:paraId="2412D13B" w14:textId="0596CD30" w:rsidR="00A1739A" w:rsidRPr="00E84217" w:rsidRDefault="00A1739A" w:rsidP="000337CB">
      <w:pPr>
        <w:tabs>
          <w:tab w:val="left" w:pos="4820"/>
        </w:tabs>
        <w:rPr>
          <w:szCs w:val="24"/>
        </w:rPr>
        <w:sectPr w:rsidR="00A1739A" w:rsidRPr="00E84217" w:rsidSect="00235B6C">
          <w:headerReference w:type="default" r:id="rId11"/>
          <w:footerReference w:type="default" r:id="rId12"/>
          <w:footerReference w:type="first" r:id="rId13"/>
          <w:pgSz w:w="11906" w:h="16838"/>
          <w:pgMar w:top="1440" w:right="1800" w:bottom="1135" w:left="1800" w:header="708" w:footer="708" w:gutter="0"/>
          <w:pgNumType w:start="1"/>
          <w:cols w:space="708"/>
          <w:docGrid w:linePitch="360"/>
        </w:sectPr>
      </w:pPr>
      <w:r w:rsidRPr="00E84217">
        <w:rPr>
          <w:i/>
          <w:szCs w:val="24"/>
        </w:rPr>
        <w:tab/>
        <w:t>Health Insurance Act 1973</w:t>
      </w:r>
    </w:p>
    <w:p w14:paraId="2412D13D" w14:textId="77777777" w:rsidR="006D5816" w:rsidRPr="00E84217" w:rsidRDefault="006D5816" w:rsidP="000337CB">
      <w:pPr>
        <w:pStyle w:val="BodyText"/>
        <w:jc w:val="right"/>
        <w:rPr>
          <w:szCs w:val="24"/>
        </w:rPr>
      </w:pPr>
      <w:r w:rsidRPr="00E84217">
        <w:rPr>
          <w:szCs w:val="24"/>
        </w:rPr>
        <w:lastRenderedPageBreak/>
        <w:t>ATTACHMENT</w:t>
      </w:r>
    </w:p>
    <w:p w14:paraId="2412D13E" w14:textId="77777777" w:rsidR="006D5816" w:rsidRPr="00E84217" w:rsidRDefault="006D5816" w:rsidP="000337CB">
      <w:pPr>
        <w:pStyle w:val="BodyText"/>
        <w:rPr>
          <w:szCs w:val="24"/>
          <w:u w:val="single"/>
        </w:rPr>
      </w:pPr>
    </w:p>
    <w:p w14:paraId="5B0C808A" w14:textId="4C94985A" w:rsidR="00215191" w:rsidRPr="00E84217" w:rsidRDefault="00A41364" w:rsidP="00186752">
      <w:pPr>
        <w:pStyle w:val="BodyText"/>
        <w:rPr>
          <w:i/>
          <w:iCs/>
          <w:color w:val="FF0000"/>
        </w:rPr>
      </w:pPr>
      <w:r w:rsidRPr="00E84217">
        <w:rPr>
          <w:szCs w:val="24"/>
        </w:rPr>
        <w:t xml:space="preserve">Details of the </w:t>
      </w:r>
      <w:r w:rsidR="00EB2C2B" w:rsidRPr="00E84217">
        <w:rPr>
          <w:i/>
          <w:iCs/>
        </w:rPr>
        <w:t>Health Insurance (Section 3C General Medical Services – GP and Allied Health COVID-19 Services) Amendment (Consequential) Determination 2020</w:t>
      </w:r>
    </w:p>
    <w:p w14:paraId="7BBEB147" w14:textId="720F9678" w:rsidR="00E70355" w:rsidRPr="00E84217" w:rsidRDefault="00E70355" w:rsidP="000337CB">
      <w:pPr>
        <w:pStyle w:val="BodyText"/>
        <w:rPr>
          <w:b w:val="0"/>
          <w:i/>
          <w:szCs w:val="24"/>
        </w:rPr>
      </w:pPr>
    </w:p>
    <w:p w14:paraId="2412D141" w14:textId="7C34D5F4" w:rsidR="00FE02C2" w:rsidRPr="00E84217" w:rsidRDefault="001B0111" w:rsidP="000337CB">
      <w:pPr>
        <w:pStyle w:val="BodyText"/>
        <w:rPr>
          <w:b w:val="0"/>
          <w:szCs w:val="24"/>
          <w:u w:val="single"/>
        </w:rPr>
      </w:pPr>
      <w:r w:rsidRPr="00E84217">
        <w:rPr>
          <w:b w:val="0"/>
          <w:szCs w:val="24"/>
          <w:u w:val="single"/>
        </w:rPr>
        <w:t>Section 1 – Name</w:t>
      </w:r>
    </w:p>
    <w:p w14:paraId="2412D142" w14:textId="77777777" w:rsidR="00FE02C2" w:rsidRPr="00E84217" w:rsidRDefault="00FE02C2" w:rsidP="000337CB">
      <w:pPr>
        <w:pStyle w:val="BodyText"/>
        <w:rPr>
          <w:b w:val="0"/>
          <w:szCs w:val="24"/>
          <w:u w:val="single"/>
        </w:rPr>
      </w:pPr>
    </w:p>
    <w:p w14:paraId="7BA5870A" w14:textId="622F7E6D" w:rsidR="00EB2C2B" w:rsidRPr="00E84217" w:rsidRDefault="00BC7397" w:rsidP="00EB2C2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i/>
          <w:iCs/>
        </w:rPr>
      </w:pPr>
      <w:r w:rsidRPr="00E84217">
        <w:rPr>
          <w:szCs w:val="24"/>
        </w:rPr>
        <w:t>S</w:t>
      </w:r>
      <w:r w:rsidR="00FE02C2" w:rsidRPr="00E84217">
        <w:rPr>
          <w:szCs w:val="24"/>
        </w:rPr>
        <w:t xml:space="preserve">ection </w:t>
      </w:r>
      <w:r w:rsidRPr="00E84217">
        <w:rPr>
          <w:szCs w:val="24"/>
        </w:rPr>
        <w:t xml:space="preserve">1 </w:t>
      </w:r>
      <w:r w:rsidR="00FE02C2" w:rsidRPr="00E84217">
        <w:rPr>
          <w:szCs w:val="24"/>
        </w:rPr>
        <w:t>provides</w:t>
      </w:r>
      <w:r w:rsidR="008B683E" w:rsidRPr="00E84217">
        <w:rPr>
          <w:szCs w:val="24"/>
        </w:rPr>
        <w:t xml:space="preserve"> for the </w:t>
      </w:r>
      <w:r w:rsidR="008B2094" w:rsidRPr="00E84217">
        <w:rPr>
          <w:szCs w:val="24"/>
        </w:rPr>
        <w:t>Determination</w:t>
      </w:r>
      <w:r w:rsidR="00FE02C2" w:rsidRPr="00E84217">
        <w:rPr>
          <w:szCs w:val="24"/>
        </w:rPr>
        <w:t xml:space="preserve"> to be referred to as the </w:t>
      </w:r>
      <w:r w:rsidR="00EB2C2B" w:rsidRPr="00E84217">
        <w:rPr>
          <w:i/>
          <w:iCs/>
        </w:rPr>
        <w:t>Health Insurance (Section 3C General Medical Services – GP and Allied Health COVID-19 Services) Amendment (Consequential) Determination 2020.</w:t>
      </w:r>
    </w:p>
    <w:p w14:paraId="68DAA207" w14:textId="318AEC73" w:rsidR="00FD602D" w:rsidRPr="00E84217" w:rsidRDefault="00EB2C2B" w:rsidP="00EB2C2B">
      <w:pPr>
        <w:pStyle w:val="BodyText"/>
        <w:tabs>
          <w:tab w:val="left" w:pos="3312"/>
        </w:tabs>
        <w:rPr>
          <w:b w:val="0"/>
          <w:color w:val="FF0000"/>
          <w:szCs w:val="24"/>
        </w:rPr>
      </w:pPr>
      <w:r w:rsidRPr="00E84217">
        <w:rPr>
          <w:b w:val="0"/>
          <w:color w:val="FF0000"/>
          <w:szCs w:val="24"/>
        </w:rPr>
        <w:t xml:space="preserve"> </w:t>
      </w:r>
      <w:r w:rsidRPr="00E84217">
        <w:rPr>
          <w:b w:val="0"/>
          <w:color w:val="FF0000"/>
          <w:szCs w:val="24"/>
        </w:rPr>
        <w:tab/>
      </w:r>
    </w:p>
    <w:p w14:paraId="49D1E050" w14:textId="77777777" w:rsidR="007A4089" w:rsidRPr="00E84217" w:rsidRDefault="00FE02C2" w:rsidP="000337CB">
      <w:pPr>
        <w:pStyle w:val="BodyText"/>
        <w:rPr>
          <w:b w:val="0"/>
          <w:szCs w:val="24"/>
          <w:u w:val="single"/>
        </w:rPr>
      </w:pPr>
      <w:r w:rsidRPr="00E84217">
        <w:rPr>
          <w:b w:val="0"/>
          <w:szCs w:val="24"/>
          <w:u w:val="single"/>
        </w:rPr>
        <w:t xml:space="preserve">Section 2 – Commencement </w:t>
      </w:r>
    </w:p>
    <w:p w14:paraId="2DCE2ED0" w14:textId="77777777" w:rsidR="007A4089" w:rsidRPr="00E84217" w:rsidRDefault="007A4089" w:rsidP="000337CB">
      <w:pPr>
        <w:pStyle w:val="BodyText"/>
        <w:rPr>
          <w:b w:val="0"/>
          <w:szCs w:val="24"/>
          <w:u w:val="single"/>
        </w:rPr>
      </w:pPr>
    </w:p>
    <w:p w14:paraId="2412D148" w14:textId="7908BCFA" w:rsidR="00510A4F" w:rsidRPr="00E84217" w:rsidRDefault="00510A4F" w:rsidP="000337CB">
      <w:pPr>
        <w:pStyle w:val="BodyText"/>
        <w:rPr>
          <w:b w:val="0"/>
          <w:color w:val="FF0000"/>
          <w:szCs w:val="24"/>
        </w:rPr>
      </w:pPr>
      <w:r w:rsidRPr="00E84217">
        <w:rPr>
          <w:b w:val="0"/>
          <w:szCs w:val="24"/>
        </w:rPr>
        <w:t xml:space="preserve">Section 2 </w:t>
      </w:r>
      <w:r w:rsidR="00404F11" w:rsidRPr="00E84217">
        <w:rPr>
          <w:b w:val="0"/>
          <w:szCs w:val="24"/>
        </w:rPr>
        <w:t xml:space="preserve">provides that the </w:t>
      </w:r>
      <w:r w:rsidR="008B2094" w:rsidRPr="00E84217">
        <w:rPr>
          <w:b w:val="0"/>
          <w:szCs w:val="24"/>
        </w:rPr>
        <w:t xml:space="preserve">Determination </w:t>
      </w:r>
      <w:r w:rsidR="00404F11" w:rsidRPr="00E84217">
        <w:rPr>
          <w:b w:val="0"/>
          <w:szCs w:val="24"/>
        </w:rPr>
        <w:t xml:space="preserve">commences </w:t>
      </w:r>
      <w:r w:rsidR="002513C4" w:rsidRPr="00E84217">
        <w:rPr>
          <w:b w:val="0"/>
          <w:szCs w:val="24"/>
        </w:rPr>
        <w:t>immediately after registration</w:t>
      </w:r>
      <w:r w:rsidR="00EB2C2B" w:rsidRPr="00E84217">
        <w:rPr>
          <w:b w:val="0"/>
          <w:szCs w:val="24"/>
        </w:rPr>
        <w:t xml:space="preserve">. </w:t>
      </w:r>
    </w:p>
    <w:p w14:paraId="16C03200" w14:textId="77777777" w:rsidR="007E0017" w:rsidRPr="00E84217" w:rsidRDefault="007E0017" w:rsidP="000337CB">
      <w:pPr>
        <w:pStyle w:val="BodyText"/>
        <w:rPr>
          <w:b w:val="0"/>
          <w:szCs w:val="24"/>
        </w:rPr>
      </w:pPr>
    </w:p>
    <w:p w14:paraId="005D5660" w14:textId="77777777" w:rsidR="007A4089" w:rsidRPr="00E84217" w:rsidRDefault="00FE02C2" w:rsidP="000337CB">
      <w:pPr>
        <w:pStyle w:val="BodyText"/>
        <w:rPr>
          <w:b w:val="0"/>
          <w:szCs w:val="24"/>
          <w:u w:val="single"/>
        </w:rPr>
      </w:pPr>
      <w:r w:rsidRPr="00E84217">
        <w:rPr>
          <w:b w:val="0"/>
          <w:szCs w:val="24"/>
          <w:u w:val="single"/>
        </w:rPr>
        <w:t xml:space="preserve">Section 3 – </w:t>
      </w:r>
      <w:r w:rsidR="00E5798A" w:rsidRPr="00E84217">
        <w:rPr>
          <w:b w:val="0"/>
          <w:szCs w:val="24"/>
          <w:u w:val="single"/>
        </w:rPr>
        <w:t>Authority</w:t>
      </w:r>
    </w:p>
    <w:p w14:paraId="53BFA098" w14:textId="77777777" w:rsidR="007A4089" w:rsidRPr="00E84217" w:rsidRDefault="007A4089" w:rsidP="000337CB">
      <w:pPr>
        <w:pStyle w:val="BodyText"/>
        <w:rPr>
          <w:b w:val="0"/>
          <w:szCs w:val="24"/>
          <w:u w:val="single"/>
        </w:rPr>
      </w:pPr>
    </w:p>
    <w:p w14:paraId="2412D14B" w14:textId="60EB4E9C" w:rsidR="00FE02C2" w:rsidRPr="00E84217" w:rsidRDefault="00F83B6F" w:rsidP="000337CB">
      <w:pPr>
        <w:pStyle w:val="BodyText"/>
        <w:rPr>
          <w:b w:val="0"/>
        </w:rPr>
      </w:pPr>
      <w:r w:rsidRPr="00E84217">
        <w:rPr>
          <w:b w:val="0"/>
        </w:rPr>
        <w:t xml:space="preserve">Section 3 provides that the </w:t>
      </w:r>
      <w:r w:rsidR="008B2094" w:rsidRPr="00E84217">
        <w:rPr>
          <w:b w:val="0"/>
          <w:szCs w:val="24"/>
        </w:rPr>
        <w:t xml:space="preserve">Determination </w:t>
      </w:r>
      <w:r w:rsidR="00E5798A" w:rsidRPr="00E84217">
        <w:rPr>
          <w:b w:val="0"/>
        </w:rPr>
        <w:t xml:space="preserve">is made under </w:t>
      </w:r>
      <w:r w:rsidR="00367440" w:rsidRPr="00E84217">
        <w:rPr>
          <w:b w:val="0"/>
        </w:rPr>
        <w:t xml:space="preserve">subsection </w:t>
      </w:r>
      <w:r w:rsidR="00E5798A" w:rsidRPr="00E84217">
        <w:rPr>
          <w:b w:val="0"/>
        </w:rPr>
        <w:t xml:space="preserve">3C(1) of the </w:t>
      </w:r>
      <w:r w:rsidR="00E5798A" w:rsidRPr="00E84217">
        <w:rPr>
          <w:b w:val="0"/>
          <w:i/>
        </w:rPr>
        <w:t>Health Insurance Act 1973</w:t>
      </w:r>
      <w:r w:rsidR="00E5798A" w:rsidRPr="00E84217">
        <w:rPr>
          <w:b w:val="0"/>
        </w:rPr>
        <w:t>.</w:t>
      </w:r>
    </w:p>
    <w:p w14:paraId="0DBF1241" w14:textId="77777777" w:rsidR="00E70355" w:rsidRPr="00E84217" w:rsidRDefault="00E70355" w:rsidP="000337CB">
      <w:pPr>
        <w:pStyle w:val="BodyText"/>
        <w:rPr>
          <w:b w:val="0"/>
        </w:rPr>
      </w:pPr>
    </w:p>
    <w:p w14:paraId="20CBF84A" w14:textId="77777777" w:rsidR="00C63FDC" w:rsidRPr="00E84217" w:rsidRDefault="00C63FDC" w:rsidP="00C63FDC">
      <w:pPr>
        <w:pStyle w:val="BodyText"/>
        <w:rPr>
          <w:b w:val="0"/>
          <w:szCs w:val="24"/>
          <w:u w:val="single"/>
        </w:rPr>
      </w:pPr>
      <w:r w:rsidRPr="00E84217">
        <w:rPr>
          <w:b w:val="0"/>
          <w:szCs w:val="24"/>
          <w:u w:val="single"/>
        </w:rPr>
        <w:t>Section 4 – Schedules</w:t>
      </w:r>
    </w:p>
    <w:p w14:paraId="607DE740" w14:textId="77777777" w:rsidR="00545A71" w:rsidRPr="00E84217" w:rsidRDefault="00545A71" w:rsidP="00C63FDC">
      <w:pPr>
        <w:pStyle w:val="BodyText"/>
        <w:rPr>
          <w:b w:val="0"/>
          <w:szCs w:val="24"/>
          <w:u w:val="single"/>
        </w:rPr>
      </w:pPr>
    </w:p>
    <w:p w14:paraId="5D9EBF8D" w14:textId="77777777" w:rsidR="00C63FDC" w:rsidRPr="00E84217" w:rsidRDefault="00C63FDC" w:rsidP="00C63FDC">
      <w:pPr>
        <w:pStyle w:val="BodyText"/>
        <w:rPr>
          <w:b w:val="0"/>
          <w:szCs w:val="24"/>
        </w:rPr>
      </w:pPr>
      <w:r w:rsidRPr="00E84217">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E84217" w:rsidRDefault="007E0017" w:rsidP="00404F11">
      <w:pPr>
        <w:pStyle w:val="BodyText"/>
        <w:rPr>
          <w:b w:val="0"/>
          <w:szCs w:val="24"/>
        </w:rPr>
      </w:pPr>
    </w:p>
    <w:p w14:paraId="1D83AD64" w14:textId="4268A550" w:rsidR="00B63FD7" w:rsidRPr="00E84217" w:rsidRDefault="00C63FDC" w:rsidP="00505F9A">
      <w:pPr>
        <w:pStyle w:val="Header"/>
        <w:tabs>
          <w:tab w:val="num" w:pos="1080"/>
        </w:tabs>
        <w:rPr>
          <w:rFonts w:ascii="Arial" w:hAnsi="Arial" w:cs="Arial"/>
          <w:i/>
          <w:szCs w:val="24"/>
          <w:u w:val="single"/>
        </w:rPr>
      </w:pPr>
      <w:r w:rsidRPr="00E84217">
        <w:rPr>
          <w:szCs w:val="24"/>
          <w:u w:val="single"/>
        </w:rPr>
        <w:t>Schedule 1 – Amendments</w:t>
      </w:r>
      <w:r w:rsidR="00DD34A0" w:rsidRPr="00E84217">
        <w:rPr>
          <w:szCs w:val="24"/>
          <w:u w:val="single"/>
        </w:rPr>
        <w:t xml:space="preserve"> to the </w:t>
      </w:r>
      <w:r w:rsidR="00B63FD7" w:rsidRPr="00E84217">
        <w:rPr>
          <w:i/>
          <w:szCs w:val="24"/>
          <w:u w:val="single"/>
        </w:rPr>
        <w:t>Health Insurance (Allied Health Services) Determination 2014</w:t>
      </w:r>
    </w:p>
    <w:p w14:paraId="0C316A44" w14:textId="77777777" w:rsidR="00B63FD7" w:rsidRPr="00E84217" w:rsidRDefault="00B63FD7" w:rsidP="00E1001D">
      <w:pPr>
        <w:pStyle w:val="BodyText"/>
        <w:rPr>
          <w:rFonts w:ascii="Arial" w:hAnsi="Arial" w:cs="Arial"/>
          <w:b w:val="0"/>
          <w:i/>
          <w:szCs w:val="24"/>
        </w:rPr>
      </w:pPr>
    </w:p>
    <w:p w14:paraId="36EEF671" w14:textId="719689F1" w:rsidR="00E1001D" w:rsidRPr="00E84217" w:rsidRDefault="00E1001D" w:rsidP="00E1001D">
      <w:pPr>
        <w:pStyle w:val="BodyText"/>
        <w:rPr>
          <w:b w:val="0"/>
          <w:szCs w:val="24"/>
        </w:rPr>
      </w:pPr>
      <w:r w:rsidRPr="00E84217">
        <w:rPr>
          <w:b w:val="0"/>
          <w:szCs w:val="24"/>
        </w:rPr>
        <w:t>Item 1 inserts a definition for ‘CO</w:t>
      </w:r>
      <w:r w:rsidR="00DD34A0" w:rsidRPr="00E84217">
        <w:rPr>
          <w:b w:val="0"/>
          <w:szCs w:val="24"/>
        </w:rPr>
        <w:t>VID-19 Determination’, for ease</w:t>
      </w:r>
      <w:r w:rsidRPr="00E84217">
        <w:rPr>
          <w:b w:val="0"/>
          <w:szCs w:val="24"/>
        </w:rPr>
        <w:t xml:space="preserve"> of reference throughout the instrument.</w:t>
      </w:r>
    </w:p>
    <w:p w14:paraId="46051A52" w14:textId="77777777" w:rsidR="00E1001D" w:rsidRPr="00E84217" w:rsidRDefault="00E1001D" w:rsidP="00E1001D">
      <w:pPr>
        <w:pStyle w:val="BodyText"/>
        <w:rPr>
          <w:b w:val="0"/>
          <w:szCs w:val="24"/>
        </w:rPr>
      </w:pPr>
    </w:p>
    <w:p w14:paraId="4CCFA6C9" w14:textId="4F91B8B1" w:rsidR="00E1001D" w:rsidRPr="00E84217" w:rsidRDefault="00DD34A0" w:rsidP="00E1001D">
      <w:pPr>
        <w:pStyle w:val="BodyText"/>
        <w:rPr>
          <w:b w:val="0"/>
          <w:szCs w:val="24"/>
        </w:rPr>
      </w:pPr>
      <w:r w:rsidRPr="00E84217">
        <w:rPr>
          <w:b w:val="0"/>
          <w:szCs w:val="24"/>
        </w:rPr>
        <w:t>Items 2 to 8</w:t>
      </w:r>
      <w:r w:rsidR="00E1001D" w:rsidRPr="00E84217">
        <w:rPr>
          <w:b w:val="0"/>
          <w:szCs w:val="24"/>
        </w:rPr>
        <w:t xml:space="preserve"> amend definitions to include the telehealth and telephone equivalents of the face-to-face items specified.</w:t>
      </w:r>
    </w:p>
    <w:p w14:paraId="2C3E663F" w14:textId="77777777" w:rsidR="00E1001D" w:rsidRPr="00E84217" w:rsidRDefault="00E1001D" w:rsidP="00E1001D">
      <w:pPr>
        <w:pStyle w:val="BodyText"/>
        <w:rPr>
          <w:b w:val="0"/>
          <w:szCs w:val="24"/>
        </w:rPr>
      </w:pPr>
    </w:p>
    <w:p w14:paraId="70E54012" w14:textId="7F40A44D" w:rsidR="00E1001D" w:rsidRPr="00E84217" w:rsidRDefault="00E1001D" w:rsidP="00E1001D">
      <w:pPr>
        <w:pStyle w:val="BodyText"/>
        <w:rPr>
          <w:b w:val="0"/>
          <w:szCs w:val="24"/>
        </w:rPr>
      </w:pPr>
      <w:r w:rsidRPr="00E84217">
        <w:rPr>
          <w:b w:val="0"/>
          <w:szCs w:val="24"/>
        </w:rPr>
        <w:t>Items</w:t>
      </w:r>
      <w:r w:rsidR="00DD34A0" w:rsidRPr="00E84217">
        <w:rPr>
          <w:b w:val="0"/>
          <w:szCs w:val="24"/>
        </w:rPr>
        <w:t xml:space="preserve"> 9 to 14 and 17 to 24 </w:t>
      </w:r>
      <w:r w:rsidRPr="00E84217">
        <w:rPr>
          <w:b w:val="0"/>
          <w:szCs w:val="24"/>
        </w:rPr>
        <w:t>amend the application provisions to include the telehealth and telephone equivalents of the face-to-face items specified.</w:t>
      </w:r>
    </w:p>
    <w:p w14:paraId="33E7B6F7" w14:textId="77777777" w:rsidR="00E1001D" w:rsidRPr="00E84217" w:rsidRDefault="00E1001D" w:rsidP="00E1001D">
      <w:pPr>
        <w:pStyle w:val="BodyText"/>
        <w:rPr>
          <w:b w:val="0"/>
          <w:szCs w:val="24"/>
        </w:rPr>
      </w:pPr>
    </w:p>
    <w:p w14:paraId="791E1096" w14:textId="3B0146BD" w:rsidR="002D091E" w:rsidRPr="00E84217" w:rsidRDefault="002D091E" w:rsidP="00E1001D">
      <w:pPr>
        <w:pStyle w:val="BodyText"/>
        <w:rPr>
          <w:b w:val="0"/>
          <w:szCs w:val="24"/>
        </w:rPr>
      </w:pPr>
      <w:r w:rsidRPr="00E84217">
        <w:rPr>
          <w:b w:val="0"/>
          <w:szCs w:val="24"/>
        </w:rPr>
        <w:t xml:space="preserve">Item </w:t>
      </w:r>
      <w:r w:rsidR="00DD34A0" w:rsidRPr="00E84217">
        <w:rPr>
          <w:b w:val="0"/>
          <w:szCs w:val="24"/>
        </w:rPr>
        <w:t>18</w:t>
      </w:r>
      <w:r w:rsidRPr="00E84217">
        <w:rPr>
          <w:b w:val="0"/>
          <w:szCs w:val="24"/>
        </w:rPr>
        <w:t xml:space="preserve"> also inserts item 792, which is the other medical practitioner equivalent of item 4001, into the item descriptions for items 81000 and 81005.</w:t>
      </w:r>
    </w:p>
    <w:p w14:paraId="2C4132CF" w14:textId="77777777" w:rsidR="002D091E" w:rsidRPr="00E84217" w:rsidRDefault="002D091E" w:rsidP="00E1001D">
      <w:pPr>
        <w:pStyle w:val="BodyText"/>
        <w:rPr>
          <w:b w:val="0"/>
          <w:szCs w:val="24"/>
        </w:rPr>
      </w:pPr>
    </w:p>
    <w:p w14:paraId="292A7939" w14:textId="57DC7696" w:rsidR="002D091E" w:rsidRPr="00E84217" w:rsidRDefault="002D091E" w:rsidP="00E1001D">
      <w:pPr>
        <w:pStyle w:val="BodyText"/>
        <w:rPr>
          <w:b w:val="0"/>
          <w:szCs w:val="24"/>
        </w:rPr>
      </w:pPr>
      <w:r w:rsidRPr="00E84217">
        <w:rPr>
          <w:b w:val="0"/>
          <w:szCs w:val="24"/>
        </w:rPr>
        <w:t xml:space="preserve">Item </w:t>
      </w:r>
      <w:r w:rsidR="00DD34A0" w:rsidRPr="00E84217">
        <w:rPr>
          <w:b w:val="0"/>
          <w:szCs w:val="24"/>
        </w:rPr>
        <w:t>15</w:t>
      </w:r>
      <w:r w:rsidRPr="00E84217">
        <w:rPr>
          <w:b w:val="0"/>
          <w:szCs w:val="24"/>
        </w:rPr>
        <w:t xml:space="preserve"> amends the reference to the Audiological Society of Australia to its new title, Audiology Australia.</w:t>
      </w:r>
    </w:p>
    <w:p w14:paraId="48B41A86" w14:textId="77777777" w:rsidR="002D091E" w:rsidRPr="00E84217" w:rsidRDefault="002D091E" w:rsidP="00E1001D">
      <w:pPr>
        <w:pStyle w:val="BodyText"/>
        <w:rPr>
          <w:b w:val="0"/>
          <w:szCs w:val="24"/>
        </w:rPr>
      </w:pPr>
    </w:p>
    <w:p w14:paraId="4C059FFD" w14:textId="17540A67" w:rsidR="002D091E" w:rsidRPr="00E84217" w:rsidRDefault="00DD34A0" w:rsidP="00E1001D">
      <w:pPr>
        <w:pStyle w:val="BodyText"/>
        <w:rPr>
          <w:b w:val="0"/>
          <w:szCs w:val="24"/>
        </w:rPr>
      </w:pPr>
      <w:r w:rsidRPr="00E84217">
        <w:rPr>
          <w:b w:val="0"/>
          <w:szCs w:val="24"/>
        </w:rPr>
        <w:t>Item 16</w:t>
      </w:r>
      <w:r w:rsidR="002D091E" w:rsidRPr="00E84217">
        <w:rPr>
          <w:b w:val="0"/>
          <w:szCs w:val="24"/>
        </w:rPr>
        <w:t xml:space="preserve"> removes the reference to “participating optometrist” in item 11 of Schedule 1.</w:t>
      </w:r>
    </w:p>
    <w:p w14:paraId="73963AD7" w14:textId="77777777" w:rsidR="00ED29A2" w:rsidRPr="00E84217" w:rsidRDefault="00ED29A2" w:rsidP="00505F9A">
      <w:pPr>
        <w:pStyle w:val="Header"/>
        <w:tabs>
          <w:tab w:val="num" w:pos="1080"/>
        </w:tabs>
        <w:rPr>
          <w:iCs/>
          <w:color w:val="FF0000"/>
        </w:rPr>
      </w:pPr>
    </w:p>
    <w:p w14:paraId="3828D7A3" w14:textId="6C23DACB" w:rsidR="001D1B13" w:rsidRPr="00E84217" w:rsidRDefault="00866BC8" w:rsidP="00DD34A0">
      <w:pPr>
        <w:pStyle w:val="Header"/>
        <w:tabs>
          <w:tab w:val="num" w:pos="1080"/>
        </w:tabs>
        <w:rPr>
          <w:i/>
          <w:szCs w:val="24"/>
          <w:u w:val="single"/>
        </w:rPr>
      </w:pPr>
      <w:r w:rsidRPr="00E84217">
        <w:rPr>
          <w:szCs w:val="24"/>
          <w:u w:val="single"/>
        </w:rPr>
        <w:t>Schedule 2 – Amendments</w:t>
      </w:r>
      <w:r w:rsidR="00DD34A0" w:rsidRPr="00E84217">
        <w:rPr>
          <w:szCs w:val="24"/>
          <w:u w:val="single"/>
        </w:rPr>
        <w:t xml:space="preserve"> to the </w:t>
      </w:r>
      <w:r w:rsidR="001D1B13" w:rsidRPr="00E84217">
        <w:rPr>
          <w:i/>
          <w:szCs w:val="24"/>
          <w:u w:val="single"/>
        </w:rPr>
        <w:t>Health Insurance (Section 3C General Medical Services – Other Medical Practitioner) Determination 2018</w:t>
      </w:r>
    </w:p>
    <w:p w14:paraId="368D9ABA" w14:textId="77777777" w:rsidR="00DD34A0" w:rsidRPr="00E84217" w:rsidRDefault="00DD34A0" w:rsidP="00DD34A0">
      <w:pPr>
        <w:pStyle w:val="Header"/>
        <w:tabs>
          <w:tab w:val="num" w:pos="1080"/>
        </w:tabs>
        <w:rPr>
          <w:rFonts w:ascii="Arial" w:hAnsi="Arial" w:cs="Arial"/>
          <w:b/>
          <w:i/>
          <w:szCs w:val="24"/>
        </w:rPr>
      </w:pPr>
    </w:p>
    <w:p w14:paraId="4B1298AA" w14:textId="53EAF5F1" w:rsidR="002D091E" w:rsidRPr="00E84217" w:rsidRDefault="002D091E" w:rsidP="002D091E">
      <w:pPr>
        <w:pStyle w:val="BodyText"/>
        <w:rPr>
          <w:b w:val="0"/>
          <w:szCs w:val="24"/>
        </w:rPr>
      </w:pPr>
      <w:r w:rsidRPr="00E84217">
        <w:rPr>
          <w:b w:val="0"/>
          <w:szCs w:val="24"/>
        </w:rPr>
        <w:t>Item 1 inserts a definition for ‘CO</w:t>
      </w:r>
      <w:r w:rsidR="00DD34A0" w:rsidRPr="00E84217">
        <w:rPr>
          <w:b w:val="0"/>
          <w:szCs w:val="24"/>
        </w:rPr>
        <w:t>VID-19 Determination’, for ease</w:t>
      </w:r>
      <w:r w:rsidRPr="00E84217">
        <w:rPr>
          <w:b w:val="0"/>
          <w:szCs w:val="24"/>
        </w:rPr>
        <w:t xml:space="preserve"> of reference throughout the instrument.</w:t>
      </w:r>
    </w:p>
    <w:p w14:paraId="499A99FF" w14:textId="77777777" w:rsidR="002D091E" w:rsidRPr="00E84217" w:rsidRDefault="002D091E" w:rsidP="009C3F1C">
      <w:pPr>
        <w:pStyle w:val="BodyText"/>
        <w:rPr>
          <w:b w:val="0"/>
          <w:szCs w:val="24"/>
        </w:rPr>
      </w:pPr>
    </w:p>
    <w:p w14:paraId="76CBEF4E" w14:textId="790197E7" w:rsidR="009C3F1C" w:rsidRPr="00E84217" w:rsidRDefault="002D091E" w:rsidP="009C3F1C">
      <w:pPr>
        <w:pStyle w:val="BodyText"/>
        <w:rPr>
          <w:b w:val="0"/>
          <w:szCs w:val="24"/>
        </w:rPr>
      </w:pPr>
      <w:r w:rsidRPr="00E84217">
        <w:rPr>
          <w:b w:val="0"/>
          <w:szCs w:val="24"/>
        </w:rPr>
        <w:t xml:space="preserve">Items 2 to </w:t>
      </w:r>
      <w:r w:rsidR="00EF19D8" w:rsidRPr="00E84217">
        <w:rPr>
          <w:b w:val="0"/>
          <w:szCs w:val="24"/>
        </w:rPr>
        <w:t>10</w:t>
      </w:r>
      <w:r w:rsidR="003C40F3" w:rsidRPr="00E84217">
        <w:rPr>
          <w:b w:val="0"/>
          <w:szCs w:val="24"/>
        </w:rPr>
        <w:t xml:space="preserve"> insert </w:t>
      </w:r>
      <w:r w:rsidR="009C3F1C" w:rsidRPr="00E84217">
        <w:rPr>
          <w:b w:val="0"/>
          <w:szCs w:val="24"/>
        </w:rPr>
        <w:t xml:space="preserve">the telehealth and telephone equivalents of </w:t>
      </w:r>
      <w:r w:rsidR="003C40F3" w:rsidRPr="00E84217">
        <w:rPr>
          <w:b w:val="0"/>
          <w:szCs w:val="24"/>
        </w:rPr>
        <w:t>face-to-face items specified</w:t>
      </w:r>
      <w:r w:rsidRPr="00E84217">
        <w:rPr>
          <w:b w:val="0"/>
          <w:szCs w:val="24"/>
        </w:rPr>
        <w:t xml:space="preserve">. </w:t>
      </w:r>
    </w:p>
    <w:p w14:paraId="7DC1930B" w14:textId="77777777" w:rsidR="004C0EE4" w:rsidRPr="00E84217" w:rsidRDefault="004C0EE4" w:rsidP="009C3F1C">
      <w:pPr>
        <w:pStyle w:val="BodyText"/>
        <w:rPr>
          <w:b w:val="0"/>
          <w:szCs w:val="24"/>
        </w:rPr>
      </w:pPr>
    </w:p>
    <w:p w14:paraId="1F522CB0" w14:textId="77777777" w:rsidR="00860C11" w:rsidRPr="00E84217" w:rsidRDefault="004C0EE4" w:rsidP="009C3F1C">
      <w:pPr>
        <w:pStyle w:val="BodyText"/>
        <w:rPr>
          <w:b w:val="0"/>
          <w:szCs w:val="24"/>
        </w:rPr>
      </w:pPr>
      <w:r w:rsidRPr="00E84217">
        <w:rPr>
          <w:b w:val="0"/>
          <w:szCs w:val="24"/>
        </w:rPr>
        <w:t xml:space="preserve">Item </w:t>
      </w:r>
      <w:r w:rsidR="002D091E" w:rsidRPr="00E84217">
        <w:rPr>
          <w:b w:val="0"/>
          <w:szCs w:val="24"/>
        </w:rPr>
        <w:t>7</w:t>
      </w:r>
      <w:r w:rsidRPr="00E84217">
        <w:rPr>
          <w:b w:val="0"/>
          <w:szCs w:val="24"/>
        </w:rPr>
        <w:t xml:space="preserve"> also amends clause 1.9.3 to</w:t>
      </w:r>
      <w:r w:rsidR="00860C11" w:rsidRPr="00E84217">
        <w:rPr>
          <w:b w:val="0"/>
          <w:szCs w:val="24"/>
        </w:rPr>
        <w:t>:</w:t>
      </w:r>
    </w:p>
    <w:p w14:paraId="0316D865" w14:textId="58F11832" w:rsidR="00860C11" w:rsidRPr="00E84217" w:rsidRDefault="004C0EE4" w:rsidP="00860C11">
      <w:pPr>
        <w:pStyle w:val="BodyText"/>
        <w:numPr>
          <w:ilvl w:val="0"/>
          <w:numId w:val="39"/>
        </w:numPr>
        <w:rPr>
          <w:b w:val="0"/>
          <w:szCs w:val="24"/>
        </w:rPr>
      </w:pPr>
      <w:r w:rsidRPr="00E84217">
        <w:rPr>
          <w:b w:val="0"/>
          <w:szCs w:val="24"/>
        </w:rPr>
        <w:t>remove</w:t>
      </w:r>
      <w:r w:rsidR="00860C11" w:rsidRPr="00E84217">
        <w:rPr>
          <w:b w:val="0"/>
          <w:szCs w:val="24"/>
        </w:rPr>
        <w:t xml:space="preserve"> references in paragraphs (2)(c) and (d), and subparagraph 3(a)(iii) to transitional items that no longer exist</w:t>
      </w:r>
    </w:p>
    <w:p w14:paraId="28614E14" w14:textId="0F192BFF" w:rsidR="00860C11" w:rsidRPr="00E84217" w:rsidRDefault="00860C11" w:rsidP="00860C11">
      <w:pPr>
        <w:pStyle w:val="BodyText"/>
        <w:numPr>
          <w:ilvl w:val="0"/>
          <w:numId w:val="39"/>
        </w:numPr>
        <w:rPr>
          <w:b w:val="0"/>
          <w:szCs w:val="24"/>
        </w:rPr>
      </w:pPr>
      <w:r w:rsidRPr="00E84217">
        <w:rPr>
          <w:b w:val="0"/>
          <w:szCs w:val="24"/>
        </w:rPr>
        <w:t>correct paragraph 3(b) to make this limitation consistent with the equivalent item in the general medical services table (see clause 2.22.6(4)(b)).</w:t>
      </w:r>
    </w:p>
    <w:p w14:paraId="42747B28" w14:textId="77777777" w:rsidR="00860C11" w:rsidRPr="00E84217" w:rsidRDefault="00860C11" w:rsidP="009C3F1C">
      <w:pPr>
        <w:pStyle w:val="BodyText"/>
        <w:rPr>
          <w:b w:val="0"/>
          <w:szCs w:val="24"/>
        </w:rPr>
      </w:pPr>
    </w:p>
    <w:p w14:paraId="3E847726" w14:textId="5D6BC262" w:rsidR="001D1B13" w:rsidRPr="00E84217" w:rsidRDefault="00866BC8" w:rsidP="00AF1ACA">
      <w:pPr>
        <w:pStyle w:val="Header"/>
        <w:tabs>
          <w:tab w:val="num" w:pos="1080"/>
        </w:tabs>
        <w:rPr>
          <w:i/>
          <w:szCs w:val="24"/>
          <w:u w:val="single"/>
        </w:rPr>
      </w:pPr>
      <w:r w:rsidRPr="00E84217">
        <w:rPr>
          <w:szCs w:val="24"/>
          <w:u w:val="single"/>
        </w:rPr>
        <w:t>Schedule 3 – Amendments</w:t>
      </w:r>
      <w:bookmarkStart w:id="0" w:name="_Toc36220734"/>
      <w:r w:rsidR="00DD34A0" w:rsidRPr="00E84217">
        <w:rPr>
          <w:szCs w:val="24"/>
          <w:u w:val="single"/>
        </w:rPr>
        <w:t xml:space="preserve"> to the </w:t>
      </w:r>
      <w:r w:rsidR="001D1B13" w:rsidRPr="00E84217">
        <w:rPr>
          <w:i/>
          <w:szCs w:val="24"/>
          <w:u w:val="single"/>
        </w:rPr>
        <w:t>Health Insurance (Section 3C General Medical Services – Eating Disorders Treatment Plan and Psychological Treatment Services) Determination 2019</w:t>
      </w:r>
      <w:bookmarkEnd w:id="0"/>
    </w:p>
    <w:p w14:paraId="00CDD665" w14:textId="77777777" w:rsidR="00AF1ACA" w:rsidRPr="00E84217" w:rsidRDefault="00AF1ACA" w:rsidP="00AF1ACA">
      <w:pPr>
        <w:pStyle w:val="Header"/>
        <w:tabs>
          <w:tab w:val="num" w:pos="1080"/>
        </w:tabs>
        <w:rPr>
          <w:szCs w:val="24"/>
          <w:u w:val="single"/>
        </w:rPr>
      </w:pPr>
    </w:p>
    <w:p w14:paraId="1EB55842" w14:textId="77777777" w:rsidR="00DD34A0" w:rsidRPr="00E84217" w:rsidRDefault="00DD34A0" w:rsidP="00DD34A0">
      <w:pPr>
        <w:pStyle w:val="BodyText"/>
        <w:rPr>
          <w:b w:val="0"/>
          <w:szCs w:val="24"/>
        </w:rPr>
      </w:pPr>
      <w:r w:rsidRPr="00E84217">
        <w:rPr>
          <w:b w:val="0"/>
          <w:szCs w:val="24"/>
        </w:rPr>
        <w:t>Item 1 inserts a definition for ‘COVID-19 Determination’, for ease of reference throughout the instrument.</w:t>
      </w:r>
    </w:p>
    <w:p w14:paraId="305A993C" w14:textId="77777777" w:rsidR="00DD34A0" w:rsidRPr="00E84217" w:rsidRDefault="00DD34A0" w:rsidP="002262EB">
      <w:pPr>
        <w:pStyle w:val="BodyText"/>
        <w:rPr>
          <w:b w:val="0"/>
          <w:szCs w:val="24"/>
        </w:rPr>
      </w:pPr>
    </w:p>
    <w:p w14:paraId="2D50397F" w14:textId="5422C068" w:rsidR="002262EB" w:rsidRPr="00E84217" w:rsidRDefault="00DD34A0" w:rsidP="002262EB">
      <w:pPr>
        <w:pStyle w:val="BodyText"/>
        <w:rPr>
          <w:b w:val="0"/>
          <w:szCs w:val="24"/>
        </w:rPr>
      </w:pPr>
      <w:r w:rsidRPr="00E84217">
        <w:rPr>
          <w:b w:val="0"/>
          <w:szCs w:val="24"/>
        </w:rPr>
        <w:t>Items 2 and 3</w:t>
      </w:r>
      <w:r w:rsidR="002262EB" w:rsidRPr="00E84217">
        <w:rPr>
          <w:b w:val="0"/>
          <w:szCs w:val="24"/>
        </w:rPr>
        <w:t xml:space="preserve"> amend the definitions of ‘eating disorder psychological treatment’ and ‘eating disorder treatment and management plan’ to include the telehealth and telephone equivalents of the face-to-face items specified. This will flow through to the limitations on the face-to-face items, which incorporate these definitions.</w:t>
      </w:r>
    </w:p>
    <w:p w14:paraId="04395DC6" w14:textId="77777777" w:rsidR="002262EB" w:rsidRPr="00E84217" w:rsidRDefault="002262EB" w:rsidP="002262EB">
      <w:pPr>
        <w:pStyle w:val="BodyText"/>
        <w:rPr>
          <w:b w:val="0"/>
          <w:szCs w:val="24"/>
        </w:rPr>
      </w:pPr>
    </w:p>
    <w:p w14:paraId="7D7ABB64" w14:textId="1792347B" w:rsidR="00ED29A2" w:rsidRPr="00E84217" w:rsidRDefault="002262EB" w:rsidP="002262EB">
      <w:pPr>
        <w:pStyle w:val="BodyText"/>
        <w:rPr>
          <w:b w:val="0"/>
          <w:szCs w:val="24"/>
        </w:rPr>
      </w:pPr>
      <w:r w:rsidRPr="00E84217">
        <w:rPr>
          <w:b w:val="0"/>
          <w:szCs w:val="24"/>
        </w:rPr>
        <w:t xml:space="preserve">Items </w:t>
      </w:r>
      <w:r w:rsidR="00DD34A0" w:rsidRPr="00E84217">
        <w:rPr>
          <w:b w:val="0"/>
          <w:szCs w:val="24"/>
        </w:rPr>
        <w:t>4 to 7</w:t>
      </w:r>
      <w:r w:rsidR="004B76B9" w:rsidRPr="00E84217">
        <w:rPr>
          <w:b w:val="0"/>
          <w:szCs w:val="24"/>
        </w:rPr>
        <w:t xml:space="preserve"> amend </w:t>
      </w:r>
      <w:r w:rsidR="00EF5E3A" w:rsidRPr="00E84217">
        <w:rPr>
          <w:b w:val="0"/>
          <w:szCs w:val="24"/>
        </w:rPr>
        <w:t>the</w:t>
      </w:r>
      <w:r w:rsidR="004B76B9" w:rsidRPr="00E84217">
        <w:rPr>
          <w:b w:val="0"/>
          <w:szCs w:val="24"/>
        </w:rPr>
        <w:t xml:space="preserve"> application</w:t>
      </w:r>
      <w:r w:rsidR="00EF5E3A" w:rsidRPr="00E84217">
        <w:rPr>
          <w:b w:val="0"/>
          <w:szCs w:val="24"/>
        </w:rPr>
        <w:t xml:space="preserve"> </w:t>
      </w:r>
      <w:r w:rsidR="004B76B9" w:rsidRPr="00E84217">
        <w:rPr>
          <w:b w:val="0"/>
          <w:szCs w:val="24"/>
        </w:rPr>
        <w:t xml:space="preserve">provisions </w:t>
      </w:r>
      <w:r w:rsidR="00EF5E3A" w:rsidRPr="00E84217">
        <w:rPr>
          <w:b w:val="0"/>
          <w:szCs w:val="24"/>
        </w:rPr>
        <w:t>in sections 7</w:t>
      </w:r>
      <w:r w:rsidR="004E7C55" w:rsidRPr="00E84217">
        <w:rPr>
          <w:b w:val="0"/>
          <w:szCs w:val="24"/>
        </w:rPr>
        <w:t>,</w:t>
      </w:r>
      <w:r w:rsidR="00EF5E3A" w:rsidRPr="00E84217">
        <w:rPr>
          <w:b w:val="0"/>
          <w:szCs w:val="24"/>
        </w:rPr>
        <w:t xml:space="preserve"> 9</w:t>
      </w:r>
      <w:r w:rsidR="004E7C55" w:rsidRPr="00E84217">
        <w:rPr>
          <w:b w:val="0"/>
          <w:szCs w:val="24"/>
        </w:rPr>
        <w:t xml:space="preserve"> and 11</w:t>
      </w:r>
      <w:r w:rsidR="00EF5E3A" w:rsidRPr="00E84217">
        <w:rPr>
          <w:b w:val="0"/>
          <w:szCs w:val="24"/>
        </w:rPr>
        <w:t xml:space="preserve"> </w:t>
      </w:r>
      <w:r w:rsidR="004B76B9" w:rsidRPr="00E84217">
        <w:rPr>
          <w:b w:val="0"/>
          <w:szCs w:val="24"/>
        </w:rPr>
        <w:t xml:space="preserve">to include </w:t>
      </w:r>
      <w:r w:rsidR="00EF5E3A" w:rsidRPr="00E84217">
        <w:rPr>
          <w:b w:val="0"/>
          <w:szCs w:val="24"/>
        </w:rPr>
        <w:t xml:space="preserve">the telehealth and telephone equivalents of the face-to-face items </w:t>
      </w:r>
      <w:r w:rsidR="00793DF5" w:rsidRPr="00E84217">
        <w:rPr>
          <w:b w:val="0"/>
          <w:szCs w:val="24"/>
        </w:rPr>
        <w:t>referred</w:t>
      </w:r>
      <w:r w:rsidR="00EF5E3A" w:rsidRPr="00E84217">
        <w:rPr>
          <w:b w:val="0"/>
          <w:szCs w:val="24"/>
        </w:rPr>
        <w:t xml:space="preserve"> to. </w:t>
      </w:r>
    </w:p>
    <w:p w14:paraId="6873DA72" w14:textId="77777777" w:rsidR="00ED29A2" w:rsidRPr="00E84217" w:rsidRDefault="00ED29A2" w:rsidP="00866BC8">
      <w:pPr>
        <w:pStyle w:val="Header"/>
        <w:tabs>
          <w:tab w:val="num" w:pos="1080"/>
        </w:tabs>
        <w:rPr>
          <w:szCs w:val="24"/>
          <w:u w:val="single"/>
        </w:rPr>
      </w:pPr>
    </w:p>
    <w:p w14:paraId="66769DDB" w14:textId="28D6859B" w:rsidR="00866BC8" w:rsidRPr="00E84217" w:rsidRDefault="00866BC8" w:rsidP="00DD34A0">
      <w:pPr>
        <w:pStyle w:val="Header"/>
        <w:tabs>
          <w:tab w:val="num" w:pos="1080"/>
        </w:tabs>
        <w:rPr>
          <w:rFonts w:ascii="Arial" w:hAnsi="Arial" w:cs="Arial"/>
          <w:b/>
          <w:i/>
          <w:szCs w:val="24"/>
        </w:rPr>
      </w:pPr>
      <w:r w:rsidRPr="00E84217">
        <w:rPr>
          <w:szCs w:val="24"/>
          <w:u w:val="single"/>
        </w:rPr>
        <w:t>Schedule 4 – Amendments</w:t>
      </w:r>
      <w:r w:rsidR="00DD34A0" w:rsidRPr="00E84217">
        <w:rPr>
          <w:szCs w:val="24"/>
          <w:u w:val="single"/>
        </w:rPr>
        <w:t xml:space="preserve"> to the </w:t>
      </w:r>
      <w:r w:rsidRPr="00E84217">
        <w:rPr>
          <w:i/>
          <w:szCs w:val="24"/>
          <w:u w:val="single"/>
        </w:rPr>
        <w:t>Health Insurance (Section 3C General Medical Services – COVID-19 Telehealth and Telephone Attendances) Determination 2020</w:t>
      </w:r>
    </w:p>
    <w:p w14:paraId="48D05410" w14:textId="77777777" w:rsidR="00DD34A0" w:rsidRPr="00E84217" w:rsidRDefault="00DD34A0" w:rsidP="00866BC8">
      <w:pPr>
        <w:pStyle w:val="BodyText"/>
        <w:rPr>
          <w:szCs w:val="24"/>
        </w:rPr>
      </w:pPr>
    </w:p>
    <w:p w14:paraId="2DE4CA5B" w14:textId="4DA777A0" w:rsidR="00E875EF" w:rsidRPr="00E84217" w:rsidRDefault="00AE3537" w:rsidP="00866BC8">
      <w:pPr>
        <w:pStyle w:val="BodyText"/>
        <w:rPr>
          <w:szCs w:val="24"/>
        </w:rPr>
      </w:pPr>
      <w:r w:rsidRPr="00E84217">
        <w:rPr>
          <w:szCs w:val="24"/>
        </w:rPr>
        <w:t xml:space="preserve">Making references </w:t>
      </w:r>
      <w:r w:rsidR="00E875EF" w:rsidRPr="00E84217">
        <w:rPr>
          <w:szCs w:val="24"/>
        </w:rPr>
        <w:t>to other Determinations</w:t>
      </w:r>
      <w:r w:rsidRPr="00E84217">
        <w:rPr>
          <w:szCs w:val="24"/>
        </w:rPr>
        <w:t xml:space="preserve"> consistent </w:t>
      </w:r>
    </w:p>
    <w:p w14:paraId="3D33D336" w14:textId="77777777" w:rsidR="00E875EF" w:rsidRPr="00E84217" w:rsidRDefault="00E875EF" w:rsidP="00866BC8">
      <w:pPr>
        <w:pStyle w:val="BodyText"/>
        <w:rPr>
          <w:b w:val="0"/>
          <w:szCs w:val="24"/>
        </w:rPr>
      </w:pPr>
    </w:p>
    <w:p w14:paraId="03FEAB17" w14:textId="4251CF70" w:rsidR="00866BC8" w:rsidRPr="00E84217" w:rsidRDefault="00884785" w:rsidP="00866BC8">
      <w:pPr>
        <w:pStyle w:val="BodyText"/>
        <w:rPr>
          <w:b w:val="0"/>
          <w:szCs w:val="24"/>
        </w:rPr>
      </w:pPr>
      <w:r w:rsidRPr="00E84217">
        <w:rPr>
          <w:b w:val="0"/>
          <w:szCs w:val="24"/>
        </w:rPr>
        <w:t xml:space="preserve">Schedule 4 amends the COVID-19 Determination to simplify how </w:t>
      </w:r>
      <w:r w:rsidR="00866BC8" w:rsidRPr="00E84217">
        <w:rPr>
          <w:b w:val="0"/>
          <w:szCs w:val="24"/>
        </w:rPr>
        <w:t xml:space="preserve">the Allied Health Determination, Other Medical Practitioner Determination </w:t>
      </w:r>
      <w:r w:rsidR="00793DF5" w:rsidRPr="00E84217">
        <w:rPr>
          <w:b w:val="0"/>
          <w:szCs w:val="24"/>
        </w:rPr>
        <w:t>and Eating</w:t>
      </w:r>
      <w:r w:rsidR="00866BC8" w:rsidRPr="00E84217">
        <w:rPr>
          <w:b w:val="0"/>
          <w:szCs w:val="24"/>
        </w:rPr>
        <w:t xml:space="preserve"> Disorders Services Determination are referred to in the</w:t>
      </w:r>
      <w:r w:rsidRPr="00E84217">
        <w:rPr>
          <w:b w:val="0"/>
          <w:szCs w:val="24"/>
        </w:rPr>
        <w:t xml:space="preserve"> instrument</w:t>
      </w:r>
      <w:r w:rsidR="00866BC8" w:rsidRPr="00E84217">
        <w:rPr>
          <w:b w:val="0"/>
          <w:szCs w:val="24"/>
        </w:rPr>
        <w:t>:</w:t>
      </w:r>
    </w:p>
    <w:p w14:paraId="3BBB6976" w14:textId="6525BFC1" w:rsidR="00866BC8" w:rsidRPr="00E84217" w:rsidRDefault="00C75A5F" w:rsidP="00C75A5F">
      <w:pPr>
        <w:pStyle w:val="BodyText"/>
        <w:tabs>
          <w:tab w:val="left" w:pos="1658"/>
        </w:tabs>
        <w:rPr>
          <w:b w:val="0"/>
          <w:szCs w:val="24"/>
        </w:rPr>
      </w:pPr>
      <w:r w:rsidRPr="00E84217">
        <w:rPr>
          <w:b w:val="0"/>
          <w:szCs w:val="24"/>
        </w:rPr>
        <w:tab/>
      </w:r>
    </w:p>
    <w:p w14:paraId="6F107B6A" w14:textId="35EF35A4" w:rsidR="00866BC8" w:rsidRPr="00E84217" w:rsidRDefault="009F2B9E" w:rsidP="00866BC8">
      <w:pPr>
        <w:pStyle w:val="BodyText"/>
        <w:numPr>
          <w:ilvl w:val="0"/>
          <w:numId w:val="37"/>
        </w:numPr>
        <w:rPr>
          <w:szCs w:val="24"/>
          <w:u w:val="single"/>
        </w:rPr>
      </w:pPr>
      <w:r w:rsidRPr="00E84217">
        <w:rPr>
          <w:b w:val="0"/>
          <w:szCs w:val="24"/>
        </w:rPr>
        <w:t>Item</w:t>
      </w:r>
      <w:r w:rsidR="00866BC8" w:rsidRPr="00E84217">
        <w:rPr>
          <w:b w:val="0"/>
          <w:szCs w:val="24"/>
        </w:rPr>
        <w:t xml:space="preserve"> </w:t>
      </w:r>
      <w:r w:rsidR="00BE5C9E" w:rsidRPr="00E84217">
        <w:rPr>
          <w:b w:val="0"/>
          <w:szCs w:val="24"/>
        </w:rPr>
        <w:t>1</w:t>
      </w:r>
      <w:r w:rsidR="00866BC8" w:rsidRPr="00E84217">
        <w:rPr>
          <w:b w:val="0"/>
          <w:szCs w:val="24"/>
        </w:rPr>
        <w:t xml:space="preserve"> </w:t>
      </w:r>
      <w:r w:rsidRPr="00E84217">
        <w:rPr>
          <w:b w:val="0"/>
          <w:szCs w:val="24"/>
        </w:rPr>
        <w:t xml:space="preserve">inserts </w:t>
      </w:r>
      <w:r w:rsidR="00866BC8" w:rsidRPr="00E84217">
        <w:rPr>
          <w:b w:val="0"/>
          <w:szCs w:val="24"/>
        </w:rPr>
        <w:t>new definitions in relation to the Allied Health Determination and Eating Disorders Services Determination, consistent with the definition of the Other Medical Practitioner Determination already in s</w:t>
      </w:r>
      <w:r w:rsidR="00884785" w:rsidRPr="00E84217">
        <w:rPr>
          <w:b w:val="0"/>
          <w:szCs w:val="24"/>
        </w:rPr>
        <w:t>ubsection</w:t>
      </w:r>
      <w:r w:rsidR="00866BC8" w:rsidRPr="00E84217">
        <w:rPr>
          <w:b w:val="0"/>
          <w:szCs w:val="24"/>
        </w:rPr>
        <w:t xml:space="preserve"> 5(1) of the COVID-19 Determination. </w:t>
      </w:r>
    </w:p>
    <w:p w14:paraId="1FC99BA7" w14:textId="77777777" w:rsidR="00866BC8" w:rsidRPr="00E84217" w:rsidRDefault="00866BC8" w:rsidP="00866BC8">
      <w:pPr>
        <w:pStyle w:val="BodyText"/>
        <w:ind w:left="720"/>
        <w:rPr>
          <w:szCs w:val="24"/>
          <w:u w:val="single"/>
        </w:rPr>
      </w:pPr>
    </w:p>
    <w:p w14:paraId="6A2E5F9A" w14:textId="6B5D092D" w:rsidR="00C75A5F" w:rsidRPr="00E84217" w:rsidRDefault="00866BC8" w:rsidP="009F2B9E">
      <w:pPr>
        <w:pStyle w:val="BodyText"/>
        <w:numPr>
          <w:ilvl w:val="0"/>
          <w:numId w:val="37"/>
        </w:numPr>
        <w:rPr>
          <w:szCs w:val="24"/>
          <w:u w:val="single"/>
        </w:rPr>
      </w:pPr>
      <w:r w:rsidRPr="00E84217">
        <w:rPr>
          <w:b w:val="0"/>
          <w:szCs w:val="24"/>
        </w:rPr>
        <w:t xml:space="preserve">Items </w:t>
      </w:r>
      <w:r w:rsidR="00AC1CCF" w:rsidRPr="00E84217">
        <w:rPr>
          <w:b w:val="0"/>
          <w:szCs w:val="24"/>
        </w:rPr>
        <w:t>11</w:t>
      </w:r>
      <w:r w:rsidR="00C75346" w:rsidRPr="00E84217">
        <w:rPr>
          <w:b w:val="0"/>
          <w:szCs w:val="24"/>
        </w:rPr>
        <w:t xml:space="preserve"> to 17, 26</w:t>
      </w:r>
      <w:r w:rsidR="00572A64" w:rsidRPr="00E84217">
        <w:rPr>
          <w:b w:val="0"/>
          <w:szCs w:val="24"/>
        </w:rPr>
        <w:t xml:space="preserve"> to 37, 44 to 61, 68 to 70, 76 and 77</w:t>
      </w:r>
      <w:r w:rsidR="00AC1CCF" w:rsidRPr="00E84217">
        <w:rPr>
          <w:b w:val="0"/>
          <w:szCs w:val="24"/>
        </w:rPr>
        <w:t xml:space="preserve"> </w:t>
      </w:r>
      <w:r w:rsidRPr="00E84217">
        <w:rPr>
          <w:b w:val="0"/>
          <w:szCs w:val="24"/>
        </w:rPr>
        <w:t>make amendments</w:t>
      </w:r>
      <w:r w:rsidR="00193DFC" w:rsidRPr="00E84217">
        <w:rPr>
          <w:b w:val="0"/>
          <w:szCs w:val="24"/>
        </w:rPr>
        <w:t xml:space="preserve"> to specific </w:t>
      </w:r>
      <w:r w:rsidR="00C75A5F" w:rsidRPr="00E84217">
        <w:rPr>
          <w:b w:val="0"/>
          <w:szCs w:val="24"/>
        </w:rPr>
        <w:t xml:space="preserve">clauses and item descriptors </w:t>
      </w:r>
      <w:r w:rsidRPr="00E84217">
        <w:rPr>
          <w:b w:val="0"/>
          <w:szCs w:val="24"/>
        </w:rPr>
        <w:t xml:space="preserve">so that </w:t>
      </w:r>
      <w:r w:rsidR="00C75A5F" w:rsidRPr="00E84217">
        <w:rPr>
          <w:b w:val="0"/>
          <w:szCs w:val="24"/>
        </w:rPr>
        <w:t xml:space="preserve">every time </w:t>
      </w:r>
      <w:r w:rsidRPr="00E84217">
        <w:rPr>
          <w:b w:val="0"/>
          <w:szCs w:val="24"/>
        </w:rPr>
        <w:t>an item in the Allied Health Determination, Other Medical Practitioner Determ</w:t>
      </w:r>
      <w:r w:rsidR="00793DF5" w:rsidRPr="00E84217">
        <w:rPr>
          <w:b w:val="0"/>
          <w:szCs w:val="24"/>
        </w:rPr>
        <w:t>in</w:t>
      </w:r>
      <w:r w:rsidRPr="00E84217">
        <w:rPr>
          <w:b w:val="0"/>
          <w:szCs w:val="24"/>
        </w:rPr>
        <w:t>ation or Eating Disorders Services Determination</w:t>
      </w:r>
      <w:r w:rsidR="0043721A" w:rsidRPr="00E84217">
        <w:rPr>
          <w:b w:val="0"/>
          <w:szCs w:val="24"/>
        </w:rPr>
        <w:t xml:space="preserve"> is </w:t>
      </w:r>
      <w:r w:rsidR="00793DF5" w:rsidRPr="00E84217">
        <w:rPr>
          <w:b w:val="0"/>
          <w:szCs w:val="24"/>
        </w:rPr>
        <w:t>referred</w:t>
      </w:r>
      <w:r w:rsidR="004F3BF4" w:rsidRPr="00E84217">
        <w:rPr>
          <w:b w:val="0"/>
          <w:szCs w:val="24"/>
        </w:rPr>
        <w:t xml:space="preserve"> to the</w:t>
      </w:r>
      <w:r w:rsidR="00C75A5F" w:rsidRPr="00E84217">
        <w:rPr>
          <w:b w:val="0"/>
          <w:szCs w:val="24"/>
        </w:rPr>
        <w:t xml:space="preserve"> relevant determination is </w:t>
      </w:r>
      <w:r w:rsidR="004F3BF4" w:rsidRPr="00E84217">
        <w:rPr>
          <w:b w:val="0"/>
          <w:szCs w:val="24"/>
        </w:rPr>
        <w:t xml:space="preserve">specified </w:t>
      </w:r>
      <w:r w:rsidR="0043721A" w:rsidRPr="00E84217">
        <w:rPr>
          <w:b w:val="0"/>
          <w:szCs w:val="24"/>
        </w:rPr>
        <w:t xml:space="preserve">consistently </w:t>
      </w:r>
      <w:r w:rsidR="004F3BF4" w:rsidRPr="00E84217">
        <w:rPr>
          <w:b w:val="0"/>
          <w:szCs w:val="24"/>
        </w:rPr>
        <w:t>using the defined terms</w:t>
      </w:r>
      <w:r w:rsidR="00C75A5F" w:rsidRPr="00E84217">
        <w:rPr>
          <w:b w:val="0"/>
          <w:szCs w:val="24"/>
        </w:rPr>
        <w:t>.</w:t>
      </w:r>
    </w:p>
    <w:p w14:paraId="6252B370" w14:textId="77777777" w:rsidR="00BE5C9E" w:rsidRPr="00E84217" w:rsidRDefault="00BE5C9E" w:rsidP="00BE5C9E">
      <w:pPr>
        <w:pStyle w:val="ListParagraph"/>
        <w:rPr>
          <w:szCs w:val="24"/>
          <w:u w:val="single"/>
        </w:rPr>
      </w:pPr>
    </w:p>
    <w:p w14:paraId="1FAC4170" w14:textId="15117830" w:rsidR="00BE5C9E" w:rsidRPr="00E84217" w:rsidRDefault="00BE5C9E" w:rsidP="00BE5C9E">
      <w:pPr>
        <w:pStyle w:val="BodyText"/>
        <w:numPr>
          <w:ilvl w:val="0"/>
          <w:numId w:val="37"/>
        </w:numPr>
        <w:rPr>
          <w:szCs w:val="24"/>
          <w:u w:val="single"/>
        </w:rPr>
      </w:pPr>
      <w:r w:rsidRPr="00E84217">
        <w:rPr>
          <w:b w:val="0"/>
          <w:szCs w:val="24"/>
        </w:rPr>
        <w:t xml:space="preserve">Items </w:t>
      </w:r>
      <w:r w:rsidR="0043721A" w:rsidRPr="00E84217">
        <w:rPr>
          <w:b w:val="0"/>
          <w:szCs w:val="24"/>
        </w:rPr>
        <w:t>8</w:t>
      </w:r>
      <w:r w:rsidR="007E05D0" w:rsidRPr="00E84217">
        <w:rPr>
          <w:b w:val="0"/>
          <w:szCs w:val="24"/>
        </w:rPr>
        <w:t>2</w:t>
      </w:r>
      <w:r w:rsidR="00572A64" w:rsidRPr="00E84217">
        <w:rPr>
          <w:b w:val="0"/>
          <w:szCs w:val="24"/>
        </w:rPr>
        <w:t xml:space="preserve"> to 8</w:t>
      </w:r>
      <w:r w:rsidR="007E05D0" w:rsidRPr="00E84217">
        <w:rPr>
          <w:b w:val="0"/>
          <w:szCs w:val="24"/>
        </w:rPr>
        <w:t>4</w:t>
      </w:r>
      <w:r w:rsidRPr="00E84217">
        <w:rPr>
          <w:b w:val="0"/>
          <w:szCs w:val="24"/>
        </w:rPr>
        <w:t xml:space="preserve"> remove the references to the full titles of the Allied Health Determination, Other Medical Practitioner Determination and Eating Disorders Services Determination and replace them with the new defined terms throughout the COVID-19 Determination. </w:t>
      </w:r>
    </w:p>
    <w:p w14:paraId="4A0288E5" w14:textId="77777777" w:rsidR="00C75A5F" w:rsidRPr="00E84217" w:rsidRDefault="00C75A5F" w:rsidP="00C75A5F">
      <w:pPr>
        <w:pStyle w:val="ListParagraph"/>
        <w:rPr>
          <w:b/>
          <w:szCs w:val="24"/>
        </w:rPr>
      </w:pPr>
    </w:p>
    <w:p w14:paraId="1723781A" w14:textId="7DD10005" w:rsidR="00A7174A" w:rsidRPr="00E84217" w:rsidRDefault="00AE3537" w:rsidP="004946E5">
      <w:pPr>
        <w:pStyle w:val="BodyText"/>
        <w:rPr>
          <w:szCs w:val="24"/>
        </w:rPr>
      </w:pPr>
      <w:r w:rsidRPr="00E84217">
        <w:rPr>
          <w:szCs w:val="24"/>
        </w:rPr>
        <w:t>Inserting limitations on eating disorder</w:t>
      </w:r>
      <w:r w:rsidR="004F3BF4" w:rsidRPr="00E84217">
        <w:rPr>
          <w:szCs w:val="24"/>
        </w:rPr>
        <w:t>s</w:t>
      </w:r>
      <w:r w:rsidRPr="00E84217">
        <w:rPr>
          <w:szCs w:val="24"/>
        </w:rPr>
        <w:t xml:space="preserve"> </w:t>
      </w:r>
      <w:r w:rsidR="004F3BF4" w:rsidRPr="00E84217">
        <w:rPr>
          <w:szCs w:val="24"/>
        </w:rPr>
        <w:t>services</w:t>
      </w:r>
      <w:r w:rsidRPr="00E84217">
        <w:rPr>
          <w:szCs w:val="24"/>
        </w:rPr>
        <w:t xml:space="preserve"> </w:t>
      </w:r>
    </w:p>
    <w:p w14:paraId="4D019D67" w14:textId="77777777" w:rsidR="00A7174A" w:rsidRPr="00E84217" w:rsidRDefault="00A7174A" w:rsidP="004946E5">
      <w:pPr>
        <w:pStyle w:val="BodyText"/>
        <w:rPr>
          <w:b w:val="0"/>
          <w:szCs w:val="24"/>
        </w:rPr>
      </w:pPr>
    </w:p>
    <w:p w14:paraId="5BFCD05C" w14:textId="11F70CBB" w:rsidR="00A7174A" w:rsidRPr="00E84217" w:rsidRDefault="00DD34A0" w:rsidP="00A7174A">
      <w:pPr>
        <w:pStyle w:val="BodyText"/>
        <w:rPr>
          <w:b w:val="0"/>
          <w:szCs w:val="24"/>
        </w:rPr>
      </w:pPr>
      <w:r w:rsidRPr="00E84217">
        <w:rPr>
          <w:b w:val="0"/>
          <w:szCs w:val="24"/>
        </w:rPr>
        <w:t>Items 1,</w:t>
      </w:r>
      <w:r w:rsidR="00346029" w:rsidRPr="00E84217">
        <w:rPr>
          <w:b w:val="0"/>
          <w:szCs w:val="24"/>
        </w:rPr>
        <w:t xml:space="preserve"> 24 and 25</w:t>
      </w:r>
      <w:r w:rsidR="00A7174A" w:rsidRPr="00E84217">
        <w:rPr>
          <w:b w:val="0"/>
          <w:szCs w:val="24"/>
        </w:rPr>
        <w:t xml:space="preserve"> insert </w:t>
      </w:r>
      <w:r w:rsidRPr="00E84217">
        <w:rPr>
          <w:b w:val="0"/>
          <w:szCs w:val="24"/>
        </w:rPr>
        <w:t>definitions and the</w:t>
      </w:r>
      <w:r w:rsidR="00A7174A" w:rsidRPr="00E84217">
        <w:rPr>
          <w:b w:val="0"/>
          <w:szCs w:val="24"/>
        </w:rPr>
        <w:t xml:space="preserve"> application and limitation provisions for eating disorder services in the Eating Disorders Services Determination, so that the requirements for </w:t>
      </w:r>
      <w:r w:rsidR="00A7174A" w:rsidRPr="00E84217">
        <w:rPr>
          <w:b w:val="0"/>
          <w:szCs w:val="24"/>
        </w:rPr>
        <w:lastRenderedPageBreak/>
        <w:t xml:space="preserve">GP and medical practitioner eating disorder services provided by telehealth and telephone are the same as when provided face-to-face. These limitations were </w:t>
      </w:r>
      <w:r w:rsidR="00793DF5" w:rsidRPr="00E84217">
        <w:rPr>
          <w:b w:val="0"/>
          <w:szCs w:val="24"/>
        </w:rPr>
        <w:t>mistakenly</w:t>
      </w:r>
      <w:r w:rsidR="00A7174A" w:rsidRPr="00E84217">
        <w:rPr>
          <w:b w:val="0"/>
          <w:szCs w:val="24"/>
        </w:rPr>
        <w:t xml:space="preserve"> not included in the COVID-19 Determination when made. </w:t>
      </w:r>
    </w:p>
    <w:p w14:paraId="46C34334" w14:textId="77777777" w:rsidR="00A7174A" w:rsidRPr="00E84217" w:rsidRDefault="00A7174A" w:rsidP="004946E5">
      <w:pPr>
        <w:pStyle w:val="BodyText"/>
        <w:rPr>
          <w:b w:val="0"/>
          <w:szCs w:val="24"/>
        </w:rPr>
      </w:pPr>
    </w:p>
    <w:p w14:paraId="12C6AC17" w14:textId="0B2E6784" w:rsidR="00E875EF" w:rsidRPr="00E84217" w:rsidRDefault="00E875EF" w:rsidP="00E875EF">
      <w:pPr>
        <w:pStyle w:val="BodyText"/>
        <w:rPr>
          <w:szCs w:val="24"/>
        </w:rPr>
      </w:pPr>
      <w:r w:rsidRPr="00E84217">
        <w:rPr>
          <w:szCs w:val="24"/>
        </w:rPr>
        <w:t>General corrections</w:t>
      </w:r>
    </w:p>
    <w:p w14:paraId="793C20E3" w14:textId="77777777" w:rsidR="00E875EF" w:rsidRPr="00E84217" w:rsidRDefault="00E875EF" w:rsidP="004946E5">
      <w:pPr>
        <w:pStyle w:val="BodyText"/>
        <w:rPr>
          <w:b w:val="0"/>
          <w:szCs w:val="24"/>
        </w:rPr>
      </w:pPr>
    </w:p>
    <w:p w14:paraId="34F040EA" w14:textId="76552647" w:rsidR="00DD34A0" w:rsidRPr="00E84217" w:rsidRDefault="00AC1CCF" w:rsidP="00E875EF">
      <w:pPr>
        <w:pStyle w:val="BodyText"/>
        <w:rPr>
          <w:b w:val="0"/>
          <w:szCs w:val="24"/>
        </w:rPr>
      </w:pPr>
      <w:r w:rsidRPr="00E84217">
        <w:rPr>
          <w:b w:val="0"/>
          <w:szCs w:val="24"/>
        </w:rPr>
        <w:t>Item 1 inserts the</w:t>
      </w:r>
      <w:r w:rsidR="00DD34A0" w:rsidRPr="00E84217">
        <w:rPr>
          <w:b w:val="0"/>
          <w:szCs w:val="24"/>
        </w:rPr>
        <w:t xml:space="preserve"> definition for “Aboriginal and Torres Strait Islander health practitioner”, which was mistakenly omitted.</w:t>
      </w:r>
    </w:p>
    <w:p w14:paraId="101D2FD4" w14:textId="77777777" w:rsidR="00DD34A0" w:rsidRPr="00E84217" w:rsidRDefault="00DD34A0" w:rsidP="00E875EF">
      <w:pPr>
        <w:pStyle w:val="BodyText"/>
        <w:rPr>
          <w:b w:val="0"/>
          <w:szCs w:val="24"/>
        </w:rPr>
      </w:pPr>
    </w:p>
    <w:p w14:paraId="246B5118" w14:textId="38CC31F3" w:rsidR="00E875EF" w:rsidRPr="00E84217" w:rsidRDefault="00DD34A0" w:rsidP="00E875EF">
      <w:pPr>
        <w:pStyle w:val="BodyText"/>
        <w:rPr>
          <w:b w:val="0"/>
          <w:szCs w:val="24"/>
        </w:rPr>
      </w:pPr>
      <w:r w:rsidRPr="00E84217">
        <w:rPr>
          <w:b w:val="0"/>
          <w:szCs w:val="24"/>
        </w:rPr>
        <w:t>Items 2 and 4</w:t>
      </w:r>
      <w:r w:rsidR="00E875EF" w:rsidRPr="00E84217">
        <w:rPr>
          <w:b w:val="0"/>
          <w:szCs w:val="24"/>
        </w:rPr>
        <w:t xml:space="preserve"> repeal and replace the definition</w:t>
      </w:r>
      <w:r w:rsidR="004F3BF4" w:rsidRPr="00E84217">
        <w:rPr>
          <w:b w:val="0"/>
          <w:szCs w:val="24"/>
        </w:rPr>
        <w:t>s</w:t>
      </w:r>
      <w:r w:rsidR="00346029" w:rsidRPr="00E84217">
        <w:rPr>
          <w:b w:val="0"/>
          <w:szCs w:val="24"/>
        </w:rPr>
        <w:t xml:space="preserve"> of “</w:t>
      </w:r>
      <w:r w:rsidR="00E875EF" w:rsidRPr="00E84217">
        <w:rPr>
          <w:b w:val="0"/>
          <w:szCs w:val="24"/>
        </w:rPr>
        <w:t xml:space="preserve">eating disorder </w:t>
      </w:r>
      <w:r w:rsidR="00346029" w:rsidRPr="00E84217">
        <w:rPr>
          <w:b w:val="0"/>
          <w:szCs w:val="24"/>
        </w:rPr>
        <w:t>psychological treatment service” and “patient review”</w:t>
      </w:r>
      <w:r w:rsidR="00E875EF" w:rsidRPr="00E84217">
        <w:rPr>
          <w:b w:val="0"/>
          <w:szCs w:val="24"/>
        </w:rPr>
        <w:t xml:space="preserve"> (respectively) so that </w:t>
      </w:r>
      <w:r w:rsidRPr="00E84217">
        <w:rPr>
          <w:b w:val="0"/>
          <w:szCs w:val="24"/>
        </w:rPr>
        <w:t>the COVID-19 Determination</w:t>
      </w:r>
      <w:r w:rsidR="00E875EF" w:rsidRPr="00E84217">
        <w:rPr>
          <w:b w:val="0"/>
          <w:szCs w:val="24"/>
        </w:rPr>
        <w:t xml:space="preserve"> adopts the definition</w:t>
      </w:r>
      <w:r w:rsidR="00C75346" w:rsidRPr="00E84217">
        <w:rPr>
          <w:b w:val="0"/>
          <w:szCs w:val="24"/>
        </w:rPr>
        <w:t>s for these terms</w:t>
      </w:r>
      <w:r w:rsidR="00E875EF" w:rsidRPr="00E84217">
        <w:rPr>
          <w:b w:val="0"/>
          <w:szCs w:val="24"/>
        </w:rPr>
        <w:t xml:space="preserve"> in the Eating Disorders Services Determination.</w:t>
      </w:r>
    </w:p>
    <w:p w14:paraId="4412D78A" w14:textId="3138ED7C" w:rsidR="00E875EF" w:rsidRPr="00E84217" w:rsidRDefault="00E875EF" w:rsidP="00E875EF">
      <w:pPr>
        <w:pStyle w:val="BodyText"/>
        <w:tabs>
          <w:tab w:val="left" w:pos="2274"/>
        </w:tabs>
        <w:rPr>
          <w:b w:val="0"/>
          <w:szCs w:val="24"/>
        </w:rPr>
      </w:pPr>
      <w:r w:rsidRPr="00E84217">
        <w:rPr>
          <w:b w:val="0"/>
          <w:szCs w:val="24"/>
        </w:rPr>
        <w:tab/>
      </w:r>
    </w:p>
    <w:p w14:paraId="67463D7A" w14:textId="32B2F6E2" w:rsidR="00AC1CCF" w:rsidRPr="00E84217" w:rsidRDefault="00AC1CCF" w:rsidP="00E875EF">
      <w:pPr>
        <w:pStyle w:val="BodyText"/>
        <w:rPr>
          <w:b w:val="0"/>
          <w:szCs w:val="24"/>
        </w:rPr>
      </w:pPr>
      <w:r w:rsidRPr="00E84217">
        <w:rPr>
          <w:b w:val="0"/>
          <w:szCs w:val="24"/>
        </w:rPr>
        <w:t>Item 3</w:t>
      </w:r>
      <w:r w:rsidR="00BE5C9E" w:rsidRPr="00E84217">
        <w:rPr>
          <w:b w:val="0"/>
          <w:szCs w:val="24"/>
        </w:rPr>
        <w:t xml:space="preserve"> amends the reference to clause 4.1.2 in the definition of “multidisciplinary care plan” following the renumberin</w:t>
      </w:r>
      <w:r w:rsidR="00884785" w:rsidRPr="00E84217">
        <w:rPr>
          <w:b w:val="0"/>
          <w:szCs w:val="24"/>
        </w:rPr>
        <w:t>g of that provision (see item 79</w:t>
      </w:r>
      <w:r w:rsidR="00BE5C9E" w:rsidRPr="00E84217">
        <w:rPr>
          <w:b w:val="0"/>
          <w:szCs w:val="24"/>
        </w:rPr>
        <w:t xml:space="preserve"> below). </w:t>
      </w:r>
    </w:p>
    <w:p w14:paraId="0CB1634A" w14:textId="5B916A4C" w:rsidR="00AC1CCF" w:rsidRPr="00E84217" w:rsidRDefault="00C75346" w:rsidP="00C75346">
      <w:pPr>
        <w:pStyle w:val="BodyText"/>
        <w:tabs>
          <w:tab w:val="left" w:pos="2853"/>
        </w:tabs>
        <w:rPr>
          <w:b w:val="0"/>
          <w:szCs w:val="24"/>
        </w:rPr>
      </w:pPr>
      <w:r w:rsidRPr="00E84217">
        <w:rPr>
          <w:b w:val="0"/>
          <w:szCs w:val="24"/>
        </w:rPr>
        <w:tab/>
      </w:r>
    </w:p>
    <w:p w14:paraId="602ECDD5" w14:textId="18615D90" w:rsidR="00AC1CCF" w:rsidRPr="00E84217" w:rsidRDefault="00AC1CCF" w:rsidP="00E875EF">
      <w:pPr>
        <w:pStyle w:val="BodyText"/>
        <w:rPr>
          <w:b w:val="0"/>
          <w:szCs w:val="24"/>
        </w:rPr>
      </w:pPr>
      <w:r w:rsidRPr="00E84217">
        <w:rPr>
          <w:b w:val="0"/>
          <w:szCs w:val="24"/>
        </w:rPr>
        <w:t>Item 5 inserts the definition for “residential aged care facility”, which was mistakenly omitted.</w:t>
      </w:r>
    </w:p>
    <w:p w14:paraId="32B75024" w14:textId="77777777" w:rsidR="00AC1CCF" w:rsidRPr="00E84217" w:rsidRDefault="00AC1CCF" w:rsidP="00346029">
      <w:pPr>
        <w:pStyle w:val="BodyText"/>
        <w:jc w:val="center"/>
        <w:rPr>
          <w:b w:val="0"/>
          <w:szCs w:val="24"/>
        </w:rPr>
      </w:pPr>
    </w:p>
    <w:p w14:paraId="21E3B076" w14:textId="224B3C9F" w:rsidR="00E875EF" w:rsidRPr="00E84217" w:rsidRDefault="00E875EF" w:rsidP="00E875EF">
      <w:pPr>
        <w:pStyle w:val="BodyText"/>
        <w:rPr>
          <w:b w:val="0"/>
          <w:szCs w:val="24"/>
        </w:rPr>
      </w:pPr>
      <w:r w:rsidRPr="00E84217">
        <w:rPr>
          <w:b w:val="0"/>
          <w:szCs w:val="24"/>
        </w:rPr>
        <w:t xml:space="preserve">Item </w:t>
      </w:r>
      <w:r w:rsidR="00AC1CCF" w:rsidRPr="00E84217">
        <w:rPr>
          <w:b w:val="0"/>
          <w:szCs w:val="24"/>
        </w:rPr>
        <w:t>6</w:t>
      </w:r>
      <w:r w:rsidRPr="00E84217">
        <w:rPr>
          <w:b w:val="0"/>
          <w:szCs w:val="24"/>
        </w:rPr>
        <w:t xml:space="preserve"> amends subsection 8(3) to include the telehealth and </w:t>
      </w:r>
      <w:r w:rsidR="00881FA8" w:rsidRPr="00E84217">
        <w:rPr>
          <w:b w:val="0"/>
          <w:szCs w:val="24"/>
        </w:rPr>
        <w:t>tele</w:t>
      </w:r>
      <w:r w:rsidRPr="00E84217">
        <w:rPr>
          <w:b w:val="0"/>
          <w:szCs w:val="24"/>
        </w:rPr>
        <w:t xml:space="preserve">phone </w:t>
      </w:r>
      <w:r w:rsidR="00881FA8" w:rsidRPr="00E84217">
        <w:rPr>
          <w:b w:val="0"/>
          <w:szCs w:val="24"/>
        </w:rPr>
        <w:t xml:space="preserve">service </w:t>
      </w:r>
      <w:r w:rsidRPr="00E84217">
        <w:rPr>
          <w:b w:val="0"/>
          <w:szCs w:val="24"/>
        </w:rPr>
        <w:t xml:space="preserve">items in the 10 service per year limit. </w:t>
      </w:r>
    </w:p>
    <w:p w14:paraId="739DEDC1" w14:textId="77777777" w:rsidR="00E875EF" w:rsidRPr="00E84217" w:rsidRDefault="00E875EF" w:rsidP="00E875EF">
      <w:pPr>
        <w:pStyle w:val="BodyText"/>
        <w:rPr>
          <w:b w:val="0"/>
          <w:szCs w:val="24"/>
        </w:rPr>
      </w:pPr>
    </w:p>
    <w:p w14:paraId="084BA19A" w14:textId="09C26926" w:rsidR="004B7310" w:rsidRPr="00E84217" w:rsidRDefault="00AC1CCF" w:rsidP="004B7310">
      <w:pPr>
        <w:pStyle w:val="BodyText"/>
        <w:rPr>
          <w:b w:val="0"/>
          <w:szCs w:val="24"/>
        </w:rPr>
      </w:pPr>
      <w:r w:rsidRPr="00E84217">
        <w:rPr>
          <w:b w:val="0"/>
          <w:szCs w:val="24"/>
        </w:rPr>
        <w:t>Item 10</w:t>
      </w:r>
      <w:r w:rsidR="004B7310" w:rsidRPr="00E84217">
        <w:rPr>
          <w:b w:val="0"/>
          <w:szCs w:val="24"/>
        </w:rPr>
        <w:t xml:space="preserve"> inserts a new sub</w:t>
      </w:r>
      <w:r w:rsidR="004F3BF4" w:rsidRPr="00E84217">
        <w:rPr>
          <w:b w:val="0"/>
          <w:szCs w:val="24"/>
        </w:rPr>
        <w:t>clause</w:t>
      </w:r>
      <w:r w:rsidR="004B7310" w:rsidRPr="00E84217">
        <w:rPr>
          <w:b w:val="0"/>
          <w:szCs w:val="24"/>
        </w:rPr>
        <w:t xml:space="preserve"> 1.1.1(2) so that the limitation in </w:t>
      </w:r>
      <w:r w:rsidR="004F3BF4" w:rsidRPr="00E84217">
        <w:rPr>
          <w:b w:val="0"/>
          <w:szCs w:val="24"/>
        </w:rPr>
        <w:t>subparagraph</w:t>
      </w:r>
      <w:r w:rsidR="004B7310" w:rsidRPr="00E84217">
        <w:rPr>
          <w:b w:val="0"/>
          <w:szCs w:val="24"/>
        </w:rPr>
        <w:t xml:space="preserve"> 2.22.7(2)(a) of the general medical services table </w:t>
      </w:r>
      <w:r w:rsidR="00C75346" w:rsidRPr="00E84217">
        <w:rPr>
          <w:b w:val="0"/>
          <w:szCs w:val="24"/>
        </w:rPr>
        <w:t>applies</w:t>
      </w:r>
      <w:r w:rsidR="004B7310" w:rsidRPr="00E84217">
        <w:rPr>
          <w:b w:val="0"/>
          <w:szCs w:val="24"/>
        </w:rPr>
        <w:t xml:space="preserve"> to items 91818, 91819, 91842 and 91843. This is consistent with the limitations on the face-to-face equivalents of these items (items 2729 and 2731). The other </w:t>
      </w:r>
      <w:r w:rsidR="007E5EF9" w:rsidRPr="00E84217">
        <w:rPr>
          <w:b w:val="0"/>
          <w:szCs w:val="24"/>
        </w:rPr>
        <w:t>requirements</w:t>
      </w:r>
      <w:r w:rsidR="004B7310" w:rsidRPr="00E84217">
        <w:rPr>
          <w:b w:val="0"/>
          <w:szCs w:val="24"/>
        </w:rPr>
        <w:t xml:space="preserve"> in clause 2.22.7 are already reflected in the COVID-19 Determination as follows:</w:t>
      </w:r>
    </w:p>
    <w:p w14:paraId="5883452B" w14:textId="77777777" w:rsidR="004B7310" w:rsidRPr="00E84217" w:rsidRDefault="004B7310" w:rsidP="004B7310">
      <w:pPr>
        <w:pStyle w:val="BodyText"/>
        <w:numPr>
          <w:ilvl w:val="0"/>
          <w:numId w:val="37"/>
        </w:numPr>
        <w:rPr>
          <w:b w:val="0"/>
          <w:szCs w:val="24"/>
        </w:rPr>
      </w:pPr>
      <w:r w:rsidRPr="00E84217">
        <w:rPr>
          <w:b w:val="0"/>
          <w:szCs w:val="24"/>
        </w:rPr>
        <w:t>the requirement in clause 2.22.7(1) is reflected in clause 1.1.2, and</w:t>
      </w:r>
    </w:p>
    <w:p w14:paraId="3F01739D" w14:textId="146DC68B" w:rsidR="004B7310" w:rsidRPr="00E84217" w:rsidRDefault="004B7310" w:rsidP="004B7310">
      <w:pPr>
        <w:pStyle w:val="BodyText"/>
        <w:numPr>
          <w:ilvl w:val="0"/>
          <w:numId w:val="37"/>
        </w:numPr>
        <w:rPr>
          <w:b w:val="0"/>
          <w:szCs w:val="24"/>
        </w:rPr>
      </w:pPr>
      <w:r w:rsidRPr="00E84217">
        <w:rPr>
          <w:b w:val="0"/>
          <w:szCs w:val="24"/>
        </w:rPr>
        <w:t>the requirement in clause 2.22.7(2</w:t>
      </w:r>
      <w:r w:rsidR="004F3BF4" w:rsidRPr="00E84217">
        <w:rPr>
          <w:b w:val="0"/>
          <w:szCs w:val="24"/>
        </w:rPr>
        <w:t>)</w:t>
      </w:r>
      <w:r w:rsidRPr="00E84217">
        <w:rPr>
          <w:b w:val="0"/>
          <w:szCs w:val="24"/>
        </w:rPr>
        <w:t>(b) is reflected in section 8(3).</w:t>
      </w:r>
    </w:p>
    <w:p w14:paraId="54B3A504" w14:textId="77777777" w:rsidR="00E875EF" w:rsidRPr="00E84217" w:rsidRDefault="00E875EF" w:rsidP="00E875EF">
      <w:pPr>
        <w:pStyle w:val="BodyText"/>
        <w:rPr>
          <w:b w:val="0"/>
          <w:szCs w:val="24"/>
        </w:rPr>
      </w:pPr>
    </w:p>
    <w:p w14:paraId="59CF088F" w14:textId="0E081157" w:rsidR="004B7310" w:rsidRPr="00E84217" w:rsidRDefault="004B7310" w:rsidP="004B7310">
      <w:pPr>
        <w:pStyle w:val="BodyText"/>
        <w:rPr>
          <w:b w:val="0"/>
          <w:szCs w:val="24"/>
        </w:rPr>
      </w:pPr>
      <w:r w:rsidRPr="00E84217">
        <w:rPr>
          <w:b w:val="0"/>
          <w:szCs w:val="24"/>
        </w:rPr>
        <w:t xml:space="preserve">Items </w:t>
      </w:r>
      <w:r w:rsidR="00346029" w:rsidRPr="00E84217">
        <w:rPr>
          <w:b w:val="0"/>
          <w:szCs w:val="24"/>
        </w:rPr>
        <w:t>18</w:t>
      </w:r>
      <w:r w:rsidRPr="00E84217">
        <w:rPr>
          <w:b w:val="0"/>
          <w:szCs w:val="24"/>
        </w:rPr>
        <w:t xml:space="preserve"> to </w:t>
      </w:r>
      <w:r w:rsidR="00346029" w:rsidRPr="00E84217">
        <w:rPr>
          <w:b w:val="0"/>
          <w:szCs w:val="24"/>
        </w:rPr>
        <w:t>21</w:t>
      </w:r>
      <w:r w:rsidRPr="00E84217">
        <w:rPr>
          <w:b w:val="0"/>
          <w:szCs w:val="24"/>
        </w:rPr>
        <w:t xml:space="preserve"> correct errors in the defined terms in subclause 1.11.1(2). Items </w:t>
      </w:r>
      <w:r w:rsidR="00346029" w:rsidRPr="00E84217">
        <w:rPr>
          <w:b w:val="0"/>
          <w:szCs w:val="24"/>
        </w:rPr>
        <w:t>22 and 23</w:t>
      </w:r>
      <w:r w:rsidRPr="00E84217">
        <w:rPr>
          <w:b w:val="0"/>
          <w:szCs w:val="24"/>
        </w:rPr>
        <w:t xml:space="preserve"> insert </w:t>
      </w:r>
      <w:r w:rsidR="004F3BF4" w:rsidRPr="00E84217">
        <w:rPr>
          <w:b w:val="0"/>
          <w:szCs w:val="24"/>
        </w:rPr>
        <w:t xml:space="preserve">references to </w:t>
      </w:r>
      <w:r w:rsidRPr="00E84217">
        <w:rPr>
          <w:b w:val="0"/>
          <w:szCs w:val="24"/>
        </w:rPr>
        <w:t xml:space="preserve">equivalent items into </w:t>
      </w:r>
      <w:r w:rsidR="004F3BF4" w:rsidRPr="00E84217">
        <w:rPr>
          <w:b w:val="0"/>
          <w:szCs w:val="24"/>
        </w:rPr>
        <w:t xml:space="preserve">subclauses </w:t>
      </w:r>
      <w:r w:rsidRPr="00E84217">
        <w:rPr>
          <w:b w:val="0"/>
          <w:szCs w:val="24"/>
        </w:rPr>
        <w:t>1.1.11(3)</w:t>
      </w:r>
      <w:r w:rsidR="004F3BF4" w:rsidRPr="00E84217">
        <w:rPr>
          <w:b w:val="0"/>
          <w:szCs w:val="24"/>
        </w:rPr>
        <w:t xml:space="preserve"> and </w:t>
      </w:r>
      <w:r w:rsidRPr="00E84217">
        <w:rPr>
          <w:b w:val="0"/>
          <w:szCs w:val="24"/>
        </w:rPr>
        <w:t xml:space="preserve">(6). </w:t>
      </w:r>
    </w:p>
    <w:p w14:paraId="40362C65" w14:textId="77777777" w:rsidR="004B7310" w:rsidRPr="00E84217" w:rsidRDefault="004B7310" w:rsidP="00E875EF">
      <w:pPr>
        <w:pStyle w:val="BodyText"/>
        <w:rPr>
          <w:b w:val="0"/>
          <w:szCs w:val="24"/>
        </w:rPr>
      </w:pPr>
    </w:p>
    <w:p w14:paraId="4459DB8D" w14:textId="1035418A" w:rsidR="00E875EF" w:rsidRPr="00E84217" w:rsidRDefault="00E875EF" w:rsidP="004B7310">
      <w:pPr>
        <w:pStyle w:val="BodyText"/>
        <w:rPr>
          <w:b w:val="0"/>
          <w:szCs w:val="24"/>
        </w:rPr>
      </w:pPr>
      <w:r w:rsidRPr="00E84217">
        <w:rPr>
          <w:b w:val="0"/>
          <w:szCs w:val="24"/>
        </w:rPr>
        <w:t xml:space="preserve">Item </w:t>
      </w:r>
      <w:r w:rsidR="00346029" w:rsidRPr="00E84217">
        <w:rPr>
          <w:b w:val="0"/>
          <w:szCs w:val="24"/>
        </w:rPr>
        <w:t>26</w:t>
      </w:r>
      <w:r w:rsidRPr="00E84217">
        <w:rPr>
          <w:b w:val="0"/>
          <w:szCs w:val="24"/>
        </w:rPr>
        <w:t xml:space="preserve"> amends the descriptors for the telehealth services in items 92024 to 92027 to include the items in the Other Medical Practitioner Determination which are equivalent to items 735 to 757 of the general medical services table. These items are already included in the descriptors for the equivalent telephone</w:t>
      </w:r>
      <w:r w:rsidR="00881FA8" w:rsidRPr="00E84217">
        <w:rPr>
          <w:b w:val="0"/>
          <w:szCs w:val="24"/>
        </w:rPr>
        <w:t xml:space="preserve"> service</w:t>
      </w:r>
      <w:r w:rsidRPr="00E84217">
        <w:rPr>
          <w:b w:val="0"/>
          <w:szCs w:val="24"/>
        </w:rPr>
        <w:t xml:space="preserve"> items (items 92068 to 92071). </w:t>
      </w:r>
    </w:p>
    <w:p w14:paraId="43D81BE9" w14:textId="77777777" w:rsidR="00E875EF" w:rsidRPr="00E84217" w:rsidRDefault="00E875EF" w:rsidP="00E875EF">
      <w:pPr>
        <w:pStyle w:val="BodyText"/>
        <w:ind w:left="720"/>
        <w:rPr>
          <w:b w:val="0"/>
          <w:szCs w:val="24"/>
        </w:rPr>
      </w:pPr>
    </w:p>
    <w:p w14:paraId="464877B4" w14:textId="7BD3FC1B" w:rsidR="00E875EF" w:rsidRPr="00E84217" w:rsidRDefault="00E875EF" w:rsidP="004B7310">
      <w:pPr>
        <w:pStyle w:val="BodyText"/>
        <w:rPr>
          <w:b w:val="0"/>
          <w:szCs w:val="24"/>
        </w:rPr>
      </w:pPr>
      <w:r w:rsidRPr="00E84217">
        <w:rPr>
          <w:b w:val="0"/>
          <w:szCs w:val="24"/>
        </w:rPr>
        <w:t xml:space="preserve">Items </w:t>
      </w:r>
      <w:r w:rsidR="00346029" w:rsidRPr="00E84217">
        <w:rPr>
          <w:b w:val="0"/>
          <w:szCs w:val="24"/>
        </w:rPr>
        <w:t>27</w:t>
      </w:r>
      <w:r w:rsidRPr="00E84217">
        <w:rPr>
          <w:b w:val="0"/>
          <w:szCs w:val="24"/>
        </w:rPr>
        <w:t xml:space="preserve"> and </w:t>
      </w:r>
      <w:r w:rsidR="00346029" w:rsidRPr="00E84217">
        <w:rPr>
          <w:b w:val="0"/>
          <w:szCs w:val="24"/>
        </w:rPr>
        <w:t>32</w:t>
      </w:r>
      <w:r w:rsidRPr="00E84217">
        <w:rPr>
          <w:b w:val="0"/>
          <w:szCs w:val="24"/>
        </w:rPr>
        <w:t xml:space="preserve"> amend the descriptors for items 92</w:t>
      </w:r>
      <w:r w:rsidR="00AC1CCF" w:rsidRPr="00E84217">
        <w:rPr>
          <w:b w:val="0"/>
          <w:szCs w:val="24"/>
        </w:rPr>
        <w:t>028 and 92072 (respectively) to</w:t>
      </w:r>
      <w:r w:rsidRPr="00E84217">
        <w:rPr>
          <w:b w:val="0"/>
          <w:szCs w:val="24"/>
        </w:rPr>
        <w:t xml:space="preserve"> insert references to equivalent telehealth and </w:t>
      </w:r>
      <w:r w:rsidR="00881FA8" w:rsidRPr="00E84217">
        <w:rPr>
          <w:b w:val="0"/>
          <w:szCs w:val="24"/>
        </w:rPr>
        <w:t>tele</w:t>
      </w:r>
      <w:r w:rsidRPr="00E84217">
        <w:rPr>
          <w:b w:val="0"/>
          <w:szCs w:val="24"/>
        </w:rPr>
        <w:t xml:space="preserve">phone service items. </w:t>
      </w:r>
    </w:p>
    <w:p w14:paraId="4BC8BBEA" w14:textId="77777777" w:rsidR="004B7310" w:rsidRPr="00E84217" w:rsidRDefault="004B7310" w:rsidP="004B7310">
      <w:pPr>
        <w:pStyle w:val="ListParagraph"/>
        <w:rPr>
          <w:b/>
          <w:szCs w:val="24"/>
        </w:rPr>
      </w:pPr>
    </w:p>
    <w:p w14:paraId="2E89CFDC" w14:textId="77777777" w:rsidR="007E05D0" w:rsidRPr="00E84217" w:rsidRDefault="00572A64" w:rsidP="004946E5">
      <w:pPr>
        <w:pStyle w:val="BodyText"/>
        <w:rPr>
          <w:b w:val="0"/>
          <w:szCs w:val="24"/>
        </w:rPr>
      </w:pPr>
      <w:r w:rsidRPr="00E84217">
        <w:rPr>
          <w:b w:val="0"/>
          <w:szCs w:val="24"/>
        </w:rPr>
        <w:t xml:space="preserve">Item 62 </w:t>
      </w:r>
      <w:r w:rsidR="007E05D0" w:rsidRPr="00E84217">
        <w:rPr>
          <w:b w:val="0"/>
          <w:szCs w:val="24"/>
        </w:rPr>
        <w:t>repeals and replaces clause 2.2.1 to:</w:t>
      </w:r>
    </w:p>
    <w:p w14:paraId="672F7D29" w14:textId="269CFC41" w:rsidR="007E05D0" w:rsidRPr="00E84217" w:rsidRDefault="007E05D0" w:rsidP="007E05D0">
      <w:pPr>
        <w:pStyle w:val="BodyText"/>
        <w:numPr>
          <w:ilvl w:val="0"/>
          <w:numId w:val="42"/>
        </w:numPr>
        <w:rPr>
          <w:b w:val="0"/>
          <w:szCs w:val="24"/>
        </w:rPr>
      </w:pPr>
      <w:r w:rsidRPr="00E84217">
        <w:rPr>
          <w:b w:val="0"/>
          <w:szCs w:val="24"/>
        </w:rPr>
        <w:t>insert</w:t>
      </w:r>
      <w:r w:rsidR="00AC1CCF" w:rsidRPr="00E84217">
        <w:rPr>
          <w:b w:val="0"/>
          <w:szCs w:val="24"/>
        </w:rPr>
        <w:t xml:space="preserve"> </w:t>
      </w:r>
      <w:r w:rsidR="00881FA8" w:rsidRPr="00E84217">
        <w:rPr>
          <w:b w:val="0"/>
          <w:szCs w:val="24"/>
        </w:rPr>
        <w:t>the definition of “nurse” for</w:t>
      </w:r>
      <w:r w:rsidR="00AC1CCF" w:rsidRPr="00E84217">
        <w:rPr>
          <w:b w:val="0"/>
          <w:szCs w:val="24"/>
        </w:rPr>
        <w:t xml:space="preserve"> item</w:t>
      </w:r>
      <w:r w:rsidR="00881FA8" w:rsidRPr="00E84217">
        <w:rPr>
          <w:b w:val="0"/>
          <w:szCs w:val="24"/>
        </w:rPr>
        <w:t>s in Subgroups 1 and</w:t>
      </w:r>
      <w:r w:rsidR="00AC1CCF" w:rsidRPr="00E84217">
        <w:rPr>
          <w:b w:val="0"/>
          <w:szCs w:val="24"/>
        </w:rPr>
        <w:t xml:space="preserve"> 2 of Group T</w:t>
      </w:r>
      <w:r w:rsidRPr="00E84217">
        <w:rPr>
          <w:b w:val="0"/>
          <w:szCs w:val="24"/>
        </w:rPr>
        <w:t>4 into subclause 2.2.1(1)</w:t>
      </w:r>
    </w:p>
    <w:p w14:paraId="000B8881" w14:textId="44B596F5" w:rsidR="0095564E" w:rsidRPr="00E84217" w:rsidRDefault="007E05D0" w:rsidP="007E05D0">
      <w:pPr>
        <w:pStyle w:val="BodyText"/>
        <w:numPr>
          <w:ilvl w:val="0"/>
          <w:numId w:val="42"/>
        </w:numPr>
        <w:rPr>
          <w:b w:val="0"/>
          <w:szCs w:val="24"/>
        </w:rPr>
      </w:pPr>
      <w:r w:rsidRPr="00E84217">
        <w:rPr>
          <w:b w:val="0"/>
          <w:szCs w:val="24"/>
        </w:rPr>
        <w:t>amend</w:t>
      </w:r>
      <w:r w:rsidR="0095564E" w:rsidRPr="00E84217">
        <w:rPr>
          <w:b w:val="0"/>
          <w:szCs w:val="24"/>
        </w:rPr>
        <w:t xml:space="preserve"> </w:t>
      </w:r>
      <w:r w:rsidRPr="00E84217">
        <w:rPr>
          <w:b w:val="0"/>
          <w:szCs w:val="24"/>
        </w:rPr>
        <w:t>subclause</w:t>
      </w:r>
      <w:r w:rsidR="0095564E" w:rsidRPr="00E84217">
        <w:rPr>
          <w:b w:val="0"/>
          <w:szCs w:val="24"/>
        </w:rPr>
        <w:t xml:space="preserve"> 2.2.1(2)</w:t>
      </w:r>
      <w:r w:rsidR="00AC1CCF" w:rsidRPr="00E84217">
        <w:rPr>
          <w:b w:val="0"/>
          <w:szCs w:val="24"/>
        </w:rPr>
        <w:t xml:space="preserve"> to insert references to the bulk-billing incentive items in the </w:t>
      </w:r>
      <w:r w:rsidR="00AC1CCF" w:rsidRPr="00E84217">
        <w:rPr>
          <w:b w:val="0"/>
          <w:i/>
          <w:szCs w:val="24"/>
        </w:rPr>
        <w:t>Health Insurance (Section 3C General Medical Services – Additional GP Bulk-billing Incentives) Determination 2020</w:t>
      </w:r>
      <w:r w:rsidR="00AC1CCF" w:rsidRPr="00E84217">
        <w:rPr>
          <w:b w:val="0"/>
          <w:szCs w:val="24"/>
        </w:rPr>
        <w:t xml:space="preserve"> into paragraph (c), and to insert </w:t>
      </w:r>
      <w:r w:rsidR="002D16FA" w:rsidRPr="00E84217">
        <w:rPr>
          <w:b w:val="0"/>
          <w:szCs w:val="24"/>
        </w:rPr>
        <w:t>references to</w:t>
      </w:r>
      <w:r w:rsidR="0095564E" w:rsidRPr="00E84217">
        <w:rPr>
          <w:b w:val="0"/>
          <w:szCs w:val="24"/>
        </w:rPr>
        <w:t xml:space="preserve"> the equivalent face-to-face item</w:t>
      </w:r>
      <w:r w:rsidR="00AC1CCF" w:rsidRPr="00E84217">
        <w:rPr>
          <w:b w:val="0"/>
          <w:szCs w:val="24"/>
        </w:rPr>
        <w:t xml:space="preserve"> in paragraph (d)</w:t>
      </w:r>
      <w:r w:rsidR="0095564E" w:rsidRPr="00E84217">
        <w:rPr>
          <w:b w:val="0"/>
          <w:szCs w:val="24"/>
        </w:rPr>
        <w:t>.</w:t>
      </w:r>
    </w:p>
    <w:p w14:paraId="141E654A" w14:textId="77777777" w:rsidR="0095564E" w:rsidRPr="00E84217" w:rsidRDefault="0095564E" w:rsidP="004946E5">
      <w:pPr>
        <w:pStyle w:val="BodyText"/>
        <w:rPr>
          <w:b w:val="0"/>
          <w:szCs w:val="24"/>
        </w:rPr>
      </w:pPr>
    </w:p>
    <w:p w14:paraId="6D207763" w14:textId="7ED6C80C" w:rsidR="0095564E" w:rsidRPr="00E84217" w:rsidRDefault="0095564E" w:rsidP="004946E5">
      <w:pPr>
        <w:pStyle w:val="BodyText"/>
        <w:rPr>
          <w:b w:val="0"/>
          <w:szCs w:val="24"/>
        </w:rPr>
      </w:pPr>
      <w:r w:rsidRPr="00E84217">
        <w:rPr>
          <w:b w:val="0"/>
          <w:szCs w:val="24"/>
        </w:rPr>
        <w:lastRenderedPageBreak/>
        <w:t xml:space="preserve">Item </w:t>
      </w:r>
      <w:r w:rsidR="00572A64" w:rsidRPr="00E84217">
        <w:rPr>
          <w:b w:val="0"/>
          <w:szCs w:val="24"/>
        </w:rPr>
        <w:t>63</w:t>
      </w:r>
      <w:r w:rsidRPr="00E84217">
        <w:rPr>
          <w:b w:val="0"/>
          <w:szCs w:val="24"/>
        </w:rPr>
        <w:t xml:space="preserve"> amends the descriptors for items 91852 and 91857 to insert the telehealth and telephone equivalents of items 82130 and 82135, and to indicate which determination these face-to-face items are in. </w:t>
      </w:r>
    </w:p>
    <w:p w14:paraId="2FCD9880" w14:textId="77777777" w:rsidR="00ED52D8" w:rsidRPr="00E84217" w:rsidRDefault="00ED52D8" w:rsidP="004946E5">
      <w:pPr>
        <w:pStyle w:val="BodyText"/>
        <w:rPr>
          <w:b w:val="0"/>
          <w:szCs w:val="24"/>
        </w:rPr>
      </w:pPr>
    </w:p>
    <w:p w14:paraId="7D6042D8" w14:textId="777A4F4E" w:rsidR="00ED52D8" w:rsidRPr="00E84217" w:rsidRDefault="007E05D0" w:rsidP="004946E5">
      <w:pPr>
        <w:pStyle w:val="BodyText"/>
        <w:rPr>
          <w:b w:val="0"/>
          <w:szCs w:val="24"/>
        </w:rPr>
      </w:pPr>
      <w:r w:rsidRPr="00E84217">
        <w:rPr>
          <w:b w:val="0"/>
          <w:szCs w:val="24"/>
        </w:rPr>
        <w:t>Items 67 and 68</w:t>
      </w:r>
      <w:r w:rsidR="004B7310" w:rsidRPr="00E84217">
        <w:rPr>
          <w:b w:val="0"/>
          <w:szCs w:val="24"/>
        </w:rPr>
        <w:t xml:space="preserve"> </w:t>
      </w:r>
      <w:r w:rsidR="00ED52D8" w:rsidRPr="00E84217">
        <w:rPr>
          <w:b w:val="0"/>
          <w:szCs w:val="24"/>
        </w:rPr>
        <w:t xml:space="preserve">amend </w:t>
      </w:r>
      <w:r w:rsidR="004B7310" w:rsidRPr="00E84217">
        <w:rPr>
          <w:b w:val="0"/>
          <w:szCs w:val="24"/>
        </w:rPr>
        <w:t>sub</w:t>
      </w:r>
      <w:r w:rsidR="00ED52D8" w:rsidRPr="00E84217">
        <w:rPr>
          <w:b w:val="0"/>
          <w:szCs w:val="24"/>
        </w:rPr>
        <w:t>clause 3.1.2 to insert t</w:t>
      </w:r>
      <w:r w:rsidR="00793DF5" w:rsidRPr="00E84217">
        <w:rPr>
          <w:b w:val="0"/>
          <w:szCs w:val="24"/>
        </w:rPr>
        <w:t>he equivalent telehealth and</w:t>
      </w:r>
      <w:r w:rsidR="00ED52D8" w:rsidRPr="00E84217">
        <w:rPr>
          <w:b w:val="0"/>
          <w:szCs w:val="24"/>
        </w:rPr>
        <w:t xml:space="preserve"> </w:t>
      </w:r>
      <w:r w:rsidR="00881FA8" w:rsidRPr="00E84217">
        <w:rPr>
          <w:b w:val="0"/>
          <w:szCs w:val="24"/>
        </w:rPr>
        <w:t>tele</w:t>
      </w:r>
      <w:r w:rsidR="00ED52D8" w:rsidRPr="00E84217">
        <w:rPr>
          <w:b w:val="0"/>
          <w:szCs w:val="24"/>
        </w:rPr>
        <w:t>p</w:t>
      </w:r>
      <w:r w:rsidR="004B7310" w:rsidRPr="00E84217">
        <w:rPr>
          <w:b w:val="0"/>
          <w:szCs w:val="24"/>
        </w:rPr>
        <w:t xml:space="preserve">hone service items for items 342, 344 and 346. </w:t>
      </w:r>
    </w:p>
    <w:p w14:paraId="6327F856" w14:textId="77777777" w:rsidR="004B7310" w:rsidRPr="00E84217" w:rsidRDefault="004B7310" w:rsidP="004946E5">
      <w:pPr>
        <w:pStyle w:val="BodyText"/>
        <w:rPr>
          <w:b w:val="0"/>
          <w:szCs w:val="24"/>
        </w:rPr>
      </w:pPr>
    </w:p>
    <w:p w14:paraId="27D1F6F2" w14:textId="239DF388" w:rsidR="004B7310" w:rsidRPr="00E84217" w:rsidRDefault="004B7310" w:rsidP="004B7310">
      <w:pPr>
        <w:pStyle w:val="BodyText"/>
        <w:rPr>
          <w:b w:val="0"/>
          <w:szCs w:val="24"/>
        </w:rPr>
      </w:pPr>
      <w:r w:rsidRPr="00E84217">
        <w:rPr>
          <w:b w:val="0"/>
          <w:szCs w:val="24"/>
        </w:rPr>
        <w:t>Items</w:t>
      </w:r>
      <w:r w:rsidR="00BE5C9E" w:rsidRPr="00E84217">
        <w:rPr>
          <w:b w:val="0"/>
          <w:szCs w:val="24"/>
        </w:rPr>
        <w:t xml:space="preserve"> </w:t>
      </w:r>
      <w:r w:rsidR="00572A64" w:rsidRPr="00E84217">
        <w:rPr>
          <w:b w:val="0"/>
          <w:szCs w:val="24"/>
        </w:rPr>
        <w:t>71 to 74</w:t>
      </w:r>
      <w:r w:rsidRPr="00E84217">
        <w:rPr>
          <w:b w:val="0"/>
          <w:szCs w:val="24"/>
        </w:rPr>
        <w:t xml:space="preserve"> amend clauses 3.1.3 and 3.1.5 to insert the telehealth and telephone equivalents of the face-to face items referred to. </w:t>
      </w:r>
    </w:p>
    <w:p w14:paraId="5784E1B6" w14:textId="77777777" w:rsidR="0043721A" w:rsidRPr="00E84217" w:rsidRDefault="0043721A" w:rsidP="004B7310">
      <w:pPr>
        <w:pStyle w:val="BodyText"/>
        <w:rPr>
          <w:b w:val="0"/>
          <w:szCs w:val="24"/>
        </w:rPr>
      </w:pPr>
    </w:p>
    <w:p w14:paraId="1FD3E7F9" w14:textId="4483A600" w:rsidR="0043721A" w:rsidRPr="00E84217" w:rsidRDefault="00572A64" w:rsidP="004B7310">
      <w:pPr>
        <w:pStyle w:val="BodyText"/>
        <w:rPr>
          <w:b w:val="0"/>
          <w:szCs w:val="24"/>
        </w:rPr>
      </w:pPr>
      <w:r w:rsidRPr="00E84217">
        <w:rPr>
          <w:b w:val="0"/>
          <w:szCs w:val="24"/>
        </w:rPr>
        <w:t>Item 75</w:t>
      </w:r>
      <w:r w:rsidR="0043721A" w:rsidRPr="00E84217">
        <w:rPr>
          <w:b w:val="0"/>
          <w:szCs w:val="24"/>
        </w:rPr>
        <w:t xml:space="preserve"> inserts an additional application requirement for items in Subgroups 19 to 22 of Group M18 which was mistakenly omitted.</w:t>
      </w:r>
    </w:p>
    <w:p w14:paraId="5A384F5A" w14:textId="747E6ED7" w:rsidR="004B7310" w:rsidRPr="00E84217" w:rsidRDefault="004F3BF4" w:rsidP="004F3BF4">
      <w:pPr>
        <w:pStyle w:val="BodyText"/>
        <w:tabs>
          <w:tab w:val="left" w:pos="1023"/>
        </w:tabs>
        <w:rPr>
          <w:b w:val="0"/>
          <w:szCs w:val="24"/>
        </w:rPr>
      </w:pPr>
      <w:r w:rsidRPr="00E84217">
        <w:rPr>
          <w:b w:val="0"/>
          <w:szCs w:val="24"/>
        </w:rPr>
        <w:tab/>
      </w:r>
    </w:p>
    <w:p w14:paraId="3D4925A2" w14:textId="1374095D" w:rsidR="004B7310" w:rsidRPr="00E84217" w:rsidRDefault="00BE5C9E" w:rsidP="004B7310">
      <w:pPr>
        <w:pStyle w:val="BodyText"/>
        <w:rPr>
          <w:b w:val="0"/>
          <w:szCs w:val="24"/>
        </w:rPr>
      </w:pPr>
      <w:r w:rsidRPr="00E84217">
        <w:rPr>
          <w:b w:val="0"/>
          <w:szCs w:val="24"/>
        </w:rPr>
        <w:t>Items 7</w:t>
      </w:r>
      <w:r w:rsidR="00572A64" w:rsidRPr="00E84217">
        <w:rPr>
          <w:b w:val="0"/>
          <w:szCs w:val="24"/>
        </w:rPr>
        <w:t>6</w:t>
      </w:r>
      <w:r w:rsidR="0043721A" w:rsidRPr="00E84217">
        <w:rPr>
          <w:b w:val="0"/>
          <w:szCs w:val="24"/>
        </w:rPr>
        <w:t xml:space="preserve"> and </w:t>
      </w:r>
      <w:r w:rsidR="00572A64" w:rsidRPr="00E84217">
        <w:rPr>
          <w:b w:val="0"/>
          <w:szCs w:val="24"/>
        </w:rPr>
        <w:t>77</w:t>
      </w:r>
      <w:r w:rsidR="00AE3537" w:rsidRPr="00E84217">
        <w:rPr>
          <w:b w:val="0"/>
          <w:szCs w:val="24"/>
        </w:rPr>
        <w:t xml:space="preserve"> amend the descriptors of items 93026 and 93029 (respectively) t</w:t>
      </w:r>
      <w:r w:rsidR="004F3BF4" w:rsidRPr="00E84217">
        <w:rPr>
          <w:b w:val="0"/>
          <w:szCs w:val="24"/>
        </w:rPr>
        <w:t>o</w:t>
      </w:r>
      <w:r w:rsidR="00AE3537" w:rsidRPr="00E84217">
        <w:rPr>
          <w:b w:val="0"/>
          <w:szCs w:val="24"/>
        </w:rPr>
        <w:t xml:space="preserve"> </w:t>
      </w:r>
      <w:r w:rsidR="004B7310" w:rsidRPr="00E84217">
        <w:rPr>
          <w:b w:val="0"/>
          <w:szCs w:val="24"/>
        </w:rPr>
        <w:t>insert the telehealth and telephone equivalents of the f</w:t>
      </w:r>
      <w:r w:rsidR="00AE3537" w:rsidRPr="00E84217">
        <w:rPr>
          <w:b w:val="0"/>
          <w:szCs w:val="24"/>
        </w:rPr>
        <w:t>ace-to face items referred to.</w:t>
      </w:r>
    </w:p>
    <w:p w14:paraId="3A358DF2" w14:textId="77777777" w:rsidR="004B7310" w:rsidRPr="00E84217" w:rsidRDefault="004B7310" w:rsidP="004946E5">
      <w:pPr>
        <w:pStyle w:val="BodyText"/>
        <w:rPr>
          <w:b w:val="0"/>
          <w:szCs w:val="24"/>
        </w:rPr>
      </w:pPr>
    </w:p>
    <w:p w14:paraId="27D556F7" w14:textId="2C2321FF" w:rsidR="00E875EF" w:rsidRPr="00E84217" w:rsidRDefault="00E875EF" w:rsidP="004946E5">
      <w:pPr>
        <w:pStyle w:val="BodyText"/>
        <w:rPr>
          <w:szCs w:val="24"/>
        </w:rPr>
      </w:pPr>
      <w:r w:rsidRPr="00E84217">
        <w:rPr>
          <w:szCs w:val="24"/>
        </w:rPr>
        <w:t>Miscellaneous amendments</w:t>
      </w:r>
    </w:p>
    <w:p w14:paraId="1B65D182" w14:textId="77777777" w:rsidR="00E875EF" w:rsidRPr="00E84217" w:rsidRDefault="00E875EF" w:rsidP="004946E5">
      <w:pPr>
        <w:pStyle w:val="BodyText"/>
        <w:rPr>
          <w:b w:val="0"/>
          <w:szCs w:val="24"/>
        </w:rPr>
      </w:pPr>
    </w:p>
    <w:p w14:paraId="0E74FB17" w14:textId="73AF13D6" w:rsidR="00E875EF" w:rsidRPr="00E84217" w:rsidRDefault="00E875EF" w:rsidP="00E875EF">
      <w:pPr>
        <w:pStyle w:val="BodyText"/>
        <w:rPr>
          <w:b w:val="0"/>
          <w:szCs w:val="24"/>
        </w:rPr>
      </w:pPr>
      <w:r w:rsidRPr="00E84217">
        <w:rPr>
          <w:b w:val="0"/>
          <w:szCs w:val="24"/>
        </w:rPr>
        <w:t xml:space="preserve">Items </w:t>
      </w:r>
      <w:r w:rsidR="00AC1CCF" w:rsidRPr="00E84217">
        <w:rPr>
          <w:b w:val="0"/>
          <w:szCs w:val="24"/>
        </w:rPr>
        <w:t>7</w:t>
      </w:r>
      <w:r w:rsidRPr="00E84217">
        <w:rPr>
          <w:b w:val="0"/>
          <w:szCs w:val="24"/>
        </w:rPr>
        <w:t xml:space="preserve">, </w:t>
      </w:r>
      <w:r w:rsidR="00AC1CCF" w:rsidRPr="00E84217">
        <w:rPr>
          <w:b w:val="0"/>
          <w:szCs w:val="24"/>
        </w:rPr>
        <w:t>10</w:t>
      </w:r>
      <w:r w:rsidR="00346029" w:rsidRPr="00E84217">
        <w:rPr>
          <w:b w:val="0"/>
          <w:szCs w:val="24"/>
        </w:rPr>
        <w:t>, 42</w:t>
      </w:r>
      <w:r w:rsidR="00572A64" w:rsidRPr="00E84217">
        <w:rPr>
          <w:b w:val="0"/>
          <w:szCs w:val="24"/>
        </w:rPr>
        <w:t>, 43</w:t>
      </w:r>
      <w:r w:rsidR="00AC1CCF" w:rsidRPr="00E84217">
        <w:rPr>
          <w:b w:val="0"/>
          <w:szCs w:val="24"/>
        </w:rPr>
        <w:t>,</w:t>
      </w:r>
      <w:r w:rsidR="00572A64" w:rsidRPr="00E84217">
        <w:rPr>
          <w:b w:val="0"/>
          <w:szCs w:val="24"/>
        </w:rPr>
        <w:t xml:space="preserve"> 62, 66 and 78 to </w:t>
      </w:r>
      <w:r w:rsidR="00793DF5" w:rsidRPr="00E84217">
        <w:rPr>
          <w:b w:val="0"/>
          <w:szCs w:val="24"/>
        </w:rPr>
        <w:t>81 move</w:t>
      </w:r>
      <w:r w:rsidRPr="00E84217">
        <w:rPr>
          <w:b w:val="0"/>
          <w:szCs w:val="24"/>
        </w:rPr>
        <w:t xml:space="preserve"> the limitation on the application of </w:t>
      </w:r>
      <w:r w:rsidR="00881FA8" w:rsidRPr="00E84217">
        <w:rPr>
          <w:b w:val="0"/>
          <w:szCs w:val="24"/>
        </w:rPr>
        <w:t>tele</w:t>
      </w:r>
      <w:r w:rsidRPr="00E84217">
        <w:rPr>
          <w:b w:val="0"/>
          <w:szCs w:val="24"/>
        </w:rPr>
        <w:t xml:space="preserve">phone attendance services to circumstances where the rendering practitioner and the patient do not have the capacity to undertake an attendance by telehealth from each of the divisions of the COVID-19 Determination to the general application provisions. </w:t>
      </w:r>
    </w:p>
    <w:p w14:paraId="6A31AADE" w14:textId="77777777" w:rsidR="00E875EF" w:rsidRPr="00E84217" w:rsidRDefault="00E875EF" w:rsidP="004946E5">
      <w:pPr>
        <w:pStyle w:val="BodyText"/>
        <w:rPr>
          <w:b w:val="0"/>
          <w:szCs w:val="24"/>
        </w:rPr>
      </w:pPr>
    </w:p>
    <w:p w14:paraId="266A03A6" w14:textId="7C6E74AB" w:rsidR="00E875EF" w:rsidRPr="00E84217" w:rsidRDefault="00E875EF" w:rsidP="00E875EF">
      <w:pPr>
        <w:pStyle w:val="BodyText"/>
        <w:rPr>
          <w:b w:val="0"/>
          <w:szCs w:val="24"/>
        </w:rPr>
      </w:pPr>
      <w:r w:rsidRPr="00E84217">
        <w:rPr>
          <w:b w:val="0"/>
          <w:szCs w:val="24"/>
        </w:rPr>
        <w:t xml:space="preserve">Items </w:t>
      </w:r>
      <w:r w:rsidR="00AC1CCF" w:rsidRPr="00E84217">
        <w:rPr>
          <w:b w:val="0"/>
          <w:szCs w:val="24"/>
        </w:rPr>
        <w:t xml:space="preserve">8, 9, </w:t>
      </w:r>
      <w:r w:rsidR="00346029" w:rsidRPr="00E84217">
        <w:rPr>
          <w:b w:val="0"/>
          <w:szCs w:val="24"/>
        </w:rPr>
        <w:t>40, 41</w:t>
      </w:r>
      <w:r w:rsidR="00BE5C9E" w:rsidRPr="00E84217">
        <w:rPr>
          <w:b w:val="0"/>
          <w:szCs w:val="24"/>
        </w:rPr>
        <w:t>,</w:t>
      </w:r>
      <w:r w:rsidR="00572A64" w:rsidRPr="00E84217">
        <w:rPr>
          <w:b w:val="0"/>
          <w:szCs w:val="24"/>
        </w:rPr>
        <w:t xml:space="preserve"> 64 and 65</w:t>
      </w:r>
      <w:r w:rsidR="00AC1CCF" w:rsidRPr="00E84217">
        <w:rPr>
          <w:b w:val="0"/>
          <w:szCs w:val="24"/>
        </w:rPr>
        <w:t xml:space="preserve"> </w:t>
      </w:r>
      <w:r w:rsidRPr="00E84217">
        <w:rPr>
          <w:b w:val="0"/>
          <w:szCs w:val="24"/>
        </w:rPr>
        <w:t xml:space="preserve">amend Division and clause headings for consistency. </w:t>
      </w:r>
    </w:p>
    <w:p w14:paraId="7AE7B725" w14:textId="77777777" w:rsidR="00E875EF" w:rsidRPr="00E84217" w:rsidRDefault="00E875EF" w:rsidP="004946E5">
      <w:pPr>
        <w:pStyle w:val="BodyText"/>
        <w:rPr>
          <w:b w:val="0"/>
          <w:szCs w:val="24"/>
        </w:rPr>
      </w:pPr>
    </w:p>
    <w:p w14:paraId="6FFB6BDC" w14:textId="582FE4D3" w:rsidR="00E875EF" w:rsidRPr="00E84217" w:rsidRDefault="00346029" w:rsidP="004946E5">
      <w:pPr>
        <w:pStyle w:val="BodyText"/>
        <w:rPr>
          <w:b w:val="0"/>
          <w:szCs w:val="24"/>
        </w:rPr>
      </w:pPr>
      <w:r w:rsidRPr="00E84217">
        <w:rPr>
          <w:b w:val="0"/>
          <w:szCs w:val="24"/>
        </w:rPr>
        <w:t>Items 38 and 39 amend an autonumbering issue in the descriptors for items 92176 and 92177 by renumbering sub</w:t>
      </w:r>
      <w:r w:rsidR="00865A94" w:rsidRPr="00E84217">
        <w:rPr>
          <w:b w:val="0"/>
          <w:szCs w:val="24"/>
        </w:rPr>
        <w:t>paragraphs (b)(iii) and (b)(iv</w:t>
      </w:r>
      <w:r w:rsidRPr="00E84217">
        <w:rPr>
          <w:b w:val="0"/>
          <w:szCs w:val="24"/>
        </w:rPr>
        <w:t xml:space="preserve">). </w:t>
      </w:r>
    </w:p>
    <w:p w14:paraId="533CEF34" w14:textId="77777777" w:rsidR="00E875EF" w:rsidRPr="00E84217" w:rsidRDefault="00E875EF" w:rsidP="004946E5">
      <w:pPr>
        <w:pStyle w:val="BodyText"/>
        <w:rPr>
          <w:b w:val="0"/>
          <w:szCs w:val="24"/>
        </w:rPr>
      </w:pPr>
    </w:p>
    <w:p w14:paraId="63B17E06" w14:textId="77777777" w:rsidR="00E875EF" w:rsidRPr="00E84217" w:rsidRDefault="00E875EF" w:rsidP="004946E5">
      <w:pPr>
        <w:pStyle w:val="BodyText"/>
        <w:rPr>
          <w:b w:val="0"/>
          <w:szCs w:val="24"/>
        </w:rPr>
      </w:pPr>
    </w:p>
    <w:p w14:paraId="2BBA9C0F" w14:textId="77777777" w:rsidR="00A7174A" w:rsidRPr="00E84217" w:rsidRDefault="00A7174A" w:rsidP="004946E5">
      <w:pPr>
        <w:pStyle w:val="BodyText"/>
        <w:rPr>
          <w:b w:val="0"/>
          <w:szCs w:val="24"/>
        </w:rPr>
      </w:pPr>
    </w:p>
    <w:p w14:paraId="745F73E7" w14:textId="77777777" w:rsidR="00D56C4B" w:rsidRPr="00E84217" w:rsidRDefault="00D56C4B" w:rsidP="00C75A5F">
      <w:pPr>
        <w:pStyle w:val="BodyText"/>
        <w:rPr>
          <w:b w:val="0"/>
          <w:szCs w:val="24"/>
        </w:rPr>
      </w:pPr>
    </w:p>
    <w:p w14:paraId="66157287" w14:textId="77777777" w:rsidR="00E875EF" w:rsidRPr="00E84217" w:rsidRDefault="00E875EF" w:rsidP="00C75A5F">
      <w:pPr>
        <w:pStyle w:val="BodyText"/>
        <w:rPr>
          <w:b w:val="0"/>
          <w:szCs w:val="24"/>
        </w:rPr>
      </w:pPr>
    </w:p>
    <w:p w14:paraId="45453741" w14:textId="77777777" w:rsidR="00A7174A" w:rsidRPr="00E84217" w:rsidRDefault="00A7174A" w:rsidP="00C75A5F">
      <w:pPr>
        <w:pStyle w:val="BodyText"/>
        <w:rPr>
          <w:b w:val="0"/>
          <w:szCs w:val="24"/>
        </w:rPr>
      </w:pPr>
    </w:p>
    <w:p w14:paraId="7CE43FEA" w14:textId="77777777" w:rsidR="00E875EF" w:rsidRPr="00E84217" w:rsidRDefault="00E875EF" w:rsidP="00D56C4B">
      <w:pPr>
        <w:pStyle w:val="BodyText"/>
        <w:rPr>
          <w:b w:val="0"/>
          <w:szCs w:val="24"/>
        </w:rPr>
      </w:pPr>
    </w:p>
    <w:p w14:paraId="5B74E5AC" w14:textId="77777777" w:rsidR="00E875EF" w:rsidRPr="00E84217" w:rsidRDefault="00E875EF" w:rsidP="00D56C4B">
      <w:pPr>
        <w:pStyle w:val="BodyText"/>
        <w:rPr>
          <w:b w:val="0"/>
          <w:szCs w:val="24"/>
        </w:rPr>
      </w:pPr>
    </w:p>
    <w:p w14:paraId="6F10A8C2" w14:textId="77777777" w:rsidR="002262EB" w:rsidRPr="00E84217" w:rsidRDefault="002262EB" w:rsidP="00D56C4B">
      <w:pPr>
        <w:pStyle w:val="BodyText"/>
        <w:rPr>
          <w:b w:val="0"/>
          <w:szCs w:val="24"/>
        </w:rPr>
      </w:pPr>
    </w:p>
    <w:p w14:paraId="3AEB4760" w14:textId="77777777" w:rsidR="002262EB" w:rsidRPr="00E84217" w:rsidRDefault="002262EB" w:rsidP="00D56C4B">
      <w:pPr>
        <w:pStyle w:val="BodyText"/>
        <w:rPr>
          <w:b w:val="0"/>
          <w:szCs w:val="24"/>
        </w:rPr>
      </w:pPr>
    </w:p>
    <w:p w14:paraId="2D48EF03" w14:textId="77777777" w:rsidR="00D56C4B" w:rsidRPr="00E84217" w:rsidRDefault="00D56C4B">
      <w:pPr>
        <w:spacing w:after="200" w:line="276" w:lineRule="auto"/>
        <w:rPr>
          <w:b/>
          <w:sz w:val="28"/>
          <w:szCs w:val="28"/>
        </w:rPr>
      </w:pPr>
      <w:r w:rsidRPr="00E84217">
        <w:rPr>
          <w:b/>
          <w:sz w:val="28"/>
          <w:szCs w:val="28"/>
        </w:rPr>
        <w:br w:type="page"/>
      </w:r>
    </w:p>
    <w:p w14:paraId="2412D14E" w14:textId="0CEE4E92" w:rsidR="00A17F2C" w:rsidRPr="00E84217" w:rsidRDefault="00A17F2C" w:rsidP="008D136F">
      <w:pPr>
        <w:pStyle w:val="Header"/>
        <w:tabs>
          <w:tab w:val="num" w:pos="1080"/>
        </w:tabs>
        <w:jc w:val="center"/>
        <w:rPr>
          <w:b/>
          <w:sz w:val="28"/>
          <w:szCs w:val="28"/>
        </w:rPr>
      </w:pPr>
      <w:r w:rsidRPr="00E84217">
        <w:rPr>
          <w:b/>
          <w:sz w:val="28"/>
          <w:szCs w:val="28"/>
        </w:rPr>
        <w:lastRenderedPageBreak/>
        <w:t>Statement of Compatibility with Human Rights</w:t>
      </w:r>
    </w:p>
    <w:p w14:paraId="2412D14F" w14:textId="77777777" w:rsidR="00A17F2C" w:rsidRPr="00E84217" w:rsidRDefault="00A17F2C" w:rsidP="000337CB">
      <w:pPr>
        <w:spacing w:before="120" w:after="120"/>
        <w:jc w:val="center"/>
        <w:rPr>
          <w:szCs w:val="24"/>
        </w:rPr>
      </w:pPr>
      <w:r w:rsidRPr="00E84217">
        <w:rPr>
          <w:i/>
          <w:szCs w:val="24"/>
        </w:rPr>
        <w:t>Prepared in accordance with Part 3 of the Human Rights (Parliamentary Scrutiny) Act 2011</w:t>
      </w:r>
    </w:p>
    <w:p w14:paraId="751DE726" w14:textId="1E75F3F5" w:rsidR="002A6C77" w:rsidRPr="00E84217" w:rsidRDefault="00EB2C2B" w:rsidP="000337CB">
      <w:pPr>
        <w:tabs>
          <w:tab w:val="left" w:pos="1418"/>
        </w:tabs>
        <w:ind w:left="851"/>
        <w:jc w:val="center"/>
        <w:rPr>
          <w:b/>
          <w:i/>
          <w:iCs/>
        </w:rPr>
      </w:pPr>
      <w:r w:rsidRPr="00E84217">
        <w:rPr>
          <w:i/>
          <w:iCs/>
        </w:rPr>
        <w:t>Health Insurance (Section 3C General Medical Services – GP and Allied Health COVID-19 Services) Amendment (Consequential) Determination 2020</w:t>
      </w:r>
    </w:p>
    <w:p w14:paraId="1BF56C38" w14:textId="77777777" w:rsidR="007708B3" w:rsidRPr="00E84217" w:rsidRDefault="007708B3" w:rsidP="000337CB">
      <w:pPr>
        <w:tabs>
          <w:tab w:val="left" w:pos="1418"/>
        </w:tabs>
        <w:ind w:left="851"/>
        <w:jc w:val="center"/>
        <w:rPr>
          <w:b/>
          <w:i/>
          <w:szCs w:val="24"/>
        </w:rPr>
      </w:pPr>
    </w:p>
    <w:p w14:paraId="2412D153" w14:textId="7AFD921D" w:rsidR="00A17F2C" w:rsidRPr="00E84217" w:rsidRDefault="00A17F2C" w:rsidP="000337CB">
      <w:pPr>
        <w:jc w:val="center"/>
        <w:rPr>
          <w:szCs w:val="24"/>
        </w:rPr>
      </w:pPr>
      <w:r w:rsidRPr="00E84217">
        <w:rPr>
          <w:szCs w:val="24"/>
        </w:rPr>
        <w:t xml:space="preserve">This </w:t>
      </w:r>
      <w:r w:rsidR="0046022A" w:rsidRPr="00E84217">
        <w:rPr>
          <w:szCs w:val="24"/>
        </w:rPr>
        <w:t>instrument</w:t>
      </w:r>
      <w:r w:rsidRPr="00E84217">
        <w:rPr>
          <w:szCs w:val="24"/>
        </w:rPr>
        <w:t xml:space="preserve"> is compatible with the human rights and freedoms recognised or declared in the international instruments listed in section 3 of the </w:t>
      </w:r>
      <w:r w:rsidRPr="00E84217">
        <w:rPr>
          <w:i/>
          <w:szCs w:val="24"/>
        </w:rPr>
        <w:t>Human Rights (Parliamentary Scrutiny) Act 2011</w:t>
      </w:r>
      <w:r w:rsidRPr="00E84217">
        <w:rPr>
          <w:szCs w:val="24"/>
        </w:rPr>
        <w:t>.</w:t>
      </w:r>
    </w:p>
    <w:p w14:paraId="7EDA9098" w14:textId="306A78E1" w:rsidR="006E6BBF" w:rsidRPr="00E84217" w:rsidRDefault="006E6BBF" w:rsidP="008734F5">
      <w:pPr>
        <w:spacing w:before="120" w:after="120"/>
        <w:rPr>
          <w:b/>
          <w:szCs w:val="24"/>
        </w:rPr>
      </w:pPr>
      <w:r w:rsidRPr="00E84217">
        <w:rPr>
          <w:b/>
          <w:szCs w:val="24"/>
        </w:rPr>
        <w:t xml:space="preserve">Overview of the </w:t>
      </w:r>
      <w:r w:rsidR="00B86A9F" w:rsidRPr="00E84217">
        <w:rPr>
          <w:b/>
          <w:szCs w:val="24"/>
        </w:rPr>
        <w:t>Determination</w:t>
      </w:r>
    </w:p>
    <w:p w14:paraId="22B9BEFD" w14:textId="77777777" w:rsidR="008D6FA5" w:rsidRPr="00E84217" w:rsidRDefault="008D6FA5" w:rsidP="008D6FA5">
      <w:pPr>
        <w:ind w:right="-483"/>
        <w:rPr>
          <w:szCs w:val="24"/>
        </w:rPr>
      </w:pPr>
      <w:r w:rsidRPr="00E84217">
        <w:rPr>
          <w:szCs w:val="24"/>
        </w:rPr>
        <w:t xml:space="preserve">The purpose of the </w:t>
      </w:r>
      <w:r w:rsidRPr="00E84217">
        <w:rPr>
          <w:i/>
          <w:szCs w:val="24"/>
        </w:rPr>
        <w:t>Health Insurance (Section 3C General Medical Services – GP and Allied Health COVID-19 Services) Amendment (Consequential) Determination 2020</w:t>
      </w:r>
      <w:r w:rsidRPr="00E84217">
        <w:rPr>
          <w:szCs w:val="24"/>
        </w:rPr>
        <w:t xml:space="preserve"> (the Determination) is to make consequential amendments to the:</w:t>
      </w:r>
    </w:p>
    <w:p w14:paraId="4AE0B944" w14:textId="77777777" w:rsidR="008D6FA5" w:rsidRPr="00E84217" w:rsidRDefault="008D6FA5" w:rsidP="008D6FA5">
      <w:pPr>
        <w:pStyle w:val="ListParagraph"/>
        <w:numPr>
          <w:ilvl w:val="0"/>
          <w:numId w:val="33"/>
        </w:numPr>
        <w:ind w:right="-483"/>
        <w:rPr>
          <w:szCs w:val="24"/>
        </w:rPr>
      </w:pPr>
      <w:r w:rsidRPr="00E84217">
        <w:rPr>
          <w:i/>
          <w:szCs w:val="24"/>
        </w:rPr>
        <w:t xml:space="preserve">Health Insurance (Allied Health Services) Determination 2014 </w:t>
      </w:r>
      <w:r w:rsidRPr="00E84217">
        <w:rPr>
          <w:szCs w:val="24"/>
        </w:rPr>
        <w:t>(the Allied Health Determination);</w:t>
      </w:r>
    </w:p>
    <w:p w14:paraId="2A3038E0" w14:textId="77777777" w:rsidR="008D6FA5" w:rsidRPr="00E84217" w:rsidRDefault="008D6FA5" w:rsidP="008D6FA5">
      <w:pPr>
        <w:pStyle w:val="ListParagraph"/>
        <w:numPr>
          <w:ilvl w:val="0"/>
          <w:numId w:val="33"/>
        </w:numPr>
        <w:ind w:right="-483"/>
        <w:rPr>
          <w:szCs w:val="24"/>
        </w:rPr>
      </w:pPr>
      <w:r w:rsidRPr="00E84217">
        <w:rPr>
          <w:i/>
          <w:szCs w:val="24"/>
        </w:rPr>
        <w:t xml:space="preserve">Health Insurance (General Medical Services – Other Medical Practitioner) Determination 2018 </w:t>
      </w:r>
      <w:r w:rsidRPr="00E84217">
        <w:rPr>
          <w:szCs w:val="24"/>
        </w:rPr>
        <w:t>(the Other Medical Practitioner Determination);</w:t>
      </w:r>
    </w:p>
    <w:p w14:paraId="1702B4AE" w14:textId="70DA63F4" w:rsidR="008D6FA5" w:rsidRPr="00E84217" w:rsidRDefault="008D6FA5" w:rsidP="008D6FA5">
      <w:pPr>
        <w:pStyle w:val="ListParagraph"/>
        <w:numPr>
          <w:ilvl w:val="0"/>
          <w:numId w:val="33"/>
        </w:numPr>
        <w:ind w:right="-483"/>
        <w:rPr>
          <w:szCs w:val="24"/>
        </w:rPr>
      </w:pPr>
      <w:r w:rsidRPr="00E84217">
        <w:rPr>
          <w:i/>
          <w:szCs w:val="24"/>
        </w:rPr>
        <w:t xml:space="preserve">Health Insurance (Section 3C General </w:t>
      </w:r>
      <w:r w:rsidR="00793DF5" w:rsidRPr="00E84217">
        <w:rPr>
          <w:i/>
          <w:szCs w:val="24"/>
        </w:rPr>
        <w:t>Medical</w:t>
      </w:r>
      <w:r w:rsidRPr="00E84217">
        <w:rPr>
          <w:i/>
          <w:szCs w:val="24"/>
        </w:rPr>
        <w:t xml:space="preserve"> Services – Eating Disorders Treatment Plan and Psychological Treatment Services) Determination 2019 </w:t>
      </w:r>
      <w:r w:rsidRPr="00E84217">
        <w:rPr>
          <w:szCs w:val="24"/>
        </w:rPr>
        <w:t xml:space="preserve">(the Eating Disorders Services Determination); and </w:t>
      </w:r>
    </w:p>
    <w:p w14:paraId="5DDA3FBD" w14:textId="77777777" w:rsidR="008D6FA5" w:rsidRPr="00E84217" w:rsidRDefault="008D6FA5" w:rsidP="008D6FA5">
      <w:pPr>
        <w:pStyle w:val="ListParagraph"/>
        <w:numPr>
          <w:ilvl w:val="0"/>
          <w:numId w:val="33"/>
        </w:numPr>
        <w:ind w:right="-483"/>
        <w:rPr>
          <w:rStyle w:val="CommentReference"/>
          <w:sz w:val="24"/>
          <w:szCs w:val="24"/>
        </w:rPr>
      </w:pPr>
      <w:r w:rsidRPr="00E84217">
        <w:rPr>
          <w:rStyle w:val="CommentReference"/>
          <w:i/>
          <w:sz w:val="24"/>
          <w:szCs w:val="24"/>
        </w:rPr>
        <w:t xml:space="preserve">Health Insurance (Section 3C General Medical Services - COVID-19 Telehealth and Telephone Attendances) Determination 2020 </w:t>
      </w:r>
      <w:r w:rsidRPr="00E84217">
        <w:rPr>
          <w:rStyle w:val="CommentReference"/>
          <w:sz w:val="24"/>
          <w:szCs w:val="24"/>
        </w:rPr>
        <w:t>(COVID-19 Determination).</w:t>
      </w:r>
    </w:p>
    <w:p w14:paraId="18CC2F46" w14:textId="77777777" w:rsidR="008D6FA5" w:rsidRPr="00E84217" w:rsidRDefault="008D6FA5" w:rsidP="008D6FA5">
      <w:pPr>
        <w:ind w:right="-483"/>
        <w:rPr>
          <w:rStyle w:val="CommentReference"/>
          <w:sz w:val="24"/>
          <w:szCs w:val="24"/>
        </w:rPr>
      </w:pPr>
    </w:p>
    <w:p w14:paraId="3E4596EF" w14:textId="7338C309" w:rsidR="002D16FA" w:rsidRPr="00E84217" w:rsidRDefault="002D16FA" w:rsidP="002D16FA">
      <w:pPr>
        <w:ind w:right="-483"/>
        <w:rPr>
          <w:szCs w:val="24"/>
        </w:rPr>
      </w:pPr>
      <w:r w:rsidRPr="00E84217">
        <w:rPr>
          <w:szCs w:val="24"/>
        </w:rPr>
        <w:t xml:space="preserve">The COVID-19 Determination currently prescribes 272 temporary telehealth and telephone items that cover many general practice, specialist and consultant physician, nurse practitioner, midwife, and allied health attendances. These new items include telehealth and </w:t>
      </w:r>
      <w:r w:rsidR="00881FA8" w:rsidRPr="00E84217">
        <w:rPr>
          <w:szCs w:val="24"/>
        </w:rPr>
        <w:t>tele</w:t>
      </w:r>
      <w:r w:rsidRPr="00E84217">
        <w:rPr>
          <w:szCs w:val="24"/>
        </w:rPr>
        <w:t>phone attendance items equivalent to the ‘face-to-face’ items specified in the Allied Health Determ</w:t>
      </w:r>
      <w:r w:rsidR="00793DF5" w:rsidRPr="00E84217">
        <w:rPr>
          <w:szCs w:val="24"/>
        </w:rPr>
        <w:t>in</w:t>
      </w:r>
      <w:r w:rsidRPr="00E84217">
        <w:rPr>
          <w:szCs w:val="24"/>
        </w:rPr>
        <w:t>ation, Other Medical Practitioner Determination and the Eating Disorders Services Determination. The introduction of these new items necessitates consequential amendments to the above instruments to ensure that definitions, limitation provisions and referral pathways are applied consistently so the equivalent face-to-face and remote items can operate together. The Determination also makes tidying up amendments to these instruments.</w:t>
      </w:r>
    </w:p>
    <w:p w14:paraId="31515278" w14:textId="28FBF7FC" w:rsidR="007708B3" w:rsidRPr="00E84217" w:rsidRDefault="007708B3" w:rsidP="002A6C77">
      <w:pPr>
        <w:ind w:right="-482"/>
        <w:rPr>
          <w:iCs/>
        </w:rPr>
      </w:pPr>
    </w:p>
    <w:p w14:paraId="2412D15C" w14:textId="50D38E8B" w:rsidR="00A17F2C" w:rsidRPr="00E84217" w:rsidRDefault="00A17F2C" w:rsidP="002A6C77">
      <w:pPr>
        <w:ind w:right="-482"/>
        <w:rPr>
          <w:b/>
          <w:szCs w:val="24"/>
        </w:rPr>
      </w:pPr>
      <w:r w:rsidRPr="00E84217">
        <w:rPr>
          <w:b/>
          <w:szCs w:val="24"/>
        </w:rPr>
        <w:t>Human rights implications</w:t>
      </w:r>
    </w:p>
    <w:p w14:paraId="449665F0" w14:textId="2ED3F54B" w:rsidR="00806020" w:rsidRPr="00E84217" w:rsidRDefault="00806020" w:rsidP="00806020">
      <w:pPr>
        <w:spacing w:before="120" w:after="120"/>
        <w:rPr>
          <w:szCs w:val="24"/>
        </w:rPr>
      </w:pPr>
      <w:r w:rsidRPr="00E8421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84217" w:rsidRDefault="00A17F2C" w:rsidP="00806020">
      <w:pPr>
        <w:spacing w:before="120" w:after="120"/>
        <w:rPr>
          <w:i/>
          <w:szCs w:val="24"/>
        </w:rPr>
      </w:pPr>
      <w:r w:rsidRPr="00E84217">
        <w:rPr>
          <w:i/>
          <w:szCs w:val="24"/>
        </w:rPr>
        <w:t>The Right to Health</w:t>
      </w:r>
    </w:p>
    <w:p w14:paraId="2412D15F" w14:textId="77777777" w:rsidR="00A17F2C" w:rsidRPr="00E84217" w:rsidRDefault="00A17F2C" w:rsidP="000337CB">
      <w:pPr>
        <w:spacing w:before="120" w:after="120"/>
        <w:rPr>
          <w:szCs w:val="24"/>
        </w:rPr>
      </w:pPr>
      <w:r w:rsidRPr="00E8421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84217" w:rsidRDefault="00A17F2C" w:rsidP="000337CB">
      <w:pPr>
        <w:spacing w:before="120" w:after="120"/>
        <w:rPr>
          <w:szCs w:val="24"/>
        </w:rPr>
      </w:pPr>
      <w:r w:rsidRPr="00E84217">
        <w:rPr>
          <w:szCs w:val="24"/>
        </w:rPr>
        <w:t xml:space="preserve">The Committee reports that the </w:t>
      </w:r>
      <w:r w:rsidRPr="00E84217">
        <w:rPr>
          <w:i/>
          <w:szCs w:val="24"/>
        </w:rPr>
        <w:t>‘highest attainable standard of health’</w:t>
      </w:r>
      <w:r w:rsidRPr="00E84217">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84217" w:rsidRDefault="00A17F2C" w:rsidP="000337CB">
      <w:pPr>
        <w:spacing w:before="120" w:after="120"/>
        <w:rPr>
          <w:i/>
          <w:szCs w:val="24"/>
        </w:rPr>
      </w:pPr>
      <w:r w:rsidRPr="00E84217">
        <w:rPr>
          <w:i/>
          <w:szCs w:val="24"/>
        </w:rPr>
        <w:t xml:space="preserve">The Right to Social Security </w:t>
      </w:r>
    </w:p>
    <w:p w14:paraId="2412D162" w14:textId="77777777" w:rsidR="00A17F2C" w:rsidRPr="00E84217" w:rsidRDefault="00A17F2C" w:rsidP="000337CB">
      <w:pPr>
        <w:spacing w:before="120" w:after="120"/>
        <w:rPr>
          <w:szCs w:val="24"/>
        </w:rPr>
      </w:pPr>
      <w:r w:rsidRPr="00E84217">
        <w:rPr>
          <w:szCs w:val="24"/>
        </w:rPr>
        <w:lastRenderedPageBreak/>
        <w:t>The right to social security is contained in Article 9 of the ICESCR. It requires that a country must, within its maximum available resources, ensure access to a social security scheme that</w:t>
      </w:r>
      <w:r w:rsidR="00BA69CB" w:rsidRPr="00E84217">
        <w:rPr>
          <w:szCs w:val="24"/>
        </w:rPr>
        <w:t xml:space="preserve"> </w:t>
      </w:r>
      <w:r w:rsidRPr="00E84217">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E84217" w:rsidRDefault="00A17F2C" w:rsidP="000337CB">
      <w:pPr>
        <w:spacing w:before="120" w:after="120"/>
        <w:rPr>
          <w:szCs w:val="24"/>
        </w:rPr>
      </w:pPr>
      <w:r w:rsidRPr="00E8421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E84217" w:rsidRDefault="00A17F2C" w:rsidP="000337CB">
      <w:pPr>
        <w:spacing w:before="120" w:after="120"/>
        <w:rPr>
          <w:szCs w:val="24"/>
          <w:u w:val="single"/>
        </w:rPr>
      </w:pPr>
      <w:r w:rsidRPr="00E84217">
        <w:rPr>
          <w:szCs w:val="24"/>
          <w:u w:val="single"/>
        </w:rPr>
        <w:t xml:space="preserve">Analysis </w:t>
      </w:r>
    </w:p>
    <w:p w14:paraId="5F5A43D1" w14:textId="52C2F1CD" w:rsidR="008D6FA5" w:rsidRPr="00E84217" w:rsidRDefault="008D6FA5" w:rsidP="002D16FA">
      <w:pPr>
        <w:spacing w:before="120" w:after="120"/>
        <w:rPr>
          <w:color w:val="000000"/>
          <w:shd w:val="clear" w:color="auto" w:fill="FFFFFF"/>
        </w:rPr>
      </w:pPr>
      <w:r w:rsidRPr="00E84217">
        <w:rPr>
          <w:color w:val="000000"/>
          <w:shd w:val="clear" w:color="auto" w:fill="FFFFFF"/>
        </w:rPr>
        <w:t xml:space="preserve">This instrument makes amendments to the Allied Health Determination, Other Medical Practitioner and Eating Disorders Services Determinations consequential to the creation of equivalent telehealth and telephone attendance items in the COVID-19 Determination. To the extent that these changes restrict patient eligibility or access to Medicare benefits for services, these restrictions are consistent with the current limitations on face-to-face attendance items. For example, if a patient was entitled to 10 face-to-face attendances for a particular service, they are now entitled to 10 attendances by any means (face-to-face, telehealth or </w:t>
      </w:r>
      <w:r w:rsidR="00881FA8" w:rsidRPr="00E84217">
        <w:rPr>
          <w:color w:val="000000"/>
          <w:shd w:val="clear" w:color="auto" w:fill="FFFFFF"/>
        </w:rPr>
        <w:t>tele</w:t>
      </w:r>
      <w:r w:rsidRPr="00E84217">
        <w:rPr>
          <w:color w:val="000000"/>
          <w:shd w:val="clear" w:color="auto" w:fill="FFFFFF"/>
        </w:rPr>
        <w:t xml:space="preserve">phone) for that </w:t>
      </w:r>
      <w:r w:rsidR="002D16FA" w:rsidRPr="00E84217">
        <w:rPr>
          <w:color w:val="000000"/>
          <w:shd w:val="clear" w:color="auto" w:fill="FFFFFF"/>
        </w:rPr>
        <w:t xml:space="preserve">type of </w:t>
      </w:r>
      <w:r w:rsidRPr="00E84217">
        <w:rPr>
          <w:color w:val="000000"/>
          <w:shd w:val="clear" w:color="auto" w:fill="FFFFFF"/>
        </w:rPr>
        <w:t xml:space="preserve">service. </w:t>
      </w:r>
    </w:p>
    <w:p w14:paraId="3C68F8AF" w14:textId="64BC86B9" w:rsidR="00127658" w:rsidRPr="00E84217" w:rsidRDefault="007E05D0" w:rsidP="002D16FA">
      <w:pPr>
        <w:spacing w:before="120" w:after="120"/>
        <w:rPr>
          <w:color w:val="000000"/>
          <w:shd w:val="clear" w:color="auto" w:fill="FFFFFF"/>
        </w:rPr>
      </w:pPr>
      <w:r w:rsidRPr="00E84217">
        <w:rPr>
          <w:color w:val="000000"/>
          <w:shd w:val="clear" w:color="auto" w:fill="FFFFFF"/>
        </w:rPr>
        <w:t>Similarly</w:t>
      </w:r>
      <w:r w:rsidR="00793DF5" w:rsidRPr="00E84217">
        <w:rPr>
          <w:color w:val="000000"/>
          <w:shd w:val="clear" w:color="auto" w:fill="FFFFFF"/>
        </w:rPr>
        <w:t>, the amend</w:t>
      </w:r>
      <w:r w:rsidR="00127658" w:rsidRPr="00E84217">
        <w:rPr>
          <w:color w:val="000000"/>
          <w:shd w:val="clear" w:color="auto" w:fill="FFFFFF"/>
        </w:rPr>
        <w:t xml:space="preserve">ments to the COVID-19 Determination insert or amend the </w:t>
      </w:r>
      <w:r w:rsidR="00793DF5" w:rsidRPr="00E84217">
        <w:rPr>
          <w:color w:val="000000"/>
          <w:shd w:val="clear" w:color="auto" w:fill="FFFFFF"/>
        </w:rPr>
        <w:t>limitations</w:t>
      </w:r>
      <w:r w:rsidR="00127658" w:rsidRPr="00E84217">
        <w:rPr>
          <w:color w:val="000000"/>
          <w:shd w:val="clear" w:color="auto" w:fill="FFFFFF"/>
        </w:rPr>
        <w:t xml:space="preserve"> which operate on telehealth and telephone attendance items so that they are consistent with the limitations on face-to-face items. </w:t>
      </w:r>
    </w:p>
    <w:p w14:paraId="664C2C43" w14:textId="6B772DA4" w:rsidR="007E05D0" w:rsidRPr="00E84217" w:rsidRDefault="007E05D0" w:rsidP="002D16FA">
      <w:pPr>
        <w:spacing w:before="120" w:after="120"/>
        <w:rPr>
          <w:color w:val="000000"/>
          <w:shd w:val="clear" w:color="auto" w:fill="FFFFFF"/>
        </w:rPr>
      </w:pPr>
      <w:r w:rsidRPr="00E84217">
        <w:rPr>
          <w:color w:val="000000"/>
          <w:shd w:val="clear" w:color="auto" w:fill="FFFFFF"/>
        </w:rPr>
        <w:t xml:space="preserve">The amendment to clause 1.9.3 of the Other Medical Practitioner Determination amends that limitation on items 272, 276, 281 and 282 so that it is consistent with the equivalent item in the general medical services table. </w:t>
      </w:r>
    </w:p>
    <w:p w14:paraId="3242D26D" w14:textId="08F4F94A" w:rsidR="00127658" w:rsidRPr="00E84217" w:rsidRDefault="00127658" w:rsidP="002D16FA">
      <w:pPr>
        <w:spacing w:before="120" w:after="120"/>
        <w:rPr>
          <w:color w:val="000000"/>
          <w:shd w:val="clear" w:color="auto" w:fill="FFFFFF"/>
        </w:rPr>
      </w:pPr>
      <w:r w:rsidRPr="00E84217">
        <w:rPr>
          <w:color w:val="000000"/>
          <w:shd w:val="clear" w:color="auto" w:fill="FFFFFF"/>
        </w:rPr>
        <w:t xml:space="preserve">The other </w:t>
      </w:r>
      <w:r w:rsidR="008D6FA5" w:rsidRPr="00E84217">
        <w:rPr>
          <w:color w:val="000000"/>
          <w:shd w:val="clear" w:color="auto" w:fill="FFFFFF"/>
        </w:rPr>
        <w:t xml:space="preserve">general tidying amendments </w:t>
      </w:r>
      <w:r w:rsidRPr="00E84217">
        <w:rPr>
          <w:color w:val="000000"/>
          <w:shd w:val="clear" w:color="auto" w:fill="FFFFFF"/>
        </w:rPr>
        <w:t xml:space="preserve">to the instruments </w:t>
      </w:r>
      <w:r w:rsidR="008D6FA5" w:rsidRPr="00E84217">
        <w:rPr>
          <w:color w:val="000000"/>
          <w:shd w:val="clear" w:color="auto" w:fill="FFFFFF"/>
        </w:rPr>
        <w:t xml:space="preserve">do not affect who is entitled to Medicare benefit, or arrangements for practitioners. </w:t>
      </w:r>
      <w:r w:rsidR="00AF1ACA" w:rsidRPr="00E84217">
        <w:rPr>
          <w:szCs w:val="24"/>
        </w:rPr>
        <w:tab/>
      </w:r>
    </w:p>
    <w:p w14:paraId="2412D166" w14:textId="1973400E" w:rsidR="00A17F2C" w:rsidRPr="00E84217" w:rsidRDefault="00A17F2C" w:rsidP="004B7CB9">
      <w:pPr>
        <w:spacing w:before="120" w:after="120" w:line="276" w:lineRule="auto"/>
        <w:rPr>
          <w:rFonts w:eastAsia="Calibri"/>
          <w:b/>
          <w:szCs w:val="24"/>
          <w:lang w:eastAsia="en-US"/>
        </w:rPr>
      </w:pPr>
      <w:r w:rsidRPr="00E84217">
        <w:rPr>
          <w:rFonts w:eastAsia="Calibri"/>
          <w:b/>
          <w:szCs w:val="24"/>
          <w:lang w:eastAsia="en-US"/>
        </w:rPr>
        <w:t xml:space="preserve">Conclusion </w:t>
      </w:r>
    </w:p>
    <w:p w14:paraId="2412D167" w14:textId="5B9DB872" w:rsidR="00A17F2C" w:rsidRPr="00E84217" w:rsidRDefault="006E6BBF" w:rsidP="000337CB">
      <w:pPr>
        <w:rPr>
          <w:color w:val="FF0000"/>
          <w:szCs w:val="24"/>
        </w:rPr>
      </w:pPr>
      <w:r w:rsidRPr="00E84217">
        <w:rPr>
          <w:szCs w:val="24"/>
        </w:rPr>
        <w:t xml:space="preserve">This </w:t>
      </w:r>
      <w:r w:rsidR="0046022A" w:rsidRPr="00E84217">
        <w:rPr>
          <w:szCs w:val="24"/>
        </w:rPr>
        <w:t>instrument</w:t>
      </w:r>
      <w:r w:rsidRPr="00E84217">
        <w:rPr>
          <w:szCs w:val="24"/>
        </w:rPr>
        <w:t xml:space="preserve"> </w:t>
      </w:r>
      <w:r w:rsidR="00F15284" w:rsidRPr="00E84217">
        <w:rPr>
          <w:szCs w:val="24"/>
        </w:rPr>
        <w:t xml:space="preserve">is compatible with human rights as it </w:t>
      </w:r>
      <w:r w:rsidR="007C7403" w:rsidRPr="00E84217">
        <w:rPr>
          <w:szCs w:val="24"/>
        </w:rPr>
        <w:t xml:space="preserve">maintains </w:t>
      </w:r>
      <w:r w:rsidR="00127658" w:rsidRPr="00E84217">
        <w:rPr>
          <w:szCs w:val="24"/>
        </w:rPr>
        <w:t>the</w:t>
      </w:r>
      <w:r w:rsidR="007C7403" w:rsidRPr="00E84217">
        <w:rPr>
          <w:szCs w:val="24"/>
        </w:rPr>
        <w:t xml:space="preserve"> </w:t>
      </w:r>
      <w:r w:rsidR="00910EF6" w:rsidRPr="00E84217">
        <w:rPr>
          <w:szCs w:val="24"/>
        </w:rPr>
        <w:t>right to health an</w:t>
      </w:r>
      <w:r w:rsidR="00127658" w:rsidRPr="00E84217">
        <w:rPr>
          <w:szCs w:val="24"/>
        </w:rPr>
        <w:t xml:space="preserve">d the right to social security. The limitations imposed on eligibility for Medicare benefits are consistent with the limitations that </w:t>
      </w:r>
      <w:r w:rsidR="002D16FA" w:rsidRPr="00E84217">
        <w:rPr>
          <w:szCs w:val="24"/>
        </w:rPr>
        <w:t>currently operate</w:t>
      </w:r>
      <w:r w:rsidR="00127658" w:rsidRPr="00E84217">
        <w:rPr>
          <w:szCs w:val="24"/>
        </w:rPr>
        <w:t xml:space="preserve"> for face-to-face attendance</w:t>
      </w:r>
      <w:r w:rsidR="00E44565" w:rsidRPr="00E84217">
        <w:rPr>
          <w:szCs w:val="24"/>
        </w:rPr>
        <w:t>s</w:t>
      </w:r>
      <w:r w:rsidR="00127658" w:rsidRPr="00E84217">
        <w:rPr>
          <w:szCs w:val="24"/>
        </w:rPr>
        <w:t xml:space="preserve">. </w:t>
      </w:r>
    </w:p>
    <w:p w14:paraId="2412D168" w14:textId="77777777" w:rsidR="00F15284" w:rsidRPr="00E84217" w:rsidRDefault="00F15284" w:rsidP="000337CB">
      <w:pPr>
        <w:rPr>
          <w:rFonts w:eastAsia="Calibri"/>
          <w:szCs w:val="24"/>
          <w:lang w:eastAsia="en-US"/>
        </w:rPr>
      </w:pPr>
    </w:p>
    <w:p w14:paraId="75A46380" w14:textId="77777777" w:rsidR="00C67BC7" w:rsidRPr="00E84217" w:rsidRDefault="00C67BC7" w:rsidP="000F2948">
      <w:pPr>
        <w:jc w:val="center"/>
        <w:rPr>
          <w:b/>
          <w:bCs/>
        </w:rPr>
      </w:pPr>
    </w:p>
    <w:p w14:paraId="1D72D847" w14:textId="77777777" w:rsidR="00545A71" w:rsidRPr="00E84217" w:rsidRDefault="00545A71" w:rsidP="00545A71">
      <w:pPr>
        <w:shd w:val="clear" w:color="auto" w:fill="FFFFFF"/>
        <w:spacing w:line="240" w:lineRule="atLeast"/>
        <w:ind w:right="397"/>
        <w:jc w:val="center"/>
        <w:rPr>
          <w:rFonts w:eastAsia="Calibri"/>
          <w:b/>
          <w:sz w:val="22"/>
          <w:szCs w:val="22"/>
        </w:rPr>
      </w:pPr>
      <w:r w:rsidRPr="00E84217">
        <w:rPr>
          <w:rFonts w:eastAsia="Calibri"/>
          <w:b/>
          <w:sz w:val="22"/>
          <w:szCs w:val="22"/>
        </w:rPr>
        <w:t>David Weiss</w:t>
      </w:r>
    </w:p>
    <w:p w14:paraId="59DFD7CF" w14:textId="7B54E723" w:rsidR="00545A71" w:rsidRPr="00E84217" w:rsidRDefault="00545A71" w:rsidP="00545A71">
      <w:pPr>
        <w:shd w:val="clear" w:color="auto" w:fill="FFFFFF"/>
        <w:spacing w:line="240" w:lineRule="atLeast"/>
        <w:ind w:right="397"/>
        <w:jc w:val="center"/>
        <w:rPr>
          <w:rFonts w:eastAsia="Calibri"/>
          <w:b/>
          <w:sz w:val="22"/>
          <w:szCs w:val="22"/>
        </w:rPr>
      </w:pPr>
      <w:r w:rsidRPr="00E84217">
        <w:rPr>
          <w:rFonts w:eastAsia="Calibri"/>
          <w:b/>
          <w:sz w:val="22"/>
          <w:szCs w:val="22"/>
        </w:rPr>
        <w:t>First Assistant Secretary</w:t>
      </w:r>
    </w:p>
    <w:p w14:paraId="7B670CFE" w14:textId="033410F8" w:rsidR="00545A71" w:rsidRPr="00E84217" w:rsidRDefault="00545A71" w:rsidP="00545A71">
      <w:pPr>
        <w:shd w:val="clear" w:color="auto" w:fill="FFFFFF"/>
        <w:spacing w:line="240" w:lineRule="atLeast"/>
        <w:ind w:right="397"/>
        <w:jc w:val="center"/>
        <w:rPr>
          <w:rFonts w:eastAsia="Calibri"/>
          <w:b/>
          <w:sz w:val="22"/>
          <w:szCs w:val="22"/>
        </w:rPr>
      </w:pPr>
      <w:r w:rsidRPr="00E84217">
        <w:rPr>
          <w:rFonts w:eastAsia="Calibri"/>
          <w:b/>
          <w:sz w:val="22"/>
          <w:szCs w:val="22"/>
        </w:rPr>
        <w:t>Medical Benefits Division</w:t>
      </w:r>
    </w:p>
    <w:p w14:paraId="2412D16E" w14:textId="1512FDAE" w:rsidR="00636C51" w:rsidRPr="00DD34A0" w:rsidRDefault="00545A71" w:rsidP="00DD34A0">
      <w:pPr>
        <w:shd w:val="clear" w:color="auto" w:fill="FFFFFF"/>
        <w:spacing w:line="240" w:lineRule="atLeast"/>
        <w:ind w:right="397"/>
        <w:jc w:val="center"/>
        <w:rPr>
          <w:rFonts w:eastAsia="Calibri"/>
          <w:b/>
          <w:sz w:val="22"/>
          <w:szCs w:val="22"/>
        </w:rPr>
      </w:pPr>
      <w:r w:rsidRPr="00E84217">
        <w:rPr>
          <w:rFonts w:eastAsia="Calibri"/>
          <w:b/>
          <w:sz w:val="22"/>
          <w:szCs w:val="22"/>
        </w:rPr>
        <w:t>Department of Health</w:t>
      </w:r>
      <w:bookmarkStart w:id="1" w:name="_GoBack"/>
      <w:bookmarkEnd w:id="1"/>
    </w:p>
    <w:sectPr w:rsidR="00636C51" w:rsidRPr="00DD34A0" w:rsidSect="00B15781">
      <w:headerReference w:type="even" r:id="rId14"/>
      <w:headerReference w:type="default" r:id="rId15"/>
      <w:headerReference w:type="first" r:id="rId16"/>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51D3" w14:textId="77777777" w:rsidR="00C84462" w:rsidRDefault="00C84462">
      <w:r>
        <w:separator/>
      </w:r>
    </w:p>
  </w:endnote>
  <w:endnote w:type="continuationSeparator" w:id="0">
    <w:p w14:paraId="07BA8850" w14:textId="77777777" w:rsidR="00C84462" w:rsidRDefault="00C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8B86" w14:textId="0AE212E6" w:rsidR="0041605C" w:rsidRDefault="0041605C">
    <w:pPr>
      <w:pStyle w:val="Footer"/>
    </w:pPr>
  </w:p>
  <w:p w14:paraId="1DFBBF26" w14:textId="21762F3C" w:rsidR="0041605C" w:rsidRPr="0041605C" w:rsidRDefault="0041605C" w:rsidP="0041605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0AC4" w14:textId="4FE9CF0E" w:rsidR="0041605C" w:rsidRDefault="0041605C">
    <w:pPr>
      <w:pStyle w:val="Footer"/>
    </w:pPr>
  </w:p>
  <w:p w14:paraId="57B91B5C" w14:textId="39D58A8E" w:rsidR="0041605C" w:rsidRPr="0041605C" w:rsidRDefault="0041605C" w:rsidP="0041605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EF34" w14:textId="77777777" w:rsidR="00C84462" w:rsidRDefault="00C84462">
      <w:r>
        <w:separator/>
      </w:r>
    </w:p>
  </w:footnote>
  <w:footnote w:type="continuationSeparator" w:id="0">
    <w:p w14:paraId="6206B535" w14:textId="77777777" w:rsidR="00C84462" w:rsidRDefault="00C8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4B748633" w:rsidR="00A1739A" w:rsidRDefault="00A1739A" w:rsidP="00BD6F5F">
    <w:pPr>
      <w:pStyle w:val="Header"/>
      <w:jc w:val="center"/>
    </w:pPr>
    <w:r>
      <w:fldChar w:fldCharType="begin"/>
    </w:r>
    <w:r>
      <w:instrText xml:space="preserve"> PAGE  \* Arabic  \* MERGEFORMAT </w:instrText>
    </w:r>
    <w:r>
      <w:fldChar w:fldCharType="separate"/>
    </w:r>
    <w:r w:rsidR="00E84217">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3A6FBD83" w:rsidR="00E23B6B" w:rsidRDefault="00E23B6B">
        <w:pPr>
          <w:pStyle w:val="Header"/>
          <w:jc w:val="center"/>
        </w:pPr>
        <w:r>
          <w:fldChar w:fldCharType="begin"/>
        </w:r>
        <w:r>
          <w:instrText xml:space="preserve"> PAGE   \* MERGEFORMAT </w:instrText>
        </w:r>
        <w:r>
          <w:fldChar w:fldCharType="separate"/>
        </w:r>
        <w:r w:rsidR="00E84217">
          <w:rPr>
            <w:noProof/>
          </w:rPr>
          <w:t>8</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7254E3F" w:rsidR="00E23B6B" w:rsidRDefault="00E23B6B">
        <w:pPr>
          <w:pStyle w:val="Header"/>
          <w:jc w:val="center"/>
        </w:pPr>
        <w:r>
          <w:fldChar w:fldCharType="begin"/>
        </w:r>
        <w:r>
          <w:instrText xml:space="preserve"> PAGE   \* MERGEFORMAT </w:instrText>
        </w:r>
        <w:r>
          <w:fldChar w:fldCharType="separate"/>
        </w:r>
        <w:r w:rsidR="00E84217">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370E45"/>
    <w:multiLevelType w:val="hybridMultilevel"/>
    <w:tmpl w:val="4F36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9382C"/>
    <w:multiLevelType w:val="hybridMultilevel"/>
    <w:tmpl w:val="4222852A"/>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A43910"/>
    <w:multiLevelType w:val="hybridMultilevel"/>
    <w:tmpl w:val="95BE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C0184"/>
    <w:multiLevelType w:val="hybridMultilevel"/>
    <w:tmpl w:val="B8067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7C085A"/>
    <w:multiLevelType w:val="hybridMultilevel"/>
    <w:tmpl w:val="35207FF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D50DA"/>
    <w:multiLevelType w:val="hybridMultilevel"/>
    <w:tmpl w:val="F8A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9E6C7D"/>
    <w:multiLevelType w:val="hybridMultilevel"/>
    <w:tmpl w:val="6BD08E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15:restartNumberingAfterBreak="0">
    <w:nsid w:val="5CFB537A"/>
    <w:multiLevelType w:val="hybridMultilevel"/>
    <w:tmpl w:val="58C05640"/>
    <w:lvl w:ilvl="0" w:tplc="79DA477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026FC"/>
    <w:multiLevelType w:val="hybridMultilevel"/>
    <w:tmpl w:val="BB067B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2"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E60A5"/>
    <w:multiLevelType w:val="hybridMultilevel"/>
    <w:tmpl w:val="E090973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32"/>
  </w:num>
  <w:num w:numId="2">
    <w:abstractNumId w:val="1"/>
  </w:num>
  <w:num w:numId="3">
    <w:abstractNumId w:val="2"/>
  </w:num>
  <w:num w:numId="4">
    <w:abstractNumId w:val="15"/>
  </w:num>
  <w:num w:numId="5">
    <w:abstractNumId w:val="22"/>
  </w:num>
  <w:num w:numId="6">
    <w:abstractNumId w:val="13"/>
  </w:num>
  <w:num w:numId="7">
    <w:abstractNumId w:val="37"/>
  </w:num>
  <w:num w:numId="8">
    <w:abstractNumId w:val="9"/>
  </w:num>
  <w:num w:numId="9">
    <w:abstractNumId w:val="7"/>
  </w:num>
  <w:num w:numId="10">
    <w:abstractNumId w:val="39"/>
  </w:num>
  <w:num w:numId="11">
    <w:abstractNumId w:val="36"/>
  </w:num>
  <w:num w:numId="12">
    <w:abstractNumId w:val="17"/>
  </w:num>
  <w:num w:numId="13">
    <w:abstractNumId w:val="19"/>
  </w:num>
  <w:num w:numId="14">
    <w:abstractNumId w:val="34"/>
  </w:num>
  <w:num w:numId="15">
    <w:abstractNumId w:val="10"/>
  </w:num>
  <w:num w:numId="16">
    <w:abstractNumId w:val="24"/>
  </w:num>
  <w:num w:numId="17">
    <w:abstractNumId w:val="28"/>
  </w:num>
  <w:num w:numId="18">
    <w:abstractNumId w:val="26"/>
  </w:num>
  <w:num w:numId="19">
    <w:abstractNumId w:val="5"/>
  </w:num>
  <w:num w:numId="20">
    <w:abstractNumId w:val="1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2"/>
  </w:num>
  <w:num w:numId="26">
    <w:abstractNumId w:val="6"/>
  </w:num>
  <w:num w:numId="27">
    <w:abstractNumId w:val="20"/>
  </w:num>
  <w:num w:numId="28">
    <w:abstractNumId w:val="38"/>
  </w:num>
  <w:num w:numId="29">
    <w:abstractNumId w:val="21"/>
  </w:num>
  <w:num w:numId="30">
    <w:abstractNumId w:val="35"/>
  </w:num>
  <w:num w:numId="31">
    <w:abstractNumId w:val="18"/>
  </w:num>
  <w:num w:numId="32">
    <w:abstractNumId w:val="33"/>
  </w:num>
  <w:num w:numId="33">
    <w:abstractNumId w:val="31"/>
  </w:num>
  <w:num w:numId="34">
    <w:abstractNumId w:val="11"/>
  </w:num>
  <w:num w:numId="35">
    <w:abstractNumId w:val="16"/>
  </w:num>
  <w:num w:numId="36">
    <w:abstractNumId w:val="4"/>
  </w:num>
  <w:num w:numId="37">
    <w:abstractNumId w:val="3"/>
  </w:num>
  <w:num w:numId="38">
    <w:abstractNumId w:val="30"/>
  </w:num>
  <w:num w:numId="39">
    <w:abstractNumId w:val="29"/>
  </w:num>
  <w:num w:numId="40">
    <w:abstractNumId w:val="8"/>
  </w:num>
  <w:num w:numId="41">
    <w:abstractNumId w:val="25"/>
  </w:num>
  <w:num w:numId="42">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394"/>
    <w:rsid w:val="00021EFA"/>
    <w:rsid w:val="00024158"/>
    <w:rsid w:val="00024A1D"/>
    <w:rsid w:val="00025F64"/>
    <w:rsid w:val="0002704E"/>
    <w:rsid w:val="0002728B"/>
    <w:rsid w:val="00027830"/>
    <w:rsid w:val="000319EF"/>
    <w:rsid w:val="00033034"/>
    <w:rsid w:val="000337CB"/>
    <w:rsid w:val="0003591F"/>
    <w:rsid w:val="00040157"/>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7658"/>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572ED"/>
    <w:rsid w:val="0016010C"/>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3DFC"/>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0190"/>
    <w:rsid w:val="001C1B86"/>
    <w:rsid w:val="001C35BC"/>
    <w:rsid w:val="001C51D8"/>
    <w:rsid w:val="001C5FC1"/>
    <w:rsid w:val="001C6713"/>
    <w:rsid w:val="001D0C04"/>
    <w:rsid w:val="001D1B13"/>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281"/>
    <w:rsid w:val="002262EB"/>
    <w:rsid w:val="002264F4"/>
    <w:rsid w:val="002322A8"/>
    <w:rsid w:val="0023311C"/>
    <w:rsid w:val="00233BEB"/>
    <w:rsid w:val="00235B6C"/>
    <w:rsid w:val="00236DF2"/>
    <w:rsid w:val="0024152E"/>
    <w:rsid w:val="002427DC"/>
    <w:rsid w:val="00242974"/>
    <w:rsid w:val="002448F9"/>
    <w:rsid w:val="00244D84"/>
    <w:rsid w:val="00250061"/>
    <w:rsid w:val="00250642"/>
    <w:rsid w:val="002513C4"/>
    <w:rsid w:val="00251E4A"/>
    <w:rsid w:val="00251F50"/>
    <w:rsid w:val="002538F6"/>
    <w:rsid w:val="00253E30"/>
    <w:rsid w:val="0025493F"/>
    <w:rsid w:val="00257459"/>
    <w:rsid w:val="00257E4D"/>
    <w:rsid w:val="00262865"/>
    <w:rsid w:val="00263279"/>
    <w:rsid w:val="002643FC"/>
    <w:rsid w:val="00273534"/>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091E"/>
    <w:rsid w:val="002D16FA"/>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6029"/>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04E0"/>
    <w:rsid w:val="003A2458"/>
    <w:rsid w:val="003A280D"/>
    <w:rsid w:val="003A5A70"/>
    <w:rsid w:val="003A6230"/>
    <w:rsid w:val="003A6299"/>
    <w:rsid w:val="003B1976"/>
    <w:rsid w:val="003B1D46"/>
    <w:rsid w:val="003B27BA"/>
    <w:rsid w:val="003B366C"/>
    <w:rsid w:val="003B38C1"/>
    <w:rsid w:val="003B59A9"/>
    <w:rsid w:val="003B6B63"/>
    <w:rsid w:val="003B7C31"/>
    <w:rsid w:val="003C02D4"/>
    <w:rsid w:val="003C24D2"/>
    <w:rsid w:val="003C37E3"/>
    <w:rsid w:val="003C40F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3603"/>
    <w:rsid w:val="00404F11"/>
    <w:rsid w:val="00405890"/>
    <w:rsid w:val="00405EF4"/>
    <w:rsid w:val="00406D7A"/>
    <w:rsid w:val="00411365"/>
    <w:rsid w:val="0041237F"/>
    <w:rsid w:val="00412B6C"/>
    <w:rsid w:val="00414613"/>
    <w:rsid w:val="00415B19"/>
    <w:rsid w:val="0041605C"/>
    <w:rsid w:val="0041767B"/>
    <w:rsid w:val="00420205"/>
    <w:rsid w:val="00421D5F"/>
    <w:rsid w:val="004225D8"/>
    <w:rsid w:val="00422831"/>
    <w:rsid w:val="00424197"/>
    <w:rsid w:val="00425F40"/>
    <w:rsid w:val="004265AA"/>
    <w:rsid w:val="00426A8D"/>
    <w:rsid w:val="00430861"/>
    <w:rsid w:val="00432D4D"/>
    <w:rsid w:val="00433DCE"/>
    <w:rsid w:val="0043721A"/>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036A"/>
    <w:rsid w:val="00492341"/>
    <w:rsid w:val="00492DBE"/>
    <w:rsid w:val="004946E5"/>
    <w:rsid w:val="004962CC"/>
    <w:rsid w:val="00497EC1"/>
    <w:rsid w:val="004A0313"/>
    <w:rsid w:val="004A0A89"/>
    <w:rsid w:val="004A0BE6"/>
    <w:rsid w:val="004A2249"/>
    <w:rsid w:val="004A26E0"/>
    <w:rsid w:val="004A524A"/>
    <w:rsid w:val="004A56D3"/>
    <w:rsid w:val="004A6B0F"/>
    <w:rsid w:val="004B1ECE"/>
    <w:rsid w:val="004B38C8"/>
    <w:rsid w:val="004B5C2E"/>
    <w:rsid w:val="004B7310"/>
    <w:rsid w:val="004B76B9"/>
    <w:rsid w:val="004B7CB9"/>
    <w:rsid w:val="004C0EE4"/>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C55"/>
    <w:rsid w:val="004E7F97"/>
    <w:rsid w:val="004F1563"/>
    <w:rsid w:val="004F20B0"/>
    <w:rsid w:val="004F3BF4"/>
    <w:rsid w:val="004F4BAD"/>
    <w:rsid w:val="004F7682"/>
    <w:rsid w:val="0050062E"/>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5A71"/>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2A64"/>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2C5A"/>
    <w:rsid w:val="005B5062"/>
    <w:rsid w:val="005B6234"/>
    <w:rsid w:val="005B7596"/>
    <w:rsid w:val="005B773A"/>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4279"/>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1DE3"/>
    <w:rsid w:val="006B30B3"/>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3DF5"/>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5D0"/>
    <w:rsid w:val="007E0D9D"/>
    <w:rsid w:val="007E4B14"/>
    <w:rsid w:val="007E4B4C"/>
    <w:rsid w:val="007E5EF9"/>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0C11"/>
    <w:rsid w:val="008645C4"/>
    <w:rsid w:val="00865A94"/>
    <w:rsid w:val="00866BC8"/>
    <w:rsid w:val="00867884"/>
    <w:rsid w:val="008734F5"/>
    <w:rsid w:val="00874DE6"/>
    <w:rsid w:val="00875104"/>
    <w:rsid w:val="008774D2"/>
    <w:rsid w:val="00880E40"/>
    <w:rsid w:val="00881FA8"/>
    <w:rsid w:val="00883771"/>
    <w:rsid w:val="00883C9D"/>
    <w:rsid w:val="00883EFE"/>
    <w:rsid w:val="00884785"/>
    <w:rsid w:val="008869CA"/>
    <w:rsid w:val="008870CD"/>
    <w:rsid w:val="008905BA"/>
    <w:rsid w:val="0089375C"/>
    <w:rsid w:val="0089513F"/>
    <w:rsid w:val="00895699"/>
    <w:rsid w:val="008A11EC"/>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6FA5"/>
    <w:rsid w:val="008E1563"/>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64E"/>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3F1C"/>
    <w:rsid w:val="009C42BD"/>
    <w:rsid w:val="009C444B"/>
    <w:rsid w:val="009D3773"/>
    <w:rsid w:val="009D499D"/>
    <w:rsid w:val="009D4B10"/>
    <w:rsid w:val="009D72AA"/>
    <w:rsid w:val="009D7484"/>
    <w:rsid w:val="009E0078"/>
    <w:rsid w:val="009E14BA"/>
    <w:rsid w:val="009E2AEA"/>
    <w:rsid w:val="009E3183"/>
    <w:rsid w:val="009E36E1"/>
    <w:rsid w:val="009E3783"/>
    <w:rsid w:val="009E3EA3"/>
    <w:rsid w:val="009E3ED4"/>
    <w:rsid w:val="009F0715"/>
    <w:rsid w:val="009F1615"/>
    <w:rsid w:val="009F2B9E"/>
    <w:rsid w:val="009F4352"/>
    <w:rsid w:val="009F45FE"/>
    <w:rsid w:val="009F4E4E"/>
    <w:rsid w:val="009F6717"/>
    <w:rsid w:val="00A01F6A"/>
    <w:rsid w:val="00A0321B"/>
    <w:rsid w:val="00A032F0"/>
    <w:rsid w:val="00A045CA"/>
    <w:rsid w:val="00A04DC3"/>
    <w:rsid w:val="00A0597B"/>
    <w:rsid w:val="00A05DAD"/>
    <w:rsid w:val="00A06FB4"/>
    <w:rsid w:val="00A14878"/>
    <w:rsid w:val="00A1707B"/>
    <w:rsid w:val="00A1739A"/>
    <w:rsid w:val="00A17615"/>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70F"/>
    <w:rsid w:val="00A66849"/>
    <w:rsid w:val="00A672A7"/>
    <w:rsid w:val="00A714DD"/>
    <w:rsid w:val="00A7174A"/>
    <w:rsid w:val="00A73044"/>
    <w:rsid w:val="00A7379C"/>
    <w:rsid w:val="00A73CF1"/>
    <w:rsid w:val="00A75C9A"/>
    <w:rsid w:val="00A77EB0"/>
    <w:rsid w:val="00A807A4"/>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CCF"/>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3537"/>
    <w:rsid w:val="00AE7A51"/>
    <w:rsid w:val="00AF134A"/>
    <w:rsid w:val="00AF1AC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C1E"/>
    <w:rsid w:val="00B36EB3"/>
    <w:rsid w:val="00B40E17"/>
    <w:rsid w:val="00B41AE8"/>
    <w:rsid w:val="00B445D0"/>
    <w:rsid w:val="00B45C4D"/>
    <w:rsid w:val="00B50E59"/>
    <w:rsid w:val="00B53FF2"/>
    <w:rsid w:val="00B54620"/>
    <w:rsid w:val="00B55CDD"/>
    <w:rsid w:val="00B56E4F"/>
    <w:rsid w:val="00B63345"/>
    <w:rsid w:val="00B63A7A"/>
    <w:rsid w:val="00B63FD7"/>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C73B1"/>
    <w:rsid w:val="00BD0628"/>
    <w:rsid w:val="00BD304A"/>
    <w:rsid w:val="00BD7FD9"/>
    <w:rsid w:val="00BE1022"/>
    <w:rsid w:val="00BE283F"/>
    <w:rsid w:val="00BE2ECA"/>
    <w:rsid w:val="00BE2EFA"/>
    <w:rsid w:val="00BE597C"/>
    <w:rsid w:val="00BE5C9E"/>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26C7"/>
    <w:rsid w:val="00C73066"/>
    <w:rsid w:val="00C743D2"/>
    <w:rsid w:val="00C75346"/>
    <w:rsid w:val="00C75A5F"/>
    <w:rsid w:val="00C77A1F"/>
    <w:rsid w:val="00C80647"/>
    <w:rsid w:val="00C80836"/>
    <w:rsid w:val="00C84462"/>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0635"/>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050"/>
    <w:rsid w:val="00D56338"/>
    <w:rsid w:val="00D565F8"/>
    <w:rsid w:val="00D56ABB"/>
    <w:rsid w:val="00D56C4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6957"/>
    <w:rsid w:val="00DA3A08"/>
    <w:rsid w:val="00DA4715"/>
    <w:rsid w:val="00DA62DF"/>
    <w:rsid w:val="00DA7439"/>
    <w:rsid w:val="00DB0DA9"/>
    <w:rsid w:val="00DB108A"/>
    <w:rsid w:val="00DC1776"/>
    <w:rsid w:val="00DC33A5"/>
    <w:rsid w:val="00DC4340"/>
    <w:rsid w:val="00DC7898"/>
    <w:rsid w:val="00DD19F8"/>
    <w:rsid w:val="00DD1C70"/>
    <w:rsid w:val="00DD3239"/>
    <w:rsid w:val="00DD34A0"/>
    <w:rsid w:val="00DE07E4"/>
    <w:rsid w:val="00DE0877"/>
    <w:rsid w:val="00DE0FF8"/>
    <w:rsid w:val="00DE3EBF"/>
    <w:rsid w:val="00DE6D39"/>
    <w:rsid w:val="00DE7345"/>
    <w:rsid w:val="00DE76EB"/>
    <w:rsid w:val="00DF51CA"/>
    <w:rsid w:val="00DF5581"/>
    <w:rsid w:val="00DF7501"/>
    <w:rsid w:val="00DF7936"/>
    <w:rsid w:val="00E004EF"/>
    <w:rsid w:val="00E04B6F"/>
    <w:rsid w:val="00E1001D"/>
    <w:rsid w:val="00E13833"/>
    <w:rsid w:val="00E17001"/>
    <w:rsid w:val="00E17406"/>
    <w:rsid w:val="00E20AE5"/>
    <w:rsid w:val="00E20F00"/>
    <w:rsid w:val="00E21297"/>
    <w:rsid w:val="00E23A38"/>
    <w:rsid w:val="00E23B6B"/>
    <w:rsid w:val="00E24721"/>
    <w:rsid w:val="00E25139"/>
    <w:rsid w:val="00E25D0F"/>
    <w:rsid w:val="00E265A0"/>
    <w:rsid w:val="00E266DE"/>
    <w:rsid w:val="00E311F5"/>
    <w:rsid w:val="00E32E6B"/>
    <w:rsid w:val="00E34BF8"/>
    <w:rsid w:val="00E35B1E"/>
    <w:rsid w:val="00E4250F"/>
    <w:rsid w:val="00E44565"/>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217"/>
    <w:rsid w:val="00E844ED"/>
    <w:rsid w:val="00E85810"/>
    <w:rsid w:val="00E85B0A"/>
    <w:rsid w:val="00E875EF"/>
    <w:rsid w:val="00E90558"/>
    <w:rsid w:val="00E909CD"/>
    <w:rsid w:val="00E92248"/>
    <w:rsid w:val="00E92BD1"/>
    <w:rsid w:val="00E935A1"/>
    <w:rsid w:val="00E93FB6"/>
    <w:rsid w:val="00E94BB6"/>
    <w:rsid w:val="00EA1715"/>
    <w:rsid w:val="00EA2EE8"/>
    <w:rsid w:val="00EA31FD"/>
    <w:rsid w:val="00EA4349"/>
    <w:rsid w:val="00EA4EE4"/>
    <w:rsid w:val="00EA5A32"/>
    <w:rsid w:val="00EA7252"/>
    <w:rsid w:val="00EB2C2B"/>
    <w:rsid w:val="00EB2F51"/>
    <w:rsid w:val="00EB3BF0"/>
    <w:rsid w:val="00EB4DA6"/>
    <w:rsid w:val="00EB601D"/>
    <w:rsid w:val="00EB6CCD"/>
    <w:rsid w:val="00EC0273"/>
    <w:rsid w:val="00EC25BA"/>
    <w:rsid w:val="00ED0AD5"/>
    <w:rsid w:val="00ED1DE2"/>
    <w:rsid w:val="00ED1F31"/>
    <w:rsid w:val="00ED29A2"/>
    <w:rsid w:val="00ED31A8"/>
    <w:rsid w:val="00ED3204"/>
    <w:rsid w:val="00ED3630"/>
    <w:rsid w:val="00ED52D8"/>
    <w:rsid w:val="00ED7140"/>
    <w:rsid w:val="00ED77E5"/>
    <w:rsid w:val="00EE026E"/>
    <w:rsid w:val="00EE3C59"/>
    <w:rsid w:val="00EE5B70"/>
    <w:rsid w:val="00EE66B6"/>
    <w:rsid w:val="00EE7B48"/>
    <w:rsid w:val="00EF0AFA"/>
    <w:rsid w:val="00EF19D8"/>
    <w:rsid w:val="00EF38E5"/>
    <w:rsid w:val="00EF5C33"/>
    <w:rsid w:val="00EF5E3A"/>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5D87"/>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2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1789477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21369515">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78AB7-B4A5-4C11-AE12-6F4FC76B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19</cp:revision>
  <cp:lastPrinted>2020-04-28T06:42:00Z</cp:lastPrinted>
  <dcterms:created xsi:type="dcterms:W3CDTF">2020-04-26T00:32:00Z</dcterms:created>
  <dcterms:modified xsi:type="dcterms:W3CDTF">2020-04-30T02:38:00Z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37067211</vt:lpwstr>
  </property>
  <property fmtid="{D5CDD505-2E9C-101B-9397-08002B2CF9AE}" pid="12" name="checkforsharepointfields">
    <vt:lpwstr>True</vt:lpwstr>
  </property>
  <property fmtid="{D5CDD505-2E9C-101B-9397-08002B2CF9AE}" pid="13" name="Template Filename">
    <vt:lpwstr/>
  </property>
</Properties>
</file>