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831E" w14:textId="77777777" w:rsidR="00302262" w:rsidRPr="00844EC3" w:rsidRDefault="00591342" w:rsidP="00FA0A85">
      <w:pPr>
        <w:keepLines w:val="0"/>
        <w:jc w:val="center"/>
        <w:rPr>
          <w:b/>
          <w:sz w:val="22"/>
          <w:szCs w:val="22"/>
        </w:rPr>
      </w:pPr>
      <w:r w:rsidRPr="00844EC3">
        <w:rPr>
          <w:b/>
          <w:sz w:val="22"/>
          <w:szCs w:val="22"/>
        </w:rPr>
        <w:t>E</w:t>
      </w:r>
      <w:r w:rsidR="00302262" w:rsidRPr="00844EC3">
        <w:rPr>
          <w:b/>
          <w:sz w:val="22"/>
          <w:szCs w:val="22"/>
        </w:rPr>
        <w:t>XPLANATORY STATEMENT</w:t>
      </w:r>
    </w:p>
    <w:p w14:paraId="099AEDF1" w14:textId="77777777" w:rsidR="00302262" w:rsidRPr="00844EC3" w:rsidRDefault="00302262" w:rsidP="00702E76">
      <w:pPr>
        <w:keepLines w:val="0"/>
        <w:spacing w:before="240" w:after="0"/>
        <w:jc w:val="center"/>
        <w:rPr>
          <w:b/>
          <w:i/>
          <w:sz w:val="22"/>
          <w:szCs w:val="22"/>
        </w:rPr>
      </w:pPr>
      <w:r w:rsidRPr="00844EC3">
        <w:rPr>
          <w:b/>
          <w:i/>
          <w:sz w:val="22"/>
          <w:szCs w:val="22"/>
        </w:rPr>
        <w:t>NATIONAL HEALTH ACT 1953</w:t>
      </w:r>
    </w:p>
    <w:p w14:paraId="17A6FA70" w14:textId="5EF5A8AA" w:rsidR="00302262" w:rsidRPr="00844EC3" w:rsidRDefault="00302262" w:rsidP="00702E76">
      <w:pPr>
        <w:keepLines w:val="0"/>
        <w:spacing w:before="240"/>
        <w:jc w:val="center"/>
        <w:rPr>
          <w:b/>
          <w:i/>
          <w:sz w:val="22"/>
          <w:szCs w:val="22"/>
        </w:rPr>
      </w:pPr>
      <w:r w:rsidRPr="00844EC3">
        <w:rPr>
          <w:b/>
          <w:i/>
          <w:sz w:val="22"/>
          <w:szCs w:val="22"/>
        </w:rPr>
        <w:t>NATIONAL HEALTH (</w:t>
      </w:r>
      <w:r w:rsidR="002E744A" w:rsidRPr="00844EC3">
        <w:rPr>
          <w:b/>
          <w:i/>
          <w:sz w:val="22"/>
          <w:szCs w:val="22"/>
        </w:rPr>
        <w:t>HIGHLY SPECIALISED DRUGS P</w:t>
      </w:r>
      <w:r w:rsidR="0052565C" w:rsidRPr="00844EC3">
        <w:rPr>
          <w:b/>
          <w:i/>
          <w:sz w:val="22"/>
          <w:szCs w:val="22"/>
        </w:rPr>
        <w:t>ROGRAM</w:t>
      </w:r>
      <w:r w:rsidRPr="00844EC3">
        <w:rPr>
          <w:b/>
          <w:i/>
          <w:sz w:val="22"/>
          <w:szCs w:val="22"/>
        </w:rPr>
        <w:t>) SPECIAL</w:t>
      </w:r>
      <w:r w:rsidR="000167C2" w:rsidRPr="00844EC3">
        <w:rPr>
          <w:b/>
          <w:i/>
          <w:sz w:val="22"/>
          <w:szCs w:val="22"/>
        </w:rPr>
        <w:t> </w:t>
      </w:r>
      <w:r w:rsidRPr="00844EC3">
        <w:rPr>
          <w:b/>
          <w:i/>
          <w:sz w:val="22"/>
          <w:szCs w:val="22"/>
        </w:rPr>
        <w:t>ARRA</w:t>
      </w:r>
      <w:r w:rsidR="005E6D84" w:rsidRPr="00844EC3">
        <w:rPr>
          <w:b/>
          <w:i/>
          <w:sz w:val="22"/>
          <w:szCs w:val="22"/>
        </w:rPr>
        <w:t>NGEMENT AMENDMENT INSTRUMENT 20</w:t>
      </w:r>
      <w:r w:rsidR="008F2270" w:rsidRPr="00844EC3">
        <w:rPr>
          <w:b/>
          <w:i/>
          <w:sz w:val="22"/>
          <w:szCs w:val="22"/>
        </w:rPr>
        <w:t>20</w:t>
      </w:r>
      <w:r w:rsidRPr="00844EC3">
        <w:rPr>
          <w:b/>
          <w:i/>
          <w:sz w:val="22"/>
          <w:szCs w:val="22"/>
        </w:rPr>
        <w:t xml:space="preserve"> (</w:t>
      </w:r>
      <w:r w:rsidR="00CF659C" w:rsidRPr="00844EC3">
        <w:rPr>
          <w:b/>
          <w:i/>
          <w:sz w:val="22"/>
          <w:szCs w:val="22"/>
        </w:rPr>
        <w:t xml:space="preserve">No. </w:t>
      </w:r>
      <w:r w:rsidR="005B49D6" w:rsidRPr="00844EC3">
        <w:rPr>
          <w:b/>
          <w:i/>
          <w:sz w:val="22"/>
          <w:szCs w:val="22"/>
        </w:rPr>
        <w:t>4</w:t>
      </w:r>
      <w:r w:rsidRPr="00844EC3">
        <w:rPr>
          <w:b/>
          <w:i/>
          <w:sz w:val="22"/>
          <w:szCs w:val="22"/>
        </w:rPr>
        <w:t>)</w:t>
      </w:r>
    </w:p>
    <w:p w14:paraId="7BE263E4" w14:textId="6711FBB9" w:rsidR="00302262" w:rsidRPr="00844EC3" w:rsidRDefault="00CF659C" w:rsidP="00702E76">
      <w:pPr>
        <w:keepLines w:val="0"/>
        <w:spacing w:before="120"/>
        <w:jc w:val="center"/>
        <w:rPr>
          <w:b/>
          <w:sz w:val="22"/>
          <w:szCs w:val="22"/>
        </w:rPr>
      </w:pPr>
      <w:r w:rsidRPr="00844EC3">
        <w:rPr>
          <w:b/>
          <w:sz w:val="22"/>
          <w:szCs w:val="22"/>
        </w:rPr>
        <w:t xml:space="preserve">PB </w:t>
      </w:r>
      <w:r w:rsidR="0034264A" w:rsidRPr="00844EC3">
        <w:rPr>
          <w:b/>
          <w:sz w:val="22"/>
          <w:szCs w:val="22"/>
        </w:rPr>
        <w:t>3</w:t>
      </w:r>
      <w:r w:rsidR="00757DCF" w:rsidRPr="00844EC3">
        <w:rPr>
          <w:b/>
          <w:sz w:val="22"/>
          <w:szCs w:val="22"/>
        </w:rPr>
        <w:t>7</w:t>
      </w:r>
      <w:r w:rsidR="0034264A" w:rsidRPr="00844EC3">
        <w:rPr>
          <w:b/>
          <w:sz w:val="22"/>
          <w:szCs w:val="22"/>
        </w:rPr>
        <w:t xml:space="preserve"> </w:t>
      </w:r>
      <w:r w:rsidR="008F2270" w:rsidRPr="00844EC3">
        <w:rPr>
          <w:b/>
          <w:sz w:val="22"/>
          <w:szCs w:val="22"/>
        </w:rPr>
        <w:t>of 2020</w:t>
      </w:r>
    </w:p>
    <w:p w14:paraId="371F0D6D" w14:textId="77777777" w:rsidR="004D4CAB" w:rsidRPr="00844EC3" w:rsidRDefault="004D4CAB" w:rsidP="00702E76">
      <w:pPr>
        <w:keepLines w:val="0"/>
        <w:spacing w:before="120" w:after="0"/>
        <w:rPr>
          <w:sz w:val="22"/>
          <w:szCs w:val="22"/>
        </w:rPr>
      </w:pPr>
    </w:p>
    <w:p w14:paraId="3D52E225" w14:textId="77777777" w:rsidR="004D4CAB" w:rsidRPr="00844EC3" w:rsidRDefault="004D4CAB" w:rsidP="00702E76">
      <w:pPr>
        <w:keepLines w:val="0"/>
        <w:spacing w:before="120" w:after="0"/>
        <w:rPr>
          <w:b/>
          <w:sz w:val="22"/>
          <w:szCs w:val="22"/>
        </w:rPr>
      </w:pPr>
      <w:r w:rsidRPr="00844EC3">
        <w:rPr>
          <w:b/>
          <w:sz w:val="22"/>
          <w:szCs w:val="22"/>
        </w:rPr>
        <w:t>Authority</w:t>
      </w:r>
      <w:bookmarkStart w:id="0" w:name="_GoBack"/>
      <w:bookmarkEnd w:id="0"/>
    </w:p>
    <w:p w14:paraId="2FBA6D39" w14:textId="77777777" w:rsidR="003503AF" w:rsidRPr="00844EC3" w:rsidRDefault="004D4CAB" w:rsidP="00702E76">
      <w:pPr>
        <w:keepLines w:val="0"/>
        <w:spacing w:before="120" w:after="0"/>
        <w:rPr>
          <w:sz w:val="22"/>
          <w:szCs w:val="22"/>
        </w:rPr>
      </w:pPr>
      <w:r w:rsidRPr="00844EC3">
        <w:rPr>
          <w:sz w:val="22"/>
          <w:szCs w:val="22"/>
        </w:rPr>
        <w:t xml:space="preserve">Subsection 100(1) of the </w:t>
      </w:r>
      <w:r w:rsidRPr="00844EC3">
        <w:rPr>
          <w:i/>
          <w:sz w:val="22"/>
          <w:szCs w:val="22"/>
        </w:rPr>
        <w:t>National Health Act 1953</w:t>
      </w:r>
      <w:r w:rsidRPr="00844EC3">
        <w:rPr>
          <w:sz w:val="22"/>
          <w:szCs w:val="22"/>
        </w:rPr>
        <w:t xml:space="preserve"> (the Act) enables the Minister to make special arrangements for the sup</w:t>
      </w:r>
      <w:r w:rsidR="00EB5617" w:rsidRPr="00844EC3">
        <w:rPr>
          <w:sz w:val="22"/>
          <w:szCs w:val="22"/>
        </w:rPr>
        <w:t>ply of pharmaceutical benefits.</w:t>
      </w:r>
    </w:p>
    <w:p w14:paraId="1DFCFDFF" w14:textId="77777777" w:rsidR="004D4CAB" w:rsidRPr="00844EC3" w:rsidRDefault="004D4CAB" w:rsidP="00702E76">
      <w:pPr>
        <w:keepLines w:val="0"/>
        <w:spacing w:before="120" w:after="0"/>
        <w:rPr>
          <w:sz w:val="22"/>
          <w:szCs w:val="22"/>
        </w:rPr>
      </w:pPr>
      <w:r w:rsidRPr="00844EC3">
        <w:rPr>
          <w:sz w:val="22"/>
          <w:szCs w:val="22"/>
        </w:rPr>
        <w:t>Subsection 100(2) of the Act provides that the Minister may vary or revoke a special arrangement made under subsection 100(1).</w:t>
      </w:r>
    </w:p>
    <w:p w14:paraId="0DA8F4C2" w14:textId="77777777" w:rsidR="0072261F" w:rsidRPr="00844EC3" w:rsidRDefault="004D4CAB" w:rsidP="00702E76">
      <w:pPr>
        <w:keepLines w:val="0"/>
        <w:spacing w:before="120" w:after="0"/>
        <w:rPr>
          <w:sz w:val="22"/>
          <w:szCs w:val="22"/>
        </w:rPr>
      </w:pPr>
      <w:r w:rsidRPr="00844EC3">
        <w:rPr>
          <w:sz w:val="22"/>
          <w:szCs w:val="22"/>
        </w:rPr>
        <w:t>Subsection 100(3) of the Act provides that Part VII of the Act, and instruments made for the purposes of Part VII have effect subject to a special arrangement made under subsection 100(1).</w:t>
      </w:r>
    </w:p>
    <w:p w14:paraId="25C27724" w14:textId="77777777" w:rsidR="0072261F" w:rsidRPr="00844EC3" w:rsidRDefault="0072261F" w:rsidP="00702E76">
      <w:pPr>
        <w:keepLines w:val="0"/>
        <w:spacing w:before="120" w:after="0"/>
        <w:rPr>
          <w:b/>
          <w:sz w:val="22"/>
          <w:szCs w:val="22"/>
        </w:rPr>
      </w:pPr>
      <w:r w:rsidRPr="00844EC3">
        <w:rPr>
          <w:b/>
          <w:sz w:val="22"/>
          <w:szCs w:val="22"/>
        </w:rPr>
        <w:t>Purpose</w:t>
      </w:r>
    </w:p>
    <w:p w14:paraId="3061708D" w14:textId="1E268C1D" w:rsidR="0072261F" w:rsidRPr="00844EC3" w:rsidRDefault="0099423F" w:rsidP="00702E76">
      <w:pPr>
        <w:keepLines w:val="0"/>
        <w:spacing w:before="120" w:after="0"/>
        <w:rPr>
          <w:sz w:val="22"/>
          <w:szCs w:val="22"/>
        </w:rPr>
      </w:pPr>
      <w:r w:rsidRPr="00844EC3">
        <w:rPr>
          <w:sz w:val="22"/>
          <w:szCs w:val="22"/>
        </w:rPr>
        <w:t xml:space="preserve">This is the </w:t>
      </w:r>
      <w:r w:rsidRPr="00844EC3">
        <w:rPr>
          <w:i/>
          <w:sz w:val="22"/>
          <w:szCs w:val="22"/>
        </w:rPr>
        <w:t>National Health (Highly specialised drugs program) Special Arrangement A</w:t>
      </w:r>
      <w:r w:rsidR="008F2270" w:rsidRPr="00844EC3">
        <w:rPr>
          <w:i/>
          <w:sz w:val="22"/>
          <w:szCs w:val="22"/>
        </w:rPr>
        <w:t>mendment Instrument 2020</w:t>
      </w:r>
      <w:r w:rsidRPr="00844EC3">
        <w:rPr>
          <w:i/>
          <w:sz w:val="22"/>
          <w:szCs w:val="22"/>
        </w:rPr>
        <w:t xml:space="preserve"> (</w:t>
      </w:r>
      <w:r w:rsidR="005E6D84" w:rsidRPr="00844EC3">
        <w:rPr>
          <w:i/>
          <w:sz w:val="22"/>
          <w:szCs w:val="22"/>
        </w:rPr>
        <w:t>No.</w:t>
      </w:r>
      <w:r w:rsidR="00803F64" w:rsidRPr="00844EC3">
        <w:rPr>
          <w:i/>
          <w:sz w:val="22"/>
          <w:szCs w:val="22"/>
        </w:rPr>
        <w:t>4</w:t>
      </w:r>
      <w:r w:rsidRPr="00844EC3">
        <w:rPr>
          <w:i/>
          <w:sz w:val="22"/>
          <w:szCs w:val="22"/>
        </w:rPr>
        <w:t>)</w:t>
      </w:r>
      <w:r w:rsidRPr="00844EC3">
        <w:rPr>
          <w:sz w:val="22"/>
          <w:szCs w:val="22"/>
        </w:rPr>
        <w:t xml:space="preserve"> </w:t>
      </w:r>
      <w:r w:rsidR="00B958E6" w:rsidRPr="00844EC3">
        <w:rPr>
          <w:sz w:val="22"/>
          <w:szCs w:val="22"/>
        </w:rPr>
        <w:t>(this</w:t>
      </w:r>
      <w:r w:rsidR="007D5716" w:rsidRPr="00844EC3">
        <w:rPr>
          <w:sz w:val="22"/>
          <w:szCs w:val="22"/>
        </w:rPr>
        <w:t xml:space="preserve"> </w:t>
      </w:r>
      <w:r w:rsidRPr="00844EC3">
        <w:rPr>
          <w:sz w:val="22"/>
          <w:szCs w:val="22"/>
        </w:rPr>
        <w:t xml:space="preserve">Instrument). </w:t>
      </w:r>
      <w:r w:rsidR="004A2713" w:rsidRPr="00844EC3">
        <w:rPr>
          <w:sz w:val="22"/>
          <w:szCs w:val="22"/>
        </w:rPr>
        <w:t xml:space="preserve"> </w:t>
      </w:r>
      <w:r w:rsidRPr="00844EC3">
        <w:rPr>
          <w:sz w:val="22"/>
          <w:szCs w:val="22"/>
        </w:rPr>
        <w:t>The purpose of th</w:t>
      </w:r>
      <w:r w:rsidR="009138BB" w:rsidRPr="00844EC3">
        <w:rPr>
          <w:sz w:val="22"/>
          <w:szCs w:val="22"/>
        </w:rPr>
        <w:t>is</w:t>
      </w:r>
      <w:r w:rsidR="0014278F" w:rsidRPr="00844EC3">
        <w:rPr>
          <w:sz w:val="22"/>
          <w:szCs w:val="22"/>
        </w:rPr>
        <w:t xml:space="preserve"> </w:t>
      </w:r>
      <w:r w:rsidRPr="00844EC3">
        <w:rPr>
          <w:sz w:val="22"/>
          <w:szCs w:val="22"/>
        </w:rPr>
        <w:t>Instrument</w:t>
      </w:r>
      <w:r w:rsidR="00FA7269" w:rsidRPr="00844EC3">
        <w:rPr>
          <w:sz w:val="22"/>
          <w:szCs w:val="22"/>
        </w:rPr>
        <w:t xml:space="preserve">, made under subsection 100(2) of the Act, </w:t>
      </w:r>
      <w:r w:rsidRPr="00844EC3">
        <w:rPr>
          <w:sz w:val="22"/>
          <w:szCs w:val="22"/>
        </w:rPr>
        <w:t xml:space="preserve">is to amend the </w:t>
      </w:r>
      <w:r w:rsidRPr="00844EC3">
        <w:rPr>
          <w:i/>
          <w:sz w:val="22"/>
          <w:szCs w:val="22"/>
        </w:rPr>
        <w:t>National Health (Highly specialised drugs program) Special Arrangement 2010</w:t>
      </w:r>
      <w:r w:rsidRPr="00844EC3">
        <w:rPr>
          <w:sz w:val="22"/>
          <w:szCs w:val="22"/>
        </w:rPr>
        <w:t xml:space="preserve"> (PB 116 of 2010) (the Special Arrangement), to make changes to the Special Arrangement relating to th</w:t>
      </w:r>
      <w:r w:rsidR="00702E76" w:rsidRPr="00844EC3">
        <w:rPr>
          <w:sz w:val="22"/>
          <w:szCs w:val="22"/>
        </w:rPr>
        <w:t>e Highly Specialised Drugs</w:t>
      </w:r>
      <w:r w:rsidRPr="00844EC3">
        <w:rPr>
          <w:sz w:val="22"/>
          <w:szCs w:val="22"/>
        </w:rPr>
        <w:t xml:space="preserve"> program.</w:t>
      </w:r>
    </w:p>
    <w:p w14:paraId="2527AE36" w14:textId="77777777" w:rsidR="00FE1E54" w:rsidRPr="00844EC3" w:rsidRDefault="00FE1E54" w:rsidP="00FE1E54">
      <w:pPr>
        <w:keepLines w:val="0"/>
        <w:spacing w:before="120" w:after="0"/>
        <w:rPr>
          <w:sz w:val="22"/>
          <w:szCs w:val="22"/>
        </w:rPr>
      </w:pPr>
      <w:r w:rsidRPr="00844EC3">
        <w:rPr>
          <w:sz w:val="22"/>
          <w:szCs w:val="22"/>
        </w:rPr>
        <w:t xml:space="preserve">The amendments made by this Instrument reflect amendments to the </w:t>
      </w:r>
      <w:r w:rsidRPr="00844EC3">
        <w:rPr>
          <w:i/>
          <w:sz w:val="22"/>
          <w:szCs w:val="22"/>
        </w:rPr>
        <w:t>National Health (Listing of Pharmaceutical Benefits) Instrument 2012</w:t>
      </w:r>
      <w:r w:rsidRPr="00844EC3">
        <w:rPr>
          <w:sz w:val="22"/>
          <w:szCs w:val="22"/>
        </w:rPr>
        <w:t xml:space="preserve"> (PB 71 of 2012), which commence on the same day.  The </w:t>
      </w:r>
      <w:r w:rsidRPr="00844EC3">
        <w:rPr>
          <w:i/>
          <w:sz w:val="22"/>
          <w:szCs w:val="22"/>
        </w:rPr>
        <w:t>National Health (Listing of Pharmaceutical Benefits) Instrument 2012</w:t>
      </w:r>
      <w:r w:rsidRPr="00844EC3">
        <w:rPr>
          <w:sz w:val="22"/>
          <w:szCs w:val="22"/>
        </w:rPr>
        <w:t xml:space="preserve"> (PB 71 of 2012) is made under sections 84AF, 84AK, 85, 85A, 88 and 101 of the Act.</w:t>
      </w:r>
    </w:p>
    <w:p w14:paraId="4C194825" w14:textId="447E1766" w:rsidR="00D04A14" w:rsidRPr="00844EC3" w:rsidRDefault="00D04A14" w:rsidP="00D04A14">
      <w:pPr>
        <w:keepLines w:val="0"/>
        <w:spacing w:before="120" w:after="0"/>
        <w:rPr>
          <w:sz w:val="22"/>
          <w:szCs w:val="22"/>
        </w:rPr>
      </w:pPr>
      <w:r w:rsidRPr="00844EC3">
        <w:rPr>
          <w:sz w:val="22"/>
          <w:szCs w:val="22"/>
        </w:rPr>
        <w:t xml:space="preserve">Schedule 1 to this Instrument provides for the </w:t>
      </w:r>
      <w:r w:rsidR="00640750" w:rsidRPr="00844EC3">
        <w:rPr>
          <w:sz w:val="22"/>
          <w:szCs w:val="22"/>
        </w:rPr>
        <w:t xml:space="preserve">addition </w:t>
      </w:r>
      <w:r w:rsidR="005C6470" w:rsidRPr="00844EC3">
        <w:rPr>
          <w:sz w:val="22"/>
          <w:szCs w:val="22"/>
        </w:rPr>
        <w:t xml:space="preserve">of </w:t>
      </w:r>
      <w:r w:rsidRPr="00844EC3">
        <w:rPr>
          <w:sz w:val="22"/>
          <w:szCs w:val="22"/>
        </w:rPr>
        <w:t xml:space="preserve">one </w:t>
      </w:r>
      <w:r w:rsidR="005C6470" w:rsidRPr="00844EC3">
        <w:rPr>
          <w:sz w:val="22"/>
          <w:szCs w:val="22"/>
        </w:rPr>
        <w:t xml:space="preserve">form of </w:t>
      </w:r>
      <w:r w:rsidR="00405F4B" w:rsidRPr="00844EC3">
        <w:rPr>
          <w:sz w:val="22"/>
          <w:szCs w:val="22"/>
        </w:rPr>
        <w:t xml:space="preserve">the listed drug </w:t>
      </w:r>
      <w:r w:rsidR="007C263F" w:rsidRPr="00844EC3">
        <w:rPr>
          <w:sz w:val="22"/>
          <w:szCs w:val="22"/>
        </w:rPr>
        <w:t xml:space="preserve">benralizumab to </w:t>
      </w:r>
      <w:r w:rsidR="005C6470" w:rsidRPr="00844EC3">
        <w:rPr>
          <w:sz w:val="22"/>
          <w:szCs w:val="22"/>
        </w:rPr>
        <w:t xml:space="preserve">the </w:t>
      </w:r>
      <w:r w:rsidR="00D610A1" w:rsidRPr="00844EC3">
        <w:rPr>
          <w:sz w:val="22"/>
          <w:szCs w:val="22"/>
        </w:rPr>
        <w:t>S</w:t>
      </w:r>
      <w:r w:rsidR="00405F4B" w:rsidRPr="00844EC3">
        <w:rPr>
          <w:sz w:val="22"/>
          <w:szCs w:val="22"/>
        </w:rPr>
        <w:t xml:space="preserve">pecial </w:t>
      </w:r>
      <w:r w:rsidR="00D610A1" w:rsidRPr="00844EC3">
        <w:rPr>
          <w:sz w:val="22"/>
          <w:szCs w:val="22"/>
        </w:rPr>
        <w:t>A</w:t>
      </w:r>
      <w:r w:rsidR="00405F4B" w:rsidRPr="00844EC3">
        <w:rPr>
          <w:sz w:val="22"/>
          <w:szCs w:val="22"/>
        </w:rPr>
        <w:t>rrangement</w:t>
      </w:r>
      <w:r w:rsidR="005C6470" w:rsidRPr="00844EC3">
        <w:rPr>
          <w:sz w:val="22"/>
          <w:szCs w:val="22"/>
        </w:rPr>
        <w:t>.</w:t>
      </w:r>
      <w:r w:rsidR="00634FD5" w:rsidRPr="00844EC3">
        <w:rPr>
          <w:sz w:val="22"/>
          <w:szCs w:val="22"/>
        </w:rPr>
        <w:t xml:space="preserve"> </w:t>
      </w:r>
      <w:r w:rsidR="005C6470" w:rsidRPr="00844EC3">
        <w:rPr>
          <w:sz w:val="22"/>
          <w:szCs w:val="22"/>
        </w:rPr>
        <w:t xml:space="preserve"> It also provides for the alteration of circumstances in which a prescription may be written for the supply of the listed drugs </w:t>
      </w:r>
      <w:r w:rsidR="007C263F" w:rsidRPr="00844EC3">
        <w:rPr>
          <w:sz w:val="22"/>
          <w:szCs w:val="22"/>
        </w:rPr>
        <w:t xml:space="preserve">ambrisentan, bosentan, epoprostenol, iloprost, lenalidomide, </w:t>
      </w:r>
      <w:r w:rsidR="00587869" w:rsidRPr="00844EC3">
        <w:rPr>
          <w:sz w:val="22"/>
          <w:szCs w:val="22"/>
        </w:rPr>
        <w:t>l</w:t>
      </w:r>
      <w:r w:rsidR="00587869" w:rsidRPr="00844EC3">
        <w:t xml:space="preserve">evodopa with carbidopa, </w:t>
      </w:r>
      <w:r w:rsidR="007C263F" w:rsidRPr="00844EC3">
        <w:rPr>
          <w:sz w:val="22"/>
          <w:szCs w:val="22"/>
        </w:rPr>
        <w:t>macitentan, riociguat, sildenafil, tadalafil and tenofovir</w:t>
      </w:r>
      <w:r w:rsidR="00640750" w:rsidRPr="00844EC3">
        <w:rPr>
          <w:sz w:val="22"/>
          <w:szCs w:val="22"/>
        </w:rPr>
        <w:t>.</w:t>
      </w:r>
      <w:r w:rsidR="005C6470" w:rsidRPr="00844EC3">
        <w:rPr>
          <w:sz w:val="22"/>
          <w:szCs w:val="22"/>
        </w:rPr>
        <w:t xml:space="preserve">  Additionally, this instrument provides for </w:t>
      </w:r>
      <w:r w:rsidR="00984892" w:rsidRPr="00844EC3">
        <w:rPr>
          <w:sz w:val="22"/>
          <w:szCs w:val="22"/>
        </w:rPr>
        <w:t xml:space="preserve">the </w:t>
      </w:r>
      <w:r w:rsidR="007C263F" w:rsidRPr="00844EC3">
        <w:rPr>
          <w:sz w:val="22"/>
          <w:szCs w:val="22"/>
        </w:rPr>
        <w:t>alteration of responsible person</w:t>
      </w:r>
      <w:r w:rsidR="00CC3B73" w:rsidRPr="00844EC3">
        <w:rPr>
          <w:sz w:val="22"/>
          <w:szCs w:val="22"/>
        </w:rPr>
        <w:t xml:space="preserve"> code</w:t>
      </w:r>
      <w:r w:rsidR="00F76D40" w:rsidRPr="00844EC3">
        <w:rPr>
          <w:sz w:val="22"/>
          <w:szCs w:val="22"/>
        </w:rPr>
        <w:t>s</w:t>
      </w:r>
      <w:r w:rsidR="00CC3B73" w:rsidRPr="00844EC3">
        <w:rPr>
          <w:sz w:val="22"/>
          <w:szCs w:val="22"/>
        </w:rPr>
        <w:t xml:space="preserve"> for </w:t>
      </w:r>
      <w:r w:rsidR="00F76D40" w:rsidRPr="00844EC3">
        <w:rPr>
          <w:sz w:val="22"/>
          <w:szCs w:val="22"/>
        </w:rPr>
        <w:t xml:space="preserve">three existing </w:t>
      </w:r>
      <w:r w:rsidR="00CC3B73" w:rsidRPr="00844EC3">
        <w:rPr>
          <w:sz w:val="22"/>
          <w:szCs w:val="22"/>
        </w:rPr>
        <w:t>brand</w:t>
      </w:r>
      <w:r w:rsidR="00F76D40" w:rsidRPr="00844EC3">
        <w:rPr>
          <w:sz w:val="22"/>
          <w:szCs w:val="22"/>
        </w:rPr>
        <w:t>s</w:t>
      </w:r>
      <w:r w:rsidR="00CC3B73" w:rsidRPr="00844EC3">
        <w:rPr>
          <w:sz w:val="22"/>
          <w:szCs w:val="22"/>
        </w:rPr>
        <w:t xml:space="preserve"> of pharmaceutical ben</w:t>
      </w:r>
      <w:r w:rsidR="00F76D40" w:rsidRPr="00844EC3">
        <w:rPr>
          <w:sz w:val="22"/>
          <w:szCs w:val="22"/>
        </w:rPr>
        <w:t>e</w:t>
      </w:r>
      <w:r w:rsidR="00CC3B73" w:rsidRPr="00844EC3">
        <w:rPr>
          <w:sz w:val="22"/>
          <w:szCs w:val="22"/>
        </w:rPr>
        <w:t>fit</w:t>
      </w:r>
      <w:r w:rsidR="00F76D40" w:rsidRPr="00844EC3">
        <w:rPr>
          <w:sz w:val="22"/>
          <w:szCs w:val="22"/>
        </w:rPr>
        <w:t>s</w:t>
      </w:r>
      <w:r w:rsidR="00CC3B73" w:rsidRPr="00844EC3">
        <w:rPr>
          <w:sz w:val="22"/>
          <w:szCs w:val="22"/>
        </w:rPr>
        <w:t xml:space="preserve"> and</w:t>
      </w:r>
      <w:r w:rsidR="00F76D40" w:rsidRPr="00844EC3">
        <w:rPr>
          <w:sz w:val="22"/>
          <w:szCs w:val="22"/>
        </w:rPr>
        <w:t xml:space="preserve"> the</w:t>
      </w:r>
      <w:r w:rsidR="00CC3B73" w:rsidRPr="00844EC3">
        <w:rPr>
          <w:sz w:val="22"/>
          <w:szCs w:val="22"/>
        </w:rPr>
        <w:t xml:space="preserve"> </w:t>
      </w:r>
      <w:r w:rsidR="00984892" w:rsidRPr="00844EC3">
        <w:rPr>
          <w:sz w:val="22"/>
          <w:szCs w:val="22"/>
        </w:rPr>
        <w:t xml:space="preserve">addition of </w:t>
      </w:r>
      <w:r w:rsidR="00E07AF8" w:rsidRPr="00844EC3">
        <w:rPr>
          <w:sz w:val="22"/>
          <w:szCs w:val="22"/>
        </w:rPr>
        <w:t>a responsible person to the list of responsible persons.</w:t>
      </w:r>
      <w:r w:rsidRPr="00844EC3">
        <w:rPr>
          <w:sz w:val="22"/>
          <w:szCs w:val="22"/>
        </w:rPr>
        <w:t xml:space="preserve"> </w:t>
      </w:r>
      <w:r w:rsidR="006E2BDD" w:rsidRPr="00844EC3">
        <w:rPr>
          <w:sz w:val="22"/>
          <w:szCs w:val="22"/>
        </w:rPr>
        <w:t xml:space="preserve"> </w:t>
      </w:r>
      <w:r w:rsidRPr="00844EC3">
        <w:rPr>
          <w:sz w:val="22"/>
          <w:szCs w:val="22"/>
        </w:rPr>
        <w:t>These changes are summarised, by subject matter, in the Attachment.</w:t>
      </w:r>
    </w:p>
    <w:p w14:paraId="564D3B81" w14:textId="4677383C" w:rsidR="005C58D3" w:rsidRPr="00844EC3" w:rsidRDefault="005C58D3" w:rsidP="00A271B7">
      <w:pPr>
        <w:keepLines w:val="0"/>
        <w:spacing w:before="240" w:after="0"/>
        <w:rPr>
          <w:b/>
          <w:sz w:val="22"/>
          <w:szCs w:val="22"/>
        </w:rPr>
      </w:pPr>
      <w:r w:rsidRPr="00844EC3">
        <w:rPr>
          <w:b/>
          <w:sz w:val="22"/>
          <w:szCs w:val="22"/>
        </w:rPr>
        <w:t>Consultation</w:t>
      </w:r>
    </w:p>
    <w:p w14:paraId="6BF09C20" w14:textId="77777777" w:rsidR="005C58D3" w:rsidRPr="00844EC3" w:rsidRDefault="005C58D3" w:rsidP="00702E76">
      <w:pPr>
        <w:keepLines w:val="0"/>
        <w:spacing w:before="120" w:after="0"/>
        <w:rPr>
          <w:sz w:val="22"/>
          <w:szCs w:val="22"/>
        </w:rPr>
      </w:pPr>
      <w:r w:rsidRPr="00844EC3">
        <w:rPr>
          <w:sz w:val="22"/>
          <w:szCs w:val="22"/>
        </w:rPr>
        <w:t>The amendments made by this Instrument accord with recommendations made by the Pharmaceutical Benef</w:t>
      </w:r>
      <w:r w:rsidR="00D46558" w:rsidRPr="00844EC3">
        <w:rPr>
          <w:sz w:val="22"/>
          <w:szCs w:val="22"/>
        </w:rPr>
        <w:t>its Advisory Committee (PBAC).</w:t>
      </w:r>
    </w:p>
    <w:p w14:paraId="08A276C8" w14:textId="77777777" w:rsidR="005C58D3" w:rsidRPr="00844EC3" w:rsidRDefault="005C58D3" w:rsidP="00702E76">
      <w:pPr>
        <w:keepLines w:val="0"/>
        <w:spacing w:before="120" w:after="0"/>
        <w:rPr>
          <w:sz w:val="22"/>
          <w:szCs w:val="22"/>
        </w:rPr>
      </w:pPr>
      <w:r w:rsidRPr="00844EC3">
        <w:rPr>
          <w:sz w:val="22"/>
          <w:szCs w:val="22"/>
        </w:rPr>
        <w:t>An ongoing and formal process of consultation in relation to matters relevant to the Special Arrangement includes the involvement of interested parties throu</w:t>
      </w:r>
      <w:r w:rsidR="00D46558" w:rsidRPr="00844EC3">
        <w:rPr>
          <w:sz w:val="22"/>
          <w:szCs w:val="22"/>
        </w:rPr>
        <w:t>gh the membership of the PBAC.</w:t>
      </w:r>
    </w:p>
    <w:p w14:paraId="5BB39392" w14:textId="0A345C38" w:rsidR="00302262" w:rsidRPr="00844EC3" w:rsidRDefault="00302262" w:rsidP="00702E76">
      <w:pPr>
        <w:keepLines w:val="0"/>
        <w:spacing w:before="120" w:after="0"/>
        <w:rPr>
          <w:sz w:val="22"/>
          <w:szCs w:val="22"/>
        </w:rPr>
      </w:pPr>
      <w:r w:rsidRPr="00844EC3">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844EC3">
        <w:rPr>
          <w:sz w:val="22"/>
          <w:szCs w:val="22"/>
        </w:rPr>
        <w:t xml:space="preserve">  </w:t>
      </w:r>
      <w:r w:rsidRPr="00844EC3">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844EC3">
        <w:rPr>
          <w:sz w:val="22"/>
          <w:szCs w:val="22"/>
        </w:rPr>
        <w:t xml:space="preserve"> </w:t>
      </w:r>
      <w:r w:rsidRPr="00844EC3">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844EC3">
        <w:rPr>
          <w:sz w:val="22"/>
          <w:szCs w:val="22"/>
        </w:rPr>
        <w:t xml:space="preserve"> </w:t>
      </w:r>
      <w:r w:rsidR="00C41A1C" w:rsidRPr="00844EC3">
        <w:rPr>
          <w:sz w:val="22"/>
          <w:szCs w:val="22"/>
        </w:rPr>
        <w:t xml:space="preserve"> </w:t>
      </w:r>
      <w:r w:rsidR="00D872FC" w:rsidRPr="00844EC3">
        <w:rPr>
          <w:sz w:val="22"/>
          <w:szCs w:val="22"/>
        </w:rPr>
        <w:t>In addition, an industry nominee has been appointed to the PBAC membership.</w:t>
      </w:r>
      <w:r w:rsidR="004A2713" w:rsidRPr="00844EC3">
        <w:rPr>
          <w:sz w:val="22"/>
          <w:szCs w:val="22"/>
        </w:rPr>
        <w:t xml:space="preserve"> </w:t>
      </w:r>
      <w:r w:rsidR="00D872FC" w:rsidRPr="00844EC3">
        <w:rPr>
          <w:sz w:val="22"/>
          <w:szCs w:val="22"/>
        </w:rPr>
        <w:t xml:space="preserve"> </w:t>
      </w:r>
      <w:r w:rsidRPr="00844EC3">
        <w:rPr>
          <w:sz w:val="22"/>
          <w:szCs w:val="22"/>
        </w:rPr>
        <w:t>When recommending the listing of a medicine on the Pharmaceutical</w:t>
      </w:r>
      <w:r w:rsidR="001C3893" w:rsidRPr="00844EC3">
        <w:rPr>
          <w:sz w:val="22"/>
          <w:szCs w:val="22"/>
        </w:rPr>
        <w:t xml:space="preserve"> </w:t>
      </w:r>
      <w:r w:rsidRPr="00844EC3">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77777777" w:rsidR="007A1E23" w:rsidRPr="00844EC3" w:rsidRDefault="00302262" w:rsidP="00702E76">
      <w:pPr>
        <w:keepLines w:val="0"/>
        <w:spacing w:before="120" w:after="0"/>
        <w:rPr>
          <w:sz w:val="22"/>
          <w:szCs w:val="22"/>
        </w:rPr>
      </w:pPr>
      <w:r w:rsidRPr="00844EC3">
        <w:rPr>
          <w:sz w:val="22"/>
          <w:szCs w:val="22"/>
        </w:rPr>
        <w:lastRenderedPageBreak/>
        <w:t>Pharmaceutical companies were consulted throughout the process of changes to the listings on the PBS.</w:t>
      </w:r>
      <w:r w:rsidR="004E7F32" w:rsidRPr="00844EC3">
        <w:rPr>
          <w:sz w:val="22"/>
          <w:szCs w:val="22"/>
        </w:rPr>
        <w:t xml:space="preserve"> </w:t>
      </w:r>
      <w:r w:rsidR="004A2713" w:rsidRPr="00844EC3">
        <w:rPr>
          <w:sz w:val="22"/>
          <w:szCs w:val="22"/>
        </w:rPr>
        <w:t xml:space="preserve"> </w:t>
      </w:r>
      <w:r w:rsidRPr="00844EC3">
        <w:rPr>
          <w:sz w:val="22"/>
          <w:szCs w:val="22"/>
        </w:rPr>
        <w:t>This includes consultation through the PBAC process</w:t>
      </w:r>
      <w:r w:rsidR="000F1FB7" w:rsidRPr="00844EC3">
        <w:rPr>
          <w:sz w:val="22"/>
          <w:szCs w:val="22"/>
        </w:rPr>
        <w:t>.</w:t>
      </w:r>
    </w:p>
    <w:p w14:paraId="62CD39CA" w14:textId="77777777" w:rsidR="00A46F3B" w:rsidRPr="00844EC3" w:rsidRDefault="009A7236" w:rsidP="00702E76">
      <w:pPr>
        <w:keepLines w:val="0"/>
        <w:spacing w:before="120" w:after="0"/>
        <w:rPr>
          <w:sz w:val="22"/>
          <w:szCs w:val="22"/>
        </w:rPr>
      </w:pPr>
      <w:r w:rsidRPr="00844EC3">
        <w:rPr>
          <w:sz w:val="22"/>
          <w:szCs w:val="22"/>
        </w:rPr>
        <w:t>Further consultation for this Instrument was considered unnecessary due to the nature of the consultation that had already taken place in the de</w:t>
      </w:r>
      <w:r w:rsidR="00D46558" w:rsidRPr="00844EC3">
        <w:rPr>
          <w:sz w:val="22"/>
          <w:szCs w:val="22"/>
        </w:rPr>
        <w:t>cision to list the medication.</w:t>
      </w:r>
    </w:p>
    <w:p w14:paraId="762EF7CF" w14:textId="77777777" w:rsidR="00AF05D6" w:rsidRPr="00844EC3" w:rsidRDefault="003503AF" w:rsidP="00702E76">
      <w:pPr>
        <w:keepLines w:val="0"/>
        <w:spacing w:before="120" w:after="0"/>
        <w:rPr>
          <w:sz w:val="22"/>
          <w:szCs w:val="22"/>
        </w:rPr>
      </w:pPr>
      <w:r w:rsidRPr="00844EC3">
        <w:rPr>
          <w:sz w:val="22"/>
          <w:szCs w:val="22"/>
        </w:rPr>
        <w:t>Details of th</w:t>
      </w:r>
      <w:r w:rsidR="00B61F3B" w:rsidRPr="00844EC3">
        <w:rPr>
          <w:sz w:val="22"/>
          <w:szCs w:val="22"/>
        </w:rPr>
        <w:t>is</w:t>
      </w:r>
      <w:r w:rsidRPr="00844EC3">
        <w:rPr>
          <w:sz w:val="22"/>
          <w:szCs w:val="22"/>
        </w:rPr>
        <w:t xml:space="preserve"> </w:t>
      </w:r>
      <w:r w:rsidR="00B61F3B" w:rsidRPr="00844EC3">
        <w:rPr>
          <w:sz w:val="22"/>
          <w:szCs w:val="22"/>
        </w:rPr>
        <w:t>I</w:t>
      </w:r>
      <w:r w:rsidRPr="00844EC3">
        <w:rPr>
          <w:sz w:val="22"/>
          <w:szCs w:val="22"/>
        </w:rPr>
        <w:t>nstrument are set out in the Attachment.</w:t>
      </w:r>
    </w:p>
    <w:p w14:paraId="02E5C2F4" w14:textId="0BBFC229" w:rsidR="00302262" w:rsidRPr="00844EC3" w:rsidRDefault="006C256A" w:rsidP="00702E76">
      <w:pPr>
        <w:keepLines w:val="0"/>
        <w:spacing w:before="120" w:after="0"/>
        <w:rPr>
          <w:sz w:val="22"/>
          <w:szCs w:val="22"/>
        </w:rPr>
      </w:pPr>
      <w:r w:rsidRPr="00844EC3">
        <w:rPr>
          <w:sz w:val="22"/>
          <w:szCs w:val="22"/>
        </w:rPr>
        <w:t xml:space="preserve">This Instrument commences on 1 </w:t>
      </w:r>
      <w:r w:rsidR="005B49D6" w:rsidRPr="00844EC3">
        <w:rPr>
          <w:sz w:val="22"/>
          <w:szCs w:val="22"/>
        </w:rPr>
        <w:t>May</w:t>
      </w:r>
      <w:r w:rsidR="0091111D" w:rsidRPr="00844EC3">
        <w:rPr>
          <w:sz w:val="22"/>
          <w:szCs w:val="22"/>
        </w:rPr>
        <w:t xml:space="preserve"> </w:t>
      </w:r>
      <w:r w:rsidR="005E6D84" w:rsidRPr="00844EC3">
        <w:rPr>
          <w:sz w:val="22"/>
          <w:szCs w:val="22"/>
        </w:rPr>
        <w:t>2020</w:t>
      </w:r>
      <w:r w:rsidR="00302262" w:rsidRPr="00844EC3">
        <w:rPr>
          <w:sz w:val="22"/>
          <w:szCs w:val="22"/>
        </w:rPr>
        <w:t>.</w:t>
      </w:r>
    </w:p>
    <w:p w14:paraId="4374BCC5" w14:textId="77777777" w:rsidR="00302262" w:rsidRPr="00844EC3" w:rsidRDefault="00302262" w:rsidP="00702E76">
      <w:pPr>
        <w:keepLines w:val="0"/>
        <w:spacing w:before="120" w:after="0"/>
        <w:rPr>
          <w:sz w:val="22"/>
          <w:szCs w:val="22"/>
        </w:rPr>
      </w:pPr>
      <w:r w:rsidRPr="00844EC3">
        <w:rPr>
          <w:sz w:val="22"/>
          <w:szCs w:val="22"/>
        </w:rPr>
        <w:t xml:space="preserve">This Instrument is a legislative instrument for the purposes of the </w:t>
      </w:r>
      <w:r w:rsidR="00D205CF" w:rsidRPr="00844EC3">
        <w:rPr>
          <w:i/>
          <w:sz w:val="22"/>
          <w:szCs w:val="22"/>
        </w:rPr>
        <w:t>Legislation</w:t>
      </w:r>
      <w:r w:rsidRPr="00844EC3">
        <w:rPr>
          <w:i/>
          <w:sz w:val="22"/>
          <w:szCs w:val="22"/>
        </w:rPr>
        <w:t xml:space="preserve"> Act</w:t>
      </w:r>
      <w:r w:rsidR="001C3893" w:rsidRPr="00844EC3">
        <w:rPr>
          <w:i/>
          <w:sz w:val="22"/>
          <w:szCs w:val="22"/>
        </w:rPr>
        <w:t xml:space="preserve"> </w:t>
      </w:r>
      <w:r w:rsidRPr="00844EC3">
        <w:rPr>
          <w:i/>
          <w:sz w:val="22"/>
          <w:szCs w:val="22"/>
        </w:rPr>
        <w:t>2003</w:t>
      </w:r>
      <w:r w:rsidRPr="00844EC3">
        <w:rPr>
          <w:sz w:val="22"/>
          <w:szCs w:val="22"/>
        </w:rPr>
        <w:t>.</w:t>
      </w:r>
    </w:p>
    <w:p w14:paraId="707A98E6" w14:textId="77777777" w:rsidR="000A4B91" w:rsidRPr="00844EC3" w:rsidRDefault="000A4B91" w:rsidP="00456324">
      <w:pPr>
        <w:keepLines w:val="0"/>
        <w:jc w:val="right"/>
        <w:rPr>
          <w:b/>
          <w:sz w:val="22"/>
          <w:szCs w:val="22"/>
        </w:rPr>
      </w:pPr>
      <w:r w:rsidRPr="00844EC3">
        <w:rPr>
          <w:sz w:val="22"/>
          <w:szCs w:val="22"/>
        </w:rPr>
        <w:br w:type="page"/>
      </w:r>
      <w:r w:rsidRPr="00844EC3">
        <w:rPr>
          <w:b/>
          <w:sz w:val="22"/>
          <w:szCs w:val="22"/>
        </w:rPr>
        <w:lastRenderedPageBreak/>
        <w:t>ATTACHMENT</w:t>
      </w:r>
    </w:p>
    <w:p w14:paraId="2A489D67" w14:textId="38EA1051" w:rsidR="00B54A5B" w:rsidRPr="00844EC3" w:rsidRDefault="00391600" w:rsidP="004F21CB">
      <w:pPr>
        <w:keepLines w:val="0"/>
        <w:spacing w:before="360"/>
        <w:rPr>
          <w:b/>
          <w:sz w:val="22"/>
          <w:szCs w:val="22"/>
        </w:rPr>
      </w:pPr>
      <w:r w:rsidRPr="00844EC3">
        <w:rPr>
          <w:b/>
          <w:sz w:val="22"/>
          <w:szCs w:val="22"/>
        </w:rPr>
        <w:t>P</w:t>
      </w:r>
      <w:r w:rsidR="00456324" w:rsidRPr="00844EC3">
        <w:rPr>
          <w:b/>
          <w:sz w:val="22"/>
          <w:szCs w:val="22"/>
        </w:rPr>
        <w:t xml:space="preserve">ROVISION-BY-PROVISION DESCRIPTION OF </w:t>
      </w:r>
      <w:r w:rsidR="00456324" w:rsidRPr="00844EC3">
        <w:rPr>
          <w:b/>
          <w:i/>
          <w:sz w:val="22"/>
          <w:szCs w:val="22"/>
        </w:rPr>
        <w:t>NATIONAL HEALTH</w:t>
      </w:r>
      <w:r w:rsidR="0044792C" w:rsidRPr="00844EC3">
        <w:rPr>
          <w:b/>
          <w:i/>
          <w:sz w:val="22"/>
          <w:szCs w:val="22"/>
        </w:rPr>
        <w:t xml:space="preserve"> (</w:t>
      </w:r>
      <w:r w:rsidR="00456324" w:rsidRPr="00844EC3">
        <w:rPr>
          <w:b/>
          <w:i/>
          <w:sz w:val="22"/>
          <w:szCs w:val="22"/>
        </w:rPr>
        <w:t>HIGHLY</w:t>
      </w:r>
      <w:r w:rsidR="0044792C" w:rsidRPr="00844EC3">
        <w:rPr>
          <w:b/>
          <w:i/>
          <w:sz w:val="22"/>
          <w:szCs w:val="22"/>
        </w:rPr>
        <w:t xml:space="preserve"> </w:t>
      </w:r>
      <w:r w:rsidR="00456324" w:rsidRPr="00844EC3">
        <w:rPr>
          <w:b/>
          <w:i/>
          <w:sz w:val="22"/>
          <w:szCs w:val="22"/>
        </w:rPr>
        <w:t>SPECIALISED</w:t>
      </w:r>
      <w:r w:rsidR="00B54A5B" w:rsidRPr="00844EC3">
        <w:rPr>
          <w:b/>
          <w:i/>
          <w:sz w:val="22"/>
          <w:szCs w:val="22"/>
        </w:rPr>
        <w:t xml:space="preserve"> </w:t>
      </w:r>
      <w:r w:rsidR="00456324" w:rsidRPr="00844EC3">
        <w:rPr>
          <w:b/>
          <w:i/>
          <w:sz w:val="22"/>
          <w:szCs w:val="22"/>
        </w:rPr>
        <w:t>DRUGS PROGRAM</w:t>
      </w:r>
      <w:r w:rsidR="00B54A5B" w:rsidRPr="00844EC3">
        <w:rPr>
          <w:b/>
          <w:i/>
          <w:sz w:val="22"/>
          <w:szCs w:val="22"/>
        </w:rPr>
        <w:t xml:space="preserve">) </w:t>
      </w:r>
      <w:r w:rsidR="00456324" w:rsidRPr="00844EC3">
        <w:rPr>
          <w:b/>
          <w:i/>
          <w:sz w:val="22"/>
          <w:szCs w:val="22"/>
        </w:rPr>
        <w:t xml:space="preserve">SPECIAL ARRANGEMENT AMENDMENT INSTRUMENT </w:t>
      </w:r>
      <w:r w:rsidR="008F2270" w:rsidRPr="00844EC3">
        <w:rPr>
          <w:b/>
          <w:i/>
          <w:sz w:val="22"/>
          <w:szCs w:val="22"/>
        </w:rPr>
        <w:t>2020</w:t>
      </w:r>
      <w:r w:rsidR="00EF099E" w:rsidRPr="00844EC3">
        <w:rPr>
          <w:b/>
          <w:i/>
          <w:sz w:val="22"/>
          <w:szCs w:val="22"/>
        </w:rPr>
        <w:t xml:space="preserve"> (</w:t>
      </w:r>
      <w:r w:rsidR="00CF659C" w:rsidRPr="00844EC3">
        <w:rPr>
          <w:b/>
          <w:i/>
          <w:sz w:val="22"/>
          <w:szCs w:val="22"/>
        </w:rPr>
        <w:t xml:space="preserve">No. </w:t>
      </w:r>
      <w:r w:rsidR="005B49D6" w:rsidRPr="00844EC3">
        <w:rPr>
          <w:b/>
          <w:i/>
          <w:sz w:val="22"/>
          <w:szCs w:val="22"/>
        </w:rPr>
        <w:t>4</w:t>
      </w:r>
      <w:r w:rsidR="00EF099E" w:rsidRPr="00844EC3">
        <w:rPr>
          <w:b/>
          <w:i/>
          <w:sz w:val="22"/>
          <w:szCs w:val="22"/>
        </w:rPr>
        <w:t>)</w:t>
      </w:r>
    </w:p>
    <w:p w14:paraId="3ECB36FC" w14:textId="77777777" w:rsidR="006A613A" w:rsidRPr="00844EC3" w:rsidRDefault="000A4B91" w:rsidP="00192841">
      <w:pPr>
        <w:keepLines w:val="0"/>
        <w:tabs>
          <w:tab w:val="left" w:pos="1418"/>
        </w:tabs>
        <w:spacing w:before="240" w:after="0"/>
        <w:rPr>
          <w:b/>
          <w:sz w:val="22"/>
          <w:szCs w:val="22"/>
        </w:rPr>
      </w:pPr>
      <w:r w:rsidRPr="00844EC3">
        <w:rPr>
          <w:b/>
          <w:sz w:val="22"/>
          <w:szCs w:val="22"/>
        </w:rPr>
        <w:t>Section 1</w:t>
      </w:r>
      <w:r w:rsidRPr="00844EC3">
        <w:rPr>
          <w:b/>
          <w:sz w:val="22"/>
          <w:szCs w:val="22"/>
        </w:rPr>
        <w:tab/>
        <w:t>Name of Instrument</w:t>
      </w:r>
    </w:p>
    <w:p w14:paraId="15092EBA" w14:textId="183DE0EB" w:rsidR="000A4B91" w:rsidRPr="00844EC3" w:rsidRDefault="000A4B91" w:rsidP="001657C6">
      <w:pPr>
        <w:keepLines w:val="0"/>
        <w:spacing w:before="120" w:after="0"/>
        <w:jc w:val="left"/>
        <w:rPr>
          <w:sz w:val="22"/>
          <w:szCs w:val="22"/>
        </w:rPr>
      </w:pPr>
      <w:r w:rsidRPr="00844EC3">
        <w:rPr>
          <w:sz w:val="22"/>
          <w:szCs w:val="22"/>
        </w:rPr>
        <w:t>This sec</w:t>
      </w:r>
      <w:r w:rsidR="005D7DC1" w:rsidRPr="00844EC3">
        <w:rPr>
          <w:sz w:val="22"/>
          <w:szCs w:val="22"/>
        </w:rPr>
        <w:t>tion provides the name of this I</w:t>
      </w:r>
      <w:r w:rsidRPr="00844EC3">
        <w:rPr>
          <w:sz w:val="22"/>
          <w:szCs w:val="22"/>
        </w:rPr>
        <w:t xml:space="preserve">nstrument </w:t>
      </w:r>
      <w:r w:rsidR="00470E6B" w:rsidRPr="00844EC3">
        <w:rPr>
          <w:sz w:val="22"/>
          <w:szCs w:val="22"/>
        </w:rPr>
        <w:t>a</w:t>
      </w:r>
      <w:r w:rsidRPr="00844EC3">
        <w:rPr>
          <w:sz w:val="22"/>
          <w:szCs w:val="22"/>
        </w:rPr>
        <w:t xml:space="preserve">s the </w:t>
      </w:r>
      <w:r w:rsidRPr="00844EC3">
        <w:rPr>
          <w:i/>
          <w:sz w:val="22"/>
          <w:szCs w:val="22"/>
        </w:rPr>
        <w:t>National Health (Highly specialised drugs program) Special A</w:t>
      </w:r>
      <w:r w:rsidR="006036A7" w:rsidRPr="00844EC3">
        <w:rPr>
          <w:i/>
          <w:sz w:val="22"/>
          <w:szCs w:val="22"/>
        </w:rPr>
        <w:t xml:space="preserve">rrangement Amendment Instrument </w:t>
      </w:r>
      <w:r w:rsidR="008F2270" w:rsidRPr="00844EC3">
        <w:rPr>
          <w:i/>
          <w:sz w:val="22"/>
          <w:szCs w:val="22"/>
        </w:rPr>
        <w:t>2020</w:t>
      </w:r>
      <w:r w:rsidR="008A5632" w:rsidRPr="00844EC3">
        <w:rPr>
          <w:i/>
          <w:sz w:val="22"/>
          <w:szCs w:val="22"/>
        </w:rPr>
        <w:t xml:space="preserve"> (</w:t>
      </w:r>
      <w:r w:rsidR="00EA73DE" w:rsidRPr="00844EC3">
        <w:rPr>
          <w:i/>
          <w:sz w:val="22"/>
          <w:szCs w:val="22"/>
        </w:rPr>
        <w:t>No.</w:t>
      </w:r>
      <w:r w:rsidR="00637609" w:rsidRPr="00844EC3">
        <w:rPr>
          <w:i/>
          <w:sz w:val="22"/>
          <w:szCs w:val="22"/>
        </w:rPr>
        <w:t>4</w:t>
      </w:r>
      <w:r w:rsidR="008A5632" w:rsidRPr="00844EC3">
        <w:rPr>
          <w:i/>
          <w:sz w:val="22"/>
          <w:szCs w:val="22"/>
        </w:rPr>
        <w:t>)</w:t>
      </w:r>
      <w:r w:rsidR="008E5300" w:rsidRPr="00844EC3">
        <w:rPr>
          <w:sz w:val="22"/>
          <w:szCs w:val="22"/>
        </w:rPr>
        <w:t xml:space="preserve"> and may</w:t>
      </w:r>
      <w:r w:rsidR="00F36280" w:rsidRPr="00844EC3">
        <w:rPr>
          <w:sz w:val="22"/>
          <w:szCs w:val="22"/>
        </w:rPr>
        <w:t xml:space="preserve"> </w:t>
      </w:r>
      <w:r w:rsidR="00ED691D" w:rsidRPr="00844EC3">
        <w:rPr>
          <w:sz w:val="22"/>
          <w:szCs w:val="22"/>
        </w:rPr>
        <w:t xml:space="preserve">also </w:t>
      </w:r>
      <w:r w:rsidR="00825F76" w:rsidRPr="00844EC3">
        <w:rPr>
          <w:sz w:val="22"/>
          <w:szCs w:val="22"/>
        </w:rPr>
        <w:t>be cit</w:t>
      </w:r>
      <w:r w:rsidR="004E7F32" w:rsidRPr="00844EC3">
        <w:rPr>
          <w:sz w:val="22"/>
          <w:szCs w:val="22"/>
        </w:rPr>
        <w:t xml:space="preserve">ed as </w:t>
      </w:r>
      <w:r w:rsidR="00CF659C" w:rsidRPr="00844EC3">
        <w:rPr>
          <w:sz w:val="22"/>
          <w:szCs w:val="22"/>
        </w:rPr>
        <w:t>PB</w:t>
      </w:r>
      <w:r w:rsidR="00732D1D" w:rsidRPr="00844EC3">
        <w:rPr>
          <w:sz w:val="22"/>
          <w:szCs w:val="22"/>
        </w:rPr>
        <w:t> </w:t>
      </w:r>
      <w:r w:rsidR="0034264A" w:rsidRPr="00844EC3">
        <w:rPr>
          <w:sz w:val="22"/>
          <w:szCs w:val="22"/>
        </w:rPr>
        <w:t>3</w:t>
      </w:r>
      <w:r w:rsidR="00757DCF" w:rsidRPr="00844EC3">
        <w:rPr>
          <w:sz w:val="22"/>
          <w:szCs w:val="22"/>
        </w:rPr>
        <w:t>7</w:t>
      </w:r>
      <w:r w:rsidR="002222E8" w:rsidRPr="00844EC3">
        <w:rPr>
          <w:sz w:val="22"/>
          <w:szCs w:val="22"/>
        </w:rPr>
        <w:t> </w:t>
      </w:r>
      <w:r w:rsidRPr="00844EC3">
        <w:rPr>
          <w:sz w:val="22"/>
          <w:szCs w:val="22"/>
        </w:rPr>
        <w:t>of</w:t>
      </w:r>
      <w:r w:rsidR="006036A7" w:rsidRPr="00844EC3">
        <w:rPr>
          <w:sz w:val="22"/>
          <w:szCs w:val="22"/>
        </w:rPr>
        <w:t> </w:t>
      </w:r>
      <w:r w:rsidR="008F2270" w:rsidRPr="00844EC3">
        <w:rPr>
          <w:sz w:val="22"/>
          <w:szCs w:val="22"/>
        </w:rPr>
        <w:t>2020</w:t>
      </w:r>
      <w:r w:rsidRPr="00844EC3">
        <w:rPr>
          <w:sz w:val="22"/>
          <w:szCs w:val="22"/>
        </w:rPr>
        <w:t>.</w:t>
      </w:r>
    </w:p>
    <w:p w14:paraId="1C524C7F" w14:textId="77777777" w:rsidR="006A613A" w:rsidRPr="00844EC3" w:rsidRDefault="000A4B91" w:rsidP="00192841">
      <w:pPr>
        <w:keepLines w:val="0"/>
        <w:tabs>
          <w:tab w:val="left" w:pos="1418"/>
        </w:tabs>
        <w:spacing w:before="240" w:after="0"/>
        <w:rPr>
          <w:b/>
          <w:sz w:val="22"/>
          <w:szCs w:val="22"/>
        </w:rPr>
      </w:pPr>
      <w:r w:rsidRPr="00844EC3">
        <w:rPr>
          <w:b/>
          <w:sz w:val="22"/>
          <w:szCs w:val="22"/>
        </w:rPr>
        <w:t>Section 2</w:t>
      </w:r>
      <w:r w:rsidRPr="00844EC3">
        <w:rPr>
          <w:b/>
          <w:sz w:val="22"/>
          <w:szCs w:val="22"/>
        </w:rPr>
        <w:tab/>
        <w:t>Commencement</w:t>
      </w:r>
    </w:p>
    <w:p w14:paraId="1C4D5D16" w14:textId="47053F81" w:rsidR="000A4B91" w:rsidRPr="00844EC3" w:rsidRDefault="000A4B91" w:rsidP="00931768">
      <w:pPr>
        <w:keepLines w:val="0"/>
        <w:spacing w:before="120" w:after="0"/>
        <w:rPr>
          <w:sz w:val="22"/>
          <w:szCs w:val="22"/>
        </w:rPr>
      </w:pPr>
      <w:r w:rsidRPr="00844EC3">
        <w:rPr>
          <w:sz w:val="22"/>
          <w:szCs w:val="22"/>
        </w:rPr>
        <w:t xml:space="preserve">This section provides that this </w:t>
      </w:r>
      <w:r w:rsidR="005D7DC1" w:rsidRPr="00844EC3">
        <w:rPr>
          <w:sz w:val="22"/>
          <w:szCs w:val="22"/>
        </w:rPr>
        <w:t>I</w:t>
      </w:r>
      <w:r w:rsidRPr="00844EC3">
        <w:rPr>
          <w:sz w:val="22"/>
          <w:szCs w:val="22"/>
        </w:rPr>
        <w:t>nstrument commences on 1</w:t>
      </w:r>
      <w:r w:rsidR="006036A7" w:rsidRPr="00844EC3">
        <w:rPr>
          <w:sz w:val="22"/>
          <w:szCs w:val="22"/>
        </w:rPr>
        <w:t xml:space="preserve"> </w:t>
      </w:r>
      <w:r w:rsidR="00637609" w:rsidRPr="00844EC3">
        <w:rPr>
          <w:sz w:val="22"/>
          <w:szCs w:val="22"/>
        </w:rPr>
        <w:t>May</w:t>
      </w:r>
      <w:r w:rsidR="000718FA" w:rsidRPr="00844EC3">
        <w:rPr>
          <w:sz w:val="22"/>
          <w:szCs w:val="22"/>
        </w:rPr>
        <w:t xml:space="preserve"> 2020</w:t>
      </w:r>
      <w:r w:rsidRPr="00844EC3">
        <w:rPr>
          <w:sz w:val="22"/>
          <w:szCs w:val="22"/>
        </w:rPr>
        <w:t>.</w:t>
      </w:r>
    </w:p>
    <w:p w14:paraId="5EF8CA44" w14:textId="77777777" w:rsidR="006A613A" w:rsidRPr="00844EC3" w:rsidRDefault="000A4B91" w:rsidP="00032A06">
      <w:pPr>
        <w:keepLines w:val="0"/>
        <w:tabs>
          <w:tab w:val="left" w:pos="1418"/>
        </w:tabs>
        <w:spacing w:before="240" w:after="0"/>
        <w:ind w:left="1418" w:hanging="1418"/>
        <w:rPr>
          <w:b/>
          <w:sz w:val="22"/>
          <w:szCs w:val="22"/>
        </w:rPr>
      </w:pPr>
      <w:r w:rsidRPr="00844EC3">
        <w:rPr>
          <w:b/>
          <w:sz w:val="22"/>
          <w:szCs w:val="22"/>
        </w:rPr>
        <w:t>Section 3</w:t>
      </w:r>
      <w:r w:rsidRPr="00844EC3">
        <w:rPr>
          <w:b/>
          <w:sz w:val="22"/>
          <w:szCs w:val="22"/>
        </w:rPr>
        <w:tab/>
        <w:t>Amendment</w:t>
      </w:r>
      <w:r w:rsidR="00496BFA" w:rsidRPr="00844EC3">
        <w:rPr>
          <w:b/>
          <w:sz w:val="22"/>
          <w:szCs w:val="22"/>
        </w:rPr>
        <w:t xml:space="preserve"> of </w:t>
      </w:r>
      <w:r w:rsidR="00496BFA" w:rsidRPr="00844EC3">
        <w:rPr>
          <w:b/>
          <w:i/>
          <w:sz w:val="22"/>
          <w:szCs w:val="22"/>
        </w:rPr>
        <w:t>National Health (Highly specialised drugs program) Special Arrangement 2010</w:t>
      </w:r>
      <w:r w:rsidR="00496BFA" w:rsidRPr="00844EC3">
        <w:rPr>
          <w:b/>
          <w:sz w:val="22"/>
          <w:szCs w:val="22"/>
        </w:rPr>
        <w:t xml:space="preserve"> (PB 116 of 2010)</w:t>
      </w:r>
    </w:p>
    <w:p w14:paraId="0974722A" w14:textId="77777777" w:rsidR="003308F2" w:rsidRPr="00844EC3" w:rsidRDefault="00C67E61" w:rsidP="00931768">
      <w:pPr>
        <w:keepLines w:val="0"/>
        <w:spacing w:before="120" w:after="0"/>
        <w:rPr>
          <w:sz w:val="22"/>
          <w:szCs w:val="22"/>
        </w:rPr>
      </w:pPr>
      <w:r w:rsidRPr="00844EC3">
        <w:rPr>
          <w:sz w:val="22"/>
          <w:szCs w:val="22"/>
        </w:rPr>
        <w:t xml:space="preserve">This section provides that </w:t>
      </w:r>
      <w:r w:rsidR="0027467B" w:rsidRPr="00844EC3">
        <w:rPr>
          <w:sz w:val="22"/>
          <w:szCs w:val="22"/>
        </w:rPr>
        <w:t xml:space="preserve">Schedule </w:t>
      </w:r>
      <w:r w:rsidRPr="00844EC3">
        <w:rPr>
          <w:sz w:val="22"/>
          <w:szCs w:val="22"/>
        </w:rPr>
        <w:t xml:space="preserve">1 </w:t>
      </w:r>
      <w:r w:rsidR="0027467B" w:rsidRPr="00844EC3">
        <w:rPr>
          <w:sz w:val="22"/>
          <w:szCs w:val="22"/>
        </w:rPr>
        <w:t xml:space="preserve">amends the </w:t>
      </w:r>
      <w:r w:rsidR="0027467B" w:rsidRPr="00844EC3">
        <w:rPr>
          <w:i/>
          <w:sz w:val="22"/>
          <w:szCs w:val="22"/>
        </w:rPr>
        <w:t>National Health (Highly specialised dru</w:t>
      </w:r>
      <w:r w:rsidR="00DD6DB6" w:rsidRPr="00844EC3">
        <w:rPr>
          <w:i/>
          <w:sz w:val="22"/>
          <w:szCs w:val="22"/>
        </w:rPr>
        <w:t xml:space="preserve">gs program) Special Arrangement </w:t>
      </w:r>
      <w:r w:rsidR="0027467B" w:rsidRPr="00844EC3">
        <w:rPr>
          <w:i/>
          <w:sz w:val="22"/>
          <w:szCs w:val="22"/>
        </w:rPr>
        <w:t>2010</w:t>
      </w:r>
      <w:r w:rsidR="00DD6DB6" w:rsidRPr="00844EC3">
        <w:rPr>
          <w:sz w:val="22"/>
          <w:szCs w:val="22"/>
        </w:rPr>
        <w:t xml:space="preserve"> (PB 116 of </w:t>
      </w:r>
      <w:r w:rsidR="0027467B" w:rsidRPr="00844EC3">
        <w:rPr>
          <w:sz w:val="22"/>
          <w:szCs w:val="22"/>
        </w:rPr>
        <w:t>2010).</w:t>
      </w:r>
    </w:p>
    <w:p w14:paraId="534C7878" w14:textId="736A6786" w:rsidR="0027467B" w:rsidRPr="00844EC3" w:rsidRDefault="006036A7" w:rsidP="00192841">
      <w:pPr>
        <w:keepLines w:val="0"/>
        <w:tabs>
          <w:tab w:val="left" w:pos="1418"/>
        </w:tabs>
        <w:spacing w:before="240" w:after="0"/>
        <w:rPr>
          <w:b/>
          <w:sz w:val="22"/>
          <w:szCs w:val="22"/>
        </w:rPr>
      </w:pPr>
      <w:r w:rsidRPr="00844EC3">
        <w:rPr>
          <w:b/>
          <w:sz w:val="22"/>
          <w:szCs w:val="22"/>
        </w:rPr>
        <w:t>Schedule</w:t>
      </w:r>
      <w:r w:rsidR="00A15E91" w:rsidRPr="00844EC3">
        <w:rPr>
          <w:b/>
          <w:sz w:val="22"/>
          <w:szCs w:val="22"/>
        </w:rPr>
        <w:t xml:space="preserve"> 1</w:t>
      </w:r>
      <w:r w:rsidRPr="00844EC3">
        <w:rPr>
          <w:b/>
          <w:sz w:val="22"/>
          <w:szCs w:val="22"/>
        </w:rPr>
        <w:tab/>
      </w:r>
      <w:r w:rsidR="006A613A" w:rsidRPr="00844EC3">
        <w:rPr>
          <w:b/>
          <w:sz w:val="22"/>
          <w:szCs w:val="22"/>
        </w:rPr>
        <w:t>Amendments</w:t>
      </w:r>
    </w:p>
    <w:p w14:paraId="6C2C7185" w14:textId="48A01477" w:rsidR="00653388" w:rsidRPr="00844EC3" w:rsidRDefault="006F23F5" w:rsidP="00192841">
      <w:pPr>
        <w:keepLines w:val="0"/>
        <w:spacing w:after="0"/>
        <w:rPr>
          <w:sz w:val="22"/>
          <w:szCs w:val="22"/>
        </w:rPr>
      </w:pPr>
      <w:r w:rsidRPr="00844EC3">
        <w:rPr>
          <w:sz w:val="22"/>
          <w:szCs w:val="22"/>
        </w:rPr>
        <w:t xml:space="preserve">The amendments in Schedule 1 involve the </w:t>
      </w:r>
      <w:r w:rsidR="000D6861" w:rsidRPr="00844EC3">
        <w:rPr>
          <w:sz w:val="22"/>
          <w:szCs w:val="22"/>
        </w:rPr>
        <w:t>addition</w:t>
      </w:r>
      <w:r w:rsidR="00CC3B73" w:rsidRPr="00844EC3">
        <w:rPr>
          <w:sz w:val="22"/>
          <w:szCs w:val="22"/>
        </w:rPr>
        <w:t xml:space="preserve"> of a</w:t>
      </w:r>
      <w:r w:rsidR="007C263F" w:rsidRPr="00844EC3">
        <w:rPr>
          <w:sz w:val="22"/>
          <w:szCs w:val="22"/>
        </w:rPr>
        <w:t xml:space="preserve"> form, </w:t>
      </w:r>
      <w:r w:rsidR="00CC3B73" w:rsidRPr="00844EC3">
        <w:rPr>
          <w:sz w:val="22"/>
          <w:szCs w:val="22"/>
        </w:rPr>
        <w:t>the alteration of responsible person code</w:t>
      </w:r>
      <w:r w:rsidR="00F76D40" w:rsidRPr="00844EC3">
        <w:rPr>
          <w:sz w:val="22"/>
          <w:szCs w:val="22"/>
        </w:rPr>
        <w:t>s</w:t>
      </w:r>
      <w:r w:rsidR="00CC3B73" w:rsidRPr="00844EC3">
        <w:rPr>
          <w:sz w:val="22"/>
          <w:szCs w:val="22"/>
        </w:rPr>
        <w:t xml:space="preserve"> for brand</w:t>
      </w:r>
      <w:r w:rsidR="00F76D40" w:rsidRPr="00844EC3">
        <w:rPr>
          <w:sz w:val="22"/>
          <w:szCs w:val="22"/>
        </w:rPr>
        <w:t>s</w:t>
      </w:r>
      <w:r w:rsidR="00CC3B73" w:rsidRPr="00844EC3">
        <w:rPr>
          <w:sz w:val="22"/>
          <w:szCs w:val="22"/>
        </w:rPr>
        <w:t xml:space="preserve"> of </w:t>
      </w:r>
      <w:r w:rsidR="00F76D40" w:rsidRPr="00844EC3">
        <w:rPr>
          <w:sz w:val="22"/>
          <w:szCs w:val="22"/>
        </w:rPr>
        <w:t>p</w:t>
      </w:r>
      <w:r w:rsidR="00CC3B73" w:rsidRPr="00844EC3">
        <w:rPr>
          <w:sz w:val="22"/>
          <w:szCs w:val="22"/>
        </w:rPr>
        <w:t>harmaceutical benefit</w:t>
      </w:r>
      <w:r w:rsidR="00F76D40" w:rsidRPr="00844EC3">
        <w:rPr>
          <w:sz w:val="22"/>
          <w:szCs w:val="22"/>
        </w:rPr>
        <w:t>s</w:t>
      </w:r>
      <w:r w:rsidR="00CC3B73" w:rsidRPr="00844EC3">
        <w:rPr>
          <w:sz w:val="22"/>
          <w:szCs w:val="22"/>
        </w:rPr>
        <w:t xml:space="preserve">, the addition of a responsible person to the list of responsible persons </w:t>
      </w:r>
      <w:r w:rsidR="000D6861" w:rsidRPr="00844EC3">
        <w:rPr>
          <w:sz w:val="22"/>
          <w:szCs w:val="22"/>
        </w:rPr>
        <w:t xml:space="preserve">and </w:t>
      </w:r>
      <w:r w:rsidRPr="00844EC3">
        <w:rPr>
          <w:sz w:val="22"/>
          <w:szCs w:val="22"/>
        </w:rPr>
        <w:t xml:space="preserve">the alteration </w:t>
      </w:r>
      <w:r w:rsidR="00447D0A" w:rsidRPr="00844EC3">
        <w:rPr>
          <w:sz w:val="22"/>
          <w:szCs w:val="22"/>
        </w:rPr>
        <w:t>of</w:t>
      </w:r>
      <w:r w:rsidRPr="00844EC3">
        <w:rPr>
          <w:sz w:val="22"/>
          <w:szCs w:val="22"/>
        </w:rPr>
        <w:t xml:space="preserve"> circumstances for prescribing various pharmaceutical benefits available </w:t>
      </w:r>
      <w:r w:rsidR="00405F4B" w:rsidRPr="00844EC3">
        <w:rPr>
          <w:sz w:val="22"/>
          <w:szCs w:val="22"/>
        </w:rPr>
        <w:t xml:space="preserve">under </w:t>
      </w:r>
      <w:r w:rsidR="00FC2E4E" w:rsidRPr="00844EC3">
        <w:rPr>
          <w:sz w:val="22"/>
          <w:szCs w:val="22"/>
        </w:rPr>
        <w:t>the Special Arrangement</w:t>
      </w:r>
      <w:r w:rsidRPr="00844EC3">
        <w:rPr>
          <w:sz w:val="22"/>
          <w:szCs w:val="22"/>
        </w:rPr>
        <w:t>.  These changes are summarised below.</w:t>
      </w:r>
    </w:p>
    <w:p w14:paraId="636C3C14" w14:textId="77777777" w:rsidR="0098079E" w:rsidRPr="00844EC3" w:rsidRDefault="0098079E" w:rsidP="00192841">
      <w:pPr>
        <w:keepLines w:val="0"/>
        <w:spacing w:after="0"/>
        <w:rPr>
          <w:sz w:val="22"/>
          <w:szCs w:val="22"/>
        </w:rPr>
      </w:pPr>
    </w:p>
    <w:p w14:paraId="741FFD83" w14:textId="7D2011CA" w:rsidR="006F23F5" w:rsidRPr="00844EC3" w:rsidRDefault="006F23F5" w:rsidP="006F23F5">
      <w:pPr>
        <w:keepLines w:val="0"/>
        <w:widowControl w:val="0"/>
        <w:spacing w:after="0"/>
        <w:jc w:val="center"/>
        <w:rPr>
          <w:b/>
          <w:sz w:val="24"/>
          <w:szCs w:val="24"/>
        </w:rPr>
      </w:pPr>
      <w:r w:rsidRPr="00844EC3">
        <w:rPr>
          <w:b/>
          <w:sz w:val="22"/>
          <w:szCs w:val="22"/>
        </w:rPr>
        <w:t xml:space="preserve">SUMMARY OF CHANGES TO THE </w:t>
      </w:r>
      <w:r w:rsidRPr="00844EC3">
        <w:rPr>
          <w:b/>
          <w:i/>
          <w:sz w:val="22"/>
          <w:szCs w:val="22"/>
        </w:rPr>
        <w:t>NATIONAL HEALTH (HIGHLY SPECIALISED DRUGS PROGRAM) SPECIAL ARRANGEMENT 2010</w:t>
      </w:r>
      <w:r w:rsidRPr="00844EC3">
        <w:rPr>
          <w:b/>
          <w:sz w:val="22"/>
          <w:szCs w:val="22"/>
        </w:rPr>
        <w:t xml:space="preserve"> MADE BY THIS INSTRUMENT</w:t>
      </w:r>
    </w:p>
    <w:tbl>
      <w:tblPr>
        <w:tblStyle w:val="TableGrid"/>
        <w:tblW w:w="9071" w:type="dxa"/>
        <w:tblCellMar>
          <w:left w:w="0" w:type="dxa"/>
          <w:right w:w="0" w:type="dxa"/>
        </w:tblCellMar>
        <w:tblLook w:val="04A0" w:firstRow="1" w:lastRow="0" w:firstColumn="1" w:lastColumn="0" w:noHBand="0" w:noVBand="1"/>
      </w:tblPr>
      <w:tblGrid>
        <w:gridCol w:w="9071"/>
      </w:tblGrid>
      <w:tr w:rsidR="00DC503E" w:rsidRPr="00844EC3" w14:paraId="4BC3ADFF" w14:textId="77777777" w:rsidTr="00CA29AF">
        <w:tc>
          <w:tcPr>
            <w:tcW w:w="9071" w:type="dxa"/>
            <w:tcBorders>
              <w:top w:val="nil"/>
              <w:left w:val="nil"/>
              <w:bottom w:val="nil"/>
              <w:right w:val="nil"/>
            </w:tcBorders>
          </w:tcPr>
          <w:p w14:paraId="320382F5" w14:textId="17E9A435" w:rsidR="00DC503E" w:rsidRPr="00844EC3" w:rsidRDefault="00DC503E" w:rsidP="007C263F">
            <w:pPr>
              <w:keepLines w:val="0"/>
              <w:spacing w:after="0"/>
              <w:jc w:val="left"/>
              <w:rPr>
                <w:sz w:val="22"/>
                <w:szCs w:val="22"/>
              </w:rPr>
            </w:pPr>
          </w:p>
        </w:tc>
      </w:tr>
    </w:tbl>
    <w:p w14:paraId="7A703400" w14:textId="4E1A3240" w:rsidR="000D6861" w:rsidRPr="00844EC3" w:rsidRDefault="000D6861" w:rsidP="000D6861">
      <w:pPr>
        <w:keepLines w:val="0"/>
        <w:widowControl w:val="0"/>
        <w:spacing w:before="240" w:after="0"/>
        <w:jc w:val="left"/>
        <w:rPr>
          <w:b/>
          <w:sz w:val="24"/>
          <w:szCs w:val="24"/>
        </w:rPr>
      </w:pPr>
      <w:r w:rsidRPr="00844EC3">
        <w:rPr>
          <w:b/>
          <w:sz w:val="24"/>
          <w:szCs w:val="24"/>
        </w:rPr>
        <w:t xml:space="preserve">Forms </w:t>
      </w:r>
      <w:r w:rsidR="007C263F" w:rsidRPr="00844EC3">
        <w:rPr>
          <w:b/>
          <w:sz w:val="24"/>
          <w:szCs w:val="24"/>
        </w:rPr>
        <w:t>Added</w:t>
      </w: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201"/>
      </w:tblGrid>
      <w:tr w:rsidR="000D6861" w:rsidRPr="00844EC3" w14:paraId="1C40941F" w14:textId="77777777" w:rsidTr="00587869">
        <w:tc>
          <w:tcPr>
            <w:tcW w:w="1843" w:type="dxa"/>
          </w:tcPr>
          <w:p w14:paraId="3D87E939" w14:textId="77777777" w:rsidR="000D6861" w:rsidRPr="00844EC3" w:rsidRDefault="000D6861" w:rsidP="00E46499">
            <w:pPr>
              <w:keepLines w:val="0"/>
              <w:widowControl w:val="0"/>
              <w:spacing w:before="60" w:after="60"/>
              <w:jc w:val="left"/>
              <w:rPr>
                <w:b/>
                <w:i/>
                <w:sz w:val="22"/>
                <w:szCs w:val="22"/>
              </w:rPr>
            </w:pPr>
            <w:r w:rsidRPr="00844EC3">
              <w:rPr>
                <w:b/>
                <w:i/>
                <w:sz w:val="22"/>
                <w:szCs w:val="22"/>
              </w:rPr>
              <w:t>Listed Drug</w:t>
            </w:r>
          </w:p>
        </w:tc>
        <w:tc>
          <w:tcPr>
            <w:tcW w:w="7201" w:type="dxa"/>
          </w:tcPr>
          <w:p w14:paraId="220B080D" w14:textId="77777777" w:rsidR="000D6861" w:rsidRPr="00844EC3" w:rsidRDefault="000D6861" w:rsidP="00587869">
            <w:pPr>
              <w:keepLines w:val="0"/>
              <w:widowControl w:val="0"/>
              <w:tabs>
                <w:tab w:val="left" w:pos="7163"/>
              </w:tabs>
              <w:spacing w:before="60" w:after="60"/>
              <w:ind w:left="34" w:right="7"/>
              <w:jc w:val="left"/>
              <w:rPr>
                <w:b/>
                <w:i/>
                <w:sz w:val="22"/>
                <w:szCs w:val="22"/>
              </w:rPr>
            </w:pPr>
            <w:r w:rsidRPr="00844EC3">
              <w:rPr>
                <w:b/>
                <w:i/>
                <w:sz w:val="22"/>
                <w:szCs w:val="22"/>
              </w:rPr>
              <w:t>Form</w:t>
            </w:r>
          </w:p>
        </w:tc>
      </w:tr>
      <w:tr w:rsidR="000D6861" w:rsidRPr="00844EC3" w14:paraId="6EDBEEAC" w14:textId="77777777" w:rsidTr="00587869">
        <w:tblPrEx>
          <w:tblCellMar>
            <w:left w:w="108" w:type="dxa"/>
          </w:tblCellMar>
        </w:tblPrEx>
        <w:tc>
          <w:tcPr>
            <w:tcW w:w="1843" w:type="dxa"/>
          </w:tcPr>
          <w:p w14:paraId="04868DF6" w14:textId="02B617C7" w:rsidR="000D6861" w:rsidRPr="00844EC3" w:rsidRDefault="007C263F" w:rsidP="000D6861">
            <w:pPr>
              <w:keepLines w:val="0"/>
              <w:widowControl w:val="0"/>
              <w:spacing w:before="60" w:after="60"/>
              <w:ind w:left="-104"/>
              <w:jc w:val="left"/>
              <w:rPr>
                <w:sz w:val="22"/>
                <w:szCs w:val="22"/>
              </w:rPr>
            </w:pPr>
            <w:r w:rsidRPr="00844EC3">
              <w:rPr>
                <w:sz w:val="22"/>
                <w:szCs w:val="22"/>
              </w:rPr>
              <w:t>Benralizumab</w:t>
            </w:r>
          </w:p>
        </w:tc>
        <w:tc>
          <w:tcPr>
            <w:tcW w:w="7201" w:type="dxa"/>
          </w:tcPr>
          <w:p w14:paraId="3900CD97" w14:textId="46F91494" w:rsidR="000D6861" w:rsidRPr="00844EC3" w:rsidRDefault="007C263F" w:rsidP="00587869">
            <w:pPr>
              <w:keepLines w:val="0"/>
              <w:widowControl w:val="0"/>
              <w:tabs>
                <w:tab w:val="left" w:pos="7163"/>
              </w:tabs>
              <w:spacing w:before="60" w:after="60"/>
              <w:ind w:left="-107" w:right="7"/>
              <w:jc w:val="left"/>
              <w:rPr>
                <w:sz w:val="22"/>
                <w:szCs w:val="22"/>
              </w:rPr>
            </w:pPr>
            <w:r w:rsidRPr="00844EC3">
              <w:rPr>
                <w:sz w:val="22"/>
                <w:szCs w:val="22"/>
              </w:rPr>
              <w:t>Injection 30 mg in 1 mL single dose pre-filled pen</w:t>
            </w:r>
          </w:p>
        </w:tc>
      </w:tr>
    </w:tbl>
    <w:p w14:paraId="0A67B094" w14:textId="7C4C7240" w:rsidR="008F3169" w:rsidRPr="00844EC3" w:rsidRDefault="008F3169" w:rsidP="008F3169">
      <w:pPr>
        <w:keepLines w:val="0"/>
        <w:spacing w:before="240" w:after="0"/>
        <w:rPr>
          <w:b/>
          <w:sz w:val="24"/>
          <w:szCs w:val="22"/>
        </w:rPr>
      </w:pPr>
      <w:r w:rsidRPr="00844EC3">
        <w:rPr>
          <w:b/>
          <w:sz w:val="24"/>
          <w:szCs w:val="22"/>
        </w:rPr>
        <w:t xml:space="preserve">Addition of Responsible Person Code </w:t>
      </w: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16"/>
      </w:tblGrid>
      <w:tr w:rsidR="007C263F" w:rsidRPr="00844EC3" w14:paraId="05E81668" w14:textId="77777777" w:rsidTr="00463176">
        <w:tc>
          <w:tcPr>
            <w:tcW w:w="4395" w:type="dxa"/>
          </w:tcPr>
          <w:p w14:paraId="3F47DD5C" w14:textId="1177D555" w:rsidR="007C263F" w:rsidRPr="00844EC3" w:rsidRDefault="007C263F" w:rsidP="00760E64">
            <w:pPr>
              <w:keepLines w:val="0"/>
              <w:widowControl w:val="0"/>
              <w:spacing w:before="60" w:after="60"/>
              <w:ind w:left="-104"/>
              <w:jc w:val="left"/>
              <w:rPr>
                <w:sz w:val="22"/>
                <w:szCs w:val="22"/>
              </w:rPr>
            </w:pPr>
            <w:r w:rsidRPr="00844EC3">
              <w:rPr>
                <w:sz w:val="22"/>
                <w:szCs w:val="16"/>
              </w:rPr>
              <w:t>Recordati Rare Diseases Australia Pty. Ltd (</w:t>
            </w:r>
            <w:r w:rsidRPr="00844EC3">
              <w:rPr>
                <w:i/>
                <w:sz w:val="22"/>
                <w:szCs w:val="16"/>
              </w:rPr>
              <w:t>RJ</w:t>
            </w:r>
            <w:r w:rsidRPr="00844EC3">
              <w:rPr>
                <w:sz w:val="22"/>
                <w:szCs w:val="16"/>
              </w:rPr>
              <w:t>)</w:t>
            </w:r>
          </w:p>
        </w:tc>
        <w:tc>
          <w:tcPr>
            <w:tcW w:w="5216" w:type="dxa"/>
          </w:tcPr>
          <w:p w14:paraId="4303DAA7" w14:textId="311E1C2C" w:rsidR="007C263F" w:rsidRPr="00844EC3" w:rsidRDefault="007C263F" w:rsidP="00760E64">
            <w:pPr>
              <w:keepLines w:val="0"/>
              <w:widowControl w:val="0"/>
              <w:tabs>
                <w:tab w:val="left" w:pos="7163"/>
              </w:tabs>
              <w:spacing w:before="60" w:after="60"/>
              <w:ind w:left="175" w:right="7"/>
              <w:jc w:val="left"/>
              <w:rPr>
                <w:sz w:val="22"/>
                <w:szCs w:val="22"/>
              </w:rPr>
            </w:pPr>
          </w:p>
        </w:tc>
      </w:tr>
    </w:tbl>
    <w:p w14:paraId="4565BEEB" w14:textId="66BBE3CC" w:rsidR="008F3169" w:rsidRPr="00844EC3" w:rsidRDefault="008F3169" w:rsidP="008F3169">
      <w:pPr>
        <w:keepLines w:val="0"/>
        <w:spacing w:before="240" w:after="0"/>
        <w:rPr>
          <w:b/>
          <w:sz w:val="24"/>
          <w:szCs w:val="22"/>
        </w:rPr>
      </w:pPr>
      <w:r w:rsidRPr="00844EC3">
        <w:rPr>
          <w:b/>
          <w:sz w:val="24"/>
          <w:szCs w:val="22"/>
        </w:rPr>
        <w:t>Alteration of Responsible Person Code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9"/>
        <w:gridCol w:w="3803"/>
        <w:gridCol w:w="2016"/>
        <w:gridCol w:w="2400"/>
      </w:tblGrid>
      <w:tr w:rsidR="008F3169" w:rsidRPr="00844EC3" w14:paraId="646F72E7" w14:textId="77777777" w:rsidTr="00463176">
        <w:trPr>
          <w:trHeight w:val="340"/>
        </w:trPr>
        <w:tc>
          <w:tcPr>
            <w:tcW w:w="736" w:type="pct"/>
          </w:tcPr>
          <w:p w14:paraId="6B5A23DF" w14:textId="77777777" w:rsidR="008F3169" w:rsidRPr="00844EC3" w:rsidRDefault="008F3169" w:rsidP="001534B0">
            <w:pPr>
              <w:keepLines w:val="0"/>
              <w:spacing w:before="60" w:after="0"/>
              <w:ind w:left="-110"/>
              <w:rPr>
                <w:b/>
                <w:i/>
                <w:sz w:val="22"/>
              </w:rPr>
            </w:pPr>
            <w:r w:rsidRPr="00844EC3">
              <w:rPr>
                <w:b/>
                <w:i/>
                <w:sz w:val="22"/>
              </w:rPr>
              <w:t>Listed Drug</w:t>
            </w:r>
          </w:p>
        </w:tc>
        <w:tc>
          <w:tcPr>
            <w:tcW w:w="1973" w:type="pct"/>
          </w:tcPr>
          <w:p w14:paraId="7C1F0E6E" w14:textId="77777777" w:rsidR="008F3169" w:rsidRPr="00844EC3" w:rsidRDefault="008F3169" w:rsidP="00587869">
            <w:pPr>
              <w:keepLines w:val="0"/>
              <w:spacing w:before="60" w:after="0"/>
              <w:ind w:left="-107"/>
              <w:rPr>
                <w:b/>
                <w:i/>
                <w:sz w:val="22"/>
              </w:rPr>
            </w:pPr>
            <w:r w:rsidRPr="00844EC3">
              <w:rPr>
                <w:b/>
                <w:i/>
                <w:sz w:val="22"/>
              </w:rPr>
              <w:t>Form</w:t>
            </w:r>
          </w:p>
        </w:tc>
        <w:tc>
          <w:tcPr>
            <w:tcW w:w="1046" w:type="pct"/>
          </w:tcPr>
          <w:p w14:paraId="4E798BDE" w14:textId="77777777" w:rsidR="008F3169" w:rsidRPr="00844EC3" w:rsidRDefault="008F3169" w:rsidP="00587869">
            <w:pPr>
              <w:keepLines w:val="0"/>
              <w:spacing w:before="60" w:after="0"/>
              <w:ind w:left="35"/>
              <w:rPr>
                <w:b/>
                <w:i/>
                <w:sz w:val="22"/>
              </w:rPr>
            </w:pPr>
            <w:r w:rsidRPr="00844EC3">
              <w:rPr>
                <w:b/>
                <w:i/>
                <w:sz w:val="22"/>
              </w:rPr>
              <w:t>Brand Name</w:t>
            </w:r>
          </w:p>
        </w:tc>
        <w:tc>
          <w:tcPr>
            <w:tcW w:w="1245" w:type="pct"/>
          </w:tcPr>
          <w:p w14:paraId="27F7B1DF" w14:textId="77777777" w:rsidR="008F3169" w:rsidRPr="00844EC3" w:rsidRDefault="008F3169" w:rsidP="00587869">
            <w:pPr>
              <w:keepLines w:val="0"/>
              <w:spacing w:before="60" w:after="0"/>
              <w:ind w:left="-39"/>
              <w:rPr>
                <w:b/>
                <w:i/>
                <w:sz w:val="22"/>
              </w:rPr>
            </w:pPr>
            <w:r w:rsidRPr="00844EC3">
              <w:rPr>
                <w:b/>
                <w:i/>
                <w:sz w:val="22"/>
              </w:rPr>
              <w:t>Responsible Person</w:t>
            </w:r>
          </w:p>
        </w:tc>
      </w:tr>
      <w:tr w:rsidR="00587869" w:rsidRPr="00844EC3" w14:paraId="0F0166BF" w14:textId="77777777" w:rsidTr="00463176">
        <w:trPr>
          <w:trHeight w:val="284"/>
        </w:trPr>
        <w:tc>
          <w:tcPr>
            <w:tcW w:w="736" w:type="pct"/>
            <w:vMerge w:val="restart"/>
          </w:tcPr>
          <w:p w14:paraId="2297FF48" w14:textId="28465BCB" w:rsidR="00587869" w:rsidRPr="00844EC3" w:rsidRDefault="00587869" w:rsidP="00463176">
            <w:pPr>
              <w:keepLines w:val="0"/>
              <w:spacing w:before="60" w:after="60"/>
              <w:ind w:left="-110"/>
              <w:jc w:val="left"/>
              <w:rPr>
                <w:sz w:val="22"/>
                <w:szCs w:val="22"/>
              </w:rPr>
            </w:pPr>
            <w:r w:rsidRPr="00844EC3">
              <w:rPr>
                <w:sz w:val="22"/>
                <w:szCs w:val="22"/>
              </w:rPr>
              <w:t>Pasireotide</w:t>
            </w:r>
          </w:p>
        </w:tc>
        <w:tc>
          <w:tcPr>
            <w:tcW w:w="1973" w:type="pct"/>
          </w:tcPr>
          <w:p w14:paraId="3C292E32" w14:textId="7FC92063" w:rsidR="00587869" w:rsidRPr="00844EC3" w:rsidRDefault="00587869" w:rsidP="00463176">
            <w:pPr>
              <w:keepLines w:val="0"/>
              <w:spacing w:before="60" w:after="60"/>
              <w:ind w:left="-110" w:firstLine="3"/>
              <w:jc w:val="left"/>
              <w:rPr>
                <w:sz w:val="22"/>
                <w:szCs w:val="22"/>
              </w:rPr>
            </w:pPr>
            <w:r w:rsidRPr="00844EC3">
              <w:rPr>
                <w:sz w:val="22"/>
                <w:szCs w:val="22"/>
              </w:rPr>
              <w:t>Injection (modified release) 20 mg (as embonate), vial and diluent syringe</w:t>
            </w:r>
          </w:p>
        </w:tc>
        <w:tc>
          <w:tcPr>
            <w:tcW w:w="1046" w:type="pct"/>
          </w:tcPr>
          <w:p w14:paraId="12DE011E" w14:textId="62BEF954" w:rsidR="00587869" w:rsidRPr="00844EC3" w:rsidRDefault="00587869" w:rsidP="00463176">
            <w:pPr>
              <w:keepLines w:val="0"/>
              <w:spacing w:before="60" w:after="60"/>
              <w:ind w:left="35" w:hanging="16"/>
              <w:jc w:val="left"/>
              <w:rPr>
                <w:sz w:val="22"/>
                <w:szCs w:val="22"/>
              </w:rPr>
            </w:pPr>
            <w:r w:rsidRPr="00844EC3">
              <w:rPr>
                <w:sz w:val="22"/>
                <w:szCs w:val="16"/>
              </w:rPr>
              <w:t>Signifor LAR</w:t>
            </w:r>
          </w:p>
        </w:tc>
        <w:tc>
          <w:tcPr>
            <w:tcW w:w="1245" w:type="pct"/>
          </w:tcPr>
          <w:p w14:paraId="0012E503" w14:textId="77777777" w:rsidR="00587869" w:rsidRPr="00844EC3" w:rsidRDefault="00587869" w:rsidP="00463176">
            <w:pPr>
              <w:keepLines w:val="0"/>
              <w:spacing w:before="60" w:after="0"/>
              <w:ind w:left="-39"/>
              <w:jc w:val="left"/>
              <w:rPr>
                <w:sz w:val="22"/>
                <w:szCs w:val="22"/>
              </w:rPr>
            </w:pPr>
            <w:r w:rsidRPr="00844EC3">
              <w:rPr>
                <w:b/>
                <w:i/>
                <w:sz w:val="22"/>
                <w:szCs w:val="22"/>
              </w:rPr>
              <w:t>From:</w:t>
            </w:r>
            <w:r w:rsidRPr="00844EC3">
              <w:rPr>
                <w:sz w:val="22"/>
                <w:szCs w:val="22"/>
              </w:rPr>
              <w:t xml:space="preserve"> NV</w:t>
            </w:r>
          </w:p>
          <w:p w14:paraId="76F42376" w14:textId="6FE854F1" w:rsidR="00587869" w:rsidRPr="00844EC3" w:rsidRDefault="00587869" w:rsidP="00463176">
            <w:pPr>
              <w:keepLines w:val="0"/>
              <w:spacing w:after="60"/>
              <w:ind w:left="-39"/>
              <w:jc w:val="left"/>
              <w:rPr>
                <w:sz w:val="22"/>
                <w:szCs w:val="22"/>
              </w:rPr>
            </w:pPr>
            <w:r w:rsidRPr="00844EC3">
              <w:rPr>
                <w:b/>
                <w:i/>
                <w:sz w:val="22"/>
                <w:szCs w:val="22"/>
              </w:rPr>
              <w:t>To:</w:t>
            </w:r>
            <w:r w:rsidRPr="00844EC3">
              <w:rPr>
                <w:sz w:val="22"/>
                <w:szCs w:val="22"/>
              </w:rPr>
              <w:t xml:space="preserve"> RJ</w:t>
            </w:r>
          </w:p>
        </w:tc>
      </w:tr>
      <w:tr w:rsidR="00587869" w:rsidRPr="00844EC3" w14:paraId="7EE41D15" w14:textId="77777777" w:rsidTr="00463176">
        <w:trPr>
          <w:trHeight w:val="284"/>
        </w:trPr>
        <w:tc>
          <w:tcPr>
            <w:tcW w:w="736" w:type="pct"/>
            <w:vMerge/>
          </w:tcPr>
          <w:p w14:paraId="687E7C8B" w14:textId="77777777" w:rsidR="00587869" w:rsidRPr="00844EC3" w:rsidRDefault="00587869" w:rsidP="00463176">
            <w:pPr>
              <w:keepLines w:val="0"/>
              <w:spacing w:before="60" w:after="60"/>
              <w:ind w:left="-110"/>
              <w:jc w:val="left"/>
              <w:rPr>
                <w:sz w:val="22"/>
                <w:szCs w:val="22"/>
              </w:rPr>
            </w:pPr>
          </w:p>
        </w:tc>
        <w:tc>
          <w:tcPr>
            <w:tcW w:w="1973" w:type="pct"/>
          </w:tcPr>
          <w:p w14:paraId="577CC559" w14:textId="01A34428" w:rsidR="00587869" w:rsidRPr="00844EC3" w:rsidRDefault="00587869" w:rsidP="00463176">
            <w:pPr>
              <w:keepLines w:val="0"/>
              <w:spacing w:before="60" w:after="60"/>
              <w:ind w:left="-110"/>
              <w:jc w:val="left"/>
              <w:rPr>
                <w:sz w:val="22"/>
                <w:szCs w:val="22"/>
              </w:rPr>
            </w:pPr>
            <w:r w:rsidRPr="00844EC3">
              <w:rPr>
                <w:sz w:val="22"/>
                <w:szCs w:val="22"/>
              </w:rPr>
              <w:t>Injection (modified release) 40 mg (as embonate), vial and diluent syringe</w:t>
            </w:r>
          </w:p>
        </w:tc>
        <w:tc>
          <w:tcPr>
            <w:tcW w:w="1046" w:type="pct"/>
          </w:tcPr>
          <w:p w14:paraId="68ABD3E7" w14:textId="3F0CB216" w:rsidR="00587869" w:rsidRPr="00844EC3" w:rsidRDefault="00587869" w:rsidP="00463176">
            <w:pPr>
              <w:keepLines w:val="0"/>
              <w:spacing w:before="60" w:after="60"/>
              <w:ind w:left="35" w:hanging="16"/>
              <w:jc w:val="left"/>
              <w:rPr>
                <w:sz w:val="22"/>
                <w:szCs w:val="22"/>
              </w:rPr>
            </w:pPr>
            <w:r w:rsidRPr="00844EC3">
              <w:rPr>
                <w:sz w:val="22"/>
                <w:szCs w:val="16"/>
              </w:rPr>
              <w:t>Signifor LAR</w:t>
            </w:r>
          </w:p>
        </w:tc>
        <w:tc>
          <w:tcPr>
            <w:tcW w:w="1245" w:type="pct"/>
          </w:tcPr>
          <w:p w14:paraId="75615249" w14:textId="77777777" w:rsidR="008021BB" w:rsidRPr="00844EC3" w:rsidRDefault="008021BB" w:rsidP="00463176">
            <w:pPr>
              <w:keepLines w:val="0"/>
              <w:spacing w:before="60" w:after="0"/>
              <w:ind w:left="-39"/>
              <w:jc w:val="left"/>
              <w:rPr>
                <w:sz w:val="22"/>
                <w:szCs w:val="22"/>
              </w:rPr>
            </w:pPr>
            <w:r w:rsidRPr="00844EC3">
              <w:rPr>
                <w:b/>
                <w:i/>
                <w:sz w:val="22"/>
                <w:szCs w:val="22"/>
              </w:rPr>
              <w:t>From:</w:t>
            </w:r>
            <w:r w:rsidRPr="00844EC3">
              <w:rPr>
                <w:sz w:val="22"/>
                <w:szCs w:val="22"/>
              </w:rPr>
              <w:t xml:space="preserve"> NV</w:t>
            </w:r>
          </w:p>
          <w:p w14:paraId="22ED2654" w14:textId="319EBB53" w:rsidR="00587869" w:rsidRPr="00844EC3" w:rsidRDefault="008021BB" w:rsidP="00463176">
            <w:pPr>
              <w:keepLines w:val="0"/>
              <w:spacing w:after="60"/>
              <w:ind w:left="-39"/>
              <w:jc w:val="left"/>
              <w:rPr>
                <w:sz w:val="22"/>
                <w:szCs w:val="22"/>
              </w:rPr>
            </w:pPr>
            <w:r w:rsidRPr="00844EC3">
              <w:rPr>
                <w:b/>
                <w:i/>
                <w:sz w:val="22"/>
                <w:szCs w:val="22"/>
              </w:rPr>
              <w:t>To:</w:t>
            </w:r>
            <w:r w:rsidRPr="00844EC3">
              <w:rPr>
                <w:sz w:val="22"/>
                <w:szCs w:val="22"/>
              </w:rPr>
              <w:t xml:space="preserve"> RJ</w:t>
            </w:r>
          </w:p>
        </w:tc>
      </w:tr>
      <w:tr w:rsidR="00587869" w:rsidRPr="00844EC3" w14:paraId="15346291" w14:textId="77777777" w:rsidTr="00463176">
        <w:trPr>
          <w:trHeight w:val="284"/>
        </w:trPr>
        <w:tc>
          <w:tcPr>
            <w:tcW w:w="736" w:type="pct"/>
            <w:vMerge/>
          </w:tcPr>
          <w:p w14:paraId="7516FBC3" w14:textId="77777777" w:rsidR="00587869" w:rsidRPr="00844EC3" w:rsidRDefault="00587869" w:rsidP="00463176">
            <w:pPr>
              <w:keepLines w:val="0"/>
              <w:spacing w:before="60" w:after="60"/>
              <w:ind w:left="-110"/>
              <w:jc w:val="left"/>
              <w:rPr>
                <w:sz w:val="22"/>
                <w:szCs w:val="22"/>
              </w:rPr>
            </w:pPr>
          </w:p>
        </w:tc>
        <w:tc>
          <w:tcPr>
            <w:tcW w:w="1973" w:type="pct"/>
          </w:tcPr>
          <w:p w14:paraId="0DC5517E" w14:textId="58DCE5AE" w:rsidR="00587869" w:rsidRPr="00844EC3" w:rsidRDefault="00587869" w:rsidP="00463176">
            <w:pPr>
              <w:keepLines w:val="0"/>
              <w:spacing w:before="60" w:after="60"/>
              <w:ind w:left="-110"/>
              <w:jc w:val="left"/>
              <w:rPr>
                <w:sz w:val="22"/>
                <w:szCs w:val="22"/>
              </w:rPr>
            </w:pPr>
            <w:r w:rsidRPr="00844EC3">
              <w:rPr>
                <w:sz w:val="22"/>
                <w:szCs w:val="22"/>
              </w:rPr>
              <w:t>Injection (modified release) 60 mg (as embonate), vial and diluent syringe</w:t>
            </w:r>
          </w:p>
        </w:tc>
        <w:tc>
          <w:tcPr>
            <w:tcW w:w="1046" w:type="pct"/>
          </w:tcPr>
          <w:p w14:paraId="65D406BE" w14:textId="434ACD15" w:rsidR="00587869" w:rsidRPr="00844EC3" w:rsidRDefault="00587869" w:rsidP="00463176">
            <w:pPr>
              <w:keepLines w:val="0"/>
              <w:spacing w:before="60" w:after="60"/>
              <w:ind w:left="35" w:hanging="16"/>
              <w:jc w:val="left"/>
              <w:rPr>
                <w:sz w:val="22"/>
                <w:szCs w:val="22"/>
              </w:rPr>
            </w:pPr>
            <w:r w:rsidRPr="00844EC3">
              <w:rPr>
                <w:sz w:val="22"/>
                <w:szCs w:val="16"/>
              </w:rPr>
              <w:t>Signifor LAR</w:t>
            </w:r>
          </w:p>
        </w:tc>
        <w:tc>
          <w:tcPr>
            <w:tcW w:w="1245" w:type="pct"/>
          </w:tcPr>
          <w:p w14:paraId="6DC0A5FB" w14:textId="77777777" w:rsidR="008021BB" w:rsidRPr="00844EC3" w:rsidRDefault="008021BB" w:rsidP="00463176">
            <w:pPr>
              <w:keepLines w:val="0"/>
              <w:spacing w:before="60" w:after="0"/>
              <w:ind w:left="-39"/>
              <w:jc w:val="left"/>
              <w:rPr>
                <w:sz w:val="22"/>
                <w:szCs w:val="22"/>
              </w:rPr>
            </w:pPr>
            <w:r w:rsidRPr="00844EC3">
              <w:rPr>
                <w:b/>
                <w:i/>
                <w:sz w:val="22"/>
                <w:szCs w:val="22"/>
              </w:rPr>
              <w:t>From:</w:t>
            </w:r>
            <w:r w:rsidRPr="00844EC3">
              <w:rPr>
                <w:sz w:val="22"/>
                <w:szCs w:val="22"/>
              </w:rPr>
              <w:t xml:space="preserve"> NV</w:t>
            </w:r>
          </w:p>
          <w:p w14:paraId="12139B2A" w14:textId="12AC8386" w:rsidR="00587869" w:rsidRPr="00844EC3" w:rsidRDefault="008021BB" w:rsidP="00463176">
            <w:pPr>
              <w:keepLines w:val="0"/>
              <w:spacing w:after="60"/>
              <w:ind w:left="-39"/>
              <w:jc w:val="left"/>
              <w:rPr>
                <w:sz w:val="22"/>
                <w:szCs w:val="22"/>
              </w:rPr>
            </w:pPr>
            <w:r w:rsidRPr="00844EC3">
              <w:rPr>
                <w:b/>
                <w:i/>
                <w:sz w:val="22"/>
                <w:szCs w:val="22"/>
              </w:rPr>
              <w:t>To:</w:t>
            </w:r>
            <w:r w:rsidRPr="00844EC3">
              <w:rPr>
                <w:sz w:val="22"/>
                <w:szCs w:val="22"/>
              </w:rPr>
              <w:t xml:space="preserve"> RJ</w:t>
            </w:r>
          </w:p>
        </w:tc>
      </w:tr>
    </w:tbl>
    <w:p w14:paraId="61370A22" w14:textId="348A5643" w:rsidR="006F23F5" w:rsidRPr="00844EC3" w:rsidRDefault="006F23F5" w:rsidP="001701A6">
      <w:pPr>
        <w:keepNext/>
        <w:keepLines w:val="0"/>
        <w:widowControl w:val="0"/>
        <w:spacing w:before="240" w:after="0"/>
        <w:jc w:val="left"/>
        <w:rPr>
          <w:b/>
          <w:sz w:val="24"/>
          <w:szCs w:val="24"/>
        </w:rPr>
      </w:pPr>
      <w:r w:rsidRPr="00844EC3">
        <w:rPr>
          <w:b/>
          <w:sz w:val="24"/>
          <w:szCs w:val="24"/>
        </w:rPr>
        <w:t>Alteration of Circumstances in Which a Prescription May be Written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783D29" w:rsidRPr="00844EC3" w14:paraId="7A23F344" w14:textId="77777777" w:rsidTr="00C3345B">
        <w:tc>
          <w:tcPr>
            <w:tcW w:w="9072" w:type="dxa"/>
          </w:tcPr>
          <w:p w14:paraId="6F125A79" w14:textId="0718551A" w:rsidR="00783D29" w:rsidRPr="00844EC3" w:rsidRDefault="00783D29" w:rsidP="0098079E">
            <w:pPr>
              <w:keepNext/>
              <w:keepLines w:val="0"/>
              <w:widowControl w:val="0"/>
              <w:spacing w:before="60" w:after="60"/>
              <w:jc w:val="left"/>
            </w:pPr>
            <w:r w:rsidRPr="00844EC3">
              <w:rPr>
                <w:b/>
                <w:i/>
                <w:sz w:val="22"/>
              </w:rPr>
              <w:t>Listed Drug</w:t>
            </w:r>
          </w:p>
        </w:tc>
      </w:tr>
      <w:tr w:rsidR="00587869" w:rsidRPr="00844EC3" w14:paraId="237C918F" w14:textId="77777777" w:rsidTr="00C3345B">
        <w:tc>
          <w:tcPr>
            <w:tcW w:w="9072" w:type="dxa"/>
          </w:tcPr>
          <w:p w14:paraId="3E8C3290" w14:textId="6BED93E4" w:rsidR="00587869" w:rsidRPr="00844EC3" w:rsidRDefault="00587869" w:rsidP="00783D29">
            <w:pPr>
              <w:keepLines w:val="0"/>
              <w:widowControl w:val="0"/>
              <w:spacing w:before="60" w:after="60"/>
              <w:jc w:val="left"/>
              <w:rPr>
                <w:sz w:val="22"/>
                <w:szCs w:val="22"/>
              </w:rPr>
            </w:pPr>
            <w:r w:rsidRPr="00844EC3">
              <w:rPr>
                <w:sz w:val="22"/>
                <w:szCs w:val="22"/>
              </w:rPr>
              <w:t>Ambrisentan</w:t>
            </w:r>
          </w:p>
        </w:tc>
      </w:tr>
      <w:tr w:rsidR="00587869" w:rsidRPr="00844EC3" w14:paraId="620122A0" w14:textId="77777777" w:rsidTr="00C3345B">
        <w:tc>
          <w:tcPr>
            <w:tcW w:w="9072" w:type="dxa"/>
          </w:tcPr>
          <w:p w14:paraId="1410C278" w14:textId="2D1E92A3" w:rsidR="00587869" w:rsidRPr="00844EC3" w:rsidRDefault="00587869" w:rsidP="00783D29">
            <w:pPr>
              <w:keepLines w:val="0"/>
              <w:widowControl w:val="0"/>
              <w:spacing w:before="60" w:after="60"/>
              <w:jc w:val="left"/>
              <w:rPr>
                <w:sz w:val="22"/>
                <w:szCs w:val="22"/>
              </w:rPr>
            </w:pPr>
            <w:r w:rsidRPr="00844EC3">
              <w:rPr>
                <w:sz w:val="22"/>
                <w:szCs w:val="22"/>
              </w:rPr>
              <w:t>Bosentan</w:t>
            </w:r>
          </w:p>
        </w:tc>
      </w:tr>
      <w:tr w:rsidR="00587869" w:rsidRPr="00844EC3" w14:paraId="156B04FC" w14:textId="77777777" w:rsidTr="00C3345B">
        <w:tc>
          <w:tcPr>
            <w:tcW w:w="9072" w:type="dxa"/>
          </w:tcPr>
          <w:p w14:paraId="48202CFF" w14:textId="1F19E3FA" w:rsidR="00587869" w:rsidRPr="00844EC3" w:rsidRDefault="00587869" w:rsidP="00587869">
            <w:pPr>
              <w:keepLines w:val="0"/>
              <w:widowControl w:val="0"/>
              <w:spacing w:before="60" w:after="60"/>
              <w:jc w:val="left"/>
              <w:rPr>
                <w:sz w:val="22"/>
                <w:szCs w:val="22"/>
              </w:rPr>
            </w:pPr>
            <w:r w:rsidRPr="00844EC3">
              <w:rPr>
                <w:sz w:val="22"/>
                <w:szCs w:val="22"/>
              </w:rPr>
              <w:t>Epoprostenol</w:t>
            </w:r>
          </w:p>
        </w:tc>
      </w:tr>
      <w:tr w:rsidR="00587869" w:rsidRPr="00844EC3" w14:paraId="56E4A70E" w14:textId="77777777" w:rsidTr="00C3345B">
        <w:tc>
          <w:tcPr>
            <w:tcW w:w="9072" w:type="dxa"/>
          </w:tcPr>
          <w:p w14:paraId="20DCEFB5" w14:textId="42A8D48F" w:rsidR="00587869" w:rsidRPr="00844EC3" w:rsidRDefault="00587869" w:rsidP="00783D29">
            <w:pPr>
              <w:keepLines w:val="0"/>
              <w:widowControl w:val="0"/>
              <w:spacing w:before="60" w:after="60"/>
              <w:jc w:val="left"/>
              <w:rPr>
                <w:sz w:val="22"/>
                <w:szCs w:val="22"/>
              </w:rPr>
            </w:pPr>
            <w:r w:rsidRPr="00844EC3">
              <w:rPr>
                <w:sz w:val="22"/>
                <w:szCs w:val="22"/>
              </w:rPr>
              <w:t>Iloprost</w:t>
            </w:r>
          </w:p>
        </w:tc>
      </w:tr>
      <w:tr w:rsidR="00587869" w:rsidRPr="00844EC3" w14:paraId="5827E0DF" w14:textId="77777777" w:rsidTr="00C3345B">
        <w:tc>
          <w:tcPr>
            <w:tcW w:w="9072" w:type="dxa"/>
          </w:tcPr>
          <w:p w14:paraId="4B4CB0CF" w14:textId="51158C01" w:rsidR="00587869" w:rsidRPr="00844EC3" w:rsidRDefault="00587869" w:rsidP="00783D29">
            <w:pPr>
              <w:keepLines w:val="0"/>
              <w:widowControl w:val="0"/>
              <w:spacing w:before="60" w:after="60"/>
              <w:jc w:val="left"/>
              <w:rPr>
                <w:sz w:val="22"/>
                <w:szCs w:val="22"/>
              </w:rPr>
            </w:pPr>
            <w:r w:rsidRPr="00844EC3">
              <w:rPr>
                <w:sz w:val="22"/>
                <w:szCs w:val="22"/>
              </w:rPr>
              <w:lastRenderedPageBreak/>
              <w:t>Lenalidomide</w:t>
            </w:r>
          </w:p>
        </w:tc>
      </w:tr>
      <w:tr w:rsidR="00587869" w:rsidRPr="00844EC3" w14:paraId="771BE080" w14:textId="77777777" w:rsidTr="00C3345B">
        <w:tc>
          <w:tcPr>
            <w:tcW w:w="9072" w:type="dxa"/>
          </w:tcPr>
          <w:p w14:paraId="0F2AC6DE" w14:textId="7ED8E381" w:rsidR="00587869" w:rsidRPr="00844EC3" w:rsidRDefault="00587869" w:rsidP="00783D29">
            <w:pPr>
              <w:keepLines w:val="0"/>
              <w:widowControl w:val="0"/>
              <w:spacing w:before="60" w:after="60"/>
              <w:jc w:val="left"/>
              <w:rPr>
                <w:sz w:val="22"/>
                <w:szCs w:val="22"/>
              </w:rPr>
            </w:pPr>
            <w:r w:rsidRPr="00844EC3">
              <w:rPr>
                <w:sz w:val="22"/>
                <w:szCs w:val="22"/>
              </w:rPr>
              <w:t>Levodopa with carbidopa</w:t>
            </w:r>
          </w:p>
        </w:tc>
      </w:tr>
      <w:tr w:rsidR="00587869" w:rsidRPr="00844EC3" w14:paraId="1122AC0B" w14:textId="77777777" w:rsidTr="00C3345B">
        <w:tc>
          <w:tcPr>
            <w:tcW w:w="9072" w:type="dxa"/>
          </w:tcPr>
          <w:p w14:paraId="06B96349" w14:textId="0A311799" w:rsidR="00587869" w:rsidRPr="00844EC3" w:rsidRDefault="00587869" w:rsidP="00783D29">
            <w:pPr>
              <w:keepLines w:val="0"/>
              <w:widowControl w:val="0"/>
              <w:spacing w:before="60" w:after="60"/>
              <w:jc w:val="left"/>
              <w:rPr>
                <w:sz w:val="22"/>
                <w:szCs w:val="22"/>
              </w:rPr>
            </w:pPr>
            <w:r w:rsidRPr="00844EC3">
              <w:rPr>
                <w:sz w:val="22"/>
                <w:szCs w:val="22"/>
              </w:rPr>
              <w:t>Macitentan</w:t>
            </w:r>
          </w:p>
        </w:tc>
      </w:tr>
      <w:tr w:rsidR="00587869" w:rsidRPr="00844EC3" w14:paraId="1CC5E6F9" w14:textId="77777777" w:rsidTr="00C3345B">
        <w:tc>
          <w:tcPr>
            <w:tcW w:w="9072" w:type="dxa"/>
          </w:tcPr>
          <w:p w14:paraId="40B938D4" w14:textId="284CF432" w:rsidR="00587869" w:rsidRPr="00844EC3" w:rsidRDefault="00587869" w:rsidP="00587869">
            <w:pPr>
              <w:keepLines w:val="0"/>
              <w:widowControl w:val="0"/>
              <w:spacing w:before="60" w:after="60"/>
              <w:jc w:val="left"/>
              <w:rPr>
                <w:sz w:val="22"/>
                <w:szCs w:val="22"/>
              </w:rPr>
            </w:pPr>
            <w:r w:rsidRPr="00844EC3">
              <w:rPr>
                <w:sz w:val="22"/>
                <w:szCs w:val="22"/>
              </w:rPr>
              <w:t>Riociguat</w:t>
            </w:r>
          </w:p>
        </w:tc>
      </w:tr>
      <w:tr w:rsidR="000D6861" w:rsidRPr="00844EC3" w14:paraId="7EA673DD" w14:textId="77777777" w:rsidTr="00C3345B">
        <w:tc>
          <w:tcPr>
            <w:tcW w:w="9072" w:type="dxa"/>
          </w:tcPr>
          <w:p w14:paraId="47E6DC83" w14:textId="14818325" w:rsidR="000D6861" w:rsidRPr="00844EC3" w:rsidRDefault="00587869" w:rsidP="00587869">
            <w:pPr>
              <w:keepLines w:val="0"/>
              <w:widowControl w:val="0"/>
              <w:spacing w:before="60" w:after="60"/>
              <w:jc w:val="left"/>
              <w:rPr>
                <w:sz w:val="22"/>
                <w:szCs w:val="22"/>
              </w:rPr>
            </w:pPr>
            <w:r w:rsidRPr="00844EC3">
              <w:rPr>
                <w:sz w:val="22"/>
                <w:szCs w:val="22"/>
              </w:rPr>
              <w:t>Sildenafil</w:t>
            </w:r>
          </w:p>
        </w:tc>
      </w:tr>
      <w:tr w:rsidR="00D43098" w:rsidRPr="00844EC3" w14:paraId="479221D6" w14:textId="77777777" w:rsidTr="00C3345B">
        <w:tc>
          <w:tcPr>
            <w:tcW w:w="9072" w:type="dxa"/>
          </w:tcPr>
          <w:p w14:paraId="268E990C" w14:textId="1680569C" w:rsidR="00D43098" w:rsidRPr="00844EC3" w:rsidRDefault="00587869" w:rsidP="00783D29">
            <w:pPr>
              <w:keepLines w:val="0"/>
              <w:widowControl w:val="0"/>
              <w:spacing w:before="60" w:after="60"/>
              <w:jc w:val="left"/>
              <w:rPr>
                <w:sz w:val="22"/>
              </w:rPr>
            </w:pPr>
            <w:r w:rsidRPr="00844EC3">
              <w:rPr>
                <w:sz w:val="22"/>
                <w:szCs w:val="22"/>
              </w:rPr>
              <w:t>Tadalafil</w:t>
            </w:r>
          </w:p>
        </w:tc>
      </w:tr>
      <w:tr w:rsidR="000D6861" w:rsidRPr="00844EC3" w14:paraId="149BAC03" w14:textId="77777777" w:rsidTr="00C3345B">
        <w:tc>
          <w:tcPr>
            <w:tcW w:w="9072" w:type="dxa"/>
          </w:tcPr>
          <w:p w14:paraId="1CB631A8" w14:textId="60593B24" w:rsidR="000D6861" w:rsidRPr="00844EC3" w:rsidRDefault="00587869" w:rsidP="00783D29">
            <w:pPr>
              <w:keepLines w:val="0"/>
              <w:widowControl w:val="0"/>
              <w:spacing w:before="60" w:after="60"/>
              <w:jc w:val="left"/>
              <w:rPr>
                <w:sz w:val="22"/>
                <w:szCs w:val="22"/>
              </w:rPr>
            </w:pPr>
            <w:r w:rsidRPr="00844EC3">
              <w:rPr>
                <w:sz w:val="22"/>
                <w:szCs w:val="22"/>
              </w:rPr>
              <w:t>Tenofovir</w:t>
            </w:r>
          </w:p>
        </w:tc>
      </w:tr>
    </w:tbl>
    <w:p w14:paraId="76C99454" w14:textId="77777777" w:rsidR="00FC7505" w:rsidRPr="00844EC3" w:rsidRDefault="00FC7505" w:rsidP="00FC7505">
      <w:pPr>
        <w:spacing w:before="240"/>
        <w:rPr>
          <w:b/>
          <w:sz w:val="26"/>
          <w:szCs w:val="26"/>
        </w:rPr>
      </w:pPr>
      <w:r w:rsidRPr="00844EC3">
        <w:rPr>
          <w:b/>
          <w:sz w:val="26"/>
          <w:szCs w:val="26"/>
        </w:rPr>
        <w:t>Diagnostic tools referenced in the Instrument</w:t>
      </w:r>
    </w:p>
    <w:p w14:paraId="2E4C466A" w14:textId="77777777" w:rsidR="00FC7505" w:rsidRPr="00844EC3" w:rsidRDefault="00FC7505" w:rsidP="00FC7505">
      <w:pPr>
        <w:spacing w:before="60" w:after="60"/>
        <w:rPr>
          <w:sz w:val="22"/>
          <w:szCs w:val="22"/>
        </w:rPr>
      </w:pPr>
      <w:r w:rsidRPr="00844EC3">
        <w:t>The following standard medical diagnostic tools are referenced in the Instrument but are not intended to incorporate a document by reference.</w:t>
      </w:r>
    </w:p>
    <w:tbl>
      <w:tblPr>
        <w:tblStyle w:val="TableGrid"/>
        <w:tblW w:w="9605" w:type="dxa"/>
        <w:tblLayout w:type="fixed"/>
        <w:tblCellMar>
          <w:top w:w="28" w:type="dxa"/>
          <w:left w:w="28" w:type="dxa"/>
          <w:bottom w:w="28" w:type="dxa"/>
          <w:right w:w="28" w:type="dxa"/>
        </w:tblCellMar>
        <w:tblLook w:val="04A0" w:firstRow="1" w:lastRow="0" w:firstColumn="1" w:lastColumn="0" w:noHBand="0" w:noVBand="1"/>
      </w:tblPr>
      <w:tblGrid>
        <w:gridCol w:w="1271"/>
        <w:gridCol w:w="1701"/>
        <w:gridCol w:w="3345"/>
        <w:gridCol w:w="3288"/>
      </w:tblGrid>
      <w:tr w:rsidR="00977194" w:rsidRPr="00844EC3" w14:paraId="097A3DB5" w14:textId="77777777" w:rsidTr="00E014A9">
        <w:tc>
          <w:tcPr>
            <w:tcW w:w="1271" w:type="dxa"/>
            <w:vAlign w:val="center"/>
          </w:tcPr>
          <w:p w14:paraId="02F61878" w14:textId="69B36EF3" w:rsidR="00977194" w:rsidRPr="00844EC3" w:rsidRDefault="00977194" w:rsidP="00E014A9">
            <w:pPr>
              <w:spacing w:before="60" w:after="60"/>
              <w:jc w:val="left"/>
              <w:rPr>
                <w:b/>
                <w:i/>
              </w:rPr>
            </w:pPr>
            <w:r w:rsidRPr="00844EC3">
              <w:rPr>
                <w:b/>
                <w:i/>
                <w:sz w:val="22"/>
              </w:rPr>
              <w:t>Listed Drug</w:t>
            </w:r>
          </w:p>
        </w:tc>
        <w:tc>
          <w:tcPr>
            <w:tcW w:w="1701" w:type="dxa"/>
            <w:vAlign w:val="center"/>
            <w:hideMark/>
          </w:tcPr>
          <w:p w14:paraId="3F361990" w14:textId="79E5E103" w:rsidR="00977194" w:rsidRPr="00844EC3" w:rsidRDefault="00977194" w:rsidP="00E014A9">
            <w:pPr>
              <w:spacing w:before="60" w:after="60"/>
              <w:jc w:val="left"/>
              <w:rPr>
                <w:b/>
                <w:i/>
              </w:rPr>
            </w:pPr>
            <w:r w:rsidRPr="00844EC3">
              <w:rPr>
                <w:b/>
                <w:i/>
              </w:rPr>
              <w:t>Diagnostic tool</w:t>
            </w:r>
          </w:p>
        </w:tc>
        <w:tc>
          <w:tcPr>
            <w:tcW w:w="3345" w:type="dxa"/>
            <w:vAlign w:val="center"/>
            <w:hideMark/>
          </w:tcPr>
          <w:p w14:paraId="197F86FA" w14:textId="04D4F717" w:rsidR="00977194" w:rsidRPr="00844EC3" w:rsidRDefault="00977194" w:rsidP="00E014A9">
            <w:pPr>
              <w:spacing w:before="60" w:after="60"/>
              <w:jc w:val="left"/>
              <w:rPr>
                <w:b/>
                <w:i/>
              </w:rPr>
            </w:pPr>
            <w:r w:rsidRPr="00844EC3">
              <w:rPr>
                <w:b/>
                <w:i/>
              </w:rPr>
              <w:t>Purpose and use in the Instrument</w:t>
            </w:r>
          </w:p>
        </w:tc>
        <w:tc>
          <w:tcPr>
            <w:tcW w:w="3288" w:type="dxa"/>
          </w:tcPr>
          <w:p w14:paraId="13E669EC" w14:textId="77777777" w:rsidR="00977194" w:rsidRPr="00844EC3" w:rsidRDefault="00977194" w:rsidP="00FC7505">
            <w:pPr>
              <w:spacing w:before="60" w:after="60"/>
              <w:jc w:val="left"/>
              <w:rPr>
                <w:b/>
                <w:i/>
              </w:rPr>
            </w:pPr>
            <w:r w:rsidRPr="00844EC3">
              <w:rPr>
                <w:b/>
                <w:i/>
              </w:rPr>
              <w:t>Reason why this reference does not serve to incorporate a document</w:t>
            </w:r>
          </w:p>
        </w:tc>
      </w:tr>
      <w:tr w:rsidR="00977194" w:rsidRPr="00844EC3" w14:paraId="01F2B8AD" w14:textId="77777777" w:rsidTr="00977194">
        <w:tc>
          <w:tcPr>
            <w:tcW w:w="1271" w:type="dxa"/>
          </w:tcPr>
          <w:p w14:paraId="254F5D41" w14:textId="77777777" w:rsidR="00977194" w:rsidRPr="00844EC3" w:rsidRDefault="00977194" w:rsidP="00977194">
            <w:pPr>
              <w:keepLines w:val="0"/>
              <w:spacing w:before="60" w:after="60"/>
              <w:rPr>
                <w:sz w:val="22"/>
                <w:szCs w:val="22"/>
              </w:rPr>
            </w:pPr>
            <w:r w:rsidRPr="00844EC3">
              <w:rPr>
                <w:sz w:val="22"/>
                <w:szCs w:val="22"/>
              </w:rPr>
              <w:t>Ambrisentan</w:t>
            </w:r>
          </w:p>
          <w:p w14:paraId="70B94164" w14:textId="77777777" w:rsidR="00977194" w:rsidRPr="00844EC3" w:rsidRDefault="00977194" w:rsidP="00977194">
            <w:pPr>
              <w:keepLines w:val="0"/>
              <w:spacing w:before="60" w:after="60"/>
              <w:rPr>
                <w:sz w:val="22"/>
                <w:szCs w:val="22"/>
              </w:rPr>
            </w:pPr>
            <w:r w:rsidRPr="00844EC3">
              <w:rPr>
                <w:sz w:val="22"/>
                <w:szCs w:val="22"/>
              </w:rPr>
              <w:t>Bosentan</w:t>
            </w:r>
          </w:p>
          <w:p w14:paraId="0E0E996C" w14:textId="77777777" w:rsidR="00977194" w:rsidRPr="00844EC3" w:rsidRDefault="00977194" w:rsidP="00977194">
            <w:pPr>
              <w:keepLines w:val="0"/>
              <w:spacing w:before="60" w:after="60"/>
              <w:rPr>
                <w:sz w:val="22"/>
                <w:szCs w:val="22"/>
              </w:rPr>
            </w:pPr>
            <w:r w:rsidRPr="00844EC3">
              <w:rPr>
                <w:sz w:val="22"/>
                <w:szCs w:val="22"/>
              </w:rPr>
              <w:t>Epoprostenol</w:t>
            </w:r>
          </w:p>
          <w:p w14:paraId="6120784F" w14:textId="77777777" w:rsidR="00977194" w:rsidRPr="00844EC3" w:rsidRDefault="00977194" w:rsidP="00977194">
            <w:pPr>
              <w:keepLines w:val="0"/>
              <w:spacing w:before="60" w:after="60"/>
              <w:rPr>
                <w:sz w:val="22"/>
                <w:szCs w:val="22"/>
              </w:rPr>
            </w:pPr>
            <w:r w:rsidRPr="00844EC3">
              <w:rPr>
                <w:sz w:val="22"/>
                <w:szCs w:val="22"/>
              </w:rPr>
              <w:t>Iloprost</w:t>
            </w:r>
          </w:p>
          <w:p w14:paraId="35B451C1" w14:textId="77777777" w:rsidR="00977194" w:rsidRPr="00844EC3" w:rsidRDefault="00977194" w:rsidP="00977194">
            <w:pPr>
              <w:keepLines w:val="0"/>
              <w:spacing w:before="60" w:after="60"/>
              <w:rPr>
                <w:sz w:val="22"/>
                <w:szCs w:val="22"/>
              </w:rPr>
            </w:pPr>
            <w:r w:rsidRPr="00844EC3">
              <w:rPr>
                <w:sz w:val="22"/>
                <w:szCs w:val="22"/>
              </w:rPr>
              <w:t>Macitentan</w:t>
            </w:r>
          </w:p>
          <w:p w14:paraId="61B137E5" w14:textId="77777777" w:rsidR="00977194" w:rsidRPr="00844EC3" w:rsidRDefault="00977194" w:rsidP="00977194">
            <w:pPr>
              <w:keepLines w:val="0"/>
              <w:spacing w:before="60" w:after="60"/>
              <w:rPr>
                <w:sz w:val="22"/>
                <w:szCs w:val="22"/>
              </w:rPr>
            </w:pPr>
            <w:r w:rsidRPr="00844EC3">
              <w:rPr>
                <w:sz w:val="22"/>
                <w:szCs w:val="22"/>
              </w:rPr>
              <w:t>Riociguat</w:t>
            </w:r>
          </w:p>
          <w:p w14:paraId="66BA43C6" w14:textId="77777777" w:rsidR="00977194" w:rsidRPr="00844EC3" w:rsidRDefault="00977194" w:rsidP="00977194">
            <w:pPr>
              <w:keepLines w:val="0"/>
              <w:spacing w:before="60" w:after="60"/>
              <w:rPr>
                <w:sz w:val="22"/>
                <w:szCs w:val="22"/>
              </w:rPr>
            </w:pPr>
            <w:r w:rsidRPr="00844EC3">
              <w:rPr>
                <w:sz w:val="22"/>
                <w:szCs w:val="22"/>
              </w:rPr>
              <w:t>Sildenafil</w:t>
            </w:r>
          </w:p>
          <w:p w14:paraId="6E482D66" w14:textId="12C6FF3D" w:rsidR="00977194" w:rsidRPr="00844EC3" w:rsidRDefault="00977194" w:rsidP="00977194">
            <w:pPr>
              <w:keepLines w:val="0"/>
              <w:spacing w:before="60" w:after="60"/>
              <w:jc w:val="left"/>
              <w:rPr>
                <w:sz w:val="22"/>
                <w:szCs w:val="22"/>
              </w:rPr>
            </w:pPr>
            <w:r w:rsidRPr="00844EC3">
              <w:rPr>
                <w:sz w:val="22"/>
                <w:szCs w:val="22"/>
              </w:rPr>
              <w:t>Tadalafil</w:t>
            </w:r>
          </w:p>
        </w:tc>
        <w:tc>
          <w:tcPr>
            <w:tcW w:w="1701" w:type="dxa"/>
          </w:tcPr>
          <w:p w14:paraId="319DFA5C" w14:textId="3615681F" w:rsidR="00977194" w:rsidRPr="00844EC3" w:rsidRDefault="00977194" w:rsidP="00FC7505">
            <w:pPr>
              <w:spacing w:before="60" w:after="60"/>
              <w:jc w:val="left"/>
              <w:rPr>
                <w:sz w:val="22"/>
                <w:szCs w:val="22"/>
              </w:rPr>
            </w:pPr>
            <w:r w:rsidRPr="00844EC3">
              <w:rPr>
                <w:sz w:val="22"/>
                <w:szCs w:val="22"/>
              </w:rPr>
              <w:t>Right heart catherization (RHC) composite assessment</w:t>
            </w:r>
          </w:p>
        </w:tc>
        <w:tc>
          <w:tcPr>
            <w:tcW w:w="3345" w:type="dxa"/>
          </w:tcPr>
          <w:p w14:paraId="149A5857" w14:textId="77777777" w:rsidR="00977194" w:rsidRPr="00844EC3" w:rsidRDefault="00977194" w:rsidP="00FC7505">
            <w:pPr>
              <w:spacing w:before="60" w:after="60"/>
              <w:jc w:val="left"/>
              <w:rPr>
                <w:sz w:val="22"/>
                <w:szCs w:val="22"/>
              </w:rPr>
            </w:pPr>
            <w:r w:rsidRPr="00844EC3">
              <w:rPr>
                <w:sz w:val="22"/>
                <w:szCs w:val="22"/>
              </w:rPr>
              <w:t>RHC is a diagnostic procedure used to measure pulmonary artery pressures and thus evaluate whether a patient has pulmonary hypertension or not, and sometimes what is causing the pulmonary hypertension.</w:t>
            </w:r>
          </w:p>
          <w:p w14:paraId="1D43097D" w14:textId="2C3B0DFB" w:rsidR="00977194" w:rsidRPr="00844EC3" w:rsidRDefault="00977194" w:rsidP="00977194">
            <w:pPr>
              <w:spacing w:before="120" w:after="60"/>
              <w:jc w:val="left"/>
              <w:rPr>
                <w:sz w:val="22"/>
                <w:szCs w:val="22"/>
              </w:rPr>
            </w:pPr>
            <w:r w:rsidRPr="00844EC3">
              <w:rPr>
                <w:sz w:val="22"/>
                <w:szCs w:val="22"/>
              </w:rPr>
              <w:t>RHC composite assessment is a range of haemodynamic assessment comprising the measurement of cardiac output, mixed venous oxygen saturation, mean pulmonary arterial pressure, pulmonary artery wedge pressure, right atrial pressure and right ventricular pressure.</w:t>
            </w:r>
          </w:p>
          <w:p w14:paraId="39F5EFA5" w14:textId="65FB9296" w:rsidR="00977194" w:rsidRPr="00844EC3" w:rsidRDefault="00977194" w:rsidP="00977194">
            <w:pPr>
              <w:spacing w:before="120" w:after="60"/>
              <w:jc w:val="left"/>
              <w:rPr>
                <w:sz w:val="22"/>
                <w:szCs w:val="22"/>
              </w:rPr>
            </w:pPr>
            <w:r w:rsidRPr="00844EC3">
              <w:rPr>
                <w:sz w:val="22"/>
                <w:szCs w:val="22"/>
              </w:rPr>
              <w:t>Measurement must be reported on as part of the authority application for a number of PBS listed drugs.</w:t>
            </w:r>
          </w:p>
        </w:tc>
        <w:tc>
          <w:tcPr>
            <w:tcW w:w="3288" w:type="dxa"/>
          </w:tcPr>
          <w:p w14:paraId="6CF8055D" w14:textId="77777777" w:rsidR="00977194" w:rsidRPr="00844EC3" w:rsidRDefault="00977194" w:rsidP="00FC7505">
            <w:pPr>
              <w:spacing w:before="60" w:after="60"/>
              <w:ind w:right="-26"/>
              <w:jc w:val="left"/>
              <w:rPr>
                <w:b/>
                <w:sz w:val="22"/>
                <w:szCs w:val="22"/>
              </w:rPr>
            </w:pPr>
            <w:r w:rsidRPr="00844EC3">
              <w:rPr>
                <w:sz w:val="22"/>
                <w:szCs w:val="22"/>
              </w:rPr>
              <w:t>The RHC composite assessment is part of the standard diagnostic work-up for Pulmonary Arterial Hypertension and does not constitute a written record of information that must be referred to in order to determine whether statutory conditions have been met.</w:t>
            </w:r>
          </w:p>
        </w:tc>
      </w:tr>
      <w:tr w:rsidR="00977194" w:rsidRPr="00844EC3" w14:paraId="77DB3441" w14:textId="77777777" w:rsidTr="00977194">
        <w:tc>
          <w:tcPr>
            <w:tcW w:w="1271" w:type="dxa"/>
          </w:tcPr>
          <w:p w14:paraId="6F627644" w14:textId="77777777" w:rsidR="00977194" w:rsidRPr="00844EC3" w:rsidRDefault="00977194" w:rsidP="00977194">
            <w:pPr>
              <w:keepLines w:val="0"/>
              <w:spacing w:before="60" w:after="60"/>
              <w:rPr>
                <w:sz w:val="22"/>
                <w:szCs w:val="22"/>
              </w:rPr>
            </w:pPr>
            <w:r w:rsidRPr="00844EC3">
              <w:rPr>
                <w:sz w:val="22"/>
                <w:szCs w:val="22"/>
              </w:rPr>
              <w:t>Ambrisentan</w:t>
            </w:r>
          </w:p>
          <w:p w14:paraId="2F601307" w14:textId="77777777" w:rsidR="00977194" w:rsidRPr="00844EC3" w:rsidRDefault="00977194" w:rsidP="00977194">
            <w:pPr>
              <w:keepLines w:val="0"/>
              <w:spacing w:before="60" w:after="60"/>
              <w:rPr>
                <w:sz w:val="22"/>
                <w:szCs w:val="22"/>
              </w:rPr>
            </w:pPr>
            <w:r w:rsidRPr="00844EC3">
              <w:rPr>
                <w:sz w:val="22"/>
                <w:szCs w:val="22"/>
              </w:rPr>
              <w:t>Bosentan</w:t>
            </w:r>
          </w:p>
          <w:p w14:paraId="13C6C4FE" w14:textId="77777777" w:rsidR="00977194" w:rsidRPr="00844EC3" w:rsidRDefault="00977194" w:rsidP="00977194">
            <w:pPr>
              <w:keepLines w:val="0"/>
              <w:spacing w:before="60" w:after="60"/>
              <w:rPr>
                <w:sz w:val="22"/>
                <w:szCs w:val="22"/>
              </w:rPr>
            </w:pPr>
            <w:r w:rsidRPr="00844EC3">
              <w:rPr>
                <w:sz w:val="22"/>
                <w:szCs w:val="22"/>
              </w:rPr>
              <w:t>Epoprostenol</w:t>
            </w:r>
          </w:p>
          <w:p w14:paraId="4B8008C2" w14:textId="77777777" w:rsidR="00977194" w:rsidRPr="00844EC3" w:rsidRDefault="00977194" w:rsidP="00977194">
            <w:pPr>
              <w:keepLines w:val="0"/>
              <w:spacing w:before="60" w:after="60"/>
              <w:rPr>
                <w:sz w:val="22"/>
                <w:szCs w:val="22"/>
              </w:rPr>
            </w:pPr>
            <w:r w:rsidRPr="00844EC3">
              <w:rPr>
                <w:sz w:val="22"/>
                <w:szCs w:val="22"/>
              </w:rPr>
              <w:t>Iloprost</w:t>
            </w:r>
          </w:p>
          <w:p w14:paraId="09DCD512" w14:textId="77777777" w:rsidR="00977194" w:rsidRPr="00844EC3" w:rsidRDefault="00977194" w:rsidP="00977194">
            <w:pPr>
              <w:keepLines w:val="0"/>
              <w:spacing w:before="60" w:after="60"/>
              <w:rPr>
                <w:sz w:val="22"/>
                <w:szCs w:val="22"/>
              </w:rPr>
            </w:pPr>
            <w:r w:rsidRPr="00844EC3">
              <w:rPr>
                <w:sz w:val="22"/>
                <w:szCs w:val="22"/>
              </w:rPr>
              <w:t>Macitentan</w:t>
            </w:r>
          </w:p>
          <w:p w14:paraId="77E6B7CD" w14:textId="77777777" w:rsidR="00977194" w:rsidRPr="00844EC3" w:rsidRDefault="00977194" w:rsidP="00977194">
            <w:pPr>
              <w:keepLines w:val="0"/>
              <w:spacing w:before="60" w:after="60"/>
              <w:rPr>
                <w:sz w:val="22"/>
                <w:szCs w:val="22"/>
              </w:rPr>
            </w:pPr>
            <w:r w:rsidRPr="00844EC3">
              <w:rPr>
                <w:sz w:val="22"/>
                <w:szCs w:val="22"/>
              </w:rPr>
              <w:t>Riociguat</w:t>
            </w:r>
          </w:p>
          <w:p w14:paraId="69263060" w14:textId="77777777" w:rsidR="00977194" w:rsidRPr="00844EC3" w:rsidRDefault="00977194" w:rsidP="00977194">
            <w:pPr>
              <w:keepLines w:val="0"/>
              <w:spacing w:before="60" w:after="60"/>
              <w:rPr>
                <w:sz w:val="22"/>
                <w:szCs w:val="22"/>
              </w:rPr>
            </w:pPr>
            <w:r w:rsidRPr="00844EC3">
              <w:rPr>
                <w:sz w:val="22"/>
                <w:szCs w:val="22"/>
              </w:rPr>
              <w:t>Sildenafil</w:t>
            </w:r>
          </w:p>
          <w:p w14:paraId="1A932A3D" w14:textId="791ACB48" w:rsidR="00977194" w:rsidRPr="00844EC3" w:rsidRDefault="00977194" w:rsidP="00977194">
            <w:pPr>
              <w:keepLines w:val="0"/>
              <w:spacing w:before="60" w:after="60"/>
              <w:jc w:val="left"/>
              <w:rPr>
                <w:sz w:val="22"/>
                <w:szCs w:val="22"/>
              </w:rPr>
            </w:pPr>
            <w:r w:rsidRPr="00844EC3">
              <w:rPr>
                <w:sz w:val="22"/>
                <w:szCs w:val="22"/>
              </w:rPr>
              <w:t>Tadalafil</w:t>
            </w:r>
          </w:p>
        </w:tc>
        <w:tc>
          <w:tcPr>
            <w:tcW w:w="1701" w:type="dxa"/>
          </w:tcPr>
          <w:p w14:paraId="57A369F0" w14:textId="6202A57A" w:rsidR="00977194" w:rsidRPr="00844EC3" w:rsidRDefault="00977194" w:rsidP="00977194">
            <w:pPr>
              <w:keepLines w:val="0"/>
              <w:spacing w:before="60" w:after="60"/>
              <w:jc w:val="left"/>
              <w:rPr>
                <w:sz w:val="22"/>
                <w:szCs w:val="22"/>
              </w:rPr>
            </w:pPr>
            <w:r w:rsidRPr="00844EC3">
              <w:rPr>
                <w:sz w:val="22"/>
                <w:szCs w:val="22"/>
              </w:rPr>
              <w:t>Echocardiography (ECHO) composite assessment</w:t>
            </w:r>
          </w:p>
        </w:tc>
        <w:tc>
          <w:tcPr>
            <w:tcW w:w="3345" w:type="dxa"/>
          </w:tcPr>
          <w:p w14:paraId="3323F2A8" w14:textId="77777777" w:rsidR="00977194" w:rsidRPr="00844EC3" w:rsidRDefault="00977194" w:rsidP="00977194">
            <w:pPr>
              <w:keepLines w:val="0"/>
              <w:spacing w:before="60" w:after="60"/>
              <w:jc w:val="left"/>
              <w:rPr>
                <w:sz w:val="22"/>
                <w:szCs w:val="22"/>
              </w:rPr>
            </w:pPr>
            <w:r w:rsidRPr="00844EC3">
              <w:rPr>
                <w:sz w:val="22"/>
                <w:szCs w:val="22"/>
              </w:rPr>
              <w:t>ECHO is an ultrasound of the heart used to estimate the pulmonary artery pressures using mathematical equations and thus evaluate whether a patient has pulmonary hypertension.</w:t>
            </w:r>
          </w:p>
          <w:p w14:paraId="4017F473" w14:textId="77777777" w:rsidR="00977194" w:rsidRPr="00844EC3" w:rsidRDefault="00977194" w:rsidP="00977194">
            <w:pPr>
              <w:keepLines w:val="0"/>
              <w:spacing w:before="120" w:after="60"/>
              <w:jc w:val="left"/>
              <w:rPr>
                <w:sz w:val="22"/>
                <w:szCs w:val="22"/>
              </w:rPr>
            </w:pPr>
            <w:r w:rsidRPr="00844EC3">
              <w:rPr>
                <w:sz w:val="22"/>
                <w:szCs w:val="22"/>
              </w:rPr>
              <w:t>ECHO composite assessment is a range of haemodynamic assessment comprising the measurement of pulmonary artery systolic pressure, right ventricular systolic pressure, right atrial pressure.</w:t>
            </w:r>
          </w:p>
          <w:p w14:paraId="33E2650C" w14:textId="715E0AAD" w:rsidR="00977194" w:rsidRPr="00844EC3" w:rsidRDefault="00977194" w:rsidP="00977194">
            <w:pPr>
              <w:keepLines w:val="0"/>
              <w:spacing w:before="120" w:after="60"/>
              <w:jc w:val="left"/>
              <w:rPr>
                <w:sz w:val="22"/>
                <w:szCs w:val="22"/>
              </w:rPr>
            </w:pPr>
            <w:r w:rsidRPr="00844EC3">
              <w:rPr>
                <w:sz w:val="22"/>
                <w:szCs w:val="22"/>
              </w:rPr>
              <w:t>Measurement must be reported on as part of the authority application for a number of PBS listed drugs.</w:t>
            </w:r>
          </w:p>
        </w:tc>
        <w:tc>
          <w:tcPr>
            <w:tcW w:w="3288" w:type="dxa"/>
          </w:tcPr>
          <w:p w14:paraId="56FE60FA" w14:textId="77777777" w:rsidR="00977194" w:rsidRPr="00844EC3" w:rsidRDefault="00977194" w:rsidP="00977194">
            <w:pPr>
              <w:keepLines w:val="0"/>
              <w:spacing w:before="60" w:after="60"/>
              <w:jc w:val="left"/>
              <w:rPr>
                <w:sz w:val="22"/>
                <w:szCs w:val="22"/>
              </w:rPr>
            </w:pPr>
            <w:r w:rsidRPr="00844EC3">
              <w:rPr>
                <w:sz w:val="22"/>
                <w:szCs w:val="22"/>
              </w:rPr>
              <w:t>The ECHO composite assessment is part of the standard diagnostic work-up for Pulmonary Arterial Hypertension and does not constitute a written record of information that must be referred to in order to determine whether statutory conditions have been met.</w:t>
            </w:r>
          </w:p>
        </w:tc>
      </w:tr>
      <w:tr w:rsidR="00977194" w:rsidRPr="00844EC3" w14:paraId="01410A99" w14:textId="77777777" w:rsidTr="00977194">
        <w:tc>
          <w:tcPr>
            <w:tcW w:w="1271" w:type="dxa"/>
          </w:tcPr>
          <w:p w14:paraId="33EE515B" w14:textId="77777777" w:rsidR="00977194" w:rsidRPr="00844EC3" w:rsidRDefault="00977194" w:rsidP="00977194">
            <w:pPr>
              <w:keepLines w:val="0"/>
              <w:spacing w:before="60" w:after="60"/>
              <w:rPr>
                <w:sz w:val="22"/>
                <w:szCs w:val="22"/>
              </w:rPr>
            </w:pPr>
            <w:r w:rsidRPr="00844EC3">
              <w:rPr>
                <w:sz w:val="22"/>
                <w:szCs w:val="22"/>
              </w:rPr>
              <w:lastRenderedPageBreak/>
              <w:t>Ambrisentan</w:t>
            </w:r>
          </w:p>
          <w:p w14:paraId="58B3D78A" w14:textId="77777777" w:rsidR="00977194" w:rsidRPr="00844EC3" w:rsidRDefault="00977194" w:rsidP="00977194">
            <w:pPr>
              <w:keepLines w:val="0"/>
              <w:spacing w:before="60" w:after="60"/>
              <w:rPr>
                <w:sz w:val="22"/>
                <w:szCs w:val="22"/>
              </w:rPr>
            </w:pPr>
            <w:r w:rsidRPr="00844EC3">
              <w:rPr>
                <w:sz w:val="22"/>
                <w:szCs w:val="22"/>
              </w:rPr>
              <w:t>Bosentan</w:t>
            </w:r>
          </w:p>
          <w:p w14:paraId="0660ADEA" w14:textId="77777777" w:rsidR="00977194" w:rsidRPr="00844EC3" w:rsidRDefault="00977194" w:rsidP="00977194">
            <w:pPr>
              <w:keepLines w:val="0"/>
              <w:spacing w:before="60" w:after="60"/>
              <w:rPr>
                <w:sz w:val="22"/>
                <w:szCs w:val="22"/>
              </w:rPr>
            </w:pPr>
            <w:r w:rsidRPr="00844EC3">
              <w:rPr>
                <w:sz w:val="22"/>
                <w:szCs w:val="22"/>
              </w:rPr>
              <w:t>Epoprostenol</w:t>
            </w:r>
          </w:p>
          <w:p w14:paraId="45FCA93F" w14:textId="77777777" w:rsidR="00977194" w:rsidRPr="00844EC3" w:rsidRDefault="00977194" w:rsidP="00977194">
            <w:pPr>
              <w:keepLines w:val="0"/>
              <w:spacing w:before="60" w:after="60"/>
              <w:rPr>
                <w:sz w:val="22"/>
                <w:szCs w:val="22"/>
              </w:rPr>
            </w:pPr>
            <w:r w:rsidRPr="00844EC3">
              <w:rPr>
                <w:sz w:val="22"/>
                <w:szCs w:val="22"/>
              </w:rPr>
              <w:t>Iloprost</w:t>
            </w:r>
          </w:p>
          <w:p w14:paraId="08F5BB6B" w14:textId="77777777" w:rsidR="00977194" w:rsidRPr="00844EC3" w:rsidRDefault="00977194" w:rsidP="00977194">
            <w:pPr>
              <w:keepLines w:val="0"/>
              <w:spacing w:before="60" w:after="60"/>
              <w:rPr>
                <w:sz w:val="22"/>
                <w:szCs w:val="22"/>
              </w:rPr>
            </w:pPr>
            <w:r w:rsidRPr="00844EC3">
              <w:rPr>
                <w:sz w:val="22"/>
                <w:szCs w:val="22"/>
              </w:rPr>
              <w:t>Macitentan</w:t>
            </w:r>
          </w:p>
          <w:p w14:paraId="5623B011" w14:textId="77777777" w:rsidR="00977194" w:rsidRPr="00844EC3" w:rsidRDefault="00977194" w:rsidP="00977194">
            <w:pPr>
              <w:keepLines w:val="0"/>
              <w:spacing w:before="60" w:after="60"/>
              <w:rPr>
                <w:sz w:val="22"/>
                <w:szCs w:val="22"/>
              </w:rPr>
            </w:pPr>
            <w:r w:rsidRPr="00844EC3">
              <w:rPr>
                <w:sz w:val="22"/>
                <w:szCs w:val="22"/>
              </w:rPr>
              <w:t>Riociguat</w:t>
            </w:r>
          </w:p>
          <w:p w14:paraId="32265EDC" w14:textId="77777777" w:rsidR="00977194" w:rsidRPr="00844EC3" w:rsidRDefault="00977194" w:rsidP="00977194">
            <w:pPr>
              <w:keepLines w:val="0"/>
              <w:spacing w:before="60" w:after="60"/>
              <w:rPr>
                <w:sz w:val="22"/>
                <w:szCs w:val="22"/>
              </w:rPr>
            </w:pPr>
            <w:r w:rsidRPr="00844EC3">
              <w:rPr>
                <w:sz w:val="22"/>
                <w:szCs w:val="22"/>
              </w:rPr>
              <w:t>Sildenafil</w:t>
            </w:r>
          </w:p>
          <w:p w14:paraId="0DC24365" w14:textId="0511D9DE" w:rsidR="00977194" w:rsidRPr="00844EC3" w:rsidRDefault="00977194" w:rsidP="00977194">
            <w:pPr>
              <w:keepLines w:val="0"/>
              <w:spacing w:before="60" w:after="60"/>
              <w:jc w:val="left"/>
              <w:rPr>
                <w:sz w:val="22"/>
                <w:szCs w:val="22"/>
              </w:rPr>
            </w:pPr>
            <w:r w:rsidRPr="00844EC3">
              <w:rPr>
                <w:sz w:val="22"/>
                <w:szCs w:val="22"/>
              </w:rPr>
              <w:t>Tadalafil</w:t>
            </w:r>
          </w:p>
        </w:tc>
        <w:tc>
          <w:tcPr>
            <w:tcW w:w="1701" w:type="dxa"/>
          </w:tcPr>
          <w:p w14:paraId="6E3AB563" w14:textId="1AC835BD" w:rsidR="00977194" w:rsidRPr="00844EC3" w:rsidRDefault="00977194" w:rsidP="00FC7505">
            <w:pPr>
              <w:keepLines w:val="0"/>
              <w:spacing w:before="60" w:after="60"/>
              <w:jc w:val="left"/>
              <w:rPr>
                <w:sz w:val="22"/>
                <w:szCs w:val="22"/>
              </w:rPr>
            </w:pPr>
            <w:r w:rsidRPr="00844EC3">
              <w:rPr>
                <w:sz w:val="22"/>
                <w:szCs w:val="22"/>
              </w:rPr>
              <w:t>Six Minute Walk Test (6MWT)</w:t>
            </w:r>
          </w:p>
        </w:tc>
        <w:tc>
          <w:tcPr>
            <w:tcW w:w="3345" w:type="dxa"/>
          </w:tcPr>
          <w:p w14:paraId="424DDE74" w14:textId="77777777" w:rsidR="00977194" w:rsidRPr="00844EC3" w:rsidRDefault="00977194" w:rsidP="00977194">
            <w:pPr>
              <w:keepLines w:val="0"/>
              <w:spacing w:before="60" w:after="60"/>
              <w:jc w:val="left"/>
              <w:rPr>
                <w:sz w:val="22"/>
                <w:szCs w:val="22"/>
              </w:rPr>
            </w:pPr>
            <w:r w:rsidRPr="00844EC3">
              <w:rPr>
                <w:sz w:val="22"/>
                <w:szCs w:val="22"/>
              </w:rPr>
              <w:t>The 6MWT is an assessment of performance ability in a variety of cardiopulmonary disease. It provides important functional information that is not captured in standardized pulmonary function testing.</w:t>
            </w:r>
          </w:p>
          <w:p w14:paraId="5D4D7AC5" w14:textId="24CCA687" w:rsidR="00977194" w:rsidRPr="00844EC3" w:rsidRDefault="00977194" w:rsidP="00977194">
            <w:pPr>
              <w:keepLines w:val="0"/>
              <w:spacing w:before="120" w:after="60"/>
              <w:jc w:val="left"/>
              <w:rPr>
                <w:sz w:val="22"/>
                <w:szCs w:val="22"/>
              </w:rPr>
            </w:pPr>
            <w:r w:rsidRPr="00844EC3">
              <w:rPr>
                <w:sz w:val="22"/>
                <w:szCs w:val="22"/>
              </w:rPr>
              <w:t>Measurement must be reported on as part of the authority application for a number of PBS listed drugs.</w:t>
            </w:r>
          </w:p>
        </w:tc>
        <w:tc>
          <w:tcPr>
            <w:tcW w:w="3288" w:type="dxa"/>
          </w:tcPr>
          <w:p w14:paraId="3E313813" w14:textId="46E05420" w:rsidR="00977194" w:rsidRPr="00844EC3" w:rsidRDefault="00977194" w:rsidP="00FC7505">
            <w:pPr>
              <w:keepLines w:val="0"/>
              <w:spacing w:before="60" w:after="60"/>
              <w:jc w:val="left"/>
              <w:rPr>
                <w:sz w:val="22"/>
                <w:szCs w:val="22"/>
              </w:rPr>
            </w:pPr>
            <w:r w:rsidRPr="00844EC3">
              <w:rPr>
                <w:sz w:val="22"/>
                <w:szCs w:val="22"/>
              </w:rPr>
              <w:t xml:space="preserve">The 6MWT is a </w:t>
            </w:r>
            <w:r w:rsidRPr="00844EC3">
              <w:rPr>
                <w:rFonts w:eastAsia="Calibri"/>
                <w:sz w:val="22"/>
                <w:szCs w:val="22"/>
              </w:rPr>
              <w:t xml:space="preserve">process for obtaining physiological measurements and does not constitute a written record of information that must be referred to in order to determine whether statutory conditions have been met. The 6MWT </w:t>
            </w:r>
            <w:r w:rsidRPr="00844EC3">
              <w:rPr>
                <w:sz w:val="22"/>
                <w:szCs w:val="22"/>
              </w:rPr>
              <w:t>is part of the standard diagnostic work-up for Pulmonary Arterial Hypertension.</w:t>
            </w:r>
          </w:p>
        </w:tc>
      </w:tr>
    </w:tbl>
    <w:p w14:paraId="2C3D8078" w14:textId="18F6C46F" w:rsidR="00B32AB1" w:rsidRPr="00844EC3" w:rsidRDefault="00B32AB1">
      <w:pPr>
        <w:keepLines w:val="0"/>
        <w:spacing w:after="0"/>
        <w:jc w:val="left"/>
        <w:rPr>
          <w:b/>
          <w:sz w:val="24"/>
          <w:szCs w:val="24"/>
        </w:rPr>
      </w:pPr>
      <w:r w:rsidRPr="00844EC3">
        <w:rPr>
          <w:b/>
          <w:sz w:val="24"/>
          <w:szCs w:val="24"/>
        </w:rPr>
        <w:br w:type="page"/>
      </w:r>
    </w:p>
    <w:p w14:paraId="152525F2" w14:textId="34E606E6" w:rsidR="000C6A04" w:rsidRPr="00844EC3" w:rsidRDefault="000C6A04" w:rsidP="005E6D84">
      <w:pPr>
        <w:keepLines w:val="0"/>
        <w:spacing w:after="0"/>
        <w:ind w:left="1134" w:firstLine="567"/>
        <w:jc w:val="left"/>
        <w:rPr>
          <w:b/>
          <w:sz w:val="24"/>
          <w:szCs w:val="24"/>
        </w:rPr>
      </w:pPr>
      <w:r w:rsidRPr="00844EC3">
        <w:rPr>
          <w:b/>
          <w:sz w:val="26"/>
          <w:szCs w:val="26"/>
        </w:rPr>
        <w:lastRenderedPageBreak/>
        <w:t>Statement of Compatibility with Human Rights</w:t>
      </w:r>
    </w:p>
    <w:p w14:paraId="4D2D6099" w14:textId="77777777" w:rsidR="000C6A04" w:rsidRPr="00844EC3" w:rsidRDefault="000C6A04" w:rsidP="000B45B3">
      <w:pPr>
        <w:keepLines w:val="0"/>
        <w:spacing w:before="120" w:after="0"/>
        <w:jc w:val="center"/>
        <w:rPr>
          <w:i/>
          <w:sz w:val="22"/>
          <w:szCs w:val="22"/>
        </w:rPr>
      </w:pPr>
      <w:r w:rsidRPr="00844EC3">
        <w:rPr>
          <w:i/>
          <w:sz w:val="22"/>
          <w:szCs w:val="22"/>
        </w:rPr>
        <w:t>Prepared in accordance with Part 3 of the Human Rights (Parliamentary Scrutiny) Act 2011</w:t>
      </w:r>
    </w:p>
    <w:p w14:paraId="60DFA373" w14:textId="170843FD" w:rsidR="000C6A04" w:rsidRPr="00844EC3" w:rsidRDefault="000C6A04" w:rsidP="000B45B3">
      <w:pPr>
        <w:keepLines w:val="0"/>
        <w:spacing w:before="360" w:after="0"/>
        <w:jc w:val="center"/>
        <w:rPr>
          <w:b/>
          <w:i/>
          <w:sz w:val="22"/>
          <w:szCs w:val="22"/>
        </w:rPr>
      </w:pPr>
      <w:r w:rsidRPr="00844EC3">
        <w:rPr>
          <w:b/>
          <w:i/>
          <w:sz w:val="22"/>
          <w:szCs w:val="22"/>
        </w:rPr>
        <w:t>National Health (Hi</w:t>
      </w:r>
      <w:r w:rsidR="00F405CF" w:rsidRPr="00844EC3">
        <w:rPr>
          <w:b/>
          <w:i/>
          <w:sz w:val="22"/>
          <w:szCs w:val="22"/>
        </w:rPr>
        <w:t>ghly specialised drugs program)</w:t>
      </w:r>
      <w:r w:rsidR="00F405CF" w:rsidRPr="00844EC3">
        <w:rPr>
          <w:b/>
          <w:i/>
          <w:sz w:val="22"/>
          <w:szCs w:val="22"/>
        </w:rPr>
        <w:br/>
      </w:r>
      <w:r w:rsidRPr="00844EC3">
        <w:rPr>
          <w:b/>
          <w:i/>
          <w:sz w:val="22"/>
          <w:szCs w:val="22"/>
        </w:rPr>
        <w:t>Special</w:t>
      </w:r>
      <w:r w:rsidR="00F405CF" w:rsidRPr="00844EC3">
        <w:rPr>
          <w:b/>
          <w:i/>
          <w:sz w:val="22"/>
          <w:szCs w:val="22"/>
        </w:rPr>
        <w:t xml:space="preserve"> </w:t>
      </w:r>
      <w:r w:rsidRPr="00844EC3">
        <w:rPr>
          <w:b/>
          <w:i/>
          <w:sz w:val="22"/>
          <w:szCs w:val="22"/>
        </w:rPr>
        <w:t>Arrangement</w:t>
      </w:r>
      <w:r w:rsidR="00F405CF" w:rsidRPr="00844EC3">
        <w:rPr>
          <w:b/>
          <w:i/>
          <w:sz w:val="22"/>
          <w:szCs w:val="22"/>
        </w:rPr>
        <w:t xml:space="preserve"> </w:t>
      </w:r>
      <w:r w:rsidRPr="00844EC3">
        <w:rPr>
          <w:b/>
          <w:i/>
          <w:sz w:val="22"/>
          <w:szCs w:val="22"/>
        </w:rPr>
        <w:t>Amendment</w:t>
      </w:r>
      <w:r w:rsidR="00F405CF" w:rsidRPr="00844EC3">
        <w:rPr>
          <w:b/>
          <w:i/>
          <w:sz w:val="22"/>
          <w:szCs w:val="22"/>
        </w:rPr>
        <w:t xml:space="preserve"> </w:t>
      </w:r>
      <w:r w:rsidRPr="00844EC3">
        <w:rPr>
          <w:b/>
          <w:i/>
          <w:sz w:val="22"/>
          <w:szCs w:val="22"/>
        </w:rPr>
        <w:t>Instrument</w:t>
      </w:r>
      <w:r w:rsidR="00F405CF" w:rsidRPr="00844EC3">
        <w:rPr>
          <w:b/>
          <w:i/>
          <w:sz w:val="22"/>
          <w:szCs w:val="22"/>
        </w:rPr>
        <w:t xml:space="preserve"> </w:t>
      </w:r>
      <w:r w:rsidR="008F2270" w:rsidRPr="00844EC3">
        <w:rPr>
          <w:b/>
          <w:i/>
          <w:sz w:val="22"/>
          <w:szCs w:val="22"/>
        </w:rPr>
        <w:t>2020</w:t>
      </w:r>
      <w:r w:rsidRPr="00844EC3">
        <w:rPr>
          <w:b/>
          <w:i/>
          <w:sz w:val="22"/>
          <w:szCs w:val="22"/>
        </w:rPr>
        <w:t xml:space="preserve"> (</w:t>
      </w:r>
      <w:r w:rsidR="00CF659C" w:rsidRPr="00844EC3">
        <w:rPr>
          <w:b/>
          <w:i/>
          <w:sz w:val="22"/>
          <w:szCs w:val="22"/>
        </w:rPr>
        <w:t>No.</w:t>
      </w:r>
      <w:r w:rsidR="00A14E6C" w:rsidRPr="00844EC3">
        <w:rPr>
          <w:b/>
          <w:i/>
          <w:sz w:val="22"/>
          <w:szCs w:val="22"/>
        </w:rPr>
        <w:t xml:space="preserve"> </w:t>
      </w:r>
      <w:r w:rsidR="00637609" w:rsidRPr="00844EC3">
        <w:rPr>
          <w:b/>
          <w:i/>
          <w:sz w:val="22"/>
          <w:szCs w:val="22"/>
        </w:rPr>
        <w:t>4</w:t>
      </w:r>
      <w:r w:rsidRPr="00844EC3">
        <w:rPr>
          <w:b/>
          <w:i/>
          <w:sz w:val="22"/>
          <w:szCs w:val="22"/>
        </w:rPr>
        <w:t>)</w:t>
      </w:r>
    </w:p>
    <w:p w14:paraId="7E8E52C2" w14:textId="0DB16391" w:rsidR="000C6A04" w:rsidRPr="00844EC3" w:rsidRDefault="000C6A04" w:rsidP="00441D04">
      <w:pPr>
        <w:keepLines w:val="0"/>
        <w:spacing w:before="120" w:after="0"/>
        <w:jc w:val="center"/>
        <w:rPr>
          <w:b/>
          <w:sz w:val="22"/>
          <w:szCs w:val="22"/>
        </w:rPr>
      </w:pPr>
      <w:r w:rsidRPr="00844EC3">
        <w:rPr>
          <w:b/>
          <w:sz w:val="22"/>
          <w:szCs w:val="22"/>
        </w:rPr>
        <w:t>(</w:t>
      </w:r>
      <w:r w:rsidR="00CF659C" w:rsidRPr="00844EC3">
        <w:rPr>
          <w:b/>
          <w:sz w:val="22"/>
          <w:szCs w:val="22"/>
        </w:rPr>
        <w:t xml:space="preserve">PB </w:t>
      </w:r>
      <w:r w:rsidR="0034264A" w:rsidRPr="00844EC3">
        <w:rPr>
          <w:b/>
          <w:sz w:val="22"/>
          <w:szCs w:val="22"/>
        </w:rPr>
        <w:t>3</w:t>
      </w:r>
      <w:r w:rsidR="00757DCF" w:rsidRPr="00844EC3">
        <w:rPr>
          <w:b/>
          <w:sz w:val="22"/>
          <w:szCs w:val="22"/>
        </w:rPr>
        <w:t>7</w:t>
      </w:r>
      <w:r w:rsidR="00637609" w:rsidRPr="00844EC3">
        <w:rPr>
          <w:b/>
          <w:sz w:val="22"/>
          <w:szCs w:val="22"/>
        </w:rPr>
        <w:t xml:space="preserve"> </w:t>
      </w:r>
      <w:r w:rsidR="005E6D84" w:rsidRPr="00844EC3">
        <w:rPr>
          <w:b/>
          <w:sz w:val="22"/>
          <w:szCs w:val="22"/>
        </w:rPr>
        <w:t xml:space="preserve">of </w:t>
      </w:r>
      <w:r w:rsidR="008F2270" w:rsidRPr="00844EC3">
        <w:rPr>
          <w:b/>
          <w:sz w:val="22"/>
          <w:szCs w:val="22"/>
        </w:rPr>
        <w:t>2020</w:t>
      </w:r>
      <w:r w:rsidRPr="00844EC3">
        <w:rPr>
          <w:b/>
          <w:sz w:val="22"/>
          <w:szCs w:val="22"/>
        </w:rPr>
        <w:t>)</w:t>
      </w:r>
    </w:p>
    <w:p w14:paraId="3509D077" w14:textId="77777777" w:rsidR="000C6A04" w:rsidRPr="00844EC3" w:rsidRDefault="000C6A04" w:rsidP="000B45B3">
      <w:pPr>
        <w:keepLines w:val="0"/>
        <w:spacing w:before="360" w:after="0"/>
        <w:rPr>
          <w:sz w:val="22"/>
          <w:szCs w:val="22"/>
        </w:rPr>
      </w:pPr>
      <w:r w:rsidRPr="00844EC3">
        <w:rPr>
          <w:sz w:val="22"/>
          <w:szCs w:val="22"/>
        </w:rPr>
        <w:t xml:space="preserve">This Instrument is compatible with the human rights and freedoms recognised or declared in the international instruments listed in section 3 of the </w:t>
      </w:r>
      <w:r w:rsidRPr="00844EC3">
        <w:rPr>
          <w:i/>
          <w:sz w:val="22"/>
          <w:szCs w:val="22"/>
        </w:rPr>
        <w:t>Human Rights (Parliamentary Scrutiny) Act 2011</w:t>
      </w:r>
      <w:r w:rsidRPr="00844EC3">
        <w:rPr>
          <w:sz w:val="22"/>
          <w:szCs w:val="22"/>
        </w:rPr>
        <w:t>.</w:t>
      </w:r>
    </w:p>
    <w:p w14:paraId="548F45F6" w14:textId="77777777" w:rsidR="000C6A04" w:rsidRPr="00844EC3" w:rsidRDefault="000C6A04" w:rsidP="00B2617C">
      <w:pPr>
        <w:keepLines w:val="0"/>
        <w:spacing w:before="240" w:after="0"/>
        <w:rPr>
          <w:b/>
          <w:sz w:val="22"/>
          <w:szCs w:val="22"/>
        </w:rPr>
      </w:pPr>
      <w:r w:rsidRPr="00844EC3">
        <w:rPr>
          <w:b/>
          <w:sz w:val="22"/>
          <w:szCs w:val="22"/>
        </w:rPr>
        <w:t>Overview of the Instrument</w:t>
      </w:r>
    </w:p>
    <w:p w14:paraId="177BDB51" w14:textId="76B2EE7C" w:rsidR="000C6A04" w:rsidRPr="00844EC3" w:rsidRDefault="006F2CEF" w:rsidP="00B2617C">
      <w:pPr>
        <w:keepLines w:val="0"/>
        <w:spacing w:before="120" w:after="0"/>
        <w:rPr>
          <w:sz w:val="22"/>
          <w:szCs w:val="22"/>
        </w:rPr>
      </w:pPr>
      <w:r w:rsidRPr="00844EC3">
        <w:rPr>
          <w:sz w:val="22"/>
          <w:szCs w:val="22"/>
        </w:rPr>
        <w:t>The purpose of this I</w:t>
      </w:r>
      <w:r w:rsidR="000C6A04" w:rsidRPr="00844EC3">
        <w:rPr>
          <w:sz w:val="22"/>
          <w:szCs w:val="22"/>
        </w:rPr>
        <w:t xml:space="preserve">nstrument, made under subsection 100(2) of the </w:t>
      </w:r>
      <w:r w:rsidR="000C6A04" w:rsidRPr="00844EC3">
        <w:rPr>
          <w:i/>
          <w:sz w:val="22"/>
          <w:szCs w:val="22"/>
        </w:rPr>
        <w:t>National Health Act</w:t>
      </w:r>
      <w:r w:rsidR="00F405CF" w:rsidRPr="00844EC3">
        <w:rPr>
          <w:i/>
          <w:sz w:val="22"/>
          <w:szCs w:val="22"/>
        </w:rPr>
        <w:t xml:space="preserve"> </w:t>
      </w:r>
      <w:r w:rsidR="000C6A04" w:rsidRPr="00844EC3">
        <w:rPr>
          <w:i/>
          <w:sz w:val="22"/>
          <w:szCs w:val="22"/>
        </w:rPr>
        <w:t>19</w:t>
      </w:r>
      <w:r w:rsidR="00D76B16" w:rsidRPr="00844EC3">
        <w:rPr>
          <w:i/>
          <w:sz w:val="22"/>
          <w:szCs w:val="22"/>
        </w:rPr>
        <w:t>5</w:t>
      </w:r>
      <w:r w:rsidR="000C6A04" w:rsidRPr="00844EC3">
        <w:rPr>
          <w:i/>
          <w:sz w:val="22"/>
          <w:szCs w:val="22"/>
        </w:rPr>
        <w:t>3</w:t>
      </w:r>
      <w:r w:rsidR="000C6A04" w:rsidRPr="00844EC3">
        <w:rPr>
          <w:sz w:val="22"/>
          <w:szCs w:val="22"/>
        </w:rPr>
        <w:t xml:space="preserve"> (the Act), is to amend the </w:t>
      </w:r>
      <w:r w:rsidR="000C6A04" w:rsidRPr="00844EC3">
        <w:rPr>
          <w:i/>
          <w:sz w:val="22"/>
          <w:szCs w:val="22"/>
        </w:rPr>
        <w:t>National Health (Highly specialised drugs program) Special Arrangement 2010</w:t>
      </w:r>
      <w:r w:rsidR="000C6A04" w:rsidRPr="00844EC3">
        <w:rPr>
          <w:sz w:val="22"/>
          <w:szCs w:val="22"/>
        </w:rPr>
        <w:t xml:space="preserve"> (PB 116 of 2010) (the Special Arrangement), to make changes to the Special Arrangement relating to the </w:t>
      </w:r>
      <w:r w:rsidR="00DB0632" w:rsidRPr="00844EC3">
        <w:rPr>
          <w:sz w:val="22"/>
          <w:szCs w:val="22"/>
        </w:rPr>
        <w:t>Highly Specialised D</w:t>
      </w:r>
      <w:r w:rsidR="000C6A04" w:rsidRPr="00844EC3">
        <w:rPr>
          <w:sz w:val="22"/>
          <w:szCs w:val="22"/>
        </w:rPr>
        <w:t>rugs program.</w:t>
      </w:r>
    </w:p>
    <w:p w14:paraId="059969F4" w14:textId="673B8EF8" w:rsidR="000C6A04" w:rsidRPr="00844EC3" w:rsidRDefault="000C6A04" w:rsidP="00B2617C">
      <w:pPr>
        <w:keepLines w:val="0"/>
        <w:spacing w:before="120" w:after="0"/>
        <w:rPr>
          <w:sz w:val="22"/>
          <w:szCs w:val="22"/>
        </w:rPr>
      </w:pPr>
      <w:r w:rsidRPr="00844EC3">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83E1C1D" w14:textId="313915A5" w:rsidR="00CC3B73" w:rsidRPr="00844EC3" w:rsidRDefault="00F76D40" w:rsidP="00B2617C">
      <w:pPr>
        <w:keepLines w:val="0"/>
        <w:spacing w:before="240" w:after="0"/>
        <w:rPr>
          <w:sz w:val="22"/>
          <w:szCs w:val="22"/>
        </w:rPr>
      </w:pPr>
      <w:r w:rsidRPr="00844EC3">
        <w:rPr>
          <w:sz w:val="22"/>
          <w:szCs w:val="22"/>
        </w:rPr>
        <w:t>The amendments in Schedule 1 involve the addition of a form, the alteration of responsible person codes for brands of pharmaceutical benefits, the addition of a responsible person to the list of responsible persons and the alteration of circumstances for prescribing various pharmaceutical benefits available under the Special Arrangement.</w:t>
      </w:r>
    </w:p>
    <w:p w14:paraId="6982599B" w14:textId="5743CAC0" w:rsidR="000C6A04" w:rsidRPr="00844EC3" w:rsidRDefault="000C6A04" w:rsidP="00B2617C">
      <w:pPr>
        <w:keepLines w:val="0"/>
        <w:spacing w:before="240" w:after="0"/>
        <w:rPr>
          <w:b/>
          <w:sz w:val="22"/>
          <w:szCs w:val="22"/>
        </w:rPr>
      </w:pPr>
      <w:r w:rsidRPr="00844EC3">
        <w:rPr>
          <w:b/>
          <w:sz w:val="22"/>
          <w:szCs w:val="22"/>
        </w:rPr>
        <w:t xml:space="preserve">Human </w:t>
      </w:r>
      <w:r w:rsidR="00F63405" w:rsidRPr="00844EC3">
        <w:rPr>
          <w:b/>
          <w:sz w:val="22"/>
          <w:szCs w:val="22"/>
        </w:rPr>
        <w:t>R</w:t>
      </w:r>
      <w:r w:rsidRPr="00844EC3">
        <w:rPr>
          <w:b/>
          <w:sz w:val="22"/>
          <w:szCs w:val="22"/>
        </w:rPr>
        <w:t xml:space="preserve">ights </w:t>
      </w:r>
      <w:r w:rsidR="00F63405" w:rsidRPr="00844EC3">
        <w:rPr>
          <w:b/>
          <w:sz w:val="22"/>
          <w:szCs w:val="22"/>
        </w:rPr>
        <w:t>I</w:t>
      </w:r>
      <w:r w:rsidRPr="00844EC3">
        <w:rPr>
          <w:b/>
          <w:sz w:val="22"/>
          <w:szCs w:val="22"/>
        </w:rPr>
        <w:t>mplications</w:t>
      </w:r>
    </w:p>
    <w:p w14:paraId="48B47057" w14:textId="77777777" w:rsidR="000C6A04" w:rsidRPr="00844EC3" w:rsidRDefault="006F2CEF" w:rsidP="00B2617C">
      <w:pPr>
        <w:keepLines w:val="0"/>
        <w:spacing w:before="120" w:after="0"/>
        <w:rPr>
          <w:sz w:val="22"/>
          <w:szCs w:val="22"/>
        </w:rPr>
      </w:pPr>
      <w:r w:rsidRPr="00844EC3">
        <w:rPr>
          <w:sz w:val="22"/>
          <w:szCs w:val="22"/>
        </w:rPr>
        <w:t>This I</w:t>
      </w:r>
      <w:r w:rsidR="000C6A04" w:rsidRPr="00844EC3">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469C10" w14:textId="77777777" w:rsidR="000C6A04" w:rsidRPr="00844EC3" w:rsidRDefault="000C6A04" w:rsidP="00B2617C">
      <w:pPr>
        <w:keepLines w:val="0"/>
        <w:spacing w:before="120" w:after="0"/>
        <w:rPr>
          <w:sz w:val="22"/>
          <w:szCs w:val="22"/>
        </w:rPr>
      </w:pPr>
      <w:r w:rsidRPr="00844EC3">
        <w:rPr>
          <w:sz w:val="22"/>
          <w:szCs w:val="22"/>
        </w:rPr>
        <w:t xml:space="preserve">The Pharmaceutical Benefits Scheme (PBS) is a benefit scheme which assists with advancement of this human right by providing for subsidised access by patients to medicines. </w:t>
      </w:r>
      <w:r w:rsidR="00DB0632" w:rsidRPr="00844EC3">
        <w:rPr>
          <w:sz w:val="22"/>
          <w:szCs w:val="22"/>
        </w:rPr>
        <w:t xml:space="preserve"> </w:t>
      </w:r>
      <w:r w:rsidRPr="00844EC3">
        <w:rPr>
          <w:sz w:val="22"/>
          <w:szCs w:val="22"/>
        </w:rPr>
        <w:t>The recommendatory role of the Pharmaceutical Benefits Advisory Committee (PBAC) ensures that decisions about subsidised access to medicines on the PBS are evidence-based.</w:t>
      </w:r>
    </w:p>
    <w:p w14:paraId="28DDDF37" w14:textId="77777777" w:rsidR="000C6A04" w:rsidRPr="00844EC3" w:rsidRDefault="000C6A04" w:rsidP="00B2617C">
      <w:pPr>
        <w:keepLines w:val="0"/>
        <w:spacing w:before="240" w:after="0"/>
        <w:rPr>
          <w:b/>
          <w:sz w:val="22"/>
          <w:szCs w:val="22"/>
        </w:rPr>
      </w:pPr>
      <w:r w:rsidRPr="00844EC3">
        <w:rPr>
          <w:b/>
          <w:sz w:val="22"/>
          <w:szCs w:val="22"/>
        </w:rPr>
        <w:t>Conclusion</w:t>
      </w:r>
    </w:p>
    <w:p w14:paraId="62C90CCE" w14:textId="77777777" w:rsidR="000C6A04" w:rsidRPr="00844EC3" w:rsidRDefault="006F2CEF" w:rsidP="0005214B">
      <w:pPr>
        <w:keepLines w:val="0"/>
        <w:spacing w:before="120" w:after="0"/>
        <w:rPr>
          <w:sz w:val="22"/>
          <w:szCs w:val="22"/>
        </w:rPr>
      </w:pPr>
      <w:r w:rsidRPr="00844EC3">
        <w:rPr>
          <w:sz w:val="22"/>
          <w:szCs w:val="22"/>
        </w:rPr>
        <w:t>This I</w:t>
      </w:r>
      <w:r w:rsidR="000C6A04" w:rsidRPr="00844EC3">
        <w:rPr>
          <w:sz w:val="22"/>
          <w:szCs w:val="22"/>
        </w:rPr>
        <w:t>nstrument is compatible with human rights because it advances the protection of human rights.</w:t>
      </w:r>
    </w:p>
    <w:p w14:paraId="55FD3425" w14:textId="77777777" w:rsidR="00B2617C" w:rsidRPr="00844EC3" w:rsidRDefault="00B2617C" w:rsidP="00B2617C">
      <w:pPr>
        <w:keepLines w:val="0"/>
        <w:spacing w:before="240" w:after="0"/>
        <w:jc w:val="center"/>
        <w:rPr>
          <w:sz w:val="22"/>
          <w:szCs w:val="22"/>
        </w:rPr>
      </w:pPr>
    </w:p>
    <w:p w14:paraId="6DC64C33" w14:textId="77777777" w:rsidR="00B2617C" w:rsidRPr="00844EC3" w:rsidRDefault="00B2617C" w:rsidP="00B2617C">
      <w:pPr>
        <w:keepLines w:val="0"/>
        <w:spacing w:before="240" w:after="0"/>
        <w:jc w:val="center"/>
        <w:rPr>
          <w:sz w:val="22"/>
          <w:szCs w:val="22"/>
        </w:rPr>
      </w:pPr>
    </w:p>
    <w:p w14:paraId="6B663BC8" w14:textId="77777777" w:rsidR="00B2617C" w:rsidRPr="00844EC3" w:rsidRDefault="00B2617C" w:rsidP="00B2617C">
      <w:pPr>
        <w:keepLines w:val="0"/>
        <w:spacing w:before="240" w:after="0"/>
        <w:jc w:val="center"/>
        <w:rPr>
          <w:sz w:val="22"/>
          <w:szCs w:val="22"/>
        </w:rPr>
      </w:pPr>
    </w:p>
    <w:p w14:paraId="5EB8559B" w14:textId="77777777" w:rsidR="00F405CF" w:rsidRPr="00844EC3" w:rsidRDefault="00F405CF" w:rsidP="00F405CF">
      <w:pPr>
        <w:keepLines w:val="0"/>
        <w:spacing w:before="240" w:after="0"/>
        <w:jc w:val="center"/>
        <w:rPr>
          <w:b/>
          <w:sz w:val="22"/>
          <w:szCs w:val="22"/>
        </w:rPr>
      </w:pPr>
      <w:r w:rsidRPr="00844EC3">
        <w:rPr>
          <w:b/>
          <w:sz w:val="22"/>
          <w:szCs w:val="22"/>
        </w:rPr>
        <w:t>Ben Sladic</w:t>
      </w:r>
    </w:p>
    <w:p w14:paraId="2B4801DD" w14:textId="60B8F78B" w:rsidR="000C6A04" w:rsidRPr="00844EC3" w:rsidRDefault="00F405CF" w:rsidP="00F405CF">
      <w:pPr>
        <w:keepLines w:val="0"/>
        <w:spacing w:after="0"/>
        <w:jc w:val="center"/>
        <w:rPr>
          <w:sz w:val="22"/>
          <w:szCs w:val="22"/>
        </w:rPr>
      </w:pPr>
      <w:r w:rsidRPr="00844EC3">
        <w:rPr>
          <w:b/>
          <w:sz w:val="22"/>
          <w:szCs w:val="22"/>
        </w:rPr>
        <w:t>Assistant Secretary</w:t>
      </w:r>
    </w:p>
    <w:p w14:paraId="047C33A3" w14:textId="77777777" w:rsidR="000C6A04" w:rsidRPr="00844EC3" w:rsidRDefault="000C6A04" w:rsidP="00B2617C">
      <w:pPr>
        <w:keepLines w:val="0"/>
        <w:spacing w:after="0"/>
        <w:jc w:val="center"/>
        <w:rPr>
          <w:b/>
          <w:sz w:val="22"/>
          <w:szCs w:val="22"/>
        </w:rPr>
      </w:pPr>
      <w:r w:rsidRPr="00844EC3">
        <w:rPr>
          <w:b/>
          <w:sz w:val="22"/>
          <w:szCs w:val="22"/>
        </w:rPr>
        <w:t>Pharmacy Branch</w:t>
      </w:r>
    </w:p>
    <w:p w14:paraId="2BD5981B" w14:textId="77777777" w:rsidR="000C6A04" w:rsidRPr="00844EC3" w:rsidRDefault="000C6A04" w:rsidP="00B2617C">
      <w:pPr>
        <w:keepLines w:val="0"/>
        <w:spacing w:after="0"/>
        <w:jc w:val="center"/>
        <w:rPr>
          <w:b/>
          <w:sz w:val="22"/>
          <w:szCs w:val="22"/>
        </w:rPr>
      </w:pPr>
      <w:r w:rsidRPr="00844EC3">
        <w:rPr>
          <w:b/>
          <w:sz w:val="22"/>
          <w:szCs w:val="22"/>
        </w:rPr>
        <w:t>Technology Assessment and Access Division</w:t>
      </w:r>
    </w:p>
    <w:p w14:paraId="3C391DDF" w14:textId="77777777" w:rsidR="00F778AD" w:rsidRPr="00B2617C" w:rsidRDefault="000C6A04" w:rsidP="00B2617C">
      <w:pPr>
        <w:keepLines w:val="0"/>
        <w:spacing w:after="0"/>
        <w:jc w:val="center"/>
        <w:rPr>
          <w:b/>
          <w:sz w:val="22"/>
          <w:szCs w:val="22"/>
        </w:rPr>
      </w:pPr>
      <w:r w:rsidRPr="00844EC3">
        <w:rPr>
          <w:b/>
          <w:sz w:val="22"/>
          <w:szCs w:val="22"/>
        </w:rPr>
        <w:t>Department of Health</w:t>
      </w:r>
    </w:p>
    <w:p w14:paraId="763BDA96" w14:textId="77777777" w:rsidR="000E2F0C" w:rsidRPr="00FF3743" w:rsidRDefault="000E2F0C" w:rsidP="000B45B3">
      <w:pPr>
        <w:keepLines w:val="0"/>
        <w:spacing w:after="0"/>
        <w:rPr>
          <w:sz w:val="22"/>
          <w:szCs w:val="22"/>
        </w:rPr>
      </w:pPr>
    </w:p>
    <w:sectPr w:rsidR="000E2F0C" w:rsidRPr="00FF3743" w:rsidSect="00FC750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237B602F" w14:textId="73B13CB4" w:rsidR="00D85AAA" w:rsidRDefault="00D85AAA" w:rsidP="00D85AAA">
        <w:pPr>
          <w:pStyle w:val="Footer"/>
          <w:keepLines w:val="0"/>
          <w:spacing w:after="0"/>
          <w:jc w:val="center"/>
        </w:pPr>
        <w:r>
          <w:fldChar w:fldCharType="begin"/>
        </w:r>
        <w:r>
          <w:instrText xml:space="preserve"> PAGE   \* MERGEFORMAT </w:instrText>
        </w:r>
        <w:r>
          <w:fldChar w:fldCharType="separate"/>
        </w:r>
        <w:r w:rsidR="00844EC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6E16443A" w14:textId="2BE8E2C9" w:rsidR="00940735" w:rsidRDefault="002E334F" w:rsidP="002E334F">
        <w:pPr>
          <w:pStyle w:val="Footer"/>
          <w:keepLines w:val="0"/>
          <w:spacing w:after="0"/>
          <w:jc w:val="center"/>
        </w:pPr>
        <w:r>
          <w:fldChar w:fldCharType="begin"/>
        </w:r>
        <w:r>
          <w:instrText xml:space="preserve"> PAGE   \* MERGEFORMAT </w:instrText>
        </w:r>
        <w:r>
          <w:fldChar w:fldCharType="separate"/>
        </w:r>
        <w:r w:rsidR="00844EC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497C"/>
    <w:rsid w:val="00005EFA"/>
    <w:rsid w:val="00006902"/>
    <w:rsid w:val="00006A8D"/>
    <w:rsid w:val="000079FC"/>
    <w:rsid w:val="000117B8"/>
    <w:rsid w:val="000156DC"/>
    <w:rsid w:val="00015A54"/>
    <w:rsid w:val="00015E1C"/>
    <w:rsid w:val="000167C2"/>
    <w:rsid w:val="00016B81"/>
    <w:rsid w:val="00016D11"/>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453E"/>
    <w:rsid w:val="00044788"/>
    <w:rsid w:val="000455F1"/>
    <w:rsid w:val="00045826"/>
    <w:rsid w:val="00045DB6"/>
    <w:rsid w:val="00046E33"/>
    <w:rsid w:val="0004700F"/>
    <w:rsid w:val="00047660"/>
    <w:rsid w:val="0004767F"/>
    <w:rsid w:val="00050CE4"/>
    <w:rsid w:val="00051C02"/>
    <w:rsid w:val="00051DFF"/>
    <w:rsid w:val="0005214B"/>
    <w:rsid w:val="00052198"/>
    <w:rsid w:val="000525A8"/>
    <w:rsid w:val="00052A56"/>
    <w:rsid w:val="00052F16"/>
    <w:rsid w:val="000534DD"/>
    <w:rsid w:val="00053624"/>
    <w:rsid w:val="00053739"/>
    <w:rsid w:val="00054DA4"/>
    <w:rsid w:val="00055F04"/>
    <w:rsid w:val="000573B7"/>
    <w:rsid w:val="0005784C"/>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665"/>
    <w:rsid w:val="00082170"/>
    <w:rsid w:val="00082402"/>
    <w:rsid w:val="0008340B"/>
    <w:rsid w:val="00083677"/>
    <w:rsid w:val="000842A6"/>
    <w:rsid w:val="00084BE5"/>
    <w:rsid w:val="00084FC6"/>
    <w:rsid w:val="00087624"/>
    <w:rsid w:val="00090B86"/>
    <w:rsid w:val="00090F63"/>
    <w:rsid w:val="00092D40"/>
    <w:rsid w:val="00093BA7"/>
    <w:rsid w:val="00095E2C"/>
    <w:rsid w:val="000966C5"/>
    <w:rsid w:val="000A094F"/>
    <w:rsid w:val="000A2C03"/>
    <w:rsid w:val="000A3FCA"/>
    <w:rsid w:val="000A4B91"/>
    <w:rsid w:val="000A5B07"/>
    <w:rsid w:val="000A6881"/>
    <w:rsid w:val="000A6C4C"/>
    <w:rsid w:val="000A725B"/>
    <w:rsid w:val="000B10B7"/>
    <w:rsid w:val="000B1CA7"/>
    <w:rsid w:val="000B23F1"/>
    <w:rsid w:val="000B3602"/>
    <w:rsid w:val="000B3611"/>
    <w:rsid w:val="000B4116"/>
    <w:rsid w:val="000B45B3"/>
    <w:rsid w:val="000B45FC"/>
    <w:rsid w:val="000B7175"/>
    <w:rsid w:val="000B7722"/>
    <w:rsid w:val="000C277C"/>
    <w:rsid w:val="000C2A2B"/>
    <w:rsid w:val="000C4D34"/>
    <w:rsid w:val="000C5D52"/>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C43"/>
    <w:rsid w:val="000E032F"/>
    <w:rsid w:val="000E10A0"/>
    <w:rsid w:val="000E2645"/>
    <w:rsid w:val="000E2F0C"/>
    <w:rsid w:val="000E340C"/>
    <w:rsid w:val="000E3E0A"/>
    <w:rsid w:val="000E4137"/>
    <w:rsid w:val="000E4656"/>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EE9"/>
    <w:rsid w:val="00136467"/>
    <w:rsid w:val="00136BAF"/>
    <w:rsid w:val="00137EA0"/>
    <w:rsid w:val="00140C63"/>
    <w:rsid w:val="0014157D"/>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C9A"/>
    <w:rsid w:val="00155092"/>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1212"/>
    <w:rsid w:val="00171A39"/>
    <w:rsid w:val="00172937"/>
    <w:rsid w:val="0017323A"/>
    <w:rsid w:val="00173E32"/>
    <w:rsid w:val="001810AB"/>
    <w:rsid w:val="00182B4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E78"/>
    <w:rsid w:val="001963EF"/>
    <w:rsid w:val="001A0413"/>
    <w:rsid w:val="001A2156"/>
    <w:rsid w:val="001A3CC3"/>
    <w:rsid w:val="001A410C"/>
    <w:rsid w:val="001A49AD"/>
    <w:rsid w:val="001A6B00"/>
    <w:rsid w:val="001A7304"/>
    <w:rsid w:val="001B16BE"/>
    <w:rsid w:val="001B1922"/>
    <w:rsid w:val="001B1E09"/>
    <w:rsid w:val="001B2B26"/>
    <w:rsid w:val="001B3491"/>
    <w:rsid w:val="001B4EB0"/>
    <w:rsid w:val="001B5079"/>
    <w:rsid w:val="001B5453"/>
    <w:rsid w:val="001C0011"/>
    <w:rsid w:val="001C016F"/>
    <w:rsid w:val="001C10C2"/>
    <w:rsid w:val="001C1A79"/>
    <w:rsid w:val="001C2C69"/>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01D9"/>
    <w:rsid w:val="00202535"/>
    <w:rsid w:val="00205AEF"/>
    <w:rsid w:val="00206D28"/>
    <w:rsid w:val="002070FE"/>
    <w:rsid w:val="002075B9"/>
    <w:rsid w:val="002105F3"/>
    <w:rsid w:val="00210EF8"/>
    <w:rsid w:val="002117E9"/>
    <w:rsid w:val="00211A95"/>
    <w:rsid w:val="002130C8"/>
    <w:rsid w:val="00214239"/>
    <w:rsid w:val="00217B84"/>
    <w:rsid w:val="00220C92"/>
    <w:rsid w:val="00220EF4"/>
    <w:rsid w:val="00221B1A"/>
    <w:rsid w:val="002222E8"/>
    <w:rsid w:val="00222683"/>
    <w:rsid w:val="00223299"/>
    <w:rsid w:val="0022336C"/>
    <w:rsid w:val="00225F71"/>
    <w:rsid w:val="00226250"/>
    <w:rsid w:val="00226EF0"/>
    <w:rsid w:val="002272B1"/>
    <w:rsid w:val="00231583"/>
    <w:rsid w:val="00231D7B"/>
    <w:rsid w:val="00231E0E"/>
    <w:rsid w:val="00232C26"/>
    <w:rsid w:val="0023637E"/>
    <w:rsid w:val="00236694"/>
    <w:rsid w:val="00240104"/>
    <w:rsid w:val="0024018F"/>
    <w:rsid w:val="002410B9"/>
    <w:rsid w:val="002417A2"/>
    <w:rsid w:val="00241B82"/>
    <w:rsid w:val="00242D1C"/>
    <w:rsid w:val="00243137"/>
    <w:rsid w:val="002431D9"/>
    <w:rsid w:val="002465B8"/>
    <w:rsid w:val="00246782"/>
    <w:rsid w:val="00247663"/>
    <w:rsid w:val="00250068"/>
    <w:rsid w:val="00250097"/>
    <w:rsid w:val="00250F75"/>
    <w:rsid w:val="002518FB"/>
    <w:rsid w:val="00252503"/>
    <w:rsid w:val="00254075"/>
    <w:rsid w:val="002577D5"/>
    <w:rsid w:val="00257ABD"/>
    <w:rsid w:val="00264E30"/>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016A"/>
    <w:rsid w:val="00283A17"/>
    <w:rsid w:val="00284F06"/>
    <w:rsid w:val="002855CC"/>
    <w:rsid w:val="00286BF6"/>
    <w:rsid w:val="00286CF8"/>
    <w:rsid w:val="00287A83"/>
    <w:rsid w:val="00287EC4"/>
    <w:rsid w:val="0029029F"/>
    <w:rsid w:val="00291B6D"/>
    <w:rsid w:val="00291FC5"/>
    <w:rsid w:val="00292E46"/>
    <w:rsid w:val="002956CD"/>
    <w:rsid w:val="00295872"/>
    <w:rsid w:val="00296ABC"/>
    <w:rsid w:val="002A0F23"/>
    <w:rsid w:val="002A1B2D"/>
    <w:rsid w:val="002A1F0F"/>
    <w:rsid w:val="002A2768"/>
    <w:rsid w:val="002A49FC"/>
    <w:rsid w:val="002A6B10"/>
    <w:rsid w:val="002A7B82"/>
    <w:rsid w:val="002B0004"/>
    <w:rsid w:val="002B0FC3"/>
    <w:rsid w:val="002B1123"/>
    <w:rsid w:val="002B2151"/>
    <w:rsid w:val="002B573E"/>
    <w:rsid w:val="002B5ACB"/>
    <w:rsid w:val="002B5B34"/>
    <w:rsid w:val="002B686B"/>
    <w:rsid w:val="002B6B82"/>
    <w:rsid w:val="002B7096"/>
    <w:rsid w:val="002B7B4E"/>
    <w:rsid w:val="002C0A52"/>
    <w:rsid w:val="002C1480"/>
    <w:rsid w:val="002C1ECB"/>
    <w:rsid w:val="002C24B2"/>
    <w:rsid w:val="002C2A53"/>
    <w:rsid w:val="002C3CF4"/>
    <w:rsid w:val="002C4911"/>
    <w:rsid w:val="002C4A2E"/>
    <w:rsid w:val="002C5315"/>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744A"/>
    <w:rsid w:val="002F13BA"/>
    <w:rsid w:val="002F303F"/>
    <w:rsid w:val="002F30B0"/>
    <w:rsid w:val="002F4A74"/>
    <w:rsid w:val="002F4F29"/>
    <w:rsid w:val="002F67CA"/>
    <w:rsid w:val="002F78E7"/>
    <w:rsid w:val="002F7909"/>
    <w:rsid w:val="002F7F3D"/>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7F1"/>
    <w:rsid w:val="00323CC5"/>
    <w:rsid w:val="00324450"/>
    <w:rsid w:val="00324A45"/>
    <w:rsid w:val="003264AC"/>
    <w:rsid w:val="00330838"/>
    <w:rsid w:val="003308F2"/>
    <w:rsid w:val="00330E53"/>
    <w:rsid w:val="003334F6"/>
    <w:rsid w:val="00334ADE"/>
    <w:rsid w:val="003350A8"/>
    <w:rsid w:val="003405BA"/>
    <w:rsid w:val="00341B93"/>
    <w:rsid w:val="00341E5E"/>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67DCE"/>
    <w:rsid w:val="00370B88"/>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E4E"/>
    <w:rsid w:val="00390ED8"/>
    <w:rsid w:val="00391600"/>
    <w:rsid w:val="00391D84"/>
    <w:rsid w:val="00392492"/>
    <w:rsid w:val="003930C0"/>
    <w:rsid w:val="00393DD5"/>
    <w:rsid w:val="00394E08"/>
    <w:rsid w:val="003A2E72"/>
    <w:rsid w:val="003A47DE"/>
    <w:rsid w:val="003A4D88"/>
    <w:rsid w:val="003A6B17"/>
    <w:rsid w:val="003A7674"/>
    <w:rsid w:val="003B01EE"/>
    <w:rsid w:val="003B08FA"/>
    <w:rsid w:val="003B233E"/>
    <w:rsid w:val="003B23B6"/>
    <w:rsid w:val="003B5E7E"/>
    <w:rsid w:val="003B7C13"/>
    <w:rsid w:val="003C0C09"/>
    <w:rsid w:val="003C12FF"/>
    <w:rsid w:val="003C1CBC"/>
    <w:rsid w:val="003C40D2"/>
    <w:rsid w:val="003C4D76"/>
    <w:rsid w:val="003C59DB"/>
    <w:rsid w:val="003C66F3"/>
    <w:rsid w:val="003C671D"/>
    <w:rsid w:val="003D0046"/>
    <w:rsid w:val="003D089D"/>
    <w:rsid w:val="003D1229"/>
    <w:rsid w:val="003D156A"/>
    <w:rsid w:val="003D15C1"/>
    <w:rsid w:val="003D19B9"/>
    <w:rsid w:val="003D220E"/>
    <w:rsid w:val="003D223E"/>
    <w:rsid w:val="003D2B0B"/>
    <w:rsid w:val="003D38B4"/>
    <w:rsid w:val="003D3AC1"/>
    <w:rsid w:val="003D47F5"/>
    <w:rsid w:val="003D4E94"/>
    <w:rsid w:val="003D6780"/>
    <w:rsid w:val="003D799C"/>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F0A89"/>
    <w:rsid w:val="003F1EEB"/>
    <w:rsid w:val="003F209F"/>
    <w:rsid w:val="003F22F2"/>
    <w:rsid w:val="003F782B"/>
    <w:rsid w:val="004001DD"/>
    <w:rsid w:val="0040192B"/>
    <w:rsid w:val="004020B2"/>
    <w:rsid w:val="0040308D"/>
    <w:rsid w:val="00404278"/>
    <w:rsid w:val="004046DC"/>
    <w:rsid w:val="00404966"/>
    <w:rsid w:val="00405940"/>
    <w:rsid w:val="00405F4B"/>
    <w:rsid w:val="00411E96"/>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54B6"/>
    <w:rsid w:val="00456324"/>
    <w:rsid w:val="00460B48"/>
    <w:rsid w:val="0046317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908"/>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AF6"/>
    <w:rsid w:val="004E3263"/>
    <w:rsid w:val="004E4291"/>
    <w:rsid w:val="004E589E"/>
    <w:rsid w:val="004E591C"/>
    <w:rsid w:val="004E6404"/>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230A"/>
    <w:rsid w:val="00512BDE"/>
    <w:rsid w:val="00513E2A"/>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4AFA"/>
    <w:rsid w:val="0054585B"/>
    <w:rsid w:val="00547EC6"/>
    <w:rsid w:val="0055132F"/>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4970"/>
    <w:rsid w:val="0056541F"/>
    <w:rsid w:val="00565857"/>
    <w:rsid w:val="005667B4"/>
    <w:rsid w:val="00567370"/>
    <w:rsid w:val="00567492"/>
    <w:rsid w:val="00571306"/>
    <w:rsid w:val="00571D5D"/>
    <w:rsid w:val="00574173"/>
    <w:rsid w:val="00574CA8"/>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D69"/>
    <w:rsid w:val="005C0C36"/>
    <w:rsid w:val="005C1205"/>
    <w:rsid w:val="005C2FAB"/>
    <w:rsid w:val="005C3D16"/>
    <w:rsid w:val="005C5154"/>
    <w:rsid w:val="005C524B"/>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9AA"/>
    <w:rsid w:val="005E3503"/>
    <w:rsid w:val="005E3F10"/>
    <w:rsid w:val="005E483C"/>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EF4"/>
    <w:rsid w:val="00601498"/>
    <w:rsid w:val="00601A13"/>
    <w:rsid w:val="00601AA2"/>
    <w:rsid w:val="00603359"/>
    <w:rsid w:val="006036A7"/>
    <w:rsid w:val="006068E3"/>
    <w:rsid w:val="00607403"/>
    <w:rsid w:val="00607E56"/>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46F"/>
    <w:rsid w:val="006212DB"/>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5C57"/>
    <w:rsid w:val="006564F3"/>
    <w:rsid w:val="00656E91"/>
    <w:rsid w:val="00661157"/>
    <w:rsid w:val="006617E8"/>
    <w:rsid w:val="00663BB3"/>
    <w:rsid w:val="00663E0F"/>
    <w:rsid w:val="006640D6"/>
    <w:rsid w:val="00664E80"/>
    <w:rsid w:val="006657A7"/>
    <w:rsid w:val="00666306"/>
    <w:rsid w:val="006673E4"/>
    <w:rsid w:val="00671A22"/>
    <w:rsid w:val="00672138"/>
    <w:rsid w:val="0067223A"/>
    <w:rsid w:val="00672A9F"/>
    <w:rsid w:val="00672D62"/>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A0456"/>
    <w:rsid w:val="006A0B32"/>
    <w:rsid w:val="006A1CB2"/>
    <w:rsid w:val="006A1E40"/>
    <w:rsid w:val="006A2591"/>
    <w:rsid w:val="006A2C3F"/>
    <w:rsid w:val="006A382C"/>
    <w:rsid w:val="006A3A75"/>
    <w:rsid w:val="006A449F"/>
    <w:rsid w:val="006A4DD7"/>
    <w:rsid w:val="006A55B6"/>
    <w:rsid w:val="006A56DE"/>
    <w:rsid w:val="006A613A"/>
    <w:rsid w:val="006A6682"/>
    <w:rsid w:val="006B00C7"/>
    <w:rsid w:val="006B1866"/>
    <w:rsid w:val="006B1C58"/>
    <w:rsid w:val="006B2290"/>
    <w:rsid w:val="006B2AC1"/>
    <w:rsid w:val="006B33B8"/>
    <w:rsid w:val="006B4534"/>
    <w:rsid w:val="006B634C"/>
    <w:rsid w:val="006B6981"/>
    <w:rsid w:val="006B6CBA"/>
    <w:rsid w:val="006B7EB0"/>
    <w:rsid w:val="006C04CE"/>
    <w:rsid w:val="006C1E6B"/>
    <w:rsid w:val="006C20FF"/>
    <w:rsid w:val="006C256A"/>
    <w:rsid w:val="006C339A"/>
    <w:rsid w:val="006C4645"/>
    <w:rsid w:val="006C4E1A"/>
    <w:rsid w:val="006C608C"/>
    <w:rsid w:val="006D13B9"/>
    <w:rsid w:val="006D1807"/>
    <w:rsid w:val="006D28C3"/>
    <w:rsid w:val="006D36DA"/>
    <w:rsid w:val="006D4566"/>
    <w:rsid w:val="006D6954"/>
    <w:rsid w:val="006D69EB"/>
    <w:rsid w:val="006D6C96"/>
    <w:rsid w:val="006D765E"/>
    <w:rsid w:val="006E0B09"/>
    <w:rsid w:val="006E0EC8"/>
    <w:rsid w:val="006E1A9D"/>
    <w:rsid w:val="006E2164"/>
    <w:rsid w:val="006E2BDD"/>
    <w:rsid w:val="006E3DBC"/>
    <w:rsid w:val="006E3FAA"/>
    <w:rsid w:val="006E7EED"/>
    <w:rsid w:val="006F049B"/>
    <w:rsid w:val="006F1193"/>
    <w:rsid w:val="006F13E7"/>
    <w:rsid w:val="006F179D"/>
    <w:rsid w:val="006F23F5"/>
    <w:rsid w:val="006F2CEF"/>
    <w:rsid w:val="006F3AB1"/>
    <w:rsid w:val="006F5905"/>
    <w:rsid w:val="0070001E"/>
    <w:rsid w:val="007007D8"/>
    <w:rsid w:val="00701436"/>
    <w:rsid w:val="0070207D"/>
    <w:rsid w:val="00702E76"/>
    <w:rsid w:val="0070314C"/>
    <w:rsid w:val="007031EF"/>
    <w:rsid w:val="00704D53"/>
    <w:rsid w:val="007053C4"/>
    <w:rsid w:val="00705CE6"/>
    <w:rsid w:val="007065AD"/>
    <w:rsid w:val="00706608"/>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A50"/>
    <w:rsid w:val="00732D1D"/>
    <w:rsid w:val="007366E9"/>
    <w:rsid w:val="00736980"/>
    <w:rsid w:val="00736C12"/>
    <w:rsid w:val="0073744A"/>
    <w:rsid w:val="00737AF7"/>
    <w:rsid w:val="00737BCF"/>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2738"/>
    <w:rsid w:val="00762FCF"/>
    <w:rsid w:val="00765EA3"/>
    <w:rsid w:val="007665D2"/>
    <w:rsid w:val="007670DA"/>
    <w:rsid w:val="00771557"/>
    <w:rsid w:val="00772934"/>
    <w:rsid w:val="00773E26"/>
    <w:rsid w:val="00775790"/>
    <w:rsid w:val="00777D24"/>
    <w:rsid w:val="007803D2"/>
    <w:rsid w:val="00781711"/>
    <w:rsid w:val="00782B46"/>
    <w:rsid w:val="00783D29"/>
    <w:rsid w:val="007843E3"/>
    <w:rsid w:val="00785543"/>
    <w:rsid w:val="007856B2"/>
    <w:rsid w:val="007872F2"/>
    <w:rsid w:val="007873F0"/>
    <w:rsid w:val="0078749A"/>
    <w:rsid w:val="00791BD7"/>
    <w:rsid w:val="00793972"/>
    <w:rsid w:val="007940EC"/>
    <w:rsid w:val="0079464D"/>
    <w:rsid w:val="00794FB2"/>
    <w:rsid w:val="00795054"/>
    <w:rsid w:val="00795703"/>
    <w:rsid w:val="00795CF1"/>
    <w:rsid w:val="00796BAB"/>
    <w:rsid w:val="00797658"/>
    <w:rsid w:val="00797759"/>
    <w:rsid w:val="007A02AE"/>
    <w:rsid w:val="007A1E23"/>
    <w:rsid w:val="007A2064"/>
    <w:rsid w:val="007A63D2"/>
    <w:rsid w:val="007A72A7"/>
    <w:rsid w:val="007A76B2"/>
    <w:rsid w:val="007B31BA"/>
    <w:rsid w:val="007B4D16"/>
    <w:rsid w:val="007B5A81"/>
    <w:rsid w:val="007B6D54"/>
    <w:rsid w:val="007B7B96"/>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69E"/>
    <w:rsid w:val="007D7F35"/>
    <w:rsid w:val="007E0D57"/>
    <w:rsid w:val="007E1660"/>
    <w:rsid w:val="007E25C8"/>
    <w:rsid w:val="007E40E5"/>
    <w:rsid w:val="007E5537"/>
    <w:rsid w:val="007E7E2D"/>
    <w:rsid w:val="007F0755"/>
    <w:rsid w:val="007F12D6"/>
    <w:rsid w:val="007F2B8C"/>
    <w:rsid w:val="007F2ECE"/>
    <w:rsid w:val="007F3290"/>
    <w:rsid w:val="007F3CC1"/>
    <w:rsid w:val="007F4AC3"/>
    <w:rsid w:val="007F54EB"/>
    <w:rsid w:val="007F7349"/>
    <w:rsid w:val="008003EB"/>
    <w:rsid w:val="00800BC5"/>
    <w:rsid w:val="00801C5E"/>
    <w:rsid w:val="008021BB"/>
    <w:rsid w:val="00802B2B"/>
    <w:rsid w:val="008035B8"/>
    <w:rsid w:val="00803F64"/>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1962"/>
    <w:rsid w:val="008219F4"/>
    <w:rsid w:val="00821E24"/>
    <w:rsid w:val="008235C4"/>
    <w:rsid w:val="00825A8C"/>
    <w:rsid w:val="00825F76"/>
    <w:rsid w:val="00826828"/>
    <w:rsid w:val="00826EBB"/>
    <w:rsid w:val="008305EF"/>
    <w:rsid w:val="008319C8"/>
    <w:rsid w:val="00832358"/>
    <w:rsid w:val="00833699"/>
    <w:rsid w:val="00833876"/>
    <w:rsid w:val="00836D97"/>
    <w:rsid w:val="00837D71"/>
    <w:rsid w:val="00840E0A"/>
    <w:rsid w:val="0084129C"/>
    <w:rsid w:val="00842336"/>
    <w:rsid w:val="0084296B"/>
    <w:rsid w:val="0084403D"/>
    <w:rsid w:val="00844EC3"/>
    <w:rsid w:val="00845853"/>
    <w:rsid w:val="008458D6"/>
    <w:rsid w:val="00845EA4"/>
    <w:rsid w:val="00846466"/>
    <w:rsid w:val="00846619"/>
    <w:rsid w:val="0084684A"/>
    <w:rsid w:val="00846D48"/>
    <w:rsid w:val="0085038C"/>
    <w:rsid w:val="0085223D"/>
    <w:rsid w:val="00852A72"/>
    <w:rsid w:val="008533C0"/>
    <w:rsid w:val="00853788"/>
    <w:rsid w:val="00854F4E"/>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02"/>
    <w:rsid w:val="008815D6"/>
    <w:rsid w:val="00881F64"/>
    <w:rsid w:val="00886CCC"/>
    <w:rsid w:val="0088729C"/>
    <w:rsid w:val="008879C8"/>
    <w:rsid w:val="008900B2"/>
    <w:rsid w:val="00891AB5"/>
    <w:rsid w:val="00892233"/>
    <w:rsid w:val="00892762"/>
    <w:rsid w:val="00892DE3"/>
    <w:rsid w:val="00892FB1"/>
    <w:rsid w:val="0089386F"/>
    <w:rsid w:val="008941E2"/>
    <w:rsid w:val="008955DE"/>
    <w:rsid w:val="00895C10"/>
    <w:rsid w:val="00897991"/>
    <w:rsid w:val="008A25FE"/>
    <w:rsid w:val="008A3D19"/>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2270"/>
    <w:rsid w:val="008F2F59"/>
    <w:rsid w:val="008F302B"/>
    <w:rsid w:val="008F3169"/>
    <w:rsid w:val="008F35AF"/>
    <w:rsid w:val="008F4516"/>
    <w:rsid w:val="008F51DF"/>
    <w:rsid w:val="008F565A"/>
    <w:rsid w:val="008F5A67"/>
    <w:rsid w:val="008F5ADB"/>
    <w:rsid w:val="008F6B57"/>
    <w:rsid w:val="008F7B51"/>
    <w:rsid w:val="009002A5"/>
    <w:rsid w:val="0090156B"/>
    <w:rsid w:val="009015A9"/>
    <w:rsid w:val="00902554"/>
    <w:rsid w:val="009025D0"/>
    <w:rsid w:val="00902BBC"/>
    <w:rsid w:val="00902DF2"/>
    <w:rsid w:val="00903419"/>
    <w:rsid w:val="0090437E"/>
    <w:rsid w:val="00904C56"/>
    <w:rsid w:val="00906976"/>
    <w:rsid w:val="00906BCE"/>
    <w:rsid w:val="00907A29"/>
    <w:rsid w:val="00907FCF"/>
    <w:rsid w:val="009109BC"/>
    <w:rsid w:val="00910E03"/>
    <w:rsid w:val="0091111D"/>
    <w:rsid w:val="00911425"/>
    <w:rsid w:val="00913617"/>
    <w:rsid w:val="009138BB"/>
    <w:rsid w:val="00913C46"/>
    <w:rsid w:val="00917A4D"/>
    <w:rsid w:val="00921C2F"/>
    <w:rsid w:val="00921CBA"/>
    <w:rsid w:val="009230E6"/>
    <w:rsid w:val="00924282"/>
    <w:rsid w:val="00925AAA"/>
    <w:rsid w:val="009261EC"/>
    <w:rsid w:val="00927093"/>
    <w:rsid w:val="00931768"/>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5892"/>
    <w:rsid w:val="00956DC5"/>
    <w:rsid w:val="00960ACF"/>
    <w:rsid w:val="00960BB5"/>
    <w:rsid w:val="00963567"/>
    <w:rsid w:val="00964A5E"/>
    <w:rsid w:val="0096609A"/>
    <w:rsid w:val="00966496"/>
    <w:rsid w:val="009664B1"/>
    <w:rsid w:val="0096671A"/>
    <w:rsid w:val="009670B7"/>
    <w:rsid w:val="0097162F"/>
    <w:rsid w:val="0097205F"/>
    <w:rsid w:val="00972211"/>
    <w:rsid w:val="0097223F"/>
    <w:rsid w:val="009724CA"/>
    <w:rsid w:val="00972556"/>
    <w:rsid w:val="009726EB"/>
    <w:rsid w:val="00972BB1"/>
    <w:rsid w:val="00973946"/>
    <w:rsid w:val="00973F8C"/>
    <w:rsid w:val="00974545"/>
    <w:rsid w:val="00975A63"/>
    <w:rsid w:val="00976C2F"/>
    <w:rsid w:val="00977194"/>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0B13"/>
    <w:rsid w:val="0099120F"/>
    <w:rsid w:val="00992C77"/>
    <w:rsid w:val="00992ECB"/>
    <w:rsid w:val="0099354D"/>
    <w:rsid w:val="009941E5"/>
    <w:rsid w:val="0099423F"/>
    <w:rsid w:val="009954FF"/>
    <w:rsid w:val="0099592E"/>
    <w:rsid w:val="00995F67"/>
    <w:rsid w:val="00996124"/>
    <w:rsid w:val="00996973"/>
    <w:rsid w:val="009A06E0"/>
    <w:rsid w:val="009A09DC"/>
    <w:rsid w:val="009A0DE6"/>
    <w:rsid w:val="009A10CB"/>
    <w:rsid w:val="009A1F4E"/>
    <w:rsid w:val="009A2446"/>
    <w:rsid w:val="009A24CE"/>
    <w:rsid w:val="009A2997"/>
    <w:rsid w:val="009A2CCC"/>
    <w:rsid w:val="009A6AFC"/>
    <w:rsid w:val="009A6C62"/>
    <w:rsid w:val="009A7236"/>
    <w:rsid w:val="009B14E3"/>
    <w:rsid w:val="009B1686"/>
    <w:rsid w:val="009B1BC4"/>
    <w:rsid w:val="009B3E20"/>
    <w:rsid w:val="009B5CE3"/>
    <w:rsid w:val="009B5FAE"/>
    <w:rsid w:val="009B6455"/>
    <w:rsid w:val="009C0168"/>
    <w:rsid w:val="009C075B"/>
    <w:rsid w:val="009C19B6"/>
    <w:rsid w:val="009C221F"/>
    <w:rsid w:val="009C523C"/>
    <w:rsid w:val="009C56CA"/>
    <w:rsid w:val="009C765E"/>
    <w:rsid w:val="009C7978"/>
    <w:rsid w:val="009D0B88"/>
    <w:rsid w:val="009D1F7C"/>
    <w:rsid w:val="009D2FCF"/>
    <w:rsid w:val="009D358B"/>
    <w:rsid w:val="009D4514"/>
    <w:rsid w:val="009D5514"/>
    <w:rsid w:val="009D7F10"/>
    <w:rsid w:val="009E05CF"/>
    <w:rsid w:val="009E1544"/>
    <w:rsid w:val="009E26E9"/>
    <w:rsid w:val="009E30EC"/>
    <w:rsid w:val="009E3757"/>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27F"/>
    <w:rsid w:val="009F6651"/>
    <w:rsid w:val="009F6E9F"/>
    <w:rsid w:val="009F7652"/>
    <w:rsid w:val="00A00DD1"/>
    <w:rsid w:val="00A012B5"/>
    <w:rsid w:val="00A018C0"/>
    <w:rsid w:val="00A0194B"/>
    <w:rsid w:val="00A04D3A"/>
    <w:rsid w:val="00A05C7D"/>
    <w:rsid w:val="00A1354C"/>
    <w:rsid w:val="00A14E6C"/>
    <w:rsid w:val="00A1596B"/>
    <w:rsid w:val="00A15E91"/>
    <w:rsid w:val="00A1641D"/>
    <w:rsid w:val="00A17001"/>
    <w:rsid w:val="00A1720E"/>
    <w:rsid w:val="00A22077"/>
    <w:rsid w:val="00A22B6C"/>
    <w:rsid w:val="00A23C43"/>
    <w:rsid w:val="00A24D46"/>
    <w:rsid w:val="00A25141"/>
    <w:rsid w:val="00A25650"/>
    <w:rsid w:val="00A2576E"/>
    <w:rsid w:val="00A25959"/>
    <w:rsid w:val="00A25B66"/>
    <w:rsid w:val="00A25E1B"/>
    <w:rsid w:val="00A26488"/>
    <w:rsid w:val="00A271B7"/>
    <w:rsid w:val="00A27AC7"/>
    <w:rsid w:val="00A27FC4"/>
    <w:rsid w:val="00A305D9"/>
    <w:rsid w:val="00A3153C"/>
    <w:rsid w:val="00A32302"/>
    <w:rsid w:val="00A3317C"/>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60E82"/>
    <w:rsid w:val="00A62904"/>
    <w:rsid w:val="00A63788"/>
    <w:rsid w:val="00A64D5F"/>
    <w:rsid w:val="00A65D03"/>
    <w:rsid w:val="00A7079B"/>
    <w:rsid w:val="00A70D8D"/>
    <w:rsid w:val="00A70E9D"/>
    <w:rsid w:val="00A7195C"/>
    <w:rsid w:val="00A732F2"/>
    <w:rsid w:val="00A7363A"/>
    <w:rsid w:val="00A73967"/>
    <w:rsid w:val="00A73ED8"/>
    <w:rsid w:val="00A74067"/>
    <w:rsid w:val="00A740DF"/>
    <w:rsid w:val="00A75EAE"/>
    <w:rsid w:val="00A76973"/>
    <w:rsid w:val="00A80859"/>
    <w:rsid w:val="00A819EC"/>
    <w:rsid w:val="00A81F5E"/>
    <w:rsid w:val="00A821C5"/>
    <w:rsid w:val="00A82862"/>
    <w:rsid w:val="00A82C0E"/>
    <w:rsid w:val="00A83DBB"/>
    <w:rsid w:val="00A85323"/>
    <w:rsid w:val="00A85BDF"/>
    <w:rsid w:val="00A8649F"/>
    <w:rsid w:val="00A86656"/>
    <w:rsid w:val="00A87D23"/>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4B39"/>
    <w:rsid w:val="00AD4F2C"/>
    <w:rsid w:val="00AD4F4C"/>
    <w:rsid w:val="00AD52C0"/>
    <w:rsid w:val="00AD59D9"/>
    <w:rsid w:val="00AD5C7D"/>
    <w:rsid w:val="00AD6C65"/>
    <w:rsid w:val="00AE0100"/>
    <w:rsid w:val="00AE0873"/>
    <w:rsid w:val="00AE1B9C"/>
    <w:rsid w:val="00AE239E"/>
    <w:rsid w:val="00AE3335"/>
    <w:rsid w:val="00AE3BD4"/>
    <w:rsid w:val="00AE48CB"/>
    <w:rsid w:val="00AE4901"/>
    <w:rsid w:val="00AE5528"/>
    <w:rsid w:val="00AE579D"/>
    <w:rsid w:val="00AF05D6"/>
    <w:rsid w:val="00AF1133"/>
    <w:rsid w:val="00AF12B3"/>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8AA"/>
    <w:rsid w:val="00B315E3"/>
    <w:rsid w:val="00B31E95"/>
    <w:rsid w:val="00B32AB1"/>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DD8"/>
    <w:rsid w:val="00B5433B"/>
    <w:rsid w:val="00B54A5B"/>
    <w:rsid w:val="00B55443"/>
    <w:rsid w:val="00B56518"/>
    <w:rsid w:val="00B56DBB"/>
    <w:rsid w:val="00B57151"/>
    <w:rsid w:val="00B60825"/>
    <w:rsid w:val="00B6165B"/>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1E1A"/>
    <w:rsid w:val="00B9228A"/>
    <w:rsid w:val="00B93ACD"/>
    <w:rsid w:val="00B958E6"/>
    <w:rsid w:val="00B962F1"/>
    <w:rsid w:val="00B96A91"/>
    <w:rsid w:val="00B9780D"/>
    <w:rsid w:val="00BA1A01"/>
    <w:rsid w:val="00BA1A65"/>
    <w:rsid w:val="00BA2477"/>
    <w:rsid w:val="00BA3E74"/>
    <w:rsid w:val="00BA4A33"/>
    <w:rsid w:val="00BA4B26"/>
    <w:rsid w:val="00BA554A"/>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668D"/>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59E"/>
    <w:rsid w:val="00BE4AF0"/>
    <w:rsid w:val="00BE6E77"/>
    <w:rsid w:val="00BE7002"/>
    <w:rsid w:val="00BE7AD3"/>
    <w:rsid w:val="00BF0D84"/>
    <w:rsid w:val="00BF13E3"/>
    <w:rsid w:val="00BF1926"/>
    <w:rsid w:val="00BF23F0"/>
    <w:rsid w:val="00BF3428"/>
    <w:rsid w:val="00BF37F8"/>
    <w:rsid w:val="00BF3FEB"/>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01F7"/>
    <w:rsid w:val="00C12FD6"/>
    <w:rsid w:val="00C14C47"/>
    <w:rsid w:val="00C1562B"/>
    <w:rsid w:val="00C15967"/>
    <w:rsid w:val="00C16736"/>
    <w:rsid w:val="00C17CD7"/>
    <w:rsid w:val="00C20904"/>
    <w:rsid w:val="00C20A6F"/>
    <w:rsid w:val="00C223B4"/>
    <w:rsid w:val="00C22CC5"/>
    <w:rsid w:val="00C22FE4"/>
    <w:rsid w:val="00C236CC"/>
    <w:rsid w:val="00C23900"/>
    <w:rsid w:val="00C2423E"/>
    <w:rsid w:val="00C2470C"/>
    <w:rsid w:val="00C262FD"/>
    <w:rsid w:val="00C27124"/>
    <w:rsid w:val="00C2722A"/>
    <w:rsid w:val="00C27CE7"/>
    <w:rsid w:val="00C31840"/>
    <w:rsid w:val="00C3345B"/>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248"/>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BEE"/>
    <w:rsid w:val="00C54F38"/>
    <w:rsid w:val="00C556F0"/>
    <w:rsid w:val="00C563A1"/>
    <w:rsid w:val="00C56B46"/>
    <w:rsid w:val="00C62A08"/>
    <w:rsid w:val="00C65E67"/>
    <w:rsid w:val="00C65F2D"/>
    <w:rsid w:val="00C66E17"/>
    <w:rsid w:val="00C67D02"/>
    <w:rsid w:val="00C67E61"/>
    <w:rsid w:val="00C7077F"/>
    <w:rsid w:val="00C70B4A"/>
    <w:rsid w:val="00C70BED"/>
    <w:rsid w:val="00C70F34"/>
    <w:rsid w:val="00C73955"/>
    <w:rsid w:val="00C74149"/>
    <w:rsid w:val="00C74476"/>
    <w:rsid w:val="00C74AE4"/>
    <w:rsid w:val="00C76EC4"/>
    <w:rsid w:val="00C7754A"/>
    <w:rsid w:val="00C77F91"/>
    <w:rsid w:val="00C813C9"/>
    <w:rsid w:val="00C8158A"/>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B10F0"/>
    <w:rsid w:val="00CB2358"/>
    <w:rsid w:val="00CB3239"/>
    <w:rsid w:val="00CB38A3"/>
    <w:rsid w:val="00CB38B1"/>
    <w:rsid w:val="00CB4C80"/>
    <w:rsid w:val="00CB5573"/>
    <w:rsid w:val="00CB5D3D"/>
    <w:rsid w:val="00CB796F"/>
    <w:rsid w:val="00CC228D"/>
    <w:rsid w:val="00CC22A2"/>
    <w:rsid w:val="00CC2C4F"/>
    <w:rsid w:val="00CC30BE"/>
    <w:rsid w:val="00CC3352"/>
    <w:rsid w:val="00CC3B73"/>
    <w:rsid w:val="00CC3C86"/>
    <w:rsid w:val="00CC4B83"/>
    <w:rsid w:val="00CD004B"/>
    <w:rsid w:val="00CD0461"/>
    <w:rsid w:val="00CD2F7A"/>
    <w:rsid w:val="00CD3625"/>
    <w:rsid w:val="00CD41AF"/>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555D"/>
    <w:rsid w:val="00CF659C"/>
    <w:rsid w:val="00CF7AD0"/>
    <w:rsid w:val="00D0476C"/>
    <w:rsid w:val="00D04A14"/>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098"/>
    <w:rsid w:val="00D43460"/>
    <w:rsid w:val="00D44046"/>
    <w:rsid w:val="00D449A1"/>
    <w:rsid w:val="00D458D1"/>
    <w:rsid w:val="00D46352"/>
    <w:rsid w:val="00D46544"/>
    <w:rsid w:val="00D4654C"/>
    <w:rsid w:val="00D46558"/>
    <w:rsid w:val="00D46D05"/>
    <w:rsid w:val="00D47D72"/>
    <w:rsid w:val="00D50051"/>
    <w:rsid w:val="00D51D1F"/>
    <w:rsid w:val="00D532C7"/>
    <w:rsid w:val="00D55322"/>
    <w:rsid w:val="00D55AE3"/>
    <w:rsid w:val="00D56789"/>
    <w:rsid w:val="00D574BD"/>
    <w:rsid w:val="00D610A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5D28"/>
    <w:rsid w:val="00DB5DCB"/>
    <w:rsid w:val="00DB5EB9"/>
    <w:rsid w:val="00DB5FDF"/>
    <w:rsid w:val="00DB6F91"/>
    <w:rsid w:val="00DB79CB"/>
    <w:rsid w:val="00DC037E"/>
    <w:rsid w:val="00DC0C7D"/>
    <w:rsid w:val="00DC1260"/>
    <w:rsid w:val="00DC1B06"/>
    <w:rsid w:val="00DC1B28"/>
    <w:rsid w:val="00DC2627"/>
    <w:rsid w:val="00DC298E"/>
    <w:rsid w:val="00DC3032"/>
    <w:rsid w:val="00DC42CC"/>
    <w:rsid w:val="00DC503E"/>
    <w:rsid w:val="00DC5A33"/>
    <w:rsid w:val="00DC6AC6"/>
    <w:rsid w:val="00DC7216"/>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6559"/>
    <w:rsid w:val="00DF13DA"/>
    <w:rsid w:val="00DF29B5"/>
    <w:rsid w:val="00DF2DCB"/>
    <w:rsid w:val="00DF38B0"/>
    <w:rsid w:val="00DF5150"/>
    <w:rsid w:val="00DF5A21"/>
    <w:rsid w:val="00DF5DC7"/>
    <w:rsid w:val="00DF6261"/>
    <w:rsid w:val="00DF649C"/>
    <w:rsid w:val="00DF650A"/>
    <w:rsid w:val="00DF6B96"/>
    <w:rsid w:val="00DF7115"/>
    <w:rsid w:val="00E014A9"/>
    <w:rsid w:val="00E0232E"/>
    <w:rsid w:val="00E02836"/>
    <w:rsid w:val="00E02A20"/>
    <w:rsid w:val="00E02ED2"/>
    <w:rsid w:val="00E03AD1"/>
    <w:rsid w:val="00E03FF5"/>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B20"/>
    <w:rsid w:val="00E34686"/>
    <w:rsid w:val="00E35337"/>
    <w:rsid w:val="00E35D60"/>
    <w:rsid w:val="00E37C45"/>
    <w:rsid w:val="00E40170"/>
    <w:rsid w:val="00E408F1"/>
    <w:rsid w:val="00E42FD1"/>
    <w:rsid w:val="00E4424A"/>
    <w:rsid w:val="00E45338"/>
    <w:rsid w:val="00E4563B"/>
    <w:rsid w:val="00E45A0E"/>
    <w:rsid w:val="00E46042"/>
    <w:rsid w:val="00E469A4"/>
    <w:rsid w:val="00E46B27"/>
    <w:rsid w:val="00E47589"/>
    <w:rsid w:val="00E50326"/>
    <w:rsid w:val="00E50620"/>
    <w:rsid w:val="00E50C51"/>
    <w:rsid w:val="00E50DD4"/>
    <w:rsid w:val="00E51716"/>
    <w:rsid w:val="00E52103"/>
    <w:rsid w:val="00E52935"/>
    <w:rsid w:val="00E5324A"/>
    <w:rsid w:val="00E53724"/>
    <w:rsid w:val="00E5373E"/>
    <w:rsid w:val="00E55C2E"/>
    <w:rsid w:val="00E56A4A"/>
    <w:rsid w:val="00E579C9"/>
    <w:rsid w:val="00E61057"/>
    <w:rsid w:val="00E619A0"/>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CEB"/>
    <w:rsid w:val="00E9458D"/>
    <w:rsid w:val="00E9536B"/>
    <w:rsid w:val="00E970D8"/>
    <w:rsid w:val="00EA0254"/>
    <w:rsid w:val="00EA099C"/>
    <w:rsid w:val="00EA1004"/>
    <w:rsid w:val="00EA1877"/>
    <w:rsid w:val="00EA1C78"/>
    <w:rsid w:val="00EA32F7"/>
    <w:rsid w:val="00EA3FE2"/>
    <w:rsid w:val="00EA4799"/>
    <w:rsid w:val="00EA545A"/>
    <w:rsid w:val="00EA633E"/>
    <w:rsid w:val="00EA73DE"/>
    <w:rsid w:val="00EA75C4"/>
    <w:rsid w:val="00EA7986"/>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F39"/>
    <w:rsid w:val="00ED0DE1"/>
    <w:rsid w:val="00ED0ED8"/>
    <w:rsid w:val="00ED38B4"/>
    <w:rsid w:val="00ED3A75"/>
    <w:rsid w:val="00ED41FD"/>
    <w:rsid w:val="00ED66F6"/>
    <w:rsid w:val="00ED691D"/>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1E11"/>
    <w:rsid w:val="00F3209F"/>
    <w:rsid w:val="00F32C2B"/>
    <w:rsid w:val="00F32DAF"/>
    <w:rsid w:val="00F33EA0"/>
    <w:rsid w:val="00F344D5"/>
    <w:rsid w:val="00F34C5D"/>
    <w:rsid w:val="00F35F89"/>
    <w:rsid w:val="00F35FA2"/>
    <w:rsid w:val="00F36280"/>
    <w:rsid w:val="00F37AA1"/>
    <w:rsid w:val="00F405CF"/>
    <w:rsid w:val="00F40E4E"/>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44D"/>
    <w:rsid w:val="00F6337A"/>
    <w:rsid w:val="00F63405"/>
    <w:rsid w:val="00F64698"/>
    <w:rsid w:val="00F646EE"/>
    <w:rsid w:val="00F6697C"/>
    <w:rsid w:val="00F67661"/>
    <w:rsid w:val="00F67870"/>
    <w:rsid w:val="00F7308E"/>
    <w:rsid w:val="00F73787"/>
    <w:rsid w:val="00F73EDB"/>
    <w:rsid w:val="00F743E9"/>
    <w:rsid w:val="00F74AE7"/>
    <w:rsid w:val="00F74D46"/>
    <w:rsid w:val="00F7517D"/>
    <w:rsid w:val="00F75305"/>
    <w:rsid w:val="00F76363"/>
    <w:rsid w:val="00F76D40"/>
    <w:rsid w:val="00F77355"/>
    <w:rsid w:val="00F778AD"/>
    <w:rsid w:val="00F804CC"/>
    <w:rsid w:val="00F823D5"/>
    <w:rsid w:val="00F8281A"/>
    <w:rsid w:val="00F8358F"/>
    <w:rsid w:val="00F83C68"/>
    <w:rsid w:val="00F8429E"/>
    <w:rsid w:val="00F8534E"/>
    <w:rsid w:val="00F857B7"/>
    <w:rsid w:val="00F86388"/>
    <w:rsid w:val="00F86E0F"/>
    <w:rsid w:val="00F8702F"/>
    <w:rsid w:val="00F8737E"/>
    <w:rsid w:val="00F87A1C"/>
    <w:rsid w:val="00F87BEF"/>
    <w:rsid w:val="00F922B0"/>
    <w:rsid w:val="00F92A9A"/>
    <w:rsid w:val="00F94CA1"/>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F42"/>
    <w:rsid w:val="00FB1425"/>
    <w:rsid w:val="00FB167E"/>
    <w:rsid w:val="00FB1CF9"/>
    <w:rsid w:val="00FB33BC"/>
    <w:rsid w:val="00FB3B5E"/>
    <w:rsid w:val="00FB4E6B"/>
    <w:rsid w:val="00FB5F72"/>
    <w:rsid w:val="00FB6A6F"/>
    <w:rsid w:val="00FB7B32"/>
    <w:rsid w:val="00FC0C8D"/>
    <w:rsid w:val="00FC13C8"/>
    <w:rsid w:val="00FC22CE"/>
    <w:rsid w:val="00FC2E4E"/>
    <w:rsid w:val="00FC3332"/>
    <w:rsid w:val="00FC3B53"/>
    <w:rsid w:val="00FC45F3"/>
    <w:rsid w:val="00FC5360"/>
    <w:rsid w:val="00FC5EE3"/>
    <w:rsid w:val="00FC74B0"/>
    <w:rsid w:val="00FC7505"/>
    <w:rsid w:val="00FD13E0"/>
    <w:rsid w:val="00FD1A20"/>
    <w:rsid w:val="00FD2C54"/>
    <w:rsid w:val="00FD3D62"/>
    <w:rsid w:val="00FD4802"/>
    <w:rsid w:val="00FD4876"/>
    <w:rsid w:val="00FD619E"/>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semiHidden/>
    <w:rsid w:val="009F3473"/>
    <w:rPr>
      <w:sz w:val="16"/>
      <w:szCs w:val="16"/>
    </w:rPr>
  </w:style>
  <w:style w:type="paragraph" w:styleId="CommentText">
    <w:name w:val="annotation text"/>
    <w:basedOn w:val="Normal"/>
    <w:link w:val="CommentTextChar"/>
    <w:uiPriority w:val="99"/>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customStyle="1" w:styleId="CommentTextChar">
    <w:name w:val="Comment Text Char"/>
    <w:basedOn w:val="DefaultParagraphFont"/>
    <w:link w:val="CommentText"/>
    <w:uiPriority w:val="99"/>
    <w:semiHidden/>
    <w:rsid w:val="00FC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6392-E11A-4933-9209-9ADFC845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2020-07-30T00:39:00Z</dcterms:created>
  <dcterms:modified xsi:type="dcterms:W3CDTF">2020-08-28T01:59:00Z</dcterms:modified>
</cp:coreProperties>
</file>