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26015" w14:textId="77777777" w:rsidR="00C278B1" w:rsidRPr="003A13C5" w:rsidRDefault="00C278B1" w:rsidP="00C278B1">
      <w:r w:rsidRPr="003A13C5">
        <w:rPr>
          <w:noProof/>
          <w:lang w:eastAsia="en-AU"/>
        </w:rPr>
        <w:drawing>
          <wp:inline distT="0" distB="0" distL="0" distR="0" wp14:anchorId="0D7D9635" wp14:editId="25F81EE9">
            <wp:extent cx="12858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981075"/>
                    </a:xfrm>
                    <a:prstGeom prst="rect">
                      <a:avLst/>
                    </a:prstGeom>
                    <a:noFill/>
                    <a:ln>
                      <a:noFill/>
                    </a:ln>
                  </pic:spPr>
                </pic:pic>
              </a:graphicData>
            </a:graphic>
          </wp:inline>
        </w:drawing>
      </w:r>
    </w:p>
    <w:p w14:paraId="43DCD9A0" w14:textId="40B4A378" w:rsidR="00C278B1" w:rsidRPr="003A13C5" w:rsidRDefault="00DB67CF" w:rsidP="00C278B1">
      <w:pPr>
        <w:spacing w:before="240"/>
        <w:rPr>
          <w:rFonts w:ascii="Arial" w:hAnsi="Arial" w:cs="Arial"/>
          <w:b/>
          <w:sz w:val="28"/>
          <w:szCs w:val="28"/>
        </w:rPr>
      </w:pPr>
      <w:r w:rsidRPr="003A13C5">
        <w:rPr>
          <w:rFonts w:ascii="Arial" w:hAnsi="Arial" w:cs="Arial"/>
          <w:b/>
          <w:sz w:val="28"/>
          <w:szCs w:val="28"/>
        </w:rPr>
        <w:t xml:space="preserve">PB </w:t>
      </w:r>
      <w:r w:rsidR="0096673F" w:rsidRPr="003A13C5">
        <w:rPr>
          <w:rFonts w:ascii="Arial" w:hAnsi="Arial" w:cs="Arial"/>
          <w:b/>
          <w:sz w:val="28"/>
          <w:szCs w:val="28"/>
        </w:rPr>
        <w:t>3</w:t>
      </w:r>
      <w:r w:rsidR="006010E2" w:rsidRPr="003A13C5">
        <w:rPr>
          <w:rFonts w:ascii="Arial" w:hAnsi="Arial" w:cs="Arial"/>
          <w:b/>
          <w:sz w:val="28"/>
          <w:szCs w:val="28"/>
        </w:rPr>
        <w:t>7</w:t>
      </w:r>
      <w:r w:rsidRPr="003A13C5">
        <w:rPr>
          <w:rFonts w:ascii="Arial" w:hAnsi="Arial" w:cs="Arial"/>
          <w:b/>
          <w:sz w:val="28"/>
          <w:szCs w:val="28"/>
        </w:rPr>
        <w:t xml:space="preserve"> </w:t>
      </w:r>
      <w:r w:rsidR="006B43C7" w:rsidRPr="003A13C5">
        <w:rPr>
          <w:rFonts w:ascii="Arial" w:hAnsi="Arial" w:cs="Arial"/>
          <w:b/>
          <w:sz w:val="28"/>
          <w:szCs w:val="28"/>
        </w:rPr>
        <w:t>of 2020</w:t>
      </w:r>
    </w:p>
    <w:p w14:paraId="0A959A5B" w14:textId="77777777" w:rsidR="00C278B1" w:rsidRPr="003A13C5" w:rsidRDefault="00C278B1" w:rsidP="00C278B1">
      <w:pPr>
        <w:spacing w:before="240"/>
        <w:rPr>
          <w:rFonts w:ascii="Arial" w:hAnsi="Arial" w:cs="Arial"/>
          <w:sz w:val="28"/>
          <w:szCs w:val="28"/>
        </w:rPr>
      </w:pPr>
    </w:p>
    <w:p w14:paraId="284F569F" w14:textId="18106D68" w:rsidR="00C278B1" w:rsidRPr="003A13C5" w:rsidRDefault="00C278B1" w:rsidP="00C278B1">
      <w:pPr>
        <w:rPr>
          <w:rFonts w:ascii="Arial" w:hAnsi="Arial" w:cs="Arial"/>
          <w:b/>
          <w:sz w:val="40"/>
          <w:szCs w:val="40"/>
        </w:rPr>
      </w:pPr>
      <w:r w:rsidRPr="003A13C5">
        <w:rPr>
          <w:rFonts w:ascii="Arial" w:hAnsi="Arial" w:cs="Arial"/>
          <w:b/>
          <w:sz w:val="40"/>
          <w:szCs w:val="40"/>
        </w:rPr>
        <w:t>National Health (Highly specialised drugs program) Special Arrangement Amendment</w:t>
      </w:r>
      <w:r w:rsidR="006E5F07" w:rsidRPr="003A13C5">
        <w:rPr>
          <w:rFonts w:ascii="Arial" w:hAnsi="Arial" w:cs="Arial"/>
          <w:b/>
          <w:sz w:val="40"/>
          <w:szCs w:val="40"/>
        </w:rPr>
        <w:t> </w:t>
      </w:r>
      <w:r w:rsidR="006B43C7" w:rsidRPr="003A13C5">
        <w:rPr>
          <w:rFonts w:ascii="Arial" w:hAnsi="Arial" w:cs="Arial"/>
          <w:b/>
          <w:sz w:val="40"/>
          <w:szCs w:val="40"/>
        </w:rPr>
        <w:t>Instrument 2020</w:t>
      </w:r>
      <w:r w:rsidRPr="003A13C5">
        <w:rPr>
          <w:rFonts w:ascii="Arial" w:hAnsi="Arial" w:cs="Arial"/>
          <w:b/>
          <w:sz w:val="40"/>
          <w:szCs w:val="40"/>
        </w:rPr>
        <w:t xml:space="preserve"> (No. </w:t>
      </w:r>
      <w:r w:rsidR="00725999" w:rsidRPr="003A13C5">
        <w:rPr>
          <w:rFonts w:ascii="Arial" w:hAnsi="Arial" w:cs="Arial"/>
          <w:b/>
          <w:sz w:val="40"/>
          <w:szCs w:val="40"/>
        </w:rPr>
        <w:t>4</w:t>
      </w:r>
      <w:r w:rsidRPr="003A13C5">
        <w:rPr>
          <w:rFonts w:ascii="Arial" w:hAnsi="Arial" w:cs="Arial"/>
          <w:b/>
          <w:sz w:val="40"/>
          <w:szCs w:val="40"/>
        </w:rPr>
        <w:t>)</w:t>
      </w:r>
    </w:p>
    <w:p w14:paraId="06BAE922" w14:textId="77777777" w:rsidR="00C278B1" w:rsidRPr="003A13C5" w:rsidRDefault="00C278B1" w:rsidP="00C278B1"/>
    <w:p w14:paraId="4B8E68E2" w14:textId="77777777" w:rsidR="00C278B1" w:rsidRPr="003A13C5" w:rsidRDefault="00C278B1" w:rsidP="00C278B1">
      <w:pPr>
        <w:rPr>
          <w:rFonts w:ascii="Arial" w:hAnsi="Arial" w:cs="Arial"/>
          <w:i/>
          <w:sz w:val="28"/>
          <w:szCs w:val="28"/>
        </w:rPr>
      </w:pPr>
      <w:r w:rsidRPr="003A13C5">
        <w:rPr>
          <w:rFonts w:ascii="Arial" w:hAnsi="Arial" w:cs="Arial"/>
          <w:i/>
          <w:sz w:val="28"/>
          <w:szCs w:val="28"/>
        </w:rPr>
        <w:t>National Health Act 1953</w:t>
      </w:r>
    </w:p>
    <w:p w14:paraId="315A9466" w14:textId="77777777" w:rsidR="00C278B1" w:rsidRPr="003A13C5" w:rsidRDefault="00C278B1" w:rsidP="00C278B1">
      <w:r w:rsidRPr="003A13C5">
        <w:t>___________________________________________________________________________</w:t>
      </w:r>
    </w:p>
    <w:p w14:paraId="7AFBCEEA" w14:textId="77777777" w:rsidR="00C278B1" w:rsidRPr="003A13C5" w:rsidRDefault="00C278B1" w:rsidP="00C278B1"/>
    <w:p w14:paraId="293DDA40" w14:textId="1D189758" w:rsidR="00C278B1" w:rsidRPr="003A13C5" w:rsidRDefault="00C278B1" w:rsidP="00C278B1">
      <w:r w:rsidRPr="003A13C5">
        <w:t xml:space="preserve">I, </w:t>
      </w:r>
      <w:r w:rsidR="00AA449E" w:rsidRPr="003A13C5">
        <w:t>BEN SLADIC, Assistant Secretary</w:t>
      </w:r>
      <w:r w:rsidRPr="003A13C5">
        <w:t xml:space="preserve">, Pharmacy Branch, Technology Assessment and Access Division, Department of Health, delegate of the Minister for Health, make this Amendment Instrument under subsection 100(2) of the </w:t>
      </w:r>
      <w:r w:rsidRPr="003A13C5">
        <w:rPr>
          <w:i/>
        </w:rPr>
        <w:t>National Health Act 1953</w:t>
      </w:r>
      <w:r w:rsidRPr="003A13C5">
        <w:t>.</w:t>
      </w:r>
    </w:p>
    <w:p w14:paraId="44EA8AD0" w14:textId="77777777" w:rsidR="00C278B1" w:rsidRPr="003A13C5" w:rsidRDefault="00C278B1" w:rsidP="00C278B1"/>
    <w:p w14:paraId="74DC24ED" w14:textId="00C2DB34" w:rsidR="00C278B1" w:rsidRPr="003A13C5" w:rsidRDefault="00C278B1" w:rsidP="00C278B1">
      <w:pPr>
        <w:tabs>
          <w:tab w:val="left" w:pos="1134"/>
        </w:tabs>
      </w:pPr>
      <w:r w:rsidRPr="003A13C5">
        <w:t xml:space="preserve">Dated </w:t>
      </w:r>
      <w:r w:rsidRPr="003A13C5">
        <w:tab/>
      </w:r>
      <w:r w:rsidR="00725999" w:rsidRPr="003A13C5">
        <w:tab/>
      </w:r>
      <w:r w:rsidR="00F1109A" w:rsidRPr="003A13C5">
        <w:t>29 April</w:t>
      </w:r>
      <w:r w:rsidR="00725999" w:rsidRPr="003A13C5">
        <w:tab/>
      </w:r>
      <w:r w:rsidR="006B43C7" w:rsidRPr="003A13C5">
        <w:t>2020</w:t>
      </w:r>
    </w:p>
    <w:p w14:paraId="3C81905C" w14:textId="77777777" w:rsidR="00C278B1" w:rsidRPr="003A13C5" w:rsidRDefault="00C278B1" w:rsidP="00C278B1"/>
    <w:p w14:paraId="518BE16D" w14:textId="77777777" w:rsidR="00C278B1" w:rsidRPr="003A13C5" w:rsidRDefault="00C278B1" w:rsidP="00C278B1">
      <w:bookmarkStart w:id="0" w:name="_GoBack"/>
      <w:bookmarkEnd w:id="0"/>
    </w:p>
    <w:p w14:paraId="7E5401CA" w14:textId="77777777" w:rsidR="00C278B1" w:rsidRPr="003A13C5" w:rsidRDefault="00C278B1" w:rsidP="00C278B1"/>
    <w:p w14:paraId="77D59180" w14:textId="77777777" w:rsidR="00C278B1" w:rsidRPr="003A13C5" w:rsidRDefault="00C278B1" w:rsidP="00C278B1"/>
    <w:p w14:paraId="573BC3B9" w14:textId="77777777" w:rsidR="00C278B1" w:rsidRPr="003A13C5" w:rsidRDefault="00C278B1" w:rsidP="00C278B1"/>
    <w:p w14:paraId="2AD08386" w14:textId="77777777" w:rsidR="00C278B1" w:rsidRPr="003A13C5" w:rsidRDefault="00C278B1" w:rsidP="00C278B1"/>
    <w:p w14:paraId="1C527410" w14:textId="77777777" w:rsidR="00C278B1" w:rsidRPr="003A13C5" w:rsidRDefault="00C278B1" w:rsidP="00C278B1"/>
    <w:p w14:paraId="223B4F20" w14:textId="77777777" w:rsidR="00C278B1" w:rsidRPr="003A13C5" w:rsidRDefault="00C278B1" w:rsidP="00C278B1"/>
    <w:p w14:paraId="585732C6" w14:textId="77777777" w:rsidR="00C278B1" w:rsidRPr="003A13C5" w:rsidRDefault="00C278B1" w:rsidP="00C278B1"/>
    <w:p w14:paraId="2443BFF5" w14:textId="77777777" w:rsidR="00C278B1" w:rsidRPr="003A13C5" w:rsidRDefault="00C278B1" w:rsidP="00C278B1"/>
    <w:p w14:paraId="5627CE4E" w14:textId="77777777" w:rsidR="00C278B1" w:rsidRPr="003A13C5" w:rsidRDefault="00C278B1" w:rsidP="00C278B1"/>
    <w:p w14:paraId="502257EF" w14:textId="77777777" w:rsidR="00C278B1" w:rsidRPr="003A13C5" w:rsidRDefault="00C278B1" w:rsidP="00C278B1"/>
    <w:p w14:paraId="50943E3F" w14:textId="77777777" w:rsidR="00C278B1" w:rsidRPr="003A13C5" w:rsidRDefault="00C278B1" w:rsidP="00C278B1"/>
    <w:p w14:paraId="6224C93B" w14:textId="77777777" w:rsidR="00C278B1" w:rsidRPr="003A13C5" w:rsidRDefault="00C278B1" w:rsidP="00C278B1"/>
    <w:p w14:paraId="3848CE2D" w14:textId="77777777" w:rsidR="00C278B1" w:rsidRPr="003A13C5" w:rsidRDefault="00C278B1" w:rsidP="00C278B1"/>
    <w:p w14:paraId="5C1A63D8" w14:textId="77777777" w:rsidR="00C278B1" w:rsidRPr="003A13C5" w:rsidRDefault="00C278B1" w:rsidP="00C278B1"/>
    <w:p w14:paraId="7B754AF4" w14:textId="77777777" w:rsidR="00C278B1" w:rsidRPr="003A13C5" w:rsidRDefault="00C278B1" w:rsidP="00C278B1"/>
    <w:p w14:paraId="5DC96BA6" w14:textId="77777777" w:rsidR="00C278B1" w:rsidRPr="003A13C5" w:rsidRDefault="00C278B1" w:rsidP="00C278B1"/>
    <w:p w14:paraId="1333A6A2" w14:textId="77777777" w:rsidR="00C278B1" w:rsidRPr="003A13C5" w:rsidRDefault="00C278B1" w:rsidP="00C278B1"/>
    <w:p w14:paraId="5F33937D" w14:textId="77777777" w:rsidR="00AA449E" w:rsidRPr="003A13C5" w:rsidRDefault="00AA449E" w:rsidP="00AA449E">
      <w:pPr>
        <w:rPr>
          <w:b/>
        </w:rPr>
      </w:pPr>
      <w:r w:rsidRPr="003A13C5">
        <w:rPr>
          <w:b/>
        </w:rPr>
        <w:t>BEN SLADIC</w:t>
      </w:r>
    </w:p>
    <w:p w14:paraId="58AE10B4" w14:textId="77777777" w:rsidR="00AA449E" w:rsidRPr="003A13C5" w:rsidRDefault="00AA449E" w:rsidP="00AA449E">
      <w:r w:rsidRPr="003A13C5">
        <w:t>Assistant Secretary</w:t>
      </w:r>
    </w:p>
    <w:p w14:paraId="4CFB85D2" w14:textId="77777777" w:rsidR="00C278B1" w:rsidRPr="003A13C5" w:rsidRDefault="00C278B1" w:rsidP="00C278B1">
      <w:r w:rsidRPr="003A13C5">
        <w:t>Pharmacy Branch</w:t>
      </w:r>
    </w:p>
    <w:p w14:paraId="6849A752" w14:textId="77777777" w:rsidR="00C278B1" w:rsidRPr="003A13C5" w:rsidRDefault="00C278B1" w:rsidP="00C278B1">
      <w:r w:rsidRPr="003A13C5">
        <w:t>Technology Assessment and Access Division</w:t>
      </w:r>
    </w:p>
    <w:p w14:paraId="6CA4F36A" w14:textId="77777777" w:rsidR="00C278B1" w:rsidRPr="003A13C5" w:rsidRDefault="00C278B1" w:rsidP="00C278B1">
      <w:r w:rsidRPr="003A13C5">
        <w:t>Department of Health</w:t>
      </w:r>
    </w:p>
    <w:p w14:paraId="0F1B28AA" w14:textId="77777777" w:rsidR="00C278B1" w:rsidRPr="003A13C5" w:rsidRDefault="00C278B1" w:rsidP="00C278B1">
      <w:r w:rsidRPr="003A13C5">
        <w:br w:type="page"/>
      </w:r>
    </w:p>
    <w:p w14:paraId="1FF3BEAD" w14:textId="77777777" w:rsidR="00C278B1" w:rsidRPr="003A13C5" w:rsidRDefault="00C278B1" w:rsidP="00C278B1"/>
    <w:p w14:paraId="64E6C02C" w14:textId="77777777" w:rsidR="00C278B1" w:rsidRPr="003A13C5" w:rsidRDefault="00C278B1" w:rsidP="00C278B1">
      <w:pPr>
        <w:spacing w:before="120"/>
      </w:pPr>
      <w:r w:rsidRPr="003A13C5">
        <w:t>___________________________________________________________________________</w:t>
      </w:r>
    </w:p>
    <w:p w14:paraId="03674336" w14:textId="77777777" w:rsidR="00C278B1" w:rsidRPr="003A13C5" w:rsidRDefault="00C278B1" w:rsidP="00550AF2">
      <w:pPr>
        <w:pStyle w:val="ListParagraph"/>
        <w:numPr>
          <w:ilvl w:val="0"/>
          <w:numId w:val="8"/>
        </w:numPr>
        <w:spacing w:before="360"/>
        <w:ind w:left="567" w:hanging="567"/>
        <w:contextualSpacing w:val="0"/>
        <w:rPr>
          <w:rFonts w:ascii="Arial" w:hAnsi="Arial" w:cs="Arial"/>
          <w:b/>
        </w:rPr>
      </w:pPr>
      <w:r w:rsidRPr="003A13C5">
        <w:rPr>
          <w:rFonts w:ascii="Arial" w:hAnsi="Arial" w:cs="Arial"/>
          <w:b/>
        </w:rPr>
        <w:t>Name of Instrument</w:t>
      </w:r>
    </w:p>
    <w:p w14:paraId="2B8A1F52" w14:textId="3EBFBA73" w:rsidR="00C278B1" w:rsidRPr="003A13C5" w:rsidRDefault="00C278B1" w:rsidP="00550AF2">
      <w:pPr>
        <w:pStyle w:val="ListParagraph"/>
        <w:numPr>
          <w:ilvl w:val="0"/>
          <w:numId w:val="9"/>
        </w:numPr>
        <w:spacing w:before="120"/>
        <w:ind w:left="1134" w:hanging="567"/>
        <w:contextualSpacing w:val="0"/>
      </w:pPr>
      <w:r w:rsidRPr="003A13C5">
        <w:t xml:space="preserve">This Instrument is the </w:t>
      </w:r>
      <w:r w:rsidRPr="003A13C5">
        <w:rPr>
          <w:i/>
        </w:rPr>
        <w:t>National Health (Highly specialised drugs program) Special Arra</w:t>
      </w:r>
      <w:r w:rsidR="006B43C7" w:rsidRPr="003A13C5">
        <w:rPr>
          <w:i/>
        </w:rPr>
        <w:t>ngement Amendment Instrument 2020</w:t>
      </w:r>
      <w:r w:rsidRPr="003A13C5">
        <w:rPr>
          <w:i/>
        </w:rPr>
        <w:t xml:space="preserve"> (No. </w:t>
      </w:r>
      <w:r w:rsidR="00725999" w:rsidRPr="003A13C5">
        <w:rPr>
          <w:i/>
        </w:rPr>
        <w:t>4</w:t>
      </w:r>
      <w:r w:rsidRPr="003A13C5">
        <w:rPr>
          <w:i/>
        </w:rPr>
        <w:t>)</w:t>
      </w:r>
      <w:r w:rsidRPr="003A13C5">
        <w:t>.</w:t>
      </w:r>
    </w:p>
    <w:p w14:paraId="6CE0692C" w14:textId="3B1DCE8E" w:rsidR="00C278B1" w:rsidRPr="003A13C5" w:rsidRDefault="00C278B1" w:rsidP="00550AF2">
      <w:pPr>
        <w:pStyle w:val="ListParagraph"/>
        <w:numPr>
          <w:ilvl w:val="0"/>
          <w:numId w:val="9"/>
        </w:numPr>
        <w:spacing w:before="120"/>
        <w:ind w:left="1134" w:hanging="567"/>
        <w:contextualSpacing w:val="0"/>
      </w:pPr>
      <w:r w:rsidRPr="003A13C5">
        <w:t xml:space="preserve">This Instrument may also be cited as PB </w:t>
      </w:r>
      <w:r w:rsidR="0096673F" w:rsidRPr="003A13C5">
        <w:t>3</w:t>
      </w:r>
      <w:r w:rsidR="006010E2" w:rsidRPr="003A13C5">
        <w:t>7</w:t>
      </w:r>
      <w:r w:rsidR="00725999" w:rsidRPr="003A13C5">
        <w:t xml:space="preserve"> </w:t>
      </w:r>
      <w:r w:rsidR="006B43C7" w:rsidRPr="003A13C5">
        <w:t>of 2020</w:t>
      </w:r>
      <w:r w:rsidRPr="003A13C5">
        <w:t>.</w:t>
      </w:r>
    </w:p>
    <w:p w14:paraId="782FBBC3" w14:textId="77777777" w:rsidR="00C278B1" w:rsidRPr="003A13C5" w:rsidRDefault="00C278B1" w:rsidP="00550AF2">
      <w:pPr>
        <w:pStyle w:val="ListParagraph"/>
        <w:numPr>
          <w:ilvl w:val="0"/>
          <w:numId w:val="8"/>
        </w:numPr>
        <w:spacing w:before="360"/>
        <w:ind w:left="567" w:hanging="567"/>
        <w:contextualSpacing w:val="0"/>
        <w:rPr>
          <w:rFonts w:ascii="Arial" w:hAnsi="Arial" w:cs="Arial"/>
          <w:b/>
        </w:rPr>
      </w:pPr>
      <w:r w:rsidRPr="003A13C5">
        <w:rPr>
          <w:rFonts w:ascii="Arial" w:hAnsi="Arial" w:cs="Arial"/>
          <w:b/>
        </w:rPr>
        <w:t>Commencement</w:t>
      </w:r>
    </w:p>
    <w:p w14:paraId="5A430E91" w14:textId="5E7C5471" w:rsidR="00C278B1" w:rsidRPr="003A13C5" w:rsidRDefault="00C278B1" w:rsidP="00C278B1">
      <w:pPr>
        <w:spacing w:before="120"/>
        <w:ind w:left="567"/>
      </w:pPr>
      <w:r w:rsidRPr="003A13C5">
        <w:t xml:space="preserve">This Instrument commences on 1 </w:t>
      </w:r>
      <w:r w:rsidR="00725999" w:rsidRPr="003A13C5">
        <w:t>May</w:t>
      </w:r>
      <w:r w:rsidR="00BE6C7C" w:rsidRPr="003A13C5">
        <w:t xml:space="preserve"> 2020</w:t>
      </w:r>
      <w:r w:rsidRPr="003A13C5">
        <w:t>.</w:t>
      </w:r>
    </w:p>
    <w:p w14:paraId="5992ABB6" w14:textId="77777777" w:rsidR="00C278B1" w:rsidRPr="003A13C5" w:rsidRDefault="00C278B1" w:rsidP="00550AF2">
      <w:pPr>
        <w:pStyle w:val="ListParagraph"/>
        <w:numPr>
          <w:ilvl w:val="0"/>
          <w:numId w:val="8"/>
        </w:numPr>
        <w:spacing w:before="360"/>
        <w:ind w:left="567" w:hanging="567"/>
        <w:contextualSpacing w:val="0"/>
        <w:rPr>
          <w:rFonts w:ascii="Arial" w:hAnsi="Arial" w:cs="Arial"/>
          <w:b/>
        </w:rPr>
      </w:pPr>
      <w:r w:rsidRPr="003A13C5">
        <w:rPr>
          <w:rFonts w:ascii="Arial" w:hAnsi="Arial" w:cs="Arial"/>
          <w:b/>
        </w:rPr>
        <w:t xml:space="preserve">Amendment of </w:t>
      </w:r>
      <w:r w:rsidRPr="003A13C5">
        <w:rPr>
          <w:rFonts w:ascii="Arial" w:hAnsi="Arial" w:cs="Arial"/>
          <w:b/>
          <w:i/>
        </w:rPr>
        <w:t>National Health (Highly specialised drugs program) Special Arrangement 2010</w:t>
      </w:r>
      <w:r w:rsidRPr="003A13C5">
        <w:rPr>
          <w:rFonts w:ascii="Arial" w:hAnsi="Arial" w:cs="Arial"/>
          <w:b/>
        </w:rPr>
        <w:t xml:space="preserve"> (PB 116 of 2010)</w:t>
      </w:r>
    </w:p>
    <w:p w14:paraId="6AD2598E" w14:textId="77777777" w:rsidR="00C278B1" w:rsidRPr="003A13C5" w:rsidRDefault="00C278B1" w:rsidP="00C278B1">
      <w:pPr>
        <w:spacing w:before="120"/>
        <w:ind w:left="567"/>
      </w:pPr>
      <w:r w:rsidRPr="003A13C5">
        <w:t xml:space="preserve">Schedule 1 amends the </w:t>
      </w:r>
      <w:r w:rsidRPr="003A13C5">
        <w:rPr>
          <w:i/>
        </w:rPr>
        <w:t>National Health (Highly specialised drugs program) Special Arrangement 2010</w:t>
      </w:r>
      <w:r w:rsidRPr="003A13C5">
        <w:t xml:space="preserve"> (PB 116 of 2010).</w:t>
      </w:r>
    </w:p>
    <w:p w14:paraId="17BF4705" w14:textId="77777777" w:rsidR="00BE6C7C" w:rsidRPr="003A13C5" w:rsidRDefault="00BE6C7C" w:rsidP="00C278B1"/>
    <w:p w14:paraId="79819DAF" w14:textId="77777777" w:rsidR="00257AAA" w:rsidRPr="003A13C5" w:rsidRDefault="00257AAA" w:rsidP="009D3177"/>
    <w:p w14:paraId="7C8B4159" w14:textId="77777777" w:rsidR="00CA75F8" w:rsidRPr="003A13C5" w:rsidRDefault="00CA75F8" w:rsidP="009D3177">
      <w:pPr>
        <w:sectPr w:rsidR="00CA75F8" w:rsidRPr="003A13C5" w:rsidSect="009D3177">
          <w:footerReference w:type="default" r:id="rId9"/>
          <w:footerReference w:type="first" r:id="rId10"/>
          <w:pgSz w:w="11906" w:h="16838" w:code="9"/>
          <w:pgMar w:top="962" w:right="1440" w:bottom="851" w:left="1440" w:header="709" w:footer="709" w:gutter="0"/>
          <w:pgNumType w:start="1"/>
          <w:cols w:space="708"/>
          <w:titlePg/>
          <w:docGrid w:linePitch="360"/>
        </w:sectPr>
      </w:pPr>
    </w:p>
    <w:p w14:paraId="0557006D" w14:textId="77777777" w:rsidR="00C278B1" w:rsidRPr="003A13C5" w:rsidRDefault="00C278B1" w:rsidP="008C5AE2">
      <w:pPr>
        <w:tabs>
          <w:tab w:val="left" w:pos="720"/>
        </w:tabs>
        <w:rPr>
          <w:rFonts w:ascii="Arial" w:hAnsi="Arial" w:cs="Arial"/>
          <w:b/>
          <w:sz w:val="32"/>
          <w:szCs w:val="32"/>
        </w:rPr>
      </w:pPr>
      <w:r w:rsidRPr="003A13C5">
        <w:rPr>
          <w:rFonts w:ascii="Arial" w:hAnsi="Arial" w:cs="Arial"/>
          <w:b/>
          <w:sz w:val="32"/>
          <w:szCs w:val="32"/>
        </w:rPr>
        <w:lastRenderedPageBreak/>
        <w:t>Schedule 1</w:t>
      </w:r>
      <w:r w:rsidRPr="003A13C5">
        <w:rPr>
          <w:rFonts w:ascii="Arial" w:hAnsi="Arial" w:cs="Arial"/>
          <w:b/>
          <w:sz w:val="32"/>
          <w:szCs w:val="32"/>
        </w:rPr>
        <w:tab/>
        <w:t>Amendments</w:t>
      </w:r>
    </w:p>
    <w:p w14:paraId="650BAF70" w14:textId="058C13F3" w:rsidR="006C5C7F" w:rsidRPr="003A13C5" w:rsidRDefault="00555971" w:rsidP="00725999">
      <w:pPr>
        <w:pStyle w:val="Amendment1"/>
        <w:numPr>
          <w:ilvl w:val="0"/>
          <w:numId w:val="10"/>
        </w:numPr>
        <w:tabs>
          <w:tab w:val="clear" w:pos="794"/>
        </w:tabs>
        <w:ind w:left="567" w:hanging="567"/>
      </w:pPr>
      <w:r w:rsidRPr="003A13C5">
        <w:t>S</w:t>
      </w:r>
      <w:r w:rsidR="006B5CC3" w:rsidRPr="003A13C5">
        <w:t>chedule 1, entry for</w:t>
      </w:r>
      <w:r w:rsidR="006C5C7F" w:rsidRPr="003A13C5">
        <w:t xml:space="preserve"> </w:t>
      </w:r>
      <w:r w:rsidR="00D564F0" w:rsidRPr="003A13C5">
        <w:t>Ambrisentan in each of the forms: Tablet 5 mg; and Tablet 10 mg</w:t>
      </w:r>
    </w:p>
    <w:p w14:paraId="27B1A4E3" w14:textId="6EEA390A" w:rsidR="00D564F0" w:rsidRPr="003A13C5" w:rsidRDefault="00D564F0" w:rsidP="00D564F0">
      <w:pPr>
        <w:pStyle w:val="Amendment3"/>
        <w:numPr>
          <w:ilvl w:val="0"/>
          <w:numId w:val="0"/>
        </w:numPr>
        <w:ind w:firstLine="567"/>
      </w:pPr>
      <w:r w:rsidRPr="003A13C5">
        <w:rPr>
          <w:i/>
        </w:rPr>
        <w:t>omit from the column headed “Circumstances”:</w:t>
      </w:r>
      <w:r w:rsidRPr="003A13C5">
        <w:t xml:space="preserve"> </w:t>
      </w:r>
      <w:r w:rsidRPr="003A13C5">
        <w:rPr>
          <w:rFonts w:ascii="Arial" w:eastAsia="Arial" w:hAnsi="Arial" w:cs="Arial"/>
          <w:b/>
          <w:szCs w:val="16"/>
          <w:lang w:val="en-US" w:eastAsia="zh-CN"/>
        </w:rPr>
        <w:t>C6089 C6711 C6722 C6734 C6748 C6765</w:t>
      </w:r>
      <w:r w:rsidRPr="003A13C5">
        <w:rPr>
          <w:rFonts w:ascii="Arial" w:eastAsia="Arial" w:hAnsi="Arial" w:cs="Arial"/>
          <w:b/>
          <w:szCs w:val="16"/>
          <w:lang w:val="en-US" w:eastAsia="zh-CN"/>
        </w:rPr>
        <w:tab/>
      </w:r>
      <w:r w:rsidRPr="003A13C5">
        <w:rPr>
          <w:i/>
        </w:rPr>
        <w:t xml:space="preserve">substitute: </w:t>
      </w:r>
      <w:r w:rsidRPr="003A13C5">
        <w:rPr>
          <w:rFonts w:ascii="Arial" w:eastAsia="Arial" w:hAnsi="Arial" w:cs="Arial"/>
          <w:b/>
          <w:szCs w:val="16"/>
          <w:lang w:val="en-US" w:eastAsia="zh-CN"/>
        </w:rPr>
        <w:t>C10228 C10236 C10285</w:t>
      </w:r>
    </w:p>
    <w:p w14:paraId="5A96C959" w14:textId="36052FD7" w:rsidR="006C5C7F" w:rsidRPr="003A13C5" w:rsidRDefault="00095778" w:rsidP="001A1E7C">
      <w:pPr>
        <w:pStyle w:val="Amendment1"/>
        <w:numPr>
          <w:ilvl w:val="0"/>
          <w:numId w:val="10"/>
        </w:numPr>
        <w:tabs>
          <w:tab w:val="clear" w:pos="794"/>
        </w:tabs>
        <w:ind w:left="567" w:hanging="567"/>
      </w:pPr>
      <w:r w:rsidRPr="003A13C5">
        <w:t>Schedule 1, en</w:t>
      </w:r>
      <w:r w:rsidR="00D564F0" w:rsidRPr="003A13C5">
        <w:t>try for Benralizumab</w:t>
      </w:r>
    </w:p>
    <w:p w14:paraId="00092912" w14:textId="026FD50D" w:rsidR="000E6D9B" w:rsidRPr="003A13C5" w:rsidRDefault="000E6D9B" w:rsidP="000E6D9B">
      <w:pPr>
        <w:pStyle w:val="Amendment1"/>
        <w:numPr>
          <w:ilvl w:val="0"/>
          <w:numId w:val="0"/>
        </w:numPr>
        <w:spacing w:before="60" w:after="60"/>
        <w:ind w:left="567"/>
        <w:rPr>
          <w:rFonts w:ascii="Times New Roman" w:hAnsi="Times New Roman" w:cs="Times New Roman"/>
          <w:b w:val="0"/>
          <w:bCs w:val="0"/>
          <w:i/>
          <w:iCs/>
        </w:rPr>
      </w:pPr>
      <w:r w:rsidRPr="003A13C5">
        <w:rPr>
          <w:rFonts w:ascii="Times New Roman" w:hAnsi="Times New Roman" w:cs="Times New Roman"/>
          <w:b w:val="0"/>
          <w:bCs w:val="0"/>
          <w:i/>
          <w:iCs/>
        </w:rPr>
        <w:t>insert as first entry:</w:t>
      </w:r>
    </w:p>
    <w:tbl>
      <w:tblPr>
        <w:tblStyle w:val="TableGrid"/>
        <w:tblW w:w="13220" w:type="dxa"/>
        <w:tblBorders>
          <w:insideH w:val="none" w:sz="0" w:space="0" w:color="auto"/>
          <w:insideV w:val="none" w:sz="0" w:space="0" w:color="auto"/>
        </w:tblBorders>
        <w:tblLayout w:type="fixed"/>
        <w:tblLook w:val="04A0" w:firstRow="1" w:lastRow="0" w:firstColumn="1" w:lastColumn="0" w:noHBand="0" w:noVBand="1"/>
      </w:tblPr>
      <w:tblGrid>
        <w:gridCol w:w="2030"/>
        <w:gridCol w:w="2591"/>
        <w:gridCol w:w="1032"/>
        <w:gridCol w:w="1587"/>
        <w:gridCol w:w="607"/>
        <w:gridCol w:w="1417"/>
        <w:gridCol w:w="1417"/>
        <w:gridCol w:w="788"/>
        <w:gridCol w:w="850"/>
        <w:gridCol w:w="901"/>
      </w:tblGrid>
      <w:tr w:rsidR="000F2484" w:rsidRPr="003A13C5" w14:paraId="4595E565" w14:textId="77777777" w:rsidTr="000F2484">
        <w:tc>
          <w:tcPr>
            <w:tcW w:w="2030" w:type="dxa"/>
          </w:tcPr>
          <w:p w14:paraId="17CD8B07" w14:textId="77777777" w:rsidR="000F2484" w:rsidRPr="003A13C5" w:rsidRDefault="000F2484" w:rsidP="000E6D9B">
            <w:pPr>
              <w:pStyle w:val="Amendment1"/>
              <w:numPr>
                <w:ilvl w:val="0"/>
                <w:numId w:val="0"/>
              </w:numPr>
              <w:spacing w:before="60" w:after="60"/>
              <w:rPr>
                <w:b w:val="0"/>
                <w:sz w:val="16"/>
                <w:szCs w:val="16"/>
              </w:rPr>
            </w:pPr>
          </w:p>
        </w:tc>
        <w:tc>
          <w:tcPr>
            <w:tcW w:w="2591" w:type="dxa"/>
          </w:tcPr>
          <w:p w14:paraId="435B507A" w14:textId="6E317E7A" w:rsidR="000F2484" w:rsidRPr="003A13C5" w:rsidRDefault="000F2484" w:rsidP="000E6D9B">
            <w:pPr>
              <w:spacing w:before="60" w:after="60"/>
              <w:rPr>
                <w:rFonts w:ascii="Arial" w:hAnsi="Arial" w:cs="Arial"/>
                <w:sz w:val="16"/>
                <w:szCs w:val="16"/>
              </w:rPr>
            </w:pPr>
            <w:r w:rsidRPr="003A13C5">
              <w:rPr>
                <w:rFonts w:ascii="Arial" w:hAnsi="Arial" w:cs="Arial"/>
                <w:sz w:val="16"/>
              </w:rPr>
              <w:t>Injection 30 mg in 1 mL single dose pre-filled pen</w:t>
            </w:r>
          </w:p>
        </w:tc>
        <w:tc>
          <w:tcPr>
            <w:tcW w:w="1032" w:type="dxa"/>
          </w:tcPr>
          <w:p w14:paraId="212B365C" w14:textId="7BCDEFA6" w:rsidR="000F2484" w:rsidRPr="003A13C5" w:rsidRDefault="000F2484" w:rsidP="000E6D9B">
            <w:pPr>
              <w:spacing w:before="60" w:after="60"/>
              <w:rPr>
                <w:rFonts w:ascii="Arial" w:hAnsi="Arial" w:cs="Arial"/>
                <w:sz w:val="16"/>
                <w:szCs w:val="16"/>
              </w:rPr>
            </w:pPr>
            <w:r w:rsidRPr="003A13C5">
              <w:rPr>
                <w:rFonts w:ascii="Arial" w:hAnsi="Arial" w:cs="Arial"/>
                <w:sz w:val="16"/>
              </w:rPr>
              <w:t>Injection</w:t>
            </w:r>
          </w:p>
        </w:tc>
        <w:tc>
          <w:tcPr>
            <w:tcW w:w="1587" w:type="dxa"/>
          </w:tcPr>
          <w:p w14:paraId="11D11954" w14:textId="266FB1B6" w:rsidR="000F2484" w:rsidRPr="003A13C5" w:rsidRDefault="000F2484" w:rsidP="000E6D9B">
            <w:pPr>
              <w:spacing w:before="60" w:after="60"/>
              <w:rPr>
                <w:rFonts w:ascii="Arial" w:hAnsi="Arial" w:cs="Arial"/>
                <w:sz w:val="16"/>
                <w:szCs w:val="16"/>
              </w:rPr>
            </w:pPr>
            <w:r w:rsidRPr="003A13C5">
              <w:rPr>
                <w:rFonts w:ascii="Arial" w:hAnsi="Arial" w:cs="Arial"/>
                <w:sz w:val="16"/>
              </w:rPr>
              <w:t>Fasenra Pen</w:t>
            </w:r>
          </w:p>
        </w:tc>
        <w:tc>
          <w:tcPr>
            <w:tcW w:w="607" w:type="dxa"/>
          </w:tcPr>
          <w:p w14:paraId="1DC55DF2" w14:textId="26015714" w:rsidR="000F2484" w:rsidRPr="003A13C5" w:rsidRDefault="000F2484" w:rsidP="000E6D9B">
            <w:pPr>
              <w:spacing w:before="60" w:after="60"/>
              <w:rPr>
                <w:rFonts w:ascii="Arial" w:hAnsi="Arial" w:cs="Arial"/>
                <w:sz w:val="16"/>
                <w:szCs w:val="16"/>
              </w:rPr>
            </w:pPr>
            <w:r w:rsidRPr="003A13C5">
              <w:rPr>
                <w:rFonts w:ascii="Arial" w:hAnsi="Arial" w:cs="Arial"/>
                <w:sz w:val="16"/>
              </w:rPr>
              <w:t>AP</w:t>
            </w:r>
          </w:p>
        </w:tc>
        <w:tc>
          <w:tcPr>
            <w:tcW w:w="1417" w:type="dxa"/>
          </w:tcPr>
          <w:p w14:paraId="3A95DDD6" w14:textId="1C766A71" w:rsidR="000F2484" w:rsidRPr="003A13C5" w:rsidRDefault="000F2484" w:rsidP="000E6D9B">
            <w:pPr>
              <w:spacing w:before="60" w:after="60"/>
              <w:rPr>
                <w:rFonts w:ascii="Arial" w:hAnsi="Arial" w:cs="Arial"/>
                <w:sz w:val="16"/>
                <w:szCs w:val="16"/>
              </w:rPr>
            </w:pPr>
            <w:r w:rsidRPr="003A13C5">
              <w:rPr>
                <w:rFonts w:ascii="Arial" w:hAnsi="Arial" w:cs="Arial"/>
                <w:sz w:val="16"/>
              </w:rPr>
              <w:t>C9887 C10264 C10281 C10314</w:t>
            </w:r>
          </w:p>
        </w:tc>
        <w:tc>
          <w:tcPr>
            <w:tcW w:w="1417" w:type="dxa"/>
          </w:tcPr>
          <w:p w14:paraId="226C23B9" w14:textId="05DE322B" w:rsidR="000F2484" w:rsidRPr="003A13C5" w:rsidRDefault="000F2484" w:rsidP="000E6D9B">
            <w:pPr>
              <w:spacing w:before="60" w:after="60"/>
              <w:rPr>
                <w:rFonts w:ascii="Arial" w:hAnsi="Arial" w:cs="Arial"/>
                <w:sz w:val="16"/>
                <w:szCs w:val="16"/>
              </w:rPr>
            </w:pPr>
            <w:r w:rsidRPr="003A13C5">
              <w:rPr>
                <w:rFonts w:ascii="Arial" w:hAnsi="Arial" w:cs="Arial"/>
                <w:sz w:val="16"/>
              </w:rPr>
              <w:t>P9887</w:t>
            </w:r>
          </w:p>
        </w:tc>
        <w:tc>
          <w:tcPr>
            <w:tcW w:w="788" w:type="dxa"/>
          </w:tcPr>
          <w:p w14:paraId="29A346E7" w14:textId="3837492E" w:rsidR="000F2484" w:rsidRPr="003A13C5" w:rsidRDefault="000F2484" w:rsidP="000E6D9B">
            <w:pPr>
              <w:spacing w:before="60" w:after="60"/>
              <w:rPr>
                <w:rFonts w:ascii="Arial" w:hAnsi="Arial" w:cs="Arial"/>
                <w:sz w:val="16"/>
                <w:szCs w:val="16"/>
              </w:rPr>
            </w:pPr>
            <w:r w:rsidRPr="003A13C5">
              <w:rPr>
                <w:rFonts w:ascii="Arial" w:hAnsi="Arial" w:cs="Arial"/>
                <w:sz w:val="16"/>
              </w:rPr>
              <w:t>1</w:t>
            </w:r>
          </w:p>
        </w:tc>
        <w:tc>
          <w:tcPr>
            <w:tcW w:w="850" w:type="dxa"/>
          </w:tcPr>
          <w:p w14:paraId="77E3C576" w14:textId="3BFF2DF9" w:rsidR="000F2484" w:rsidRPr="003A13C5" w:rsidRDefault="000F2484" w:rsidP="000E6D9B">
            <w:pPr>
              <w:spacing w:before="60" w:after="60"/>
              <w:rPr>
                <w:rFonts w:ascii="Arial" w:hAnsi="Arial" w:cs="Arial"/>
                <w:sz w:val="16"/>
                <w:szCs w:val="16"/>
              </w:rPr>
            </w:pPr>
            <w:r w:rsidRPr="003A13C5">
              <w:rPr>
                <w:rFonts w:ascii="Arial" w:hAnsi="Arial" w:cs="Arial"/>
                <w:sz w:val="16"/>
              </w:rPr>
              <w:t>0</w:t>
            </w:r>
          </w:p>
        </w:tc>
        <w:tc>
          <w:tcPr>
            <w:tcW w:w="901" w:type="dxa"/>
          </w:tcPr>
          <w:p w14:paraId="781B2CE2" w14:textId="497C9279" w:rsidR="000F2484" w:rsidRPr="003A13C5" w:rsidRDefault="000F2484" w:rsidP="000E6D9B">
            <w:pPr>
              <w:spacing w:before="60" w:after="60"/>
              <w:rPr>
                <w:rFonts w:ascii="Arial" w:hAnsi="Arial" w:cs="Arial"/>
                <w:sz w:val="16"/>
                <w:szCs w:val="16"/>
              </w:rPr>
            </w:pPr>
            <w:r w:rsidRPr="003A13C5">
              <w:rPr>
                <w:rFonts w:ascii="Arial" w:hAnsi="Arial" w:cs="Arial"/>
                <w:sz w:val="16"/>
                <w:szCs w:val="16"/>
              </w:rPr>
              <w:t>D</w:t>
            </w:r>
          </w:p>
        </w:tc>
      </w:tr>
      <w:tr w:rsidR="000F2484" w:rsidRPr="003A13C5" w14:paraId="19179F9B" w14:textId="77777777" w:rsidTr="000F2484">
        <w:tc>
          <w:tcPr>
            <w:tcW w:w="2030" w:type="dxa"/>
          </w:tcPr>
          <w:p w14:paraId="5E09DA01" w14:textId="77777777" w:rsidR="000F2484" w:rsidRPr="003A13C5" w:rsidRDefault="000F2484" w:rsidP="000E6D9B">
            <w:pPr>
              <w:pStyle w:val="Amendment1"/>
              <w:numPr>
                <w:ilvl w:val="0"/>
                <w:numId w:val="0"/>
              </w:numPr>
              <w:spacing w:before="60" w:after="60"/>
              <w:rPr>
                <w:b w:val="0"/>
                <w:sz w:val="16"/>
                <w:szCs w:val="16"/>
              </w:rPr>
            </w:pPr>
          </w:p>
        </w:tc>
        <w:tc>
          <w:tcPr>
            <w:tcW w:w="2591" w:type="dxa"/>
          </w:tcPr>
          <w:p w14:paraId="3AFD5319" w14:textId="77777777" w:rsidR="000F2484" w:rsidRPr="003A13C5" w:rsidRDefault="000F2484" w:rsidP="000E6D9B">
            <w:pPr>
              <w:spacing w:before="60" w:after="60"/>
              <w:rPr>
                <w:rFonts w:ascii="Arial" w:hAnsi="Arial" w:cs="Arial"/>
                <w:sz w:val="16"/>
                <w:szCs w:val="16"/>
              </w:rPr>
            </w:pPr>
          </w:p>
        </w:tc>
        <w:tc>
          <w:tcPr>
            <w:tcW w:w="1032" w:type="dxa"/>
          </w:tcPr>
          <w:p w14:paraId="2369ADCA" w14:textId="77777777" w:rsidR="000F2484" w:rsidRPr="003A13C5" w:rsidRDefault="000F2484" w:rsidP="000E6D9B">
            <w:pPr>
              <w:spacing w:before="60" w:after="60"/>
              <w:rPr>
                <w:rFonts w:ascii="Arial" w:hAnsi="Arial" w:cs="Arial"/>
                <w:sz w:val="16"/>
                <w:szCs w:val="16"/>
              </w:rPr>
            </w:pPr>
          </w:p>
        </w:tc>
        <w:tc>
          <w:tcPr>
            <w:tcW w:w="1587" w:type="dxa"/>
          </w:tcPr>
          <w:p w14:paraId="283CF1B4" w14:textId="77777777" w:rsidR="000F2484" w:rsidRPr="003A13C5" w:rsidRDefault="000F2484" w:rsidP="000E6D9B">
            <w:pPr>
              <w:spacing w:before="60" w:after="60"/>
              <w:rPr>
                <w:rFonts w:ascii="Arial" w:hAnsi="Arial" w:cs="Arial"/>
                <w:sz w:val="16"/>
                <w:szCs w:val="16"/>
              </w:rPr>
            </w:pPr>
          </w:p>
        </w:tc>
        <w:tc>
          <w:tcPr>
            <w:tcW w:w="607" w:type="dxa"/>
          </w:tcPr>
          <w:p w14:paraId="45115FA1" w14:textId="77777777" w:rsidR="000F2484" w:rsidRPr="003A13C5" w:rsidRDefault="000F2484" w:rsidP="000E6D9B">
            <w:pPr>
              <w:spacing w:before="60" w:after="60"/>
              <w:rPr>
                <w:rFonts w:ascii="Arial" w:hAnsi="Arial" w:cs="Arial"/>
                <w:sz w:val="16"/>
                <w:szCs w:val="16"/>
              </w:rPr>
            </w:pPr>
          </w:p>
        </w:tc>
        <w:tc>
          <w:tcPr>
            <w:tcW w:w="1417" w:type="dxa"/>
          </w:tcPr>
          <w:p w14:paraId="65565B12" w14:textId="47936F24" w:rsidR="000F2484" w:rsidRPr="003A13C5" w:rsidRDefault="000F2484" w:rsidP="000E6D9B">
            <w:pPr>
              <w:spacing w:before="60" w:after="60"/>
              <w:rPr>
                <w:rFonts w:ascii="Arial" w:hAnsi="Arial" w:cs="Arial"/>
                <w:sz w:val="16"/>
                <w:szCs w:val="16"/>
              </w:rPr>
            </w:pPr>
            <w:r w:rsidRPr="003A13C5">
              <w:rPr>
                <w:rFonts w:ascii="Arial" w:hAnsi="Arial" w:cs="Arial"/>
                <w:sz w:val="16"/>
              </w:rPr>
              <w:t>C9887 C10264 C10281 C10314</w:t>
            </w:r>
          </w:p>
        </w:tc>
        <w:tc>
          <w:tcPr>
            <w:tcW w:w="1417" w:type="dxa"/>
          </w:tcPr>
          <w:p w14:paraId="3CF0B322" w14:textId="7E1B8F11" w:rsidR="000F2484" w:rsidRPr="003A13C5" w:rsidRDefault="000F2484" w:rsidP="000E6D9B">
            <w:pPr>
              <w:spacing w:before="60" w:after="60"/>
              <w:rPr>
                <w:rFonts w:ascii="Arial" w:hAnsi="Arial" w:cs="Arial"/>
                <w:sz w:val="16"/>
                <w:szCs w:val="16"/>
              </w:rPr>
            </w:pPr>
            <w:r w:rsidRPr="003A13C5">
              <w:rPr>
                <w:rFonts w:ascii="Arial" w:hAnsi="Arial" w:cs="Arial"/>
                <w:sz w:val="16"/>
              </w:rPr>
              <w:t>P10281</w:t>
            </w:r>
          </w:p>
        </w:tc>
        <w:tc>
          <w:tcPr>
            <w:tcW w:w="788" w:type="dxa"/>
          </w:tcPr>
          <w:p w14:paraId="7914E0E9" w14:textId="024C7AF6" w:rsidR="000F2484" w:rsidRPr="003A13C5" w:rsidRDefault="000F2484" w:rsidP="000E6D9B">
            <w:pPr>
              <w:spacing w:before="60" w:after="60"/>
              <w:rPr>
                <w:rFonts w:ascii="Arial" w:hAnsi="Arial" w:cs="Arial"/>
                <w:sz w:val="16"/>
                <w:szCs w:val="16"/>
              </w:rPr>
            </w:pPr>
            <w:r w:rsidRPr="003A13C5">
              <w:rPr>
                <w:rFonts w:ascii="Arial" w:hAnsi="Arial" w:cs="Arial"/>
                <w:sz w:val="16"/>
              </w:rPr>
              <w:t>1</w:t>
            </w:r>
          </w:p>
        </w:tc>
        <w:tc>
          <w:tcPr>
            <w:tcW w:w="850" w:type="dxa"/>
          </w:tcPr>
          <w:p w14:paraId="31054860" w14:textId="4B15E58A" w:rsidR="000F2484" w:rsidRPr="003A13C5" w:rsidRDefault="000F2484" w:rsidP="000E6D9B">
            <w:pPr>
              <w:spacing w:before="60" w:after="60"/>
              <w:rPr>
                <w:rFonts w:ascii="Arial" w:hAnsi="Arial" w:cs="Arial"/>
                <w:sz w:val="16"/>
                <w:szCs w:val="16"/>
              </w:rPr>
            </w:pPr>
            <w:r w:rsidRPr="003A13C5">
              <w:rPr>
                <w:rFonts w:ascii="Arial" w:hAnsi="Arial" w:cs="Arial"/>
                <w:sz w:val="16"/>
              </w:rPr>
              <w:t>2</w:t>
            </w:r>
          </w:p>
        </w:tc>
        <w:tc>
          <w:tcPr>
            <w:tcW w:w="901" w:type="dxa"/>
          </w:tcPr>
          <w:p w14:paraId="32B65CEC" w14:textId="2B72E67C" w:rsidR="000F2484" w:rsidRPr="003A13C5" w:rsidRDefault="000F2484" w:rsidP="000E6D9B">
            <w:pPr>
              <w:spacing w:before="60" w:after="60"/>
              <w:rPr>
                <w:rFonts w:ascii="Arial" w:hAnsi="Arial" w:cs="Arial"/>
                <w:sz w:val="16"/>
                <w:szCs w:val="16"/>
              </w:rPr>
            </w:pPr>
            <w:r w:rsidRPr="003A13C5">
              <w:rPr>
                <w:rFonts w:ascii="Arial" w:hAnsi="Arial" w:cs="Arial"/>
                <w:sz w:val="16"/>
                <w:szCs w:val="16"/>
              </w:rPr>
              <w:t>D</w:t>
            </w:r>
          </w:p>
        </w:tc>
      </w:tr>
      <w:tr w:rsidR="000F2484" w:rsidRPr="003A13C5" w14:paraId="43F01B8B" w14:textId="77777777" w:rsidTr="000F2484">
        <w:tc>
          <w:tcPr>
            <w:tcW w:w="2030" w:type="dxa"/>
          </w:tcPr>
          <w:p w14:paraId="733DCB93" w14:textId="77777777" w:rsidR="000F2484" w:rsidRPr="003A13C5" w:rsidRDefault="000F2484" w:rsidP="000E6D9B">
            <w:pPr>
              <w:pStyle w:val="Amendment1"/>
              <w:numPr>
                <w:ilvl w:val="0"/>
                <w:numId w:val="0"/>
              </w:numPr>
              <w:spacing w:before="60" w:after="60"/>
              <w:rPr>
                <w:b w:val="0"/>
                <w:sz w:val="16"/>
                <w:szCs w:val="16"/>
              </w:rPr>
            </w:pPr>
          </w:p>
        </w:tc>
        <w:tc>
          <w:tcPr>
            <w:tcW w:w="2591" w:type="dxa"/>
          </w:tcPr>
          <w:p w14:paraId="24B7BE11" w14:textId="77777777" w:rsidR="000F2484" w:rsidRPr="003A13C5" w:rsidRDefault="000F2484" w:rsidP="000E6D9B">
            <w:pPr>
              <w:spacing w:before="60" w:after="60"/>
              <w:rPr>
                <w:rFonts w:ascii="Arial" w:hAnsi="Arial" w:cs="Arial"/>
                <w:sz w:val="16"/>
                <w:szCs w:val="16"/>
              </w:rPr>
            </w:pPr>
          </w:p>
        </w:tc>
        <w:tc>
          <w:tcPr>
            <w:tcW w:w="1032" w:type="dxa"/>
          </w:tcPr>
          <w:p w14:paraId="380348CD" w14:textId="77777777" w:rsidR="000F2484" w:rsidRPr="003A13C5" w:rsidRDefault="000F2484" w:rsidP="000E6D9B">
            <w:pPr>
              <w:spacing w:before="60" w:after="60"/>
              <w:rPr>
                <w:rFonts w:ascii="Arial" w:hAnsi="Arial" w:cs="Arial"/>
                <w:sz w:val="16"/>
                <w:szCs w:val="16"/>
              </w:rPr>
            </w:pPr>
          </w:p>
        </w:tc>
        <w:tc>
          <w:tcPr>
            <w:tcW w:w="1587" w:type="dxa"/>
          </w:tcPr>
          <w:p w14:paraId="710CA3E8" w14:textId="77777777" w:rsidR="000F2484" w:rsidRPr="003A13C5" w:rsidRDefault="000F2484" w:rsidP="000E6D9B">
            <w:pPr>
              <w:spacing w:before="60" w:after="60"/>
              <w:rPr>
                <w:rFonts w:ascii="Arial" w:hAnsi="Arial" w:cs="Arial"/>
                <w:sz w:val="16"/>
                <w:szCs w:val="16"/>
              </w:rPr>
            </w:pPr>
          </w:p>
        </w:tc>
        <w:tc>
          <w:tcPr>
            <w:tcW w:w="607" w:type="dxa"/>
          </w:tcPr>
          <w:p w14:paraId="0CF8E768" w14:textId="77777777" w:rsidR="000F2484" w:rsidRPr="003A13C5" w:rsidRDefault="000F2484" w:rsidP="000E6D9B">
            <w:pPr>
              <w:spacing w:before="60" w:after="60"/>
              <w:rPr>
                <w:rFonts w:ascii="Arial" w:hAnsi="Arial" w:cs="Arial"/>
                <w:sz w:val="16"/>
                <w:szCs w:val="16"/>
              </w:rPr>
            </w:pPr>
          </w:p>
        </w:tc>
        <w:tc>
          <w:tcPr>
            <w:tcW w:w="1417" w:type="dxa"/>
          </w:tcPr>
          <w:p w14:paraId="72CC9267" w14:textId="2213C57D" w:rsidR="000F2484" w:rsidRPr="003A13C5" w:rsidRDefault="000F2484" w:rsidP="000E6D9B">
            <w:pPr>
              <w:spacing w:before="60" w:after="60"/>
              <w:rPr>
                <w:rFonts w:ascii="Arial" w:hAnsi="Arial" w:cs="Arial"/>
                <w:sz w:val="16"/>
                <w:szCs w:val="16"/>
              </w:rPr>
            </w:pPr>
            <w:r w:rsidRPr="003A13C5">
              <w:rPr>
                <w:rFonts w:ascii="Arial" w:hAnsi="Arial" w:cs="Arial"/>
                <w:sz w:val="16"/>
              </w:rPr>
              <w:t>C9887 C10264 C10281 C10314</w:t>
            </w:r>
          </w:p>
        </w:tc>
        <w:tc>
          <w:tcPr>
            <w:tcW w:w="1417" w:type="dxa"/>
          </w:tcPr>
          <w:p w14:paraId="2D197893" w14:textId="6B8C1B88" w:rsidR="000F2484" w:rsidRPr="003A13C5" w:rsidRDefault="000F2484" w:rsidP="000E6D9B">
            <w:pPr>
              <w:spacing w:before="60" w:after="60"/>
              <w:rPr>
                <w:rFonts w:ascii="Arial" w:hAnsi="Arial" w:cs="Arial"/>
                <w:sz w:val="16"/>
                <w:szCs w:val="16"/>
              </w:rPr>
            </w:pPr>
            <w:r w:rsidRPr="003A13C5">
              <w:rPr>
                <w:rFonts w:ascii="Arial" w:hAnsi="Arial" w:cs="Arial"/>
                <w:sz w:val="16"/>
              </w:rPr>
              <w:t>P10264 P10314</w:t>
            </w:r>
          </w:p>
        </w:tc>
        <w:tc>
          <w:tcPr>
            <w:tcW w:w="788" w:type="dxa"/>
          </w:tcPr>
          <w:p w14:paraId="45335C52" w14:textId="7909296A" w:rsidR="000F2484" w:rsidRPr="003A13C5" w:rsidRDefault="000F2484" w:rsidP="000E6D9B">
            <w:pPr>
              <w:spacing w:before="60" w:after="60"/>
              <w:rPr>
                <w:rFonts w:ascii="Arial" w:hAnsi="Arial" w:cs="Arial"/>
                <w:sz w:val="16"/>
                <w:szCs w:val="16"/>
              </w:rPr>
            </w:pPr>
            <w:r w:rsidRPr="003A13C5">
              <w:rPr>
                <w:rFonts w:ascii="Arial" w:hAnsi="Arial" w:cs="Arial"/>
                <w:sz w:val="16"/>
              </w:rPr>
              <w:t>1</w:t>
            </w:r>
          </w:p>
        </w:tc>
        <w:tc>
          <w:tcPr>
            <w:tcW w:w="850" w:type="dxa"/>
          </w:tcPr>
          <w:p w14:paraId="5E69831D" w14:textId="6F86AED5" w:rsidR="000F2484" w:rsidRPr="003A13C5" w:rsidRDefault="000F2484" w:rsidP="000E6D9B">
            <w:pPr>
              <w:spacing w:before="60" w:after="60"/>
              <w:rPr>
                <w:rFonts w:ascii="Arial" w:hAnsi="Arial" w:cs="Arial"/>
                <w:sz w:val="16"/>
                <w:szCs w:val="16"/>
              </w:rPr>
            </w:pPr>
            <w:r w:rsidRPr="003A13C5">
              <w:rPr>
                <w:rFonts w:ascii="Arial" w:hAnsi="Arial" w:cs="Arial"/>
                <w:sz w:val="16"/>
              </w:rPr>
              <w:t>4</w:t>
            </w:r>
          </w:p>
        </w:tc>
        <w:tc>
          <w:tcPr>
            <w:tcW w:w="901" w:type="dxa"/>
          </w:tcPr>
          <w:p w14:paraId="10D7DAC3" w14:textId="7528627A" w:rsidR="000F2484" w:rsidRPr="003A13C5" w:rsidRDefault="000F2484" w:rsidP="000E6D9B">
            <w:pPr>
              <w:spacing w:before="60" w:after="60"/>
              <w:rPr>
                <w:rFonts w:ascii="Arial" w:hAnsi="Arial" w:cs="Arial"/>
                <w:sz w:val="16"/>
                <w:szCs w:val="16"/>
              </w:rPr>
            </w:pPr>
            <w:r w:rsidRPr="003A13C5">
              <w:rPr>
                <w:rFonts w:ascii="Arial" w:hAnsi="Arial" w:cs="Arial"/>
                <w:sz w:val="16"/>
                <w:szCs w:val="16"/>
              </w:rPr>
              <w:t>D</w:t>
            </w:r>
          </w:p>
        </w:tc>
      </w:tr>
    </w:tbl>
    <w:p w14:paraId="359C1AE4" w14:textId="26F22D2E" w:rsidR="006C5C7F" w:rsidRPr="003A13C5" w:rsidRDefault="006C5C7F" w:rsidP="001A1E7C">
      <w:pPr>
        <w:pStyle w:val="Amendment1"/>
        <w:numPr>
          <w:ilvl w:val="0"/>
          <w:numId w:val="10"/>
        </w:numPr>
        <w:tabs>
          <w:tab w:val="clear" w:pos="794"/>
        </w:tabs>
        <w:ind w:left="567" w:hanging="567"/>
      </w:pPr>
      <w:r w:rsidRPr="003A13C5">
        <w:t>Schedule 1, entry for</w:t>
      </w:r>
      <w:r w:rsidR="000E6D9B" w:rsidRPr="003A13C5">
        <w:t xml:space="preserve"> Bosentan</w:t>
      </w:r>
      <w:r w:rsidR="00725999" w:rsidRPr="003A13C5">
        <w:t xml:space="preserve"> </w:t>
      </w:r>
      <w:r w:rsidRPr="003A13C5">
        <w:t>in the form</w:t>
      </w:r>
      <w:r w:rsidR="000E6D9B" w:rsidRPr="003A13C5">
        <w:t xml:space="preserve"> Tablet 62.5 mg (as monohydrate)</w:t>
      </w:r>
    </w:p>
    <w:p w14:paraId="431E0157" w14:textId="3CECC2F6" w:rsidR="006C5C7F" w:rsidRPr="003A13C5" w:rsidRDefault="006C5C7F" w:rsidP="00BC0DC4">
      <w:pPr>
        <w:pStyle w:val="Amendment3"/>
        <w:numPr>
          <w:ilvl w:val="0"/>
          <w:numId w:val="0"/>
        </w:numPr>
        <w:ind w:left="567"/>
        <w:rPr>
          <w:rFonts w:ascii="Arial" w:eastAsia="Arial" w:hAnsi="Arial" w:cs="Arial"/>
          <w:b/>
          <w:szCs w:val="16"/>
          <w:lang w:val="en-US" w:eastAsia="zh-CN"/>
        </w:rPr>
      </w:pPr>
      <w:r w:rsidRPr="003A13C5">
        <w:rPr>
          <w:i/>
        </w:rPr>
        <w:t>omit from the column headed “Circumstances”</w:t>
      </w:r>
      <w:r w:rsidR="000E6D9B" w:rsidRPr="003A13C5">
        <w:rPr>
          <w:i/>
        </w:rPr>
        <w:t xml:space="preserve"> (all instances)</w:t>
      </w:r>
      <w:r w:rsidRPr="003A13C5">
        <w:rPr>
          <w:i/>
        </w:rPr>
        <w:t>:</w:t>
      </w:r>
      <w:r w:rsidRPr="003A13C5">
        <w:t xml:space="preserve"> </w:t>
      </w:r>
      <w:r w:rsidR="000E6D9B" w:rsidRPr="003A13C5">
        <w:rPr>
          <w:rFonts w:ascii="Arial" w:eastAsia="Arial" w:hAnsi="Arial" w:cs="Arial"/>
          <w:b/>
          <w:szCs w:val="16"/>
          <w:lang w:val="en-US" w:eastAsia="zh-CN"/>
        </w:rPr>
        <w:t>C4628 C6089 C6710 C6734 C6748 C6764 C6776</w:t>
      </w:r>
      <w:r w:rsidR="000E6D9B" w:rsidRPr="003A13C5">
        <w:rPr>
          <w:rFonts w:ascii="Arial" w:eastAsia="Arial" w:hAnsi="Arial" w:cs="Arial"/>
          <w:b/>
          <w:szCs w:val="16"/>
          <w:lang w:val="en-US" w:eastAsia="zh-CN"/>
        </w:rPr>
        <w:tab/>
      </w:r>
      <w:r w:rsidRPr="003A13C5">
        <w:rPr>
          <w:i/>
        </w:rPr>
        <w:t>substitute</w:t>
      </w:r>
      <w:r w:rsidR="000E6D9B" w:rsidRPr="003A13C5">
        <w:rPr>
          <w:i/>
        </w:rPr>
        <w:t xml:space="preserve"> (all instances)</w:t>
      </w:r>
      <w:r w:rsidRPr="003A13C5">
        <w:rPr>
          <w:i/>
        </w:rPr>
        <w:t xml:space="preserve">: </w:t>
      </w:r>
      <w:r w:rsidR="000E6D9B" w:rsidRPr="003A13C5">
        <w:rPr>
          <w:rFonts w:ascii="Arial" w:eastAsia="Arial" w:hAnsi="Arial" w:cs="Arial"/>
          <w:b/>
          <w:szCs w:val="16"/>
          <w:lang w:val="en-US" w:eastAsia="zh-CN"/>
        </w:rPr>
        <w:t>C10228 C10238 C10286 C10305</w:t>
      </w:r>
    </w:p>
    <w:p w14:paraId="6FC7EB78" w14:textId="77EB6934" w:rsidR="000E6D9B" w:rsidRPr="003A13C5" w:rsidRDefault="000E6D9B" w:rsidP="000E6D9B">
      <w:pPr>
        <w:pStyle w:val="Amendment1"/>
        <w:numPr>
          <w:ilvl w:val="0"/>
          <w:numId w:val="10"/>
        </w:numPr>
        <w:tabs>
          <w:tab w:val="clear" w:pos="794"/>
        </w:tabs>
        <w:ind w:left="567" w:hanging="567"/>
      </w:pPr>
      <w:r w:rsidRPr="003A13C5">
        <w:t>Schedule 1, entry for Bosentan in the form Tablet 125 mg (as monohydrate)</w:t>
      </w:r>
    </w:p>
    <w:p w14:paraId="6200260A" w14:textId="70B0FAB6" w:rsidR="000E6D9B" w:rsidRPr="003A13C5" w:rsidRDefault="000E6D9B" w:rsidP="000E6D9B">
      <w:pPr>
        <w:pStyle w:val="Amendment3"/>
        <w:numPr>
          <w:ilvl w:val="0"/>
          <w:numId w:val="0"/>
        </w:numPr>
        <w:ind w:left="567"/>
        <w:rPr>
          <w:rFonts w:ascii="Arial" w:eastAsia="Arial" w:hAnsi="Arial" w:cs="Arial"/>
          <w:b/>
          <w:szCs w:val="16"/>
          <w:lang w:val="en-US" w:eastAsia="zh-CN"/>
        </w:rPr>
      </w:pPr>
      <w:r w:rsidRPr="003A13C5">
        <w:rPr>
          <w:i/>
        </w:rPr>
        <w:t>omit from the column headed “Circumstances” (all instances):</w:t>
      </w:r>
      <w:r w:rsidRPr="003A13C5">
        <w:t xml:space="preserve"> </w:t>
      </w:r>
      <w:r w:rsidRPr="003A13C5">
        <w:rPr>
          <w:rFonts w:ascii="Arial" w:eastAsia="Arial" w:hAnsi="Arial" w:cs="Arial"/>
          <w:b/>
          <w:szCs w:val="16"/>
          <w:lang w:val="en-US" w:eastAsia="zh-CN"/>
        </w:rPr>
        <w:t>C6089 C6710 C6734 C6748 C6764 C6776</w:t>
      </w:r>
      <w:r w:rsidRPr="003A13C5">
        <w:rPr>
          <w:rFonts w:ascii="Arial" w:eastAsia="Arial" w:hAnsi="Arial" w:cs="Arial"/>
          <w:b/>
          <w:szCs w:val="16"/>
          <w:lang w:val="en-US" w:eastAsia="zh-CN"/>
        </w:rPr>
        <w:tab/>
      </w:r>
      <w:r w:rsidRPr="003A13C5">
        <w:rPr>
          <w:i/>
        </w:rPr>
        <w:t xml:space="preserve">substitute (all instances): </w:t>
      </w:r>
      <w:r w:rsidR="00C20158" w:rsidRPr="003A13C5">
        <w:rPr>
          <w:rFonts w:ascii="Arial" w:eastAsia="Arial" w:hAnsi="Arial" w:cs="Arial"/>
          <w:b/>
          <w:szCs w:val="16"/>
          <w:lang w:val="en-US" w:eastAsia="zh-CN"/>
        </w:rPr>
        <w:t>C10228 C10286 C10305</w:t>
      </w:r>
    </w:p>
    <w:p w14:paraId="310DDD2E" w14:textId="4D3609BA" w:rsidR="00C20158" w:rsidRPr="003A13C5" w:rsidRDefault="00C20158" w:rsidP="00C20158">
      <w:pPr>
        <w:pStyle w:val="Amendment1"/>
        <w:numPr>
          <w:ilvl w:val="0"/>
          <w:numId w:val="10"/>
        </w:numPr>
        <w:tabs>
          <w:tab w:val="clear" w:pos="794"/>
        </w:tabs>
        <w:ind w:left="567" w:hanging="567"/>
      </w:pPr>
      <w:r w:rsidRPr="003A13C5">
        <w:t xml:space="preserve">Schedule 1, entry for Epoprostenol in the form Powder for I.V. infusion 500 micrograms (as sodium) </w:t>
      </w:r>
    </w:p>
    <w:p w14:paraId="00DB449D" w14:textId="03E926A8" w:rsidR="00C20158" w:rsidRPr="003A13C5" w:rsidRDefault="00C20158" w:rsidP="00C20158">
      <w:pPr>
        <w:pStyle w:val="Amendment1"/>
        <w:numPr>
          <w:ilvl w:val="0"/>
          <w:numId w:val="0"/>
        </w:numPr>
        <w:spacing w:before="60" w:after="60"/>
        <w:ind w:left="567"/>
        <w:rPr>
          <w:rFonts w:ascii="Times New Roman" w:hAnsi="Times New Roman" w:cs="Times New Roman"/>
          <w:b w:val="0"/>
          <w:bCs w:val="0"/>
          <w:i/>
          <w:iCs/>
        </w:rPr>
      </w:pPr>
      <w:r w:rsidRPr="003A13C5">
        <w:rPr>
          <w:rFonts w:ascii="Times New Roman" w:hAnsi="Times New Roman" w:cs="Times New Roman"/>
          <w:b w:val="0"/>
          <w:bCs w:val="0"/>
          <w:i/>
          <w:iCs/>
        </w:rPr>
        <w:t>omit from the column headed “Circumstances” (all instances):</w:t>
      </w:r>
      <w:r w:rsidRPr="003A13C5">
        <w:rPr>
          <w:color w:val="FF0000"/>
          <w:sz w:val="16"/>
          <w:szCs w:val="16"/>
        </w:rPr>
        <w:t xml:space="preserve"> </w:t>
      </w:r>
      <w:r w:rsidRPr="003A13C5">
        <w:rPr>
          <w:rFonts w:eastAsia="Arial"/>
          <w:bCs w:val="0"/>
          <w:iCs/>
          <w:szCs w:val="16"/>
          <w:lang w:val="en-US" w:eastAsia="zh-CN"/>
        </w:rPr>
        <w:t>C6123 C6734 C6748 C6945 C6955</w:t>
      </w:r>
      <w:r w:rsidRPr="003A13C5">
        <w:rPr>
          <w:rFonts w:eastAsia="Arial"/>
          <w:bCs w:val="0"/>
          <w:iCs/>
          <w:szCs w:val="16"/>
          <w:lang w:val="en-US" w:eastAsia="zh-CN"/>
        </w:rPr>
        <w:tab/>
      </w:r>
      <w:r w:rsidRPr="003A13C5">
        <w:rPr>
          <w:rFonts w:ascii="Times New Roman" w:hAnsi="Times New Roman" w:cs="Times New Roman"/>
          <w:b w:val="0"/>
          <w:bCs w:val="0"/>
          <w:i/>
          <w:iCs/>
        </w:rPr>
        <w:t>substitute (all instances):</w:t>
      </w:r>
      <w:r w:rsidRPr="003A13C5">
        <w:rPr>
          <w:color w:val="3333FF"/>
          <w:sz w:val="16"/>
        </w:rPr>
        <w:t xml:space="preserve"> </w:t>
      </w:r>
      <w:r w:rsidRPr="003A13C5">
        <w:rPr>
          <w:rFonts w:eastAsia="Arial"/>
          <w:bCs w:val="0"/>
          <w:iCs/>
          <w:szCs w:val="16"/>
          <w:lang w:val="en-US" w:eastAsia="zh-CN"/>
        </w:rPr>
        <w:t>C10228 C10240 C10241</w:t>
      </w:r>
    </w:p>
    <w:p w14:paraId="470AF185" w14:textId="32378A55" w:rsidR="00C20158" w:rsidRPr="003A13C5" w:rsidRDefault="00C20158" w:rsidP="001A1E7C">
      <w:pPr>
        <w:pStyle w:val="Amendment1"/>
        <w:numPr>
          <w:ilvl w:val="0"/>
          <w:numId w:val="10"/>
        </w:numPr>
        <w:tabs>
          <w:tab w:val="clear" w:pos="794"/>
        </w:tabs>
        <w:ind w:left="567" w:hanging="567"/>
      </w:pPr>
      <w:r w:rsidRPr="003A13C5">
        <w:t>Schedule 1, entry for Epoprostenol in the form Powder for I.V. infusion 500 micrograms (as sodium) with 2 vials diluent 50 mL</w:t>
      </w:r>
    </w:p>
    <w:p w14:paraId="1B3474A4" w14:textId="05919A10" w:rsidR="00C20158" w:rsidRPr="003A13C5" w:rsidRDefault="00C20158" w:rsidP="00C20158">
      <w:pPr>
        <w:pStyle w:val="Amendment1"/>
        <w:numPr>
          <w:ilvl w:val="0"/>
          <w:numId w:val="0"/>
        </w:numPr>
        <w:spacing w:before="60" w:after="60"/>
        <w:ind w:left="567"/>
        <w:rPr>
          <w:rFonts w:eastAsia="Arial"/>
          <w:bCs w:val="0"/>
          <w:iCs/>
          <w:szCs w:val="16"/>
          <w:lang w:val="en-US" w:eastAsia="zh-CN"/>
        </w:rPr>
      </w:pPr>
      <w:r w:rsidRPr="003A13C5">
        <w:rPr>
          <w:rFonts w:ascii="Times New Roman" w:hAnsi="Times New Roman" w:cs="Times New Roman"/>
          <w:b w:val="0"/>
          <w:bCs w:val="0"/>
          <w:i/>
          <w:iCs/>
        </w:rPr>
        <w:t xml:space="preserve">omit from the column headed “Circumstances”: </w:t>
      </w:r>
      <w:r w:rsidRPr="003A13C5">
        <w:rPr>
          <w:rFonts w:eastAsia="Arial"/>
          <w:bCs w:val="0"/>
          <w:iCs/>
          <w:szCs w:val="16"/>
          <w:lang w:val="en-US" w:eastAsia="zh-CN"/>
        </w:rPr>
        <w:t>C6123 C6734 C6748 C6945 C6955</w:t>
      </w:r>
      <w:r w:rsidRPr="003A13C5">
        <w:rPr>
          <w:rFonts w:eastAsia="Arial"/>
          <w:bCs w:val="0"/>
          <w:iCs/>
          <w:szCs w:val="16"/>
          <w:lang w:val="en-US" w:eastAsia="zh-CN"/>
        </w:rPr>
        <w:tab/>
      </w:r>
      <w:r w:rsidRPr="003A13C5">
        <w:rPr>
          <w:rFonts w:ascii="Times New Roman" w:hAnsi="Times New Roman" w:cs="Times New Roman"/>
          <w:b w:val="0"/>
          <w:bCs w:val="0"/>
          <w:i/>
          <w:iCs/>
        </w:rPr>
        <w:t>substitute:</w:t>
      </w:r>
      <w:r w:rsidRPr="003A13C5">
        <w:rPr>
          <w:color w:val="3333FF"/>
          <w:sz w:val="16"/>
        </w:rPr>
        <w:t xml:space="preserve"> </w:t>
      </w:r>
      <w:r w:rsidRPr="003A13C5">
        <w:rPr>
          <w:rFonts w:eastAsia="Arial"/>
          <w:bCs w:val="0"/>
          <w:iCs/>
          <w:szCs w:val="16"/>
          <w:lang w:val="en-US" w:eastAsia="zh-CN"/>
        </w:rPr>
        <w:t>C10228 C10240 C10241</w:t>
      </w:r>
    </w:p>
    <w:p w14:paraId="3DD00418" w14:textId="7E0A8B8F" w:rsidR="00C20158" w:rsidRPr="003A13C5" w:rsidRDefault="00C20158" w:rsidP="00C20158">
      <w:pPr>
        <w:pStyle w:val="Amendment1"/>
        <w:numPr>
          <w:ilvl w:val="0"/>
          <w:numId w:val="10"/>
        </w:numPr>
        <w:tabs>
          <w:tab w:val="clear" w:pos="794"/>
        </w:tabs>
        <w:ind w:left="567" w:hanging="567"/>
      </w:pPr>
      <w:r w:rsidRPr="003A13C5">
        <w:t>Schedule 1, entry for Epoprostenol in the form Powder for I.V. infusion 1.5 mg (as sodium)</w:t>
      </w:r>
    </w:p>
    <w:p w14:paraId="09F949FA" w14:textId="77777777" w:rsidR="00C20158" w:rsidRPr="003A13C5" w:rsidRDefault="00C20158" w:rsidP="00C20158">
      <w:pPr>
        <w:pStyle w:val="Amendment1"/>
        <w:numPr>
          <w:ilvl w:val="0"/>
          <w:numId w:val="0"/>
        </w:numPr>
        <w:spacing w:before="60" w:after="60"/>
        <w:ind w:left="794" w:hanging="227"/>
        <w:rPr>
          <w:rFonts w:ascii="Times New Roman" w:hAnsi="Times New Roman" w:cs="Times New Roman"/>
          <w:b w:val="0"/>
          <w:bCs w:val="0"/>
          <w:i/>
          <w:iCs/>
        </w:rPr>
      </w:pPr>
      <w:r w:rsidRPr="003A13C5">
        <w:rPr>
          <w:rFonts w:ascii="Times New Roman" w:hAnsi="Times New Roman" w:cs="Times New Roman"/>
          <w:b w:val="0"/>
          <w:bCs w:val="0"/>
          <w:i/>
          <w:iCs/>
        </w:rPr>
        <w:t>omit from the column headed “Circumstances” (all instances):</w:t>
      </w:r>
      <w:r w:rsidRPr="003A13C5">
        <w:rPr>
          <w:color w:val="FF0000"/>
          <w:sz w:val="16"/>
          <w:szCs w:val="16"/>
        </w:rPr>
        <w:t xml:space="preserve"> </w:t>
      </w:r>
      <w:r w:rsidRPr="003A13C5">
        <w:rPr>
          <w:rFonts w:eastAsia="Arial"/>
          <w:bCs w:val="0"/>
          <w:iCs/>
          <w:szCs w:val="16"/>
          <w:lang w:val="en-US" w:eastAsia="zh-CN"/>
        </w:rPr>
        <w:t>C6123 C6734 C6748 C6945 C6955</w:t>
      </w:r>
      <w:r w:rsidRPr="003A13C5">
        <w:rPr>
          <w:rFonts w:eastAsia="Arial"/>
          <w:bCs w:val="0"/>
          <w:iCs/>
          <w:szCs w:val="16"/>
          <w:lang w:val="en-US" w:eastAsia="zh-CN"/>
        </w:rPr>
        <w:tab/>
      </w:r>
      <w:r w:rsidRPr="003A13C5">
        <w:rPr>
          <w:rFonts w:ascii="Times New Roman" w:hAnsi="Times New Roman" w:cs="Times New Roman"/>
          <w:b w:val="0"/>
          <w:bCs w:val="0"/>
          <w:i/>
          <w:iCs/>
        </w:rPr>
        <w:t>substitute (all instances):</w:t>
      </w:r>
      <w:r w:rsidRPr="003A13C5">
        <w:rPr>
          <w:color w:val="3333FF"/>
          <w:sz w:val="16"/>
        </w:rPr>
        <w:t xml:space="preserve"> </w:t>
      </w:r>
      <w:r w:rsidRPr="003A13C5">
        <w:rPr>
          <w:rFonts w:eastAsia="Arial"/>
          <w:bCs w:val="0"/>
          <w:iCs/>
          <w:szCs w:val="16"/>
          <w:lang w:val="en-US" w:eastAsia="zh-CN"/>
        </w:rPr>
        <w:t>C10228 C10240 C10241</w:t>
      </w:r>
    </w:p>
    <w:p w14:paraId="1873A430" w14:textId="1BC521A9" w:rsidR="00C20158" w:rsidRPr="003A13C5" w:rsidRDefault="00C20158" w:rsidP="00C20158">
      <w:pPr>
        <w:pStyle w:val="Amendment1"/>
        <w:numPr>
          <w:ilvl w:val="0"/>
          <w:numId w:val="10"/>
        </w:numPr>
        <w:tabs>
          <w:tab w:val="clear" w:pos="794"/>
        </w:tabs>
        <w:ind w:left="567" w:hanging="567"/>
      </w:pPr>
      <w:r w:rsidRPr="003A13C5">
        <w:t>Schedule 1, entry for Epoprostenol in the form Powder for I.V. infusion 1.5 mg (as sodium) with 2 vials diluent 50 mL</w:t>
      </w:r>
    </w:p>
    <w:p w14:paraId="4617C9DD" w14:textId="276E7D09" w:rsidR="00C20158" w:rsidRPr="003A13C5" w:rsidRDefault="00C20158" w:rsidP="00C20158">
      <w:pPr>
        <w:pStyle w:val="Amendment1"/>
        <w:numPr>
          <w:ilvl w:val="0"/>
          <w:numId w:val="0"/>
        </w:numPr>
        <w:spacing w:before="60" w:after="60"/>
        <w:ind w:left="567"/>
      </w:pPr>
      <w:r w:rsidRPr="003A13C5">
        <w:rPr>
          <w:rFonts w:ascii="Times New Roman" w:hAnsi="Times New Roman" w:cs="Times New Roman"/>
          <w:b w:val="0"/>
          <w:bCs w:val="0"/>
          <w:i/>
          <w:iCs/>
        </w:rPr>
        <w:t xml:space="preserve">omit from the column headed “Circumstances”: </w:t>
      </w:r>
      <w:r w:rsidRPr="003A13C5">
        <w:rPr>
          <w:rFonts w:eastAsia="Arial"/>
          <w:bCs w:val="0"/>
          <w:iCs/>
          <w:szCs w:val="16"/>
          <w:lang w:val="en-US" w:eastAsia="zh-CN"/>
        </w:rPr>
        <w:t>C6123 C6734 C6748 C6945 C6955</w:t>
      </w:r>
      <w:r w:rsidRPr="003A13C5">
        <w:rPr>
          <w:rFonts w:eastAsia="Arial"/>
          <w:bCs w:val="0"/>
          <w:iCs/>
          <w:szCs w:val="16"/>
          <w:lang w:val="en-US" w:eastAsia="zh-CN"/>
        </w:rPr>
        <w:tab/>
      </w:r>
      <w:r w:rsidRPr="003A13C5">
        <w:rPr>
          <w:rFonts w:ascii="Times New Roman" w:hAnsi="Times New Roman" w:cs="Times New Roman"/>
          <w:b w:val="0"/>
          <w:bCs w:val="0"/>
          <w:i/>
          <w:iCs/>
        </w:rPr>
        <w:t>substitute:</w:t>
      </w:r>
      <w:r w:rsidRPr="003A13C5">
        <w:rPr>
          <w:color w:val="3333FF"/>
          <w:sz w:val="16"/>
        </w:rPr>
        <w:t xml:space="preserve"> </w:t>
      </w:r>
      <w:r w:rsidRPr="003A13C5">
        <w:rPr>
          <w:rFonts w:eastAsia="Arial"/>
          <w:bCs w:val="0"/>
          <w:iCs/>
          <w:szCs w:val="16"/>
          <w:lang w:val="en-US" w:eastAsia="zh-CN"/>
        </w:rPr>
        <w:t>C10228 C10240 C10241</w:t>
      </w:r>
    </w:p>
    <w:p w14:paraId="3DC800CA" w14:textId="37F6091E" w:rsidR="006C5C7F" w:rsidRPr="003A13C5" w:rsidRDefault="006C5C7F" w:rsidP="001A1E7C">
      <w:pPr>
        <w:pStyle w:val="Amendment1"/>
        <w:numPr>
          <w:ilvl w:val="0"/>
          <w:numId w:val="10"/>
        </w:numPr>
        <w:tabs>
          <w:tab w:val="clear" w:pos="794"/>
        </w:tabs>
        <w:ind w:left="567" w:hanging="567"/>
      </w:pPr>
      <w:r w:rsidRPr="003A13C5">
        <w:t xml:space="preserve">Schedule 1, entry for </w:t>
      </w:r>
      <w:r w:rsidR="00CA5E01" w:rsidRPr="003A13C5">
        <w:t>Iloprost</w:t>
      </w:r>
    </w:p>
    <w:p w14:paraId="3CD3091E" w14:textId="3CB7BFD2" w:rsidR="006C5C7F" w:rsidRPr="003A13C5" w:rsidRDefault="006C5C7F" w:rsidP="00CA5E01">
      <w:pPr>
        <w:pStyle w:val="Amendment3"/>
        <w:numPr>
          <w:ilvl w:val="0"/>
          <w:numId w:val="0"/>
        </w:numPr>
        <w:ind w:firstLine="567"/>
      </w:pPr>
      <w:r w:rsidRPr="003A13C5">
        <w:rPr>
          <w:i/>
        </w:rPr>
        <w:t>omit from the column headed “Circumstances”:</w:t>
      </w:r>
      <w:r w:rsidRPr="003A13C5">
        <w:t xml:space="preserve"> </w:t>
      </w:r>
      <w:r w:rsidR="00CA5E01" w:rsidRPr="003A13C5">
        <w:rPr>
          <w:rFonts w:ascii="Arial" w:eastAsia="Arial" w:hAnsi="Arial" w:cs="Arial"/>
          <w:b/>
          <w:szCs w:val="16"/>
          <w:lang w:val="en-US" w:eastAsia="zh-CN"/>
        </w:rPr>
        <w:t>C6089 C6692 C6734 C6747 C6748 C6775</w:t>
      </w:r>
      <w:r w:rsidR="00CA5E01" w:rsidRPr="003A13C5">
        <w:rPr>
          <w:rFonts w:ascii="Arial" w:eastAsia="Arial" w:hAnsi="Arial" w:cs="Arial"/>
          <w:b/>
          <w:szCs w:val="16"/>
          <w:lang w:val="en-US" w:eastAsia="zh-CN"/>
        </w:rPr>
        <w:tab/>
      </w:r>
      <w:r w:rsidR="00CA5E01" w:rsidRPr="003A13C5">
        <w:rPr>
          <w:i/>
        </w:rPr>
        <w:t>substitute</w:t>
      </w:r>
      <w:r w:rsidR="00CA5E01" w:rsidRPr="003A13C5">
        <w:rPr>
          <w:rFonts w:eastAsia="Arial"/>
          <w:i/>
          <w:szCs w:val="16"/>
          <w:lang w:val="en-US" w:eastAsia="zh-CN"/>
        </w:rPr>
        <w:t>:</w:t>
      </w:r>
      <w:r w:rsidR="00CA5E01" w:rsidRPr="003A13C5">
        <w:rPr>
          <w:rFonts w:ascii="Arial" w:eastAsia="Arial" w:hAnsi="Arial" w:cs="Arial"/>
          <w:b/>
          <w:szCs w:val="16"/>
          <w:lang w:val="en-US" w:eastAsia="zh-CN"/>
        </w:rPr>
        <w:t xml:space="preserve"> C10228 C10229 C10284</w:t>
      </w:r>
    </w:p>
    <w:p w14:paraId="688A3CBD" w14:textId="15627FFF" w:rsidR="00FE5310" w:rsidRPr="003A13C5" w:rsidRDefault="00FE5310" w:rsidP="00FE5310">
      <w:pPr>
        <w:pStyle w:val="Amendment1"/>
        <w:tabs>
          <w:tab w:val="clear" w:pos="794"/>
        </w:tabs>
        <w:ind w:left="567" w:hanging="567"/>
      </w:pPr>
      <w:r w:rsidRPr="003A13C5">
        <w:t xml:space="preserve">Schedule 1, entry for </w:t>
      </w:r>
      <w:r w:rsidR="00CA5E01" w:rsidRPr="003A13C5">
        <w:t xml:space="preserve">Lenalidomide </w:t>
      </w:r>
      <w:r w:rsidRPr="003A13C5">
        <w:t>in</w:t>
      </w:r>
      <w:r w:rsidR="00CA5E01" w:rsidRPr="003A13C5">
        <w:t xml:space="preserve"> each of</w:t>
      </w:r>
      <w:r w:rsidRPr="003A13C5">
        <w:t xml:space="preserve"> the form</w:t>
      </w:r>
      <w:r w:rsidR="00CA5E01" w:rsidRPr="003A13C5">
        <w:t>s: Capsule 5 mg; Capsule 10 mg; Capsule 15 mg; and Capsule 25 mg</w:t>
      </w:r>
      <w:r w:rsidR="00A929B7" w:rsidRPr="003A13C5">
        <w:t xml:space="preserve"> </w:t>
      </w:r>
    </w:p>
    <w:p w14:paraId="1A4917D2" w14:textId="610A08C6" w:rsidR="00FE5310" w:rsidRPr="003A13C5" w:rsidRDefault="00FE5310" w:rsidP="00C7063C">
      <w:pPr>
        <w:pStyle w:val="Amendment3"/>
        <w:ind w:hanging="199"/>
      </w:pPr>
      <w:r w:rsidRPr="003A13C5">
        <w:rPr>
          <w:i/>
        </w:rPr>
        <w:t>omit from the column headed “Circumstances”:</w:t>
      </w:r>
      <w:r w:rsidRPr="003A13C5">
        <w:t xml:space="preserve"> </w:t>
      </w:r>
      <w:r w:rsidR="00CA5E01" w:rsidRPr="003A13C5">
        <w:rPr>
          <w:rFonts w:ascii="Arial" w:hAnsi="Arial" w:cs="Arial"/>
          <w:b/>
          <w:bCs/>
          <w:iCs w:val="0"/>
        </w:rPr>
        <w:t>C7381 C7383 C7807 C7808</w:t>
      </w:r>
    </w:p>
    <w:p w14:paraId="0123A21E" w14:textId="2AF42757" w:rsidR="00FE5310" w:rsidRPr="003A13C5" w:rsidRDefault="00FE5310" w:rsidP="00C7063C">
      <w:pPr>
        <w:pStyle w:val="Amendment3"/>
        <w:ind w:hanging="199"/>
      </w:pPr>
      <w:r w:rsidRPr="003A13C5">
        <w:rPr>
          <w:i/>
        </w:rPr>
        <w:t>insert in numerical order in the column headed “Circumstances</w:t>
      </w:r>
      <w:r w:rsidRPr="003A13C5">
        <w:rPr>
          <w:bCs/>
          <w:i/>
          <w:iCs w:val="0"/>
        </w:rPr>
        <w:t>”:</w:t>
      </w:r>
      <w:r w:rsidRPr="003A13C5">
        <w:rPr>
          <w:rFonts w:ascii="Arial" w:hAnsi="Arial" w:cs="Arial"/>
          <w:b/>
          <w:bCs/>
          <w:iCs w:val="0"/>
        </w:rPr>
        <w:t xml:space="preserve"> </w:t>
      </w:r>
      <w:r w:rsidR="00CA5E01" w:rsidRPr="003A13C5">
        <w:rPr>
          <w:rFonts w:ascii="Arial" w:hAnsi="Arial" w:cs="Arial"/>
          <w:b/>
          <w:bCs/>
          <w:iCs w:val="0"/>
        </w:rPr>
        <w:t>C10349 C10350 C10373</w:t>
      </w:r>
      <w:r w:rsidR="008F5E69" w:rsidRPr="003A13C5">
        <w:rPr>
          <w:rFonts w:ascii="Arial" w:hAnsi="Arial" w:cs="Arial"/>
          <w:b/>
          <w:bCs/>
          <w:iCs w:val="0"/>
        </w:rPr>
        <w:t xml:space="preserve"> C10421</w:t>
      </w:r>
    </w:p>
    <w:p w14:paraId="55219FE4" w14:textId="5157F1C5" w:rsidR="00CA5E01" w:rsidRPr="003A13C5" w:rsidRDefault="00CA5E01" w:rsidP="00CA5E01">
      <w:pPr>
        <w:pStyle w:val="Amendment1"/>
        <w:tabs>
          <w:tab w:val="clear" w:pos="794"/>
        </w:tabs>
        <w:ind w:left="567" w:hanging="567"/>
      </w:pPr>
      <w:r w:rsidRPr="003A13C5">
        <w:lastRenderedPageBreak/>
        <w:t xml:space="preserve">Schedule 1, entry for Levodopa with carbidopa in the form Intestinal gel containing levodopa 20 mg with carbidopa monohydrate </w:t>
      </w:r>
      <w:r w:rsidRPr="003A13C5">
        <w:br/>
        <w:t xml:space="preserve">5 mg per mL, 100 mL </w:t>
      </w:r>
      <w:r w:rsidRPr="003A13C5">
        <w:rPr>
          <w:i/>
        </w:rPr>
        <w:t>[Maximum Quantity: 28; Number of Repeats: 5)</w:t>
      </w:r>
    </w:p>
    <w:p w14:paraId="05FFD648" w14:textId="688D86B1" w:rsidR="00CA5E01" w:rsidRPr="003A13C5" w:rsidRDefault="00CA5E01" w:rsidP="00CA5E01">
      <w:pPr>
        <w:pStyle w:val="Amendment3"/>
        <w:ind w:hanging="199"/>
      </w:pPr>
      <w:r w:rsidRPr="003A13C5">
        <w:rPr>
          <w:i/>
        </w:rPr>
        <w:t>omit from the column headed “Circumstances”:</w:t>
      </w:r>
      <w:r w:rsidRPr="003A13C5">
        <w:t xml:space="preserve"> </w:t>
      </w:r>
      <w:r w:rsidR="0055686B" w:rsidRPr="003A13C5">
        <w:rPr>
          <w:rFonts w:ascii="Arial" w:hAnsi="Arial" w:cs="Arial"/>
          <w:b/>
          <w:bCs/>
          <w:iCs w:val="0"/>
        </w:rPr>
        <w:t>C10160</w:t>
      </w:r>
    </w:p>
    <w:p w14:paraId="39FEE4A3" w14:textId="26163D11" w:rsidR="0055686B" w:rsidRPr="003A13C5" w:rsidRDefault="0055686B" w:rsidP="0055686B">
      <w:pPr>
        <w:pStyle w:val="Amendment3"/>
        <w:ind w:hanging="199"/>
      </w:pPr>
      <w:r w:rsidRPr="003A13C5">
        <w:rPr>
          <w:i/>
        </w:rPr>
        <w:t>omit from the column headed “Circumstances”:</w:t>
      </w:r>
      <w:r w:rsidRPr="003A13C5">
        <w:t xml:space="preserve"> </w:t>
      </w:r>
      <w:r w:rsidRPr="003A13C5">
        <w:rPr>
          <w:rFonts w:ascii="Arial" w:hAnsi="Arial" w:cs="Arial"/>
          <w:b/>
          <w:bCs/>
          <w:iCs w:val="0"/>
        </w:rPr>
        <w:t>C10169</w:t>
      </w:r>
    </w:p>
    <w:p w14:paraId="42CC4393" w14:textId="423D9102" w:rsidR="00CA5E01" w:rsidRPr="003A13C5" w:rsidRDefault="00CA5E01" w:rsidP="00CA5E01">
      <w:pPr>
        <w:pStyle w:val="Amendment3"/>
        <w:ind w:hanging="199"/>
      </w:pPr>
      <w:r w:rsidRPr="003A13C5">
        <w:rPr>
          <w:i/>
        </w:rPr>
        <w:t>insert in numerical order in the column headed “Circumstances</w:t>
      </w:r>
      <w:r w:rsidRPr="003A13C5">
        <w:rPr>
          <w:bCs/>
          <w:i/>
          <w:iCs w:val="0"/>
        </w:rPr>
        <w:t>”:</w:t>
      </w:r>
      <w:r w:rsidRPr="003A13C5">
        <w:rPr>
          <w:rFonts w:ascii="Arial" w:hAnsi="Arial" w:cs="Arial"/>
          <w:b/>
          <w:bCs/>
          <w:iCs w:val="0"/>
        </w:rPr>
        <w:t xml:space="preserve"> </w:t>
      </w:r>
      <w:r w:rsidR="0055686B" w:rsidRPr="003A13C5">
        <w:rPr>
          <w:rFonts w:ascii="Arial" w:hAnsi="Arial" w:cs="Arial"/>
          <w:b/>
          <w:bCs/>
          <w:iCs w:val="0"/>
        </w:rPr>
        <w:t>C10363 C10375</w:t>
      </w:r>
    </w:p>
    <w:p w14:paraId="736931B6" w14:textId="3CBAEE55" w:rsidR="0055686B" w:rsidRPr="003A13C5" w:rsidRDefault="0055686B" w:rsidP="0055686B">
      <w:pPr>
        <w:pStyle w:val="Amendment1"/>
        <w:tabs>
          <w:tab w:val="clear" w:pos="794"/>
        </w:tabs>
        <w:ind w:left="567" w:hanging="567"/>
      </w:pPr>
      <w:r w:rsidRPr="003A13C5">
        <w:t xml:space="preserve">Schedule 1, entry for Levodopa with carbidopa in the form Intestinal gel containing levodopa 20 mg with carbidopa monohydrate </w:t>
      </w:r>
      <w:r w:rsidRPr="003A13C5">
        <w:br/>
        <w:t xml:space="preserve">5 mg per mL, 100 mL </w:t>
      </w:r>
      <w:r w:rsidRPr="003A13C5">
        <w:rPr>
          <w:i/>
        </w:rPr>
        <w:t>[Maximum Quantity: 56; Number of Repeats: 5)</w:t>
      </w:r>
    </w:p>
    <w:p w14:paraId="25A50C34" w14:textId="77777777" w:rsidR="0055686B" w:rsidRPr="003A13C5" w:rsidRDefault="0055686B" w:rsidP="0055686B">
      <w:pPr>
        <w:pStyle w:val="Amendment3"/>
        <w:ind w:hanging="199"/>
      </w:pPr>
      <w:r w:rsidRPr="003A13C5">
        <w:rPr>
          <w:i/>
        </w:rPr>
        <w:t>omit from the column headed “Circumstances”:</w:t>
      </w:r>
      <w:r w:rsidRPr="003A13C5">
        <w:t xml:space="preserve"> </w:t>
      </w:r>
      <w:r w:rsidRPr="003A13C5">
        <w:rPr>
          <w:rFonts w:ascii="Arial" w:hAnsi="Arial" w:cs="Arial"/>
          <w:b/>
          <w:bCs/>
          <w:iCs w:val="0"/>
        </w:rPr>
        <w:t>C10160</w:t>
      </w:r>
    </w:p>
    <w:p w14:paraId="47D1EEBF" w14:textId="77777777" w:rsidR="0055686B" w:rsidRPr="003A13C5" w:rsidRDefault="0055686B" w:rsidP="0055686B">
      <w:pPr>
        <w:pStyle w:val="Amendment3"/>
        <w:ind w:hanging="199"/>
      </w:pPr>
      <w:r w:rsidRPr="003A13C5">
        <w:rPr>
          <w:i/>
        </w:rPr>
        <w:t>omit from the column headed “Circumstances”:</w:t>
      </w:r>
      <w:r w:rsidRPr="003A13C5">
        <w:t xml:space="preserve"> </w:t>
      </w:r>
      <w:r w:rsidRPr="003A13C5">
        <w:rPr>
          <w:rFonts w:ascii="Arial" w:hAnsi="Arial" w:cs="Arial"/>
          <w:b/>
          <w:bCs/>
          <w:iCs w:val="0"/>
        </w:rPr>
        <w:t>C10169</w:t>
      </w:r>
    </w:p>
    <w:p w14:paraId="5BC0F6A4" w14:textId="19CE02CE" w:rsidR="0055686B" w:rsidRPr="003A13C5" w:rsidRDefault="0055686B" w:rsidP="0055686B">
      <w:pPr>
        <w:pStyle w:val="Amendment3"/>
        <w:ind w:hanging="199"/>
      </w:pPr>
      <w:r w:rsidRPr="003A13C5">
        <w:rPr>
          <w:i/>
        </w:rPr>
        <w:t>insert in numerical order in the column headed “Circumstances</w:t>
      </w:r>
      <w:r w:rsidRPr="003A13C5">
        <w:rPr>
          <w:bCs/>
          <w:i/>
          <w:iCs w:val="0"/>
        </w:rPr>
        <w:t>”:</w:t>
      </w:r>
      <w:r w:rsidRPr="003A13C5">
        <w:rPr>
          <w:rFonts w:ascii="Arial" w:hAnsi="Arial" w:cs="Arial"/>
          <w:b/>
          <w:bCs/>
          <w:iCs w:val="0"/>
        </w:rPr>
        <w:t xml:space="preserve"> C10363 C10375</w:t>
      </w:r>
    </w:p>
    <w:p w14:paraId="0F4E5010" w14:textId="46749747" w:rsidR="0055686B" w:rsidRPr="003A13C5" w:rsidRDefault="0055686B" w:rsidP="0055686B">
      <w:pPr>
        <w:pStyle w:val="Amendment3"/>
        <w:ind w:hanging="199"/>
      </w:pPr>
      <w:r w:rsidRPr="003A13C5">
        <w:rPr>
          <w:i/>
        </w:rPr>
        <w:t xml:space="preserve">omit from the column headed “Purposes”: </w:t>
      </w:r>
      <w:r w:rsidRPr="003A13C5">
        <w:rPr>
          <w:rFonts w:ascii="Arial" w:hAnsi="Arial" w:cs="Arial"/>
          <w:b/>
          <w:bCs/>
          <w:iCs w:val="0"/>
        </w:rPr>
        <w:t>P10160 P10169</w:t>
      </w:r>
      <w:r w:rsidRPr="003A13C5">
        <w:rPr>
          <w:rFonts w:ascii="Arial" w:hAnsi="Arial" w:cs="Arial"/>
          <w:b/>
          <w:bCs/>
          <w:iCs w:val="0"/>
        </w:rPr>
        <w:tab/>
      </w:r>
      <w:r w:rsidRPr="003A13C5">
        <w:rPr>
          <w:bCs/>
          <w:i/>
          <w:iCs w:val="0"/>
        </w:rPr>
        <w:t xml:space="preserve">substitute: </w:t>
      </w:r>
      <w:r w:rsidRPr="003A13C5">
        <w:rPr>
          <w:rFonts w:ascii="Arial" w:hAnsi="Arial" w:cs="Arial"/>
          <w:b/>
          <w:bCs/>
          <w:iCs w:val="0"/>
        </w:rPr>
        <w:t>P10363 P10375</w:t>
      </w:r>
    </w:p>
    <w:p w14:paraId="29EAFBE0" w14:textId="686E4436" w:rsidR="00FE5310" w:rsidRPr="003A13C5" w:rsidRDefault="0055686B" w:rsidP="0055686B">
      <w:pPr>
        <w:pStyle w:val="Amendment1"/>
        <w:tabs>
          <w:tab w:val="clear" w:pos="794"/>
        </w:tabs>
        <w:ind w:left="567" w:hanging="567"/>
      </w:pPr>
      <w:r w:rsidRPr="003A13C5">
        <w:t>Schedule 1, entry for Macitentan</w:t>
      </w:r>
    </w:p>
    <w:p w14:paraId="693BBA49" w14:textId="00952B83" w:rsidR="0055686B" w:rsidRPr="003A13C5" w:rsidRDefault="0055686B" w:rsidP="00BC0DC4">
      <w:pPr>
        <w:pStyle w:val="Amendment1"/>
        <w:numPr>
          <w:ilvl w:val="0"/>
          <w:numId w:val="0"/>
        </w:numPr>
        <w:spacing w:before="60" w:after="60"/>
        <w:ind w:left="567"/>
        <w:rPr>
          <w:rFonts w:ascii="Times New Roman" w:hAnsi="Times New Roman" w:cs="Times New Roman"/>
          <w:b w:val="0"/>
          <w:bCs w:val="0"/>
          <w:i/>
          <w:iCs/>
        </w:rPr>
      </w:pPr>
      <w:r w:rsidRPr="003A13C5">
        <w:rPr>
          <w:rFonts w:ascii="Times New Roman" w:hAnsi="Times New Roman" w:cs="Times New Roman"/>
          <w:b w:val="0"/>
          <w:bCs w:val="0"/>
          <w:i/>
          <w:iCs/>
        </w:rPr>
        <w:t xml:space="preserve">omit from the column headed “Circumstances”: </w:t>
      </w:r>
      <w:r w:rsidRPr="003A13C5">
        <w:t>C6089 C6693 C6722 C6734 C6735 C6748</w:t>
      </w:r>
      <w:r w:rsidR="003A3B9C" w:rsidRPr="003A13C5">
        <w:tab/>
      </w:r>
      <w:r w:rsidR="003A3B9C" w:rsidRPr="003A13C5">
        <w:rPr>
          <w:rFonts w:ascii="Times New Roman" w:hAnsi="Times New Roman" w:cs="Times New Roman"/>
          <w:b w:val="0"/>
          <w:i/>
        </w:rPr>
        <w:t xml:space="preserve">substitute: </w:t>
      </w:r>
      <w:r w:rsidR="003A3B9C" w:rsidRPr="003A13C5">
        <w:t>C10228 C10236 C10285</w:t>
      </w:r>
    </w:p>
    <w:p w14:paraId="2840A6E3" w14:textId="4052A94B" w:rsidR="00CA5E01" w:rsidRPr="003A13C5" w:rsidRDefault="00CA5E01" w:rsidP="003A3B9C">
      <w:pPr>
        <w:pStyle w:val="Amendment1"/>
        <w:numPr>
          <w:ilvl w:val="0"/>
          <w:numId w:val="11"/>
        </w:numPr>
        <w:tabs>
          <w:tab w:val="clear" w:pos="794"/>
        </w:tabs>
        <w:ind w:left="567" w:hanging="567"/>
      </w:pPr>
      <w:r w:rsidRPr="003A13C5">
        <w:t>Schedule</w:t>
      </w:r>
      <w:r w:rsidRPr="003A13C5">
        <w:rPr>
          <w:bCs w:val="0"/>
        </w:rPr>
        <w:t xml:space="preserve"> 1, entry for </w:t>
      </w:r>
      <w:r w:rsidR="003A3B9C" w:rsidRPr="003A13C5">
        <w:t>Pasireotide in each of the forms: Injection (modified release) 20 mg (as embonate), vial and diluent syringe; Injection (modified release) 40 mg (as embonate), vial and diluent syringe; and Injection (modified release) 60 mg (as embonate), vial and diluent syringe</w:t>
      </w:r>
    </w:p>
    <w:p w14:paraId="0B09109D" w14:textId="3BD4E1F7" w:rsidR="00CA5E01" w:rsidRPr="003A13C5" w:rsidRDefault="003A3B9C" w:rsidP="00BC0DC4">
      <w:pPr>
        <w:pStyle w:val="Amendment1"/>
        <w:numPr>
          <w:ilvl w:val="0"/>
          <w:numId w:val="0"/>
        </w:numPr>
        <w:spacing w:before="60" w:after="60"/>
        <w:ind w:left="567"/>
      </w:pPr>
      <w:r w:rsidRPr="003A13C5">
        <w:rPr>
          <w:rFonts w:ascii="Times New Roman" w:hAnsi="Times New Roman" w:cs="Times New Roman"/>
          <w:b w:val="0"/>
          <w:bCs w:val="0"/>
          <w:i/>
          <w:iCs/>
        </w:rPr>
        <w:t xml:space="preserve">omit from the column headed “Responsible Person”: </w:t>
      </w:r>
      <w:r w:rsidRPr="003A13C5">
        <w:t>NV</w:t>
      </w:r>
      <w:r w:rsidRPr="003A13C5">
        <w:rPr>
          <w:rFonts w:ascii="Times New Roman" w:hAnsi="Times New Roman" w:cs="Times New Roman"/>
          <w:b w:val="0"/>
          <w:bCs w:val="0"/>
          <w:i/>
          <w:iCs/>
        </w:rPr>
        <w:tab/>
        <w:t xml:space="preserve">substitute: </w:t>
      </w:r>
      <w:r w:rsidRPr="003A13C5">
        <w:t>RJ</w:t>
      </w:r>
    </w:p>
    <w:p w14:paraId="4F225371" w14:textId="47647621" w:rsidR="0064748E" w:rsidRPr="003A13C5" w:rsidRDefault="003A3B9C" w:rsidP="0064748E">
      <w:pPr>
        <w:pStyle w:val="Amendment1"/>
        <w:numPr>
          <w:ilvl w:val="0"/>
          <w:numId w:val="11"/>
        </w:numPr>
        <w:tabs>
          <w:tab w:val="clear" w:pos="794"/>
        </w:tabs>
        <w:ind w:left="567" w:hanging="567"/>
      </w:pPr>
      <w:r w:rsidRPr="003A13C5">
        <w:t xml:space="preserve">Schedule 1, entry for </w:t>
      </w:r>
      <w:r w:rsidR="0064748E" w:rsidRPr="003A13C5">
        <w:t xml:space="preserve">Riociguat </w:t>
      </w:r>
      <w:r w:rsidRPr="003A13C5">
        <w:t xml:space="preserve">in </w:t>
      </w:r>
      <w:r w:rsidR="0064748E" w:rsidRPr="003A13C5">
        <w:t xml:space="preserve">each of </w:t>
      </w:r>
      <w:r w:rsidRPr="003A13C5">
        <w:t>the form</w:t>
      </w:r>
      <w:r w:rsidR="0064748E" w:rsidRPr="003A13C5">
        <w:t>s:</w:t>
      </w:r>
      <w:r w:rsidRPr="003A13C5">
        <w:t xml:space="preserve"> </w:t>
      </w:r>
      <w:r w:rsidR="0064748E" w:rsidRPr="003A13C5">
        <w:t xml:space="preserve">Tablet 500 micrograms; Tablet 1 mg; Tablet 1.5 mg; Tablet 2 mg; and Tablet 2.5 mg </w:t>
      </w:r>
    </w:p>
    <w:p w14:paraId="0DA1CF0A" w14:textId="3CA215F7" w:rsidR="003A3B9C" w:rsidRPr="003A13C5" w:rsidRDefault="003A3B9C" w:rsidP="0064748E">
      <w:pPr>
        <w:pStyle w:val="Amendment3"/>
        <w:ind w:hanging="199"/>
        <w:rPr>
          <w:i/>
        </w:rPr>
      </w:pPr>
      <w:r w:rsidRPr="003A13C5">
        <w:rPr>
          <w:i/>
        </w:rPr>
        <w:t xml:space="preserve">omit from the column headed “Circumstances”: </w:t>
      </w:r>
      <w:r w:rsidR="0064748E" w:rsidRPr="003A13C5">
        <w:rPr>
          <w:rFonts w:ascii="Arial" w:hAnsi="Arial" w:cs="Arial"/>
          <w:b/>
          <w:bCs/>
          <w:iCs w:val="0"/>
        </w:rPr>
        <w:t>C6690 C6691 C6708 C6720 C6733 C6760</w:t>
      </w:r>
    </w:p>
    <w:p w14:paraId="243462A8" w14:textId="10548496" w:rsidR="003A3B9C" w:rsidRPr="003A13C5" w:rsidRDefault="003A3B9C" w:rsidP="003A3B9C">
      <w:pPr>
        <w:pStyle w:val="Amendment3"/>
        <w:ind w:hanging="199"/>
      </w:pPr>
      <w:r w:rsidRPr="003A13C5">
        <w:rPr>
          <w:i/>
        </w:rPr>
        <w:t>insert in numerical order in the column headed “Circumstances</w:t>
      </w:r>
      <w:r w:rsidRPr="003A13C5">
        <w:rPr>
          <w:bCs/>
          <w:i/>
          <w:iCs w:val="0"/>
        </w:rPr>
        <w:t>”:</w:t>
      </w:r>
      <w:r w:rsidRPr="003A13C5">
        <w:rPr>
          <w:rFonts w:ascii="Arial" w:hAnsi="Arial" w:cs="Arial"/>
          <w:b/>
          <w:bCs/>
          <w:iCs w:val="0"/>
        </w:rPr>
        <w:t xml:space="preserve"> </w:t>
      </w:r>
      <w:r w:rsidR="0064748E" w:rsidRPr="003A13C5">
        <w:rPr>
          <w:rFonts w:ascii="Arial" w:hAnsi="Arial" w:cs="Arial"/>
          <w:b/>
          <w:bCs/>
          <w:iCs w:val="0"/>
        </w:rPr>
        <w:t>C10231 C10243 C10245</w:t>
      </w:r>
    </w:p>
    <w:p w14:paraId="5E077B6A" w14:textId="63245B61" w:rsidR="003A3B9C" w:rsidRPr="003A13C5" w:rsidRDefault="0064748E" w:rsidP="00DC0BC7">
      <w:pPr>
        <w:pStyle w:val="Amendment1"/>
        <w:tabs>
          <w:tab w:val="clear" w:pos="794"/>
        </w:tabs>
        <w:ind w:left="567" w:hanging="567"/>
      </w:pPr>
      <w:r w:rsidRPr="003A13C5">
        <w:t>Schedule 1, entry for Sildenafil</w:t>
      </w:r>
    </w:p>
    <w:p w14:paraId="04D291DA" w14:textId="7B544FE2" w:rsidR="0064748E" w:rsidRPr="003A13C5" w:rsidRDefault="0064748E" w:rsidP="0064748E">
      <w:pPr>
        <w:pStyle w:val="Amendment1"/>
        <w:numPr>
          <w:ilvl w:val="0"/>
          <w:numId w:val="0"/>
        </w:numPr>
        <w:spacing w:before="60" w:after="60"/>
        <w:ind w:left="567"/>
        <w:rPr>
          <w:rFonts w:ascii="Times New Roman" w:hAnsi="Times New Roman" w:cs="Times New Roman"/>
          <w:b w:val="0"/>
          <w:bCs w:val="0"/>
          <w:i/>
          <w:iCs/>
        </w:rPr>
      </w:pPr>
      <w:r w:rsidRPr="003A13C5">
        <w:rPr>
          <w:rFonts w:ascii="Times New Roman" w:hAnsi="Times New Roman" w:cs="Times New Roman"/>
          <w:b w:val="0"/>
          <w:bCs w:val="0"/>
          <w:i/>
          <w:iCs/>
        </w:rPr>
        <w:t xml:space="preserve">omit from the column headed “Circumstances” (all instances): </w:t>
      </w:r>
      <w:r w:rsidRPr="003A13C5">
        <w:t>C6089 C6723 C6734 C6736 C6748 C6749</w:t>
      </w:r>
      <w:r w:rsidRPr="003A13C5">
        <w:tab/>
      </w:r>
      <w:r w:rsidRPr="003A13C5">
        <w:rPr>
          <w:rFonts w:ascii="Times New Roman" w:hAnsi="Times New Roman" w:cs="Times New Roman"/>
          <w:b w:val="0"/>
          <w:bCs w:val="0"/>
          <w:i/>
          <w:iCs/>
        </w:rPr>
        <w:t>substitute</w:t>
      </w:r>
      <w:r w:rsidR="00BA450C" w:rsidRPr="003A13C5">
        <w:rPr>
          <w:rFonts w:ascii="Times New Roman" w:hAnsi="Times New Roman" w:cs="Times New Roman"/>
          <w:b w:val="0"/>
          <w:bCs w:val="0"/>
          <w:i/>
          <w:iCs/>
        </w:rPr>
        <w:t xml:space="preserve"> (all instances)</w:t>
      </w:r>
      <w:r w:rsidRPr="003A13C5">
        <w:rPr>
          <w:rFonts w:ascii="Times New Roman" w:hAnsi="Times New Roman" w:cs="Times New Roman"/>
          <w:b w:val="0"/>
          <w:bCs w:val="0"/>
          <w:i/>
          <w:iCs/>
        </w:rPr>
        <w:t>:</w:t>
      </w:r>
      <w:r w:rsidR="00BA450C" w:rsidRPr="003A13C5">
        <w:rPr>
          <w:rFonts w:ascii="Times New Roman" w:hAnsi="Times New Roman" w:cs="Times New Roman"/>
          <w:b w:val="0"/>
          <w:bCs w:val="0"/>
          <w:i/>
          <w:iCs/>
        </w:rPr>
        <w:t xml:space="preserve"> </w:t>
      </w:r>
      <w:r w:rsidR="00BA450C" w:rsidRPr="003A13C5">
        <w:t>C10228 C10234 C10304</w:t>
      </w:r>
    </w:p>
    <w:p w14:paraId="6F89A6D8" w14:textId="501FCD27" w:rsidR="00BA450C" w:rsidRPr="003A13C5" w:rsidRDefault="00BA450C" w:rsidP="00BA450C">
      <w:pPr>
        <w:pStyle w:val="Amendment1"/>
        <w:tabs>
          <w:tab w:val="clear" w:pos="794"/>
        </w:tabs>
        <w:ind w:left="567" w:hanging="567"/>
      </w:pPr>
      <w:r w:rsidRPr="003A13C5">
        <w:t xml:space="preserve">Schedule 1, entry for </w:t>
      </w:r>
      <w:r w:rsidRPr="003A13C5">
        <w:rPr>
          <w:szCs w:val="16"/>
        </w:rPr>
        <w:t>Tadalafil</w:t>
      </w:r>
    </w:p>
    <w:p w14:paraId="0ED28E41" w14:textId="3D5462F2" w:rsidR="00BA450C" w:rsidRPr="003A13C5" w:rsidRDefault="00BA450C" w:rsidP="00BA450C">
      <w:pPr>
        <w:pStyle w:val="Amendment1"/>
        <w:numPr>
          <w:ilvl w:val="0"/>
          <w:numId w:val="0"/>
        </w:numPr>
        <w:spacing w:before="60" w:after="60"/>
        <w:ind w:left="567"/>
        <w:rPr>
          <w:rFonts w:ascii="Times New Roman" w:hAnsi="Times New Roman" w:cs="Times New Roman"/>
          <w:b w:val="0"/>
          <w:bCs w:val="0"/>
          <w:i/>
          <w:iCs/>
        </w:rPr>
      </w:pPr>
      <w:r w:rsidRPr="003A13C5">
        <w:rPr>
          <w:rFonts w:ascii="Times New Roman" w:hAnsi="Times New Roman" w:cs="Times New Roman"/>
          <w:b w:val="0"/>
          <w:bCs w:val="0"/>
          <w:i/>
          <w:iCs/>
        </w:rPr>
        <w:t xml:space="preserve">omit from the column headed “Circumstances”: </w:t>
      </w:r>
      <w:r w:rsidR="00D41207" w:rsidRPr="003A13C5">
        <w:t xml:space="preserve">C6089 C6709 C6721 C6734 C6748 C6761  </w:t>
      </w:r>
      <w:r w:rsidRPr="003A13C5">
        <w:tab/>
      </w:r>
      <w:r w:rsidRPr="003A13C5">
        <w:rPr>
          <w:rFonts w:ascii="Times New Roman" w:hAnsi="Times New Roman" w:cs="Times New Roman"/>
          <w:b w:val="0"/>
          <w:bCs w:val="0"/>
          <w:i/>
          <w:iCs/>
        </w:rPr>
        <w:t xml:space="preserve">substitute: </w:t>
      </w:r>
      <w:r w:rsidRPr="003A13C5">
        <w:t>C10228 C10234 C10304</w:t>
      </w:r>
    </w:p>
    <w:p w14:paraId="509A5C4C" w14:textId="6495F1D5" w:rsidR="009F157C" w:rsidRPr="003A13C5" w:rsidRDefault="009F157C" w:rsidP="009F157C">
      <w:pPr>
        <w:pStyle w:val="Amendment1"/>
        <w:tabs>
          <w:tab w:val="clear" w:pos="794"/>
        </w:tabs>
        <w:ind w:left="567" w:hanging="567"/>
      </w:pPr>
      <w:r w:rsidRPr="003A13C5">
        <w:t xml:space="preserve">Schedule 1, entry for </w:t>
      </w:r>
      <w:r w:rsidRPr="003A13C5">
        <w:rPr>
          <w:szCs w:val="16"/>
        </w:rPr>
        <w:t>Tenofovir</w:t>
      </w:r>
    </w:p>
    <w:p w14:paraId="66A1B7A9" w14:textId="57F29F87" w:rsidR="00BA450C" w:rsidRPr="003A13C5" w:rsidRDefault="009F157C" w:rsidP="009F157C">
      <w:pPr>
        <w:pStyle w:val="Amendment1"/>
        <w:numPr>
          <w:ilvl w:val="0"/>
          <w:numId w:val="0"/>
        </w:numPr>
        <w:spacing w:before="60" w:after="60"/>
        <w:ind w:left="567"/>
        <w:rPr>
          <w:rFonts w:ascii="Times New Roman" w:hAnsi="Times New Roman" w:cs="Times New Roman"/>
          <w:b w:val="0"/>
          <w:bCs w:val="0"/>
          <w:i/>
          <w:iCs/>
        </w:rPr>
      </w:pPr>
      <w:r w:rsidRPr="003A13C5">
        <w:rPr>
          <w:rFonts w:ascii="Times New Roman" w:hAnsi="Times New Roman" w:cs="Times New Roman"/>
          <w:b w:val="0"/>
          <w:bCs w:val="0"/>
          <w:i/>
          <w:iCs/>
        </w:rPr>
        <w:t>substitute:</w:t>
      </w:r>
    </w:p>
    <w:tbl>
      <w:tblPr>
        <w:tblStyle w:val="TableGrid"/>
        <w:tblW w:w="13220" w:type="dxa"/>
        <w:tblBorders>
          <w:insideH w:val="none" w:sz="0" w:space="0" w:color="auto"/>
          <w:insideV w:val="none" w:sz="0" w:space="0" w:color="auto"/>
        </w:tblBorders>
        <w:tblLayout w:type="fixed"/>
        <w:tblLook w:val="04A0" w:firstRow="1" w:lastRow="0" w:firstColumn="1" w:lastColumn="0" w:noHBand="0" w:noVBand="1"/>
      </w:tblPr>
      <w:tblGrid>
        <w:gridCol w:w="2030"/>
        <w:gridCol w:w="2591"/>
        <w:gridCol w:w="1032"/>
        <w:gridCol w:w="1587"/>
        <w:gridCol w:w="607"/>
        <w:gridCol w:w="1417"/>
        <w:gridCol w:w="1417"/>
        <w:gridCol w:w="788"/>
        <w:gridCol w:w="850"/>
        <w:gridCol w:w="901"/>
      </w:tblGrid>
      <w:tr w:rsidR="000F2484" w:rsidRPr="003A13C5" w14:paraId="195382D5" w14:textId="77777777" w:rsidTr="000F2484">
        <w:tc>
          <w:tcPr>
            <w:tcW w:w="2030" w:type="dxa"/>
          </w:tcPr>
          <w:p w14:paraId="307E4428" w14:textId="4AA545C9" w:rsidR="000F2484" w:rsidRPr="003A13C5" w:rsidRDefault="000F2484" w:rsidP="009F157C">
            <w:pPr>
              <w:pStyle w:val="Amendment1"/>
              <w:numPr>
                <w:ilvl w:val="0"/>
                <w:numId w:val="0"/>
              </w:numPr>
              <w:spacing w:before="60" w:after="60"/>
              <w:rPr>
                <w:b w:val="0"/>
                <w:sz w:val="16"/>
                <w:szCs w:val="16"/>
              </w:rPr>
            </w:pPr>
            <w:r w:rsidRPr="003A13C5">
              <w:rPr>
                <w:b w:val="0"/>
                <w:sz w:val="16"/>
                <w:szCs w:val="16"/>
              </w:rPr>
              <w:t>Tenofovir</w:t>
            </w:r>
          </w:p>
        </w:tc>
        <w:tc>
          <w:tcPr>
            <w:tcW w:w="2591" w:type="dxa"/>
          </w:tcPr>
          <w:p w14:paraId="77097FEE" w14:textId="75A0D534"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Tablet containing tenofovir disoproxil fumarate 300 mg</w:t>
            </w:r>
          </w:p>
        </w:tc>
        <w:tc>
          <w:tcPr>
            <w:tcW w:w="1032" w:type="dxa"/>
          </w:tcPr>
          <w:p w14:paraId="427DBFA7" w14:textId="49183DFE"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Oral</w:t>
            </w:r>
          </w:p>
        </w:tc>
        <w:tc>
          <w:tcPr>
            <w:tcW w:w="1587" w:type="dxa"/>
          </w:tcPr>
          <w:p w14:paraId="6D2E3C9C" w14:textId="3A9865CF"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Tenofovir APOTEX</w:t>
            </w:r>
          </w:p>
        </w:tc>
        <w:tc>
          <w:tcPr>
            <w:tcW w:w="607" w:type="dxa"/>
          </w:tcPr>
          <w:p w14:paraId="21D82FCC" w14:textId="0386810E"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TX</w:t>
            </w:r>
          </w:p>
        </w:tc>
        <w:tc>
          <w:tcPr>
            <w:tcW w:w="1417" w:type="dxa"/>
          </w:tcPr>
          <w:p w14:paraId="29910A3A" w14:textId="75464C97"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C6980 C6982 C6983 C6984 C6992 C6998 C10362</w:t>
            </w:r>
          </w:p>
        </w:tc>
        <w:tc>
          <w:tcPr>
            <w:tcW w:w="1417" w:type="dxa"/>
          </w:tcPr>
          <w:p w14:paraId="3C4227D1" w14:textId="24F5333F"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P10362</w:t>
            </w:r>
          </w:p>
        </w:tc>
        <w:tc>
          <w:tcPr>
            <w:tcW w:w="788" w:type="dxa"/>
          </w:tcPr>
          <w:p w14:paraId="50FE411C" w14:textId="6DBBAB0F"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60</w:t>
            </w:r>
          </w:p>
        </w:tc>
        <w:tc>
          <w:tcPr>
            <w:tcW w:w="850" w:type="dxa"/>
          </w:tcPr>
          <w:p w14:paraId="4514B440" w14:textId="539E60F9"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2</w:t>
            </w:r>
          </w:p>
        </w:tc>
        <w:tc>
          <w:tcPr>
            <w:tcW w:w="901" w:type="dxa"/>
          </w:tcPr>
          <w:p w14:paraId="4653D65D" w14:textId="7DFB1A7A"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D</w:t>
            </w:r>
          </w:p>
        </w:tc>
      </w:tr>
      <w:tr w:rsidR="000F2484" w:rsidRPr="003A13C5" w14:paraId="0F06D957" w14:textId="77777777" w:rsidTr="000F2484">
        <w:tc>
          <w:tcPr>
            <w:tcW w:w="2030" w:type="dxa"/>
          </w:tcPr>
          <w:p w14:paraId="33CEDF13" w14:textId="77777777" w:rsidR="000F2484" w:rsidRPr="003A13C5" w:rsidRDefault="000F2484" w:rsidP="009F157C">
            <w:pPr>
              <w:pStyle w:val="Amendment1"/>
              <w:numPr>
                <w:ilvl w:val="0"/>
                <w:numId w:val="0"/>
              </w:numPr>
              <w:spacing w:before="60" w:after="60"/>
              <w:rPr>
                <w:b w:val="0"/>
                <w:sz w:val="16"/>
                <w:szCs w:val="16"/>
              </w:rPr>
            </w:pPr>
          </w:p>
        </w:tc>
        <w:tc>
          <w:tcPr>
            <w:tcW w:w="2591" w:type="dxa"/>
          </w:tcPr>
          <w:p w14:paraId="2250B080" w14:textId="77777777" w:rsidR="000F2484" w:rsidRPr="003A13C5" w:rsidRDefault="000F2484" w:rsidP="009F157C">
            <w:pPr>
              <w:spacing w:before="60" w:after="60"/>
              <w:rPr>
                <w:rFonts w:ascii="Arial" w:hAnsi="Arial" w:cs="Arial"/>
                <w:sz w:val="16"/>
                <w:szCs w:val="16"/>
              </w:rPr>
            </w:pPr>
          </w:p>
        </w:tc>
        <w:tc>
          <w:tcPr>
            <w:tcW w:w="1032" w:type="dxa"/>
          </w:tcPr>
          <w:p w14:paraId="0C8FD4C0" w14:textId="77777777" w:rsidR="000F2484" w:rsidRPr="003A13C5" w:rsidRDefault="000F2484" w:rsidP="009F157C">
            <w:pPr>
              <w:spacing w:before="60" w:after="60"/>
              <w:rPr>
                <w:rFonts w:ascii="Arial" w:hAnsi="Arial" w:cs="Arial"/>
                <w:sz w:val="16"/>
                <w:szCs w:val="16"/>
              </w:rPr>
            </w:pPr>
          </w:p>
        </w:tc>
        <w:tc>
          <w:tcPr>
            <w:tcW w:w="1587" w:type="dxa"/>
          </w:tcPr>
          <w:p w14:paraId="04E190B6" w14:textId="2533BB59"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Viread</w:t>
            </w:r>
          </w:p>
        </w:tc>
        <w:tc>
          <w:tcPr>
            <w:tcW w:w="607" w:type="dxa"/>
          </w:tcPr>
          <w:p w14:paraId="5C794A1E" w14:textId="4CA71714"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GI</w:t>
            </w:r>
          </w:p>
        </w:tc>
        <w:tc>
          <w:tcPr>
            <w:tcW w:w="1417" w:type="dxa"/>
          </w:tcPr>
          <w:p w14:paraId="60B97273" w14:textId="7F2ED63A"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 xml:space="preserve">C6980 C6982 C6983 C6984 </w:t>
            </w:r>
            <w:r w:rsidRPr="003A13C5">
              <w:rPr>
                <w:rFonts w:ascii="Arial" w:hAnsi="Arial" w:cs="Arial"/>
                <w:sz w:val="16"/>
                <w:szCs w:val="16"/>
              </w:rPr>
              <w:lastRenderedPageBreak/>
              <w:t>C6992 C6998 C10362</w:t>
            </w:r>
          </w:p>
        </w:tc>
        <w:tc>
          <w:tcPr>
            <w:tcW w:w="1417" w:type="dxa"/>
          </w:tcPr>
          <w:p w14:paraId="45689CFD" w14:textId="42DD6190" w:rsidR="000F2484" w:rsidRPr="003A13C5" w:rsidRDefault="000F2484" w:rsidP="009F157C">
            <w:pPr>
              <w:spacing w:before="60" w:after="60"/>
              <w:rPr>
                <w:rFonts w:ascii="Arial" w:hAnsi="Arial" w:cs="Arial"/>
                <w:sz w:val="16"/>
                <w:szCs w:val="16"/>
              </w:rPr>
            </w:pPr>
            <w:r w:rsidRPr="003A13C5">
              <w:rPr>
                <w:rFonts w:ascii="Arial" w:hAnsi="Arial" w:cs="Arial"/>
                <w:sz w:val="16"/>
                <w:szCs w:val="16"/>
              </w:rPr>
              <w:lastRenderedPageBreak/>
              <w:t>P10362</w:t>
            </w:r>
          </w:p>
        </w:tc>
        <w:tc>
          <w:tcPr>
            <w:tcW w:w="788" w:type="dxa"/>
          </w:tcPr>
          <w:p w14:paraId="595B6F60" w14:textId="41F499C5"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60</w:t>
            </w:r>
          </w:p>
        </w:tc>
        <w:tc>
          <w:tcPr>
            <w:tcW w:w="850" w:type="dxa"/>
          </w:tcPr>
          <w:p w14:paraId="23CC8B12" w14:textId="5FBBE6D8"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2</w:t>
            </w:r>
          </w:p>
        </w:tc>
        <w:tc>
          <w:tcPr>
            <w:tcW w:w="901" w:type="dxa"/>
          </w:tcPr>
          <w:p w14:paraId="78FFF92B" w14:textId="4693C2DC"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D</w:t>
            </w:r>
          </w:p>
        </w:tc>
      </w:tr>
      <w:tr w:rsidR="000F2484" w:rsidRPr="003A13C5" w14:paraId="51B3F46D" w14:textId="77777777" w:rsidTr="000F2484">
        <w:tc>
          <w:tcPr>
            <w:tcW w:w="2030" w:type="dxa"/>
          </w:tcPr>
          <w:p w14:paraId="14CC95AE" w14:textId="77777777" w:rsidR="000F2484" w:rsidRPr="003A13C5" w:rsidRDefault="000F2484" w:rsidP="009F157C">
            <w:pPr>
              <w:pStyle w:val="Amendment1"/>
              <w:numPr>
                <w:ilvl w:val="0"/>
                <w:numId w:val="0"/>
              </w:numPr>
              <w:spacing w:before="60" w:after="60"/>
              <w:rPr>
                <w:b w:val="0"/>
                <w:sz w:val="16"/>
                <w:szCs w:val="16"/>
              </w:rPr>
            </w:pPr>
          </w:p>
        </w:tc>
        <w:tc>
          <w:tcPr>
            <w:tcW w:w="2591" w:type="dxa"/>
          </w:tcPr>
          <w:p w14:paraId="0796FB19" w14:textId="77777777" w:rsidR="000F2484" w:rsidRPr="003A13C5" w:rsidRDefault="000F2484" w:rsidP="009F157C">
            <w:pPr>
              <w:spacing w:before="60" w:after="60"/>
              <w:rPr>
                <w:rFonts w:ascii="Arial" w:hAnsi="Arial" w:cs="Arial"/>
                <w:sz w:val="16"/>
                <w:szCs w:val="16"/>
              </w:rPr>
            </w:pPr>
          </w:p>
        </w:tc>
        <w:tc>
          <w:tcPr>
            <w:tcW w:w="1032" w:type="dxa"/>
          </w:tcPr>
          <w:p w14:paraId="462B9B1D" w14:textId="77777777" w:rsidR="000F2484" w:rsidRPr="003A13C5" w:rsidRDefault="000F2484" w:rsidP="009F157C">
            <w:pPr>
              <w:spacing w:before="60" w:after="60"/>
              <w:rPr>
                <w:rFonts w:ascii="Arial" w:hAnsi="Arial" w:cs="Arial"/>
                <w:sz w:val="16"/>
                <w:szCs w:val="16"/>
              </w:rPr>
            </w:pPr>
          </w:p>
        </w:tc>
        <w:tc>
          <w:tcPr>
            <w:tcW w:w="1587" w:type="dxa"/>
          </w:tcPr>
          <w:p w14:paraId="11EA87BF" w14:textId="2DA75C52"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Tenofovir APOTEX</w:t>
            </w:r>
          </w:p>
        </w:tc>
        <w:tc>
          <w:tcPr>
            <w:tcW w:w="607" w:type="dxa"/>
          </w:tcPr>
          <w:p w14:paraId="6D66668D" w14:textId="088D8CEF"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TX</w:t>
            </w:r>
          </w:p>
        </w:tc>
        <w:tc>
          <w:tcPr>
            <w:tcW w:w="1417" w:type="dxa"/>
          </w:tcPr>
          <w:p w14:paraId="1F4B63DD" w14:textId="5C3C4B38"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C6980 C6982 C6983 C6984 C6992 C6998 C10362</w:t>
            </w:r>
          </w:p>
        </w:tc>
        <w:tc>
          <w:tcPr>
            <w:tcW w:w="1417" w:type="dxa"/>
          </w:tcPr>
          <w:p w14:paraId="2A42D02E" w14:textId="101E8A73"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P6980 P6982 P6983 P6984 P6992 P6998</w:t>
            </w:r>
          </w:p>
        </w:tc>
        <w:tc>
          <w:tcPr>
            <w:tcW w:w="788" w:type="dxa"/>
          </w:tcPr>
          <w:p w14:paraId="603945B5" w14:textId="7EB20EDA"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60</w:t>
            </w:r>
          </w:p>
        </w:tc>
        <w:tc>
          <w:tcPr>
            <w:tcW w:w="850" w:type="dxa"/>
          </w:tcPr>
          <w:p w14:paraId="10341828" w14:textId="0FF0C06D"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5</w:t>
            </w:r>
          </w:p>
        </w:tc>
        <w:tc>
          <w:tcPr>
            <w:tcW w:w="901" w:type="dxa"/>
          </w:tcPr>
          <w:p w14:paraId="398F837C" w14:textId="2212D98F"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D</w:t>
            </w:r>
          </w:p>
        </w:tc>
      </w:tr>
      <w:tr w:rsidR="000F2484" w:rsidRPr="003A13C5" w14:paraId="34365A7A" w14:textId="77777777" w:rsidTr="000F2484">
        <w:tc>
          <w:tcPr>
            <w:tcW w:w="2030" w:type="dxa"/>
          </w:tcPr>
          <w:p w14:paraId="46563D5D" w14:textId="77777777" w:rsidR="000F2484" w:rsidRPr="003A13C5" w:rsidRDefault="000F2484" w:rsidP="009F157C">
            <w:pPr>
              <w:pStyle w:val="Amendment1"/>
              <w:numPr>
                <w:ilvl w:val="0"/>
                <w:numId w:val="0"/>
              </w:numPr>
              <w:spacing w:before="60" w:after="60"/>
              <w:rPr>
                <w:b w:val="0"/>
                <w:sz w:val="16"/>
                <w:szCs w:val="16"/>
              </w:rPr>
            </w:pPr>
          </w:p>
        </w:tc>
        <w:tc>
          <w:tcPr>
            <w:tcW w:w="2591" w:type="dxa"/>
          </w:tcPr>
          <w:p w14:paraId="757D05BA" w14:textId="77777777" w:rsidR="000F2484" w:rsidRPr="003A13C5" w:rsidRDefault="000F2484" w:rsidP="009F157C">
            <w:pPr>
              <w:spacing w:before="60" w:after="60"/>
              <w:rPr>
                <w:rFonts w:ascii="Arial" w:hAnsi="Arial" w:cs="Arial"/>
                <w:sz w:val="16"/>
                <w:szCs w:val="16"/>
              </w:rPr>
            </w:pPr>
          </w:p>
        </w:tc>
        <w:tc>
          <w:tcPr>
            <w:tcW w:w="1032" w:type="dxa"/>
          </w:tcPr>
          <w:p w14:paraId="5851B4D1" w14:textId="77777777" w:rsidR="000F2484" w:rsidRPr="003A13C5" w:rsidRDefault="000F2484" w:rsidP="009F157C">
            <w:pPr>
              <w:spacing w:before="60" w:after="60"/>
              <w:rPr>
                <w:rFonts w:ascii="Arial" w:hAnsi="Arial" w:cs="Arial"/>
                <w:sz w:val="16"/>
                <w:szCs w:val="16"/>
              </w:rPr>
            </w:pPr>
          </w:p>
        </w:tc>
        <w:tc>
          <w:tcPr>
            <w:tcW w:w="1587" w:type="dxa"/>
          </w:tcPr>
          <w:p w14:paraId="5192A6B1" w14:textId="4831131F"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Viread</w:t>
            </w:r>
          </w:p>
        </w:tc>
        <w:tc>
          <w:tcPr>
            <w:tcW w:w="607" w:type="dxa"/>
          </w:tcPr>
          <w:p w14:paraId="0211BC4E" w14:textId="1DB773BD"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GI</w:t>
            </w:r>
          </w:p>
        </w:tc>
        <w:tc>
          <w:tcPr>
            <w:tcW w:w="1417" w:type="dxa"/>
          </w:tcPr>
          <w:p w14:paraId="0E1F087B" w14:textId="26AA3164"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C6980 C6982 C6983 C6984 C6992 C6998 C10362</w:t>
            </w:r>
          </w:p>
        </w:tc>
        <w:tc>
          <w:tcPr>
            <w:tcW w:w="1417" w:type="dxa"/>
          </w:tcPr>
          <w:p w14:paraId="57950FB4" w14:textId="6A358F02"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P6980 P6982 P6983 P6984 P6992 P6998</w:t>
            </w:r>
          </w:p>
        </w:tc>
        <w:tc>
          <w:tcPr>
            <w:tcW w:w="788" w:type="dxa"/>
          </w:tcPr>
          <w:p w14:paraId="0C884F00" w14:textId="23BC3D15"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60</w:t>
            </w:r>
          </w:p>
        </w:tc>
        <w:tc>
          <w:tcPr>
            <w:tcW w:w="850" w:type="dxa"/>
          </w:tcPr>
          <w:p w14:paraId="644B67F9" w14:textId="0780240D"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5</w:t>
            </w:r>
          </w:p>
        </w:tc>
        <w:tc>
          <w:tcPr>
            <w:tcW w:w="901" w:type="dxa"/>
          </w:tcPr>
          <w:p w14:paraId="3BE0A568" w14:textId="59F3BCE5"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D</w:t>
            </w:r>
          </w:p>
        </w:tc>
      </w:tr>
      <w:tr w:rsidR="000F2484" w:rsidRPr="003A13C5" w14:paraId="0B56F032" w14:textId="77777777" w:rsidTr="000F2484">
        <w:tc>
          <w:tcPr>
            <w:tcW w:w="2030" w:type="dxa"/>
          </w:tcPr>
          <w:p w14:paraId="6FFFA65F" w14:textId="77777777" w:rsidR="000F2484" w:rsidRPr="003A13C5" w:rsidRDefault="000F2484" w:rsidP="009F157C">
            <w:pPr>
              <w:pStyle w:val="Amendment1"/>
              <w:numPr>
                <w:ilvl w:val="0"/>
                <w:numId w:val="0"/>
              </w:numPr>
              <w:spacing w:before="60" w:after="60"/>
              <w:rPr>
                <w:b w:val="0"/>
                <w:sz w:val="16"/>
                <w:szCs w:val="16"/>
              </w:rPr>
            </w:pPr>
          </w:p>
        </w:tc>
        <w:tc>
          <w:tcPr>
            <w:tcW w:w="2591" w:type="dxa"/>
          </w:tcPr>
          <w:p w14:paraId="3D9E7C54" w14:textId="33C3212F"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Tablet containing tenofovir disoproxil maleate 300 mg</w:t>
            </w:r>
          </w:p>
        </w:tc>
        <w:tc>
          <w:tcPr>
            <w:tcW w:w="1032" w:type="dxa"/>
          </w:tcPr>
          <w:p w14:paraId="04147910" w14:textId="5FDCE402"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Oral</w:t>
            </w:r>
          </w:p>
        </w:tc>
        <w:tc>
          <w:tcPr>
            <w:tcW w:w="1587" w:type="dxa"/>
          </w:tcPr>
          <w:p w14:paraId="2075066C" w14:textId="38241C0F"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Tenofovir Disoproxil Mylan</w:t>
            </w:r>
          </w:p>
        </w:tc>
        <w:tc>
          <w:tcPr>
            <w:tcW w:w="607" w:type="dxa"/>
          </w:tcPr>
          <w:p w14:paraId="44842C22" w14:textId="5C55448A"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AF</w:t>
            </w:r>
          </w:p>
        </w:tc>
        <w:tc>
          <w:tcPr>
            <w:tcW w:w="1417" w:type="dxa"/>
          </w:tcPr>
          <w:p w14:paraId="50516DC1" w14:textId="1E657312"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C6980 C6982 C6983 C6984 C6992 C6998 C10362</w:t>
            </w:r>
          </w:p>
        </w:tc>
        <w:tc>
          <w:tcPr>
            <w:tcW w:w="1417" w:type="dxa"/>
          </w:tcPr>
          <w:p w14:paraId="5EEC695E" w14:textId="34FC4405"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P10362</w:t>
            </w:r>
          </w:p>
        </w:tc>
        <w:tc>
          <w:tcPr>
            <w:tcW w:w="788" w:type="dxa"/>
          </w:tcPr>
          <w:p w14:paraId="2E931656" w14:textId="4CCA3C6C"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60</w:t>
            </w:r>
          </w:p>
        </w:tc>
        <w:tc>
          <w:tcPr>
            <w:tcW w:w="850" w:type="dxa"/>
          </w:tcPr>
          <w:p w14:paraId="5BCCBD41" w14:textId="56AF463D"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2</w:t>
            </w:r>
          </w:p>
        </w:tc>
        <w:tc>
          <w:tcPr>
            <w:tcW w:w="901" w:type="dxa"/>
          </w:tcPr>
          <w:p w14:paraId="5885428D" w14:textId="21156AEE"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D</w:t>
            </w:r>
          </w:p>
        </w:tc>
      </w:tr>
      <w:tr w:rsidR="000F2484" w:rsidRPr="003A13C5" w14:paraId="36F8F4D2" w14:textId="77777777" w:rsidTr="000F2484">
        <w:tc>
          <w:tcPr>
            <w:tcW w:w="2030" w:type="dxa"/>
          </w:tcPr>
          <w:p w14:paraId="7CEF1E37" w14:textId="77777777" w:rsidR="000F2484" w:rsidRPr="003A13C5" w:rsidRDefault="000F2484" w:rsidP="009F157C">
            <w:pPr>
              <w:pStyle w:val="Amendment1"/>
              <w:numPr>
                <w:ilvl w:val="0"/>
                <w:numId w:val="0"/>
              </w:numPr>
              <w:spacing w:before="60" w:after="60"/>
              <w:rPr>
                <w:b w:val="0"/>
                <w:sz w:val="16"/>
                <w:szCs w:val="16"/>
              </w:rPr>
            </w:pPr>
          </w:p>
        </w:tc>
        <w:tc>
          <w:tcPr>
            <w:tcW w:w="2591" w:type="dxa"/>
          </w:tcPr>
          <w:p w14:paraId="7C6730FE" w14:textId="77777777" w:rsidR="000F2484" w:rsidRPr="003A13C5" w:rsidRDefault="000F2484" w:rsidP="009F157C">
            <w:pPr>
              <w:spacing w:before="60" w:after="60"/>
              <w:rPr>
                <w:rFonts w:ascii="Arial" w:hAnsi="Arial" w:cs="Arial"/>
                <w:sz w:val="16"/>
                <w:szCs w:val="16"/>
              </w:rPr>
            </w:pPr>
          </w:p>
        </w:tc>
        <w:tc>
          <w:tcPr>
            <w:tcW w:w="1032" w:type="dxa"/>
          </w:tcPr>
          <w:p w14:paraId="1DCF7AC9" w14:textId="77777777" w:rsidR="000F2484" w:rsidRPr="003A13C5" w:rsidRDefault="000F2484" w:rsidP="009F157C">
            <w:pPr>
              <w:spacing w:before="60" w:after="60"/>
              <w:rPr>
                <w:rFonts w:ascii="Arial" w:hAnsi="Arial" w:cs="Arial"/>
                <w:sz w:val="16"/>
                <w:szCs w:val="16"/>
              </w:rPr>
            </w:pPr>
          </w:p>
        </w:tc>
        <w:tc>
          <w:tcPr>
            <w:tcW w:w="1587" w:type="dxa"/>
          </w:tcPr>
          <w:p w14:paraId="3BA623E5" w14:textId="77777777" w:rsidR="000F2484" w:rsidRPr="003A13C5" w:rsidRDefault="000F2484" w:rsidP="009F157C">
            <w:pPr>
              <w:spacing w:before="60" w:after="60"/>
              <w:rPr>
                <w:rFonts w:ascii="Arial" w:hAnsi="Arial" w:cs="Arial"/>
                <w:sz w:val="16"/>
                <w:szCs w:val="16"/>
              </w:rPr>
            </w:pPr>
          </w:p>
        </w:tc>
        <w:tc>
          <w:tcPr>
            <w:tcW w:w="607" w:type="dxa"/>
          </w:tcPr>
          <w:p w14:paraId="6FBBEED7" w14:textId="77777777" w:rsidR="000F2484" w:rsidRPr="003A13C5" w:rsidRDefault="000F2484" w:rsidP="009F157C">
            <w:pPr>
              <w:spacing w:before="60" w:after="60"/>
              <w:rPr>
                <w:rFonts w:ascii="Arial" w:hAnsi="Arial" w:cs="Arial"/>
                <w:sz w:val="16"/>
                <w:szCs w:val="16"/>
              </w:rPr>
            </w:pPr>
          </w:p>
        </w:tc>
        <w:tc>
          <w:tcPr>
            <w:tcW w:w="1417" w:type="dxa"/>
          </w:tcPr>
          <w:p w14:paraId="3B39A889" w14:textId="0B3ACDFD"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C6980 C6982 C6983 C6984 C6992 C6998 C10362</w:t>
            </w:r>
          </w:p>
        </w:tc>
        <w:tc>
          <w:tcPr>
            <w:tcW w:w="1417" w:type="dxa"/>
          </w:tcPr>
          <w:p w14:paraId="2E03584D" w14:textId="69FD1D0D"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P6980 P6982 P6983 P6984 P6992 P6998</w:t>
            </w:r>
          </w:p>
        </w:tc>
        <w:tc>
          <w:tcPr>
            <w:tcW w:w="788" w:type="dxa"/>
          </w:tcPr>
          <w:p w14:paraId="515F5538" w14:textId="2E507A21"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60</w:t>
            </w:r>
          </w:p>
        </w:tc>
        <w:tc>
          <w:tcPr>
            <w:tcW w:w="850" w:type="dxa"/>
          </w:tcPr>
          <w:p w14:paraId="5155179D" w14:textId="606A07DF"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5</w:t>
            </w:r>
          </w:p>
        </w:tc>
        <w:tc>
          <w:tcPr>
            <w:tcW w:w="901" w:type="dxa"/>
          </w:tcPr>
          <w:p w14:paraId="4877CCCF" w14:textId="5EBCE594"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D</w:t>
            </w:r>
          </w:p>
        </w:tc>
      </w:tr>
      <w:tr w:rsidR="000F2484" w:rsidRPr="003A13C5" w14:paraId="2A8340AD" w14:textId="77777777" w:rsidTr="000F2484">
        <w:tc>
          <w:tcPr>
            <w:tcW w:w="2030" w:type="dxa"/>
          </w:tcPr>
          <w:p w14:paraId="214BF272" w14:textId="77777777" w:rsidR="000F2484" w:rsidRPr="003A13C5" w:rsidRDefault="000F2484" w:rsidP="009F157C">
            <w:pPr>
              <w:pStyle w:val="Amendment1"/>
              <w:numPr>
                <w:ilvl w:val="0"/>
                <w:numId w:val="0"/>
              </w:numPr>
              <w:spacing w:before="60" w:after="60"/>
              <w:rPr>
                <w:b w:val="0"/>
                <w:sz w:val="16"/>
                <w:szCs w:val="16"/>
              </w:rPr>
            </w:pPr>
          </w:p>
        </w:tc>
        <w:tc>
          <w:tcPr>
            <w:tcW w:w="2591" w:type="dxa"/>
          </w:tcPr>
          <w:p w14:paraId="79A0D428" w14:textId="1C9ADAAA"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Tablet containing tenofovir disoproxil phosphate 291 mg</w:t>
            </w:r>
          </w:p>
        </w:tc>
        <w:tc>
          <w:tcPr>
            <w:tcW w:w="1032" w:type="dxa"/>
          </w:tcPr>
          <w:p w14:paraId="29F7ED15" w14:textId="7BC36B12"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Oral</w:t>
            </w:r>
          </w:p>
        </w:tc>
        <w:tc>
          <w:tcPr>
            <w:tcW w:w="1587" w:type="dxa"/>
          </w:tcPr>
          <w:p w14:paraId="274EFD7F" w14:textId="12EF7E0A"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Tenofovir GH</w:t>
            </w:r>
          </w:p>
        </w:tc>
        <w:tc>
          <w:tcPr>
            <w:tcW w:w="607" w:type="dxa"/>
          </w:tcPr>
          <w:p w14:paraId="1C5FB3D3" w14:textId="08C2F9B6"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GQ</w:t>
            </w:r>
          </w:p>
        </w:tc>
        <w:tc>
          <w:tcPr>
            <w:tcW w:w="1417" w:type="dxa"/>
          </w:tcPr>
          <w:p w14:paraId="0D6DACF4" w14:textId="02EB1EFD"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C6980 C6982 C6983 C6984 C6992 C6998 C10362</w:t>
            </w:r>
          </w:p>
        </w:tc>
        <w:tc>
          <w:tcPr>
            <w:tcW w:w="1417" w:type="dxa"/>
          </w:tcPr>
          <w:p w14:paraId="4390B3D4" w14:textId="11107AC6"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P10362</w:t>
            </w:r>
          </w:p>
        </w:tc>
        <w:tc>
          <w:tcPr>
            <w:tcW w:w="788" w:type="dxa"/>
          </w:tcPr>
          <w:p w14:paraId="214FA5C8" w14:textId="4042AD83"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60</w:t>
            </w:r>
          </w:p>
        </w:tc>
        <w:tc>
          <w:tcPr>
            <w:tcW w:w="850" w:type="dxa"/>
          </w:tcPr>
          <w:p w14:paraId="0797B45D" w14:textId="5907522E"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2</w:t>
            </w:r>
          </w:p>
        </w:tc>
        <w:tc>
          <w:tcPr>
            <w:tcW w:w="901" w:type="dxa"/>
          </w:tcPr>
          <w:p w14:paraId="61EF0AEE" w14:textId="08E89584"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D</w:t>
            </w:r>
          </w:p>
        </w:tc>
      </w:tr>
      <w:tr w:rsidR="000F2484" w:rsidRPr="003A13C5" w14:paraId="03A28A37" w14:textId="77777777" w:rsidTr="000F2484">
        <w:tc>
          <w:tcPr>
            <w:tcW w:w="2030" w:type="dxa"/>
          </w:tcPr>
          <w:p w14:paraId="2E0BC5E3" w14:textId="77777777" w:rsidR="000F2484" w:rsidRPr="003A13C5" w:rsidRDefault="000F2484" w:rsidP="009F157C">
            <w:pPr>
              <w:pStyle w:val="Amendment1"/>
              <w:numPr>
                <w:ilvl w:val="0"/>
                <w:numId w:val="0"/>
              </w:numPr>
              <w:spacing w:before="60" w:after="60"/>
              <w:rPr>
                <w:b w:val="0"/>
                <w:sz w:val="16"/>
                <w:szCs w:val="16"/>
              </w:rPr>
            </w:pPr>
          </w:p>
        </w:tc>
        <w:tc>
          <w:tcPr>
            <w:tcW w:w="2591" w:type="dxa"/>
          </w:tcPr>
          <w:p w14:paraId="14B373F4" w14:textId="77777777" w:rsidR="000F2484" w:rsidRPr="003A13C5" w:rsidRDefault="000F2484" w:rsidP="009F157C">
            <w:pPr>
              <w:spacing w:before="60" w:after="60"/>
              <w:rPr>
                <w:rFonts w:ascii="Arial" w:hAnsi="Arial" w:cs="Arial"/>
                <w:sz w:val="16"/>
                <w:szCs w:val="16"/>
              </w:rPr>
            </w:pPr>
          </w:p>
        </w:tc>
        <w:tc>
          <w:tcPr>
            <w:tcW w:w="1032" w:type="dxa"/>
          </w:tcPr>
          <w:p w14:paraId="43740CFD" w14:textId="77777777" w:rsidR="000F2484" w:rsidRPr="003A13C5" w:rsidRDefault="000F2484" w:rsidP="009F157C">
            <w:pPr>
              <w:spacing w:before="60" w:after="60"/>
              <w:rPr>
                <w:rFonts w:ascii="Arial" w:hAnsi="Arial" w:cs="Arial"/>
                <w:sz w:val="16"/>
                <w:szCs w:val="16"/>
              </w:rPr>
            </w:pPr>
          </w:p>
        </w:tc>
        <w:tc>
          <w:tcPr>
            <w:tcW w:w="1587" w:type="dxa"/>
          </w:tcPr>
          <w:p w14:paraId="56232C56" w14:textId="77777777" w:rsidR="000F2484" w:rsidRPr="003A13C5" w:rsidRDefault="000F2484" w:rsidP="009F157C">
            <w:pPr>
              <w:spacing w:before="60" w:after="60"/>
              <w:rPr>
                <w:rFonts w:ascii="Arial" w:hAnsi="Arial" w:cs="Arial"/>
                <w:sz w:val="16"/>
                <w:szCs w:val="16"/>
              </w:rPr>
            </w:pPr>
          </w:p>
        </w:tc>
        <w:tc>
          <w:tcPr>
            <w:tcW w:w="607" w:type="dxa"/>
          </w:tcPr>
          <w:p w14:paraId="1E68C4B3" w14:textId="77777777" w:rsidR="000F2484" w:rsidRPr="003A13C5" w:rsidRDefault="000F2484" w:rsidP="009F157C">
            <w:pPr>
              <w:spacing w:before="60" w:after="60"/>
              <w:rPr>
                <w:rFonts w:ascii="Arial" w:hAnsi="Arial" w:cs="Arial"/>
                <w:sz w:val="16"/>
                <w:szCs w:val="16"/>
              </w:rPr>
            </w:pPr>
          </w:p>
        </w:tc>
        <w:tc>
          <w:tcPr>
            <w:tcW w:w="1417" w:type="dxa"/>
          </w:tcPr>
          <w:p w14:paraId="4AFF7C6A" w14:textId="29006BAB"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C6980 C6982 C6983 C6984 C6992 C6998 C10362</w:t>
            </w:r>
          </w:p>
        </w:tc>
        <w:tc>
          <w:tcPr>
            <w:tcW w:w="1417" w:type="dxa"/>
          </w:tcPr>
          <w:p w14:paraId="4654D070" w14:textId="102F4170"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P6980 P6982 P6983 P6984 P6992 P6998</w:t>
            </w:r>
          </w:p>
        </w:tc>
        <w:tc>
          <w:tcPr>
            <w:tcW w:w="788" w:type="dxa"/>
          </w:tcPr>
          <w:p w14:paraId="3ECD4209" w14:textId="7FEE0FA5"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60</w:t>
            </w:r>
          </w:p>
        </w:tc>
        <w:tc>
          <w:tcPr>
            <w:tcW w:w="850" w:type="dxa"/>
          </w:tcPr>
          <w:p w14:paraId="636B3BF1" w14:textId="6ADB225A"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5</w:t>
            </w:r>
          </w:p>
        </w:tc>
        <w:tc>
          <w:tcPr>
            <w:tcW w:w="901" w:type="dxa"/>
          </w:tcPr>
          <w:p w14:paraId="23E7833D" w14:textId="73C1C8CF" w:rsidR="000F2484" w:rsidRPr="003A13C5" w:rsidRDefault="000F2484" w:rsidP="009F157C">
            <w:pPr>
              <w:spacing w:before="60" w:after="60"/>
              <w:rPr>
                <w:rFonts w:ascii="Arial" w:hAnsi="Arial" w:cs="Arial"/>
                <w:sz w:val="16"/>
                <w:szCs w:val="16"/>
              </w:rPr>
            </w:pPr>
            <w:r w:rsidRPr="003A13C5">
              <w:rPr>
                <w:rFonts w:ascii="Arial" w:hAnsi="Arial" w:cs="Arial"/>
                <w:sz w:val="16"/>
                <w:szCs w:val="16"/>
              </w:rPr>
              <w:t>D</w:t>
            </w:r>
          </w:p>
        </w:tc>
      </w:tr>
    </w:tbl>
    <w:p w14:paraId="4013D1AF" w14:textId="3D4EE285" w:rsidR="00DC0BC7" w:rsidRPr="003A13C5" w:rsidRDefault="00DC0BC7" w:rsidP="00DC0BC7">
      <w:pPr>
        <w:pStyle w:val="Amendment1"/>
        <w:tabs>
          <w:tab w:val="clear" w:pos="794"/>
        </w:tabs>
        <w:ind w:left="567" w:hanging="567"/>
      </w:pPr>
      <w:r w:rsidRPr="003A13C5">
        <w:t xml:space="preserve">Schedule 2, after entry for Responsible Person </w:t>
      </w:r>
      <w:r w:rsidR="009F157C" w:rsidRPr="003A13C5">
        <w:t>RI</w:t>
      </w:r>
    </w:p>
    <w:p w14:paraId="5360044F" w14:textId="77777777" w:rsidR="00DC0BC7" w:rsidRPr="003A13C5" w:rsidRDefault="00DC0BC7" w:rsidP="00DC0BC7">
      <w:pPr>
        <w:pStyle w:val="Amendment1"/>
        <w:numPr>
          <w:ilvl w:val="0"/>
          <w:numId w:val="0"/>
        </w:numPr>
        <w:spacing w:before="60" w:after="60"/>
        <w:ind w:firstLine="567"/>
        <w:rPr>
          <w:rFonts w:ascii="Times New Roman" w:hAnsi="Times New Roman" w:cs="Times New Roman"/>
          <w:b w:val="0"/>
          <w:bCs w:val="0"/>
          <w:i/>
          <w:iCs/>
        </w:rPr>
      </w:pPr>
      <w:r w:rsidRPr="003A13C5">
        <w:rPr>
          <w:rFonts w:ascii="Times New Roman" w:hAnsi="Times New Roman" w:cs="Times New Roman"/>
          <w:b w:val="0"/>
          <w:bCs w:val="0"/>
          <w:i/>
          <w:iCs/>
        </w:rPr>
        <w:t>insert:</w:t>
      </w:r>
    </w:p>
    <w:tbl>
      <w:tblPr>
        <w:tblW w:w="7845" w:type="dxa"/>
        <w:tblInd w:w="-5" w:type="dxa"/>
        <w:tblBorders>
          <w:top w:val="single" w:sz="4" w:space="0" w:color="auto"/>
          <w:bottom w:val="single" w:sz="2" w:space="0" w:color="auto"/>
          <w:insideH w:val="single" w:sz="4" w:space="0" w:color="auto"/>
        </w:tblBorders>
        <w:tblLook w:val="04A0" w:firstRow="1" w:lastRow="0" w:firstColumn="1" w:lastColumn="0" w:noHBand="0" w:noVBand="1"/>
      </w:tblPr>
      <w:tblGrid>
        <w:gridCol w:w="1389"/>
        <w:gridCol w:w="3763"/>
        <w:gridCol w:w="2693"/>
      </w:tblGrid>
      <w:tr w:rsidR="00DC0BC7" w:rsidRPr="003A13C5" w14:paraId="5CCB0A6C" w14:textId="77777777" w:rsidTr="007478B6">
        <w:trPr>
          <w:trHeight w:val="255"/>
        </w:trPr>
        <w:tc>
          <w:tcPr>
            <w:tcW w:w="1389" w:type="dxa"/>
            <w:tcBorders>
              <w:top w:val="single" w:sz="4" w:space="0" w:color="auto"/>
              <w:left w:val="single" w:sz="4" w:space="0" w:color="auto"/>
              <w:bottom w:val="single" w:sz="4" w:space="0" w:color="auto"/>
              <w:right w:val="single" w:sz="4" w:space="0" w:color="auto"/>
            </w:tcBorders>
          </w:tcPr>
          <w:p w14:paraId="25922D75" w14:textId="776D8275" w:rsidR="00DC0BC7" w:rsidRPr="003A13C5" w:rsidRDefault="009F157C" w:rsidP="00D41207">
            <w:pPr>
              <w:spacing w:before="60" w:after="60"/>
              <w:rPr>
                <w:rFonts w:ascii="Arial" w:hAnsi="Arial" w:cs="Arial"/>
                <w:sz w:val="16"/>
                <w:szCs w:val="16"/>
              </w:rPr>
            </w:pPr>
            <w:r w:rsidRPr="003A13C5">
              <w:rPr>
                <w:rFonts w:ascii="Arial" w:hAnsi="Arial" w:cs="Arial"/>
                <w:sz w:val="16"/>
                <w:szCs w:val="16"/>
              </w:rPr>
              <w:t>RJ</w:t>
            </w:r>
          </w:p>
        </w:tc>
        <w:tc>
          <w:tcPr>
            <w:tcW w:w="3763" w:type="dxa"/>
            <w:tcBorders>
              <w:top w:val="single" w:sz="4" w:space="0" w:color="auto"/>
              <w:left w:val="single" w:sz="4" w:space="0" w:color="auto"/>
              <w:bottom w:val="single" w:sz="4" w:space="0" w:color="auto"/>
              <w:right w:val="single" w:sz="4" w:space="0" w:color="auto"/>
            </w:tcBorders>
          </w:tcPr>
          <w:p w14:paraId="73E6A469" w14:textId="562FA699" w:rsidR="00DC0BC7" w:rsidRPr="003A13C5" w:rsidRDefault="009F157C" w:rsidP="00D41207">
            <w:pPr>
              <w:spacing w:before="60" w:after="60"/>
              <w:rPr>
                <w:rFonts w:ascii="Arial" w:hAnsi="Arial" w:cs="Arial"/>
                <w:sz w:val="16"/>
                <w:szCs w:val="16"/>
              </w:rPr>
            </w:pPr>
            <w:r w:rsidRPr="003A13C5">
              <w:rPr>
                <w:rFonts w:ascii="Arial" w:hAnsi="Arial" w:cs="Arial"/>
                <w:sz w:val="16"/>
                <w:szCs w:val="16"/>
              </w:rPr>
              <w:t>Recordati Rare Diseases Australia Pty. Ltd</w:t>
            </w:r>
          </w:p>
        </w:tc>
        <w:tc>
          <w:tcPr>
            <w:tcW w:w="2693" w:type="dxa"/>
            <w:tcBorders>
              <w:top w:val="single" w:sz="4" w:space="0" w:color="auto"/>
              <w:left w:val="single" w:sz="4" w:space="0" w:color="auto"/>
              <w:bottom w:val="single" w:sz="4" w:space="0" w:color="auto"/>
              <w:right w:val="single" w:sz="4" w:space="0" w:color="auto"/>
            </w:tcBorders>
          </w:tcPr>
          <w:p w14:paraId="723E5836" w14:textId="3C649C92" w:rsidR="00DC0BC7" w:rsidRPr="003A13C5" w:rsidRDefault="009F157C" w:rsidP="00D41207">
            <w:pPr>
              <w:spacing w:before="60" w:after="60"/>
              <w:rPr>
                <w:rFonts w:ascii="Arial" w:hAnsi="Arial" w:cs="Arial"/>
                <w:sz w:val="16"/>
                <w:szCs w:val="16"/>
                <w:lang w:val="en-US"/>
              </w:rPr>
            </w:pPr>
            <w:r w:rsidRPr="003A13C5">
              <w:rPr>
                <w:rFonts w:ascii="Arial" w:hAnsi="Arial" w:cs="Arial"/>
                <w:sz w:val="16"/>
                <w:szCs w:val="16"/>
              </w:rPr>
              <w:t>26 627 263 094</w:t>
            </w:r>
          </w:p>
        </w:tc>
      </w:tr>
    </w:tbl>
    <w:p w14:paraId="1A2C1FBE" w14:textId="5601C954" w:rsidR="006B5CC3" w:rsidRPr="003A13C5" w:rsidRDefault="00EB3823" w:rsidP="00555971">
      <w:pPr>
        <w:pStyle w:val="Amendment1"/>
        <w:keepNext/>
        <w:tabs>
          <w:tab w:val="clear" w:pos="794"/>
          <w:tab w:val="num" w:pos="567"/>
        </w:tabs>
        <w:ind w:left="567" w:hanging="567"/>
        <w:rPr>
          <w:bCs w:val="0"/>
        </w:rPr>
      </w:pPr>
      <w:r w:rsidRPr="003A13C5">
        <w:t>Schedule</w:t>
      </w:r>
      <w:r w:rsidRPr="003A13C5">
        <w:rPr>
          <w:bCs w:val="0"/>
        </w:rPr>
        <w:t xml:space="preserve"> 3</w:t>
      </w:r>
      <w:r w:rsidR="006B5CC3" w:rsidRPr="003A13C5">
        <w:rPr>
          <w:bCs w:val="0"/>
        </w:rPr>
        <w:t xml:space="preserve">, entry for </w:t>
      </w:r>
      <w:r w:rsidR="009F157C" w:rsidRPr="003A13C5">
        <w:rPr>
          <w:bCs w:val="0"/>
        </w:rPr>
        <w:t>Ambrisentan</w:t>
      </w:r>
    </w:p>
    <w:p w14:paraId="29CA695B" w14:textId="3AF387F6" w:rsidR="006B5CC3" w:rsidRPr="003A13C5" w:rsidRDefault="009F157C" w:rsidP="009F157C">
      <w:pPr>
        <w:pStyle w:val="Amendment3"/>
        <w:numPr>
          <w:ilvl w:val="0"/>
          <w:numId w:val="0"/>
        </w:numPr>
        <w:ind w:firstLine="567"/>
        <w:rPr>
          <w:i/>
        </w:rPr>
      </w:pPr>
      <w:r w:rsidRPr="003A13C5">
        <w:rPr>
          <w:i/>
        </w:rPr>
        <w:t>substitute</w:t>
      </w:r>
      <w:r w:rsidR="006B5CC3" w:rsidRPr="003A13C5">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00"/>
        <w:gridCol w:w="850"/>
        <w:gridCol w:w="850"/>
        <w:gridCol w:w="7661"/>
        <w:gridCol w:w="2650"/>
      </w:tblGrid>
      <w:tr w:rsidR="009F157C" w:rsidRPr="003A13C5" w14:paraId="0917F2F0" w14:textId="77777777" w:rsidTr="00772E2D">
        <w:tc>
          <w:tcPr>
            <w:tcW w:w="1900" w:type="dxa"/>
            <w:shd w:val="clear" w:color="auto" w:fill="auto"/>
            <w:tcMar>
              <w:top w:w="28" w:type="dxa"/>
              <w:left w:w="28" w:type="dxa"/>
            </w:tcMar>
          </w:tcPr>
          <w:p w14:paraId="647B7AF2" w14:textId="1C8EBB94" w:rsidR="009F157C" w:rsidRPr="003A13C5" w:rsidRDefault="009F157C" w:rsidP="008F5E69">
            <w:pPr>
              <w:pStyle w:val="Tabletext0"/>
              <w:tabs>
                <w:tab w:val="left" w:pos="958"/>
              </w:tabs>
              <w:rPr>
                <w:rFonts w:cs="Arial"/>
                <w:szCs w:val="16"/>
              </w:rPr>
            </w:pPr>
            <w:r w:rsidRPr="003A13C5">
              <w:rPr>
                <w:rFonts w:cs="Arial"/>
                <w:szCs w:val="16"/>
              </w:rPr>
              <w:t>Ambrisentan</w:t>
            </w:r>
          </w:p>
        </w:tc>
        <w:tc>
          <w:tcPr>
            <w:tcW w:w="850" w:type="dxa"/>
            <w:shd w:val="clear" w:color="auto" w:fill="auto"/>
            <w:tcMar>
              <w:top w:w="28" w:type="dxa"/>
              <w:left w:w="28" w:type="dxa"/>
            </w:tcMar>
          </w:tcPr>
          <w:p w14:paraId="70288FF8" w14:textId="5C6D3E48" w:rsidR="009F157C" w:rsidRPr="003A13C5" w:rsidRDefault="009F157C" w:rsidP="008F5E69">
            <w:pPr>
              <w:pStyle w:val="Tabletext0"/>
              <w:rPr>
                <w:rFonts w:cs="Arial"/>
                <w:szCs w:val="16"/>
              </w:rPr>
            </w:pPr>
            <w:r w:rsidRPr="003A13C5">
              <w:rPr>
                <w:rFonts w:cs="Arial"/>
                <w:szCs w:val="16"/>
              </w:rPr>
              <w:t>C10228</w:t>
            </w:r>
          </w:p>
        </w:tc>
        <w:tc>
          <w:tcPr>
            <w:tcW w:w="850" w:type="dxa"/>
            <w:shd w:val="clear" w:color="auto" w:fill="auto"/>
            <w:tcMar>
              <w:top w:w="28" w:type="dxa"/>
              <w:left w:w="28" w:type="dxa"/>
            </w:tcMar>
          </w:tcPr>
          <w:p w14:paraId="5F28192C" w14:textId="6386EC62" w:rsidR="009F157C" w:rsidRPr="003A13C5" w:rsidDel="00E03489" w:rsidRDefault="009F157C" w:rsidP="008F5E69">
            <w:pPr>
              <w:spacing w:before="60" w:after="60"/>
              <w:rPr>
                <w:rFonts w:ascii="Arial" w:hAnsi="Arial" w:cs="Arial"/>
                <w:sz w:val="16"/>
                <w:szCs w:val="16"/>
                <w:lang w:eastAsia="en-AU"/>
              </w:rPr>
            </w:pPr>
          </w:p>
        </w:tc>
        <w:tc>
          <w:tcPr>
            <w:tcW w:w="7661" w:type="dxa"/>
            <w:shd w:val="clear" w:color="auto" w:fill="auto"/>
            <w:tcMar>
              <w:top w:w="28" w:type="dxa"/>
              <w:left w:w="28" w:type="dxa"/>
            </w:tcMar>
          </w:tcPr>
          <w:p w14:paraId="205AA565" w14:textId="4A126592" w:rsidR="009F157C" w:rsidRPr="003A13C5" w:rsidRDefault="009F157C" w:rsidP="008F5E69">
            <w:pPr>
              <w:pStyle w:val="Tabletext0"/>
              <w:rPr>
                <w:rFonts w:cs="Arial"/>
                <w:szCs w:val="16"/>
              </w:rPr>
            </w:pPr>
            <w:r w:rsidRPr="003A13C5">
              <w:rPr>
                <w:rFonts w:cs="Arial"/>
                <w:szCs w:val="16"/>
              </w:rPr>
              <w:t>Pulmonary arterial hypertension (PAH)</w:t>
            </w:r>
            <w:r w:rsidR="00E64A6D" w:rsidRPr="003A13C5">
              <w:rPr>
                <w:rFonts w:cs="Arial"/>
                <w:szCs w:val="16"/>
              </w:rPr>
              <w:br/>
            </w:r>
            <w:r w:rsidRPr="003A13C5">
              <w:rPr>
                <w:rFonts w:cs="Arial"/>
                <w:szCs w:val="16"/>
              </w:rPr>
              <w:t>Continuing treatment</w:t>
            </w:r>
            <w:r w:rsidR="00E64A6D" w:rsidRPr="003A13C5">
              <w:rPr>
                <w:rFonts w:cs="Arial"/>
                <w:szCs w:val="16"/>
              </w:rPr>
              <w:br/>
            </w:r>
            <w:r w:rsidRPr="003A13C5">
              <w:rPr>
                <w:rFonts w:cs="Arial"/>
                <w:szCs w:val="16"/>
              </w:rPr>
              <w:t>Patient must have received their most recent course of PBS-subsidised treatment with this PAH agent for this condition; AND</w:t>
            </w:r>
            <w:r w:rsidR="00E64A6D" w:rsidRPr="003A13C5">
              <w:rPr>
                <w:rFonts w:cs="Arial"/>
                <w:szCs w:val="16"/>
              </w:rPr>
              <w:br/>
            </w:r>
            <w:r w:rsidRPr="003A13C5">
              <w:rPr>
                <w:rFonts w:cs="Arial"/>
                <w:szCs w:val="16"/>
              </w:rPr>
              <w:t>The treatment must be the sole PBS-subsidised PAH agent for this condition.</w:t>
            </w:r>
            <w:r w:rsidR="00E64A6D" w:rsidRPr="003A13C5">
              <w:rPr>
                <w:rFonts w:cs="Arial"/>
                <w:szCs w:val="16"/>
              </w:rPr>
              <w:br/>
            </w:r>
            <w:r w:rsidRPr="003A13C5">
              <w:rPr>
                <w:rFonts w:cs="Arial"/>
                <w:szCs w:val="16"/>
              </w:rPr>
              <w:t>The term 'PAH agents' refers to bosentan monohydrate, iloprost trometamol, epoprostenol sodium, sildenafil citrate, ambrisentan, tadalafil, macitentan, and riociguat.</w:t>
            </w:r>
            <w:r w:rsidR="00E64A6D" w:rsidRPr="003A13C5">
              <w:rPr>
                <w:rFonts w:cs="Arial"/>
                <w:szCs w:val="16"/>
              </w:rPr>
              <w:br/>
            </w:r>
            <w:r w:rsidRPr="003A13C5">
              <w:rPr>
                <w:rFonts w:cs="Arial"/>
                <w:szCs w:val="16"/>
              </w:rPr>
              <w:t xml:space="preserve">PAH agents are not PBS-subsidised for patients with pulmonary hypertension secondary to interstitial lung disease associated with connective tissue disease, where the total lung capacity is less than 70% of </w:t>
            </w:r>
            <w:r w:rsidRPr="003A13C5">
              <w:rPr>
                <w:rFonts w:cs="Arial"/>
                <w:szCs w:val="16"/>
              </w:rPr>
              <w:lastRenderedPageBreak/>
              <w:t>predicted.</w:t>
            </w:r>
            <w:r w:rsidR="00E64A6D" w:rsidRPr="003A13C5">
              <w:rPr>
                <w:rFonts w:cs="Arial"/>
                <w:szCs w:val="16"/>
              </w:rPr>
              <w:br/>
            </w:r>
            <w:r w:rsidRPr="003A13C5">
              <w:rPr>
                <w:rFonts w:cs="Arial"/>
                <w:szCs w:val="16"/>
              </w:rPr>
              <w:t>The maximum quantity authorised will be limited to provide sufficient supply for 1 month of treatment, based on the dosage recommendations in the TGA-approved Product Information.</w:t>
            </w:r>
            <w:r w:rsidR="00E64A6D" w:rsidRPr="003A13C5">
              <w:rPr>
                <w:rFonts w:cs="Arial"/>
                <w:szCs w:val="16"/>
              </w:rPr>
              <w:br/>
            </w:r>
            <w:r w:rsidRPr="003A13C5">
              <w:rPr>
                <w:rFonts w:cs="Arial"/>
                <w:szCs w:val="16"/>
              </w:rPr>
              <w:t>A maximum of 5 repeats may be requested.</w:t>
            </w:r>
          </w:p>
        </w:tc>
        <w:tc>
          <w:tcPr>
            <w:tcW w:w="2650" w:type="dxa"/>
            <w:shd w:val="clear" w:color="auto" w:fill="auto"/>
            <w:tcMar>
              <w:top w:w="28" w:type="dxa"/>
              <w:left w:w="28" w:type="dxa"/>
              <w:right w:w="57" w:type="dxa"/>
            </w:tcMar>
          </w:tcPr>
          <w:p w14:paraId="5087E98F" w14:textId="33DFDF2C" w:rsidR="009F157C" w:rsidRPr="003A13C5" w:rsidRDefault="009F157C" w:rsidP="008F5E69">
            <w:pPr>
              <w:pStyle w:val="Tabletext0"/>
              <w:rPr>
                <w:rFonts w:cs="Arial"/>
                <w:szCs w:val="16"/>
              </w:rPr>
            </w:pPr>
            <w:r w:rsidRPr="003A13C5">
              <w:rPr>
                <w:rFonts w:cs="Arial"/>
                <w:szCs w:val="16"/>
              </w:rPr>
              <w:lastRenderedPageBreak/>
              <w:t>Compliance with Authority Required procedures</w:t>
            </w:r>
          </w:p>
        </w:tc>
      </w:tr>
      <w:tr w:rsidR="00E64A6D" w:rsidRPr="003A13C5" w14:paraId="1D9E9D75" w14:textId="77777777" w:rsidTr="00772E2D">
        <w:tc>
          <w:tcPr>
            <w:tcW w:w="1900" w:type="dxa"/>
            <w:shd w:val="clear" w:color="auto" w:fill="auto"/>
            <w:tcMar>
              <w:top w:w="28" w:type="dxa"/>
              <w:left w:w="28" w:type="dxa"/>
            </w:tcMar>
          </w:tcPr>
          <w:p w14:paraId="372A4DBD" w14:textId="77777777" w:rsidR="00E64A6D" w:rsidRPr="003A13C5" w:rsidRDefault="00E64A6D" w:rsidP="00E64A6D">
            <w:pPr>
              <w:pStyle w:val="Tabletext0"/>
              <w:rPr>
                <w:rFonts w:cs="Arial"/>
                <w:szCs w:val="16"/>
              </w:rPr>
            </w:pPr>
          </w:p>
        </w:tc>
        <w:tc>
          <w:tcPr>
            <w:tcW w:w="850" w:type="dxa"/>
            <w:shd w:val="clear" w:color="auto" w:fill="auto"/>
            <w:tcMar>
              <w:top w:w="28" w:type="dxa"/>
              <w:left w:w="28" w:type="dxa"/>
            </w:tcMar>
          </w:tcPr>
          <w:p w14:paraId="6CF525CC" w14:textId="5C61B121" w:rsidR="00E64A6D" w:rsidRPr="003A13C5" w:rsidRDefault="00E64A6D" w:rsidP="008F5E69">
            <w:pPr>
              <w:pStyle w:val="Tabletext0"/>
              <w:rPr>
                <w:rFonts w:cs="Arial"/>
                <w:szCs w:val="16"/>
              </w:rPr>
            </w:pPr>
            <w:r w:rsidRPr="003A13C5">
              <w:rPr>
                <w:rFonts w:cs="Arial"/>
                <w:szCs w:val="16"/>
              </w:rPr>
              <w:t>C10236</w:t>
            </w:r>
          </w:p>
        </w:tc>
        <w:tc>
          <w:tcPr>
            <w:tcW w:w="850" w:type="dxa"/>
            <w:shd w:val="clear" w:color="auto" w:fill="auto"/>
            <w:tcMar>
              <w:top w:w="28" w:type="dxa"/>
              <w:left w:w="28" w:type="dxa"/>
            </w:tcMar>
          </w:tcPr>
          <w:p w14:paraId="13B7F0A8" w14:textId="6C8A739A" w:rsidR="00E64A6D" w:rsidRPr="003A13C5" w:rsidDel="00E03489" w:rsidRDefault="00E64A6D" w:rsidP="008F5E69">
            <w:pPr>
              <w:spacing w:before="60" w:after="60"/>
              <w:rPr>
                <w:rFonts w:ascii="Arial" w:hAnsi="Arial" w:cs="Arial"/>
                <w:sz w:val="16"/>
                <w:szCs w:val="16"/>
                <w:lang w:eastAsia="en-AU"/>
              </w:rPr>
            </w:pPr>
          </w:p>
        </w:tc>
        <w:tc>
          <w:tcPr>
            <w:tcW w:w="7661" w:type="dxa"/>
            <w:shd w:val="clear" w:color="auto" w:fill="auto"/>
            <w:tcMar>
              <w:top w:w="28" w:type="dxa"/>
              <w:left w:w="28" w:type="dxa"/>
            </w:tcMar>
          </w:tcPr>
          <w:p w14:paraId="12982617" w14:textId="2E008760" w:rsidR="00E64A6D" w:rsidRPr="003A13C5" w:rsidRDefault="00E64A6D" w:rsidP="008F5E69">
            <w:pPr>
              <w:pStyle w:val="Tabletext0"/>
              <w:rPr>
                <w:rFonts w:cs="Arial"/>
                <w:szCs w:val="16"/>
              </w:rPr>
            </w:pPr>
            <w:r w:rsidRPr="003A13C5">
              <w:rPr>
                <w:rFonts w:cs="Arial"/>
                <w:szCs w:val="16"/>
              </w:rPr>
              <w:t>Pulmonary arterial hypertension (PAH)</w:t>
            </w:r>
            <w:r w:rsidRPr="003A13C5">
              <w:rPr>
                <w:rFonts w:cs="Arial"/>
                <w:szCs w:val="16"/>
              </w:rPr>
              <w:br/>
              <w:t>Initial 2 (change)</w:t>
            </w:r>
            <w:r w:rsidRPr="003A13C5">
              <w:rPr>
                <w:rFonts w:cs="Arial"/>
                <w:szCs w:val="16"/>
              </w:rPr>
              <w:br/>
              <w:t>Patient must have documented WHO Functional Class II PAH, or WHO Functional Class III PAH, or WHO Functional Class IV PAH; AND</w:t>
            </w:r>
            <w:r w:rsidRPr="003A13C5">
              <w:rPr>
                <w:rFonts w:cs="Arial"/>
                <w:szCs w:val="16"/>
              </w:rPr>
              <w:br/>
              <w:t>Patient must have had their most recent course of PBS-subsidised treatment for this condition with a PAH agent other than this agent; AND</w:t>
            </w:r>
            <w:r w:rsidRPr="003A13C5">
              <w:rPr>
                <w:rFonts w:cs="Arial"/>
                <w:szCs w:val="16"/>
              </w:rPr>
              <w:br/>
              <w:t>The treatment must be the sole PBS-subsidised PAH agent for this condition.</w:t>
            </w:r>
            <w:r w:rsidRPr="003A13C5">
              <w:rPr>
                <w:rFonts w:cs="Arial"/>
                <w:szCs w:val="16"/>
              </w:rPr>
              <w:br/>
              <w:t>The term 'PAH agents' refers to bosentan monohydrate, iloprost trometamol, epoprostenol sodium, sildenafil citrate, ambrisentan, tadalafil, macitentan, and riociguat.</w:t>
            </w:r>
            <w:r w:rsidRPr="003A13C5">
              <w:rPr>
                <w:rFonts w:cs="Arial"/>
                <w:szCs w:val="16"/>
              </w:rPr>
              <w:br/>
              <w:t>PAH agents are not PBS-subsidised for patients with pulmonary hypertension secondary to interstitial lung disease associated with connective tissue disease, where the total lung capacity is less than 70% of predicted.</w:t>
            </w:r>
            <w:r w:rsidRPr="003A13C5">
              <w:rPr>
                <w:rFonts w:cs="Arial"/>
                <w:szCs w:val="16"/>
              </w:rPr>
              <w:br/>
              <w:t>Swapping between PAH agents: Patients can access PAH agents through the PBS according to the relevant restrictions. Once these patients are approved initial treatment (monotherapy) with 1 of these 8 drugs, they may swap between PAH agents at any time without having to re-qualify for treatment with the alternate agent. This means that patients may commence treatment with the alternate agent, subject to that agent's restriction, irrespective of the severity of their disease at the time the application to swap therapy is submitted.</w:t>
            </w:r>
            <w:r w:rsidRPr="003A13C5">
              <w:rPr>
                <w:rFonts w:cs="Arial"/>
                <w:szCs w:val="16"/>
              </w:rPr>
              <w:br/>
              <w:t>Applications to swap between the 8 PAH agents must be made under the relevant initial treatment (monotherapy) restriction.</w:t>
            </w:r>
            <w:r w:rsidRPr="003A13C5">
              <w:rPr>
                <w:rFonts w:cs="Arial"/>
                <w:szCs w:val="16"/>
              </w:rPr>
              <w:br/>
              <w:t>The maximum quantity authorised will be limited to provide sufficient supply for 1 month of treatment, based on the dosage recommendations in the TGA-approved Product Information.</w:t>
            </w:r>
            <w:r w:rsidRPr="003A13C5">
              <w:rPr>
                <w:rFonts w:cs="Arial"/>
                <w:szCs w:val="16"/>
              </w:rPr>
              <w:br/>
              <w:t>A maximum of 5 repeats may be requested.</w:t>
            </w:r>
          </w:p>
        </w:tc>
        <w:tc>
          <w:tcPr>
            <w:tcW w:w="2650" w:type="dxa"/>
            <w:shd w:val="clear" w:color="auto" w:fill="auto"/>
            <w:tcMar>
              <w:top w:w="28" w:type="dxa"/>
              <w:left w:w="28" w:type="dxa"/>
              <w:right w:w="57" w:type="dxa"/>
            </w:tcMar>
          </w:tcPr>
          <w:p w14:paraId="71F9F7A6" w14:textId="1A7A5B68" w:rsidR="00E64A6D" w:rsidRPr="003A13C5" w:rsidRDefault="00E64A6D" w:rsidP="008F5E69">
            <w:pPr>
              <w:pStyle w:val="Tabletext0"/>
              <w:rPr>
                <w:rFonts w:cs="Arial"/>
                <w:szCs w:val="16"/>
              </w:rPr>
            </w:pPr>
            <w:r w:rsidRPr="003A13C5">
              <w:rPr>
                <w:rFonts w:cs="Arial"/>
                <w:szCs w:val="16"/>
              </w:rPr>
              <w:t>Compliance with Authority Required procedures</w:t>
            </w:r>
          </w:p>
        </w:tc>
      </w:tr>
      <w:tr w:rsidR="00E64A6D" w:rsidRPr="003A13C5" w14:paraId="23D6DB9B" w14:textId="77777777" w:rsidTr="00772E2D">
        <w:tc>
          <w:tcPr>
            <w:tcW w:w="1900" w:type="dxa"/>
            <w:shd w:val="clear" w:color="auto" w:fill="auto"/>
            <w:tcMar>
              <w:top w:w="28" w:type="dxa"/>
              <w:left w:w="28" w:type="dxa"/>
            </w:tcMar>
          </w:tcPr>
          <w:p w14:paraId="4E63A1CD" w14:textId="77777777" w:rsidR="00E64A6D" w:rsidRPr="003A13C5" w:rsidRDefault="00E64A6D" w:rsidP="00E64A6D">
            <w:pPr>
              <w:pStyle w:val="Tabletext0"/>
              <w:rPr>
                <w:rFonts w:cs="Arial"/>
                <w:szCs w:val="16"/>
              </w:rPr>
            </w:pPr>
          </w:p>
        </w:tc>
        <w:tc>
          <w:tcPr>
            <w:tcW w:w="850" w:type="dxa"/>
            <w:shd w:val="clear" w:color="auto" w:fill="auto"/>
            <w:tcMar>
              <w:top w:w="28" w:type="dxa"/>
              <w:left w:w="28" w:type="dxa"/>
            </w:tcMar>
          </w:tcPr>
          <w:p w14:paraId="5F432590" w14:textId="394CEEC5" w:rsidR="00E64A6D" w:rsidRPr="003A13C5" w:rsidRDefault="00E64A6D" w:rsidP="008F5E69">
            <w:pPr>
              <w:pStyle w:val="Tabletext0"/>
              <w:rPr>
                <w:rFonts w:cs="Arial"/>
                <w:szCs w:val="16"/>
              </w:rPr>
            </w:pPr>
            <w:r w:rsidRPr="003A13C5">
              <w:rPr>
                <w:rFonts w:cs="Arial"/>
                <w:szCs w:val="16"/>
              </w:rPr>
              <w:t>C10285</w:t>
            </w:r>
          </w:p>
        </w:tc>
        <w:tc>
          <w:tcPr>
            <w:tcW w:w="850" w:type="dxa"/>
            <w:shd w:val="clear" w:color="auto" w:fill="auto"/>
            <w:tcMar>
              <w:top w:w="28" w:type="dxa"/>
              <w:left w:w="28" w:type="dxa"/>
            </w:tcMar>
          </w:tcPr>
          <w:p w14:paraId="2E04FB53" w14:textId="4EC134BD" w:rsidR="00E64A6D" w:rsidRPr="003A13C5" w:rsidDel="00E03489" w:rsidRDefault="00E64A6D" w:rsidP="008F5E69">
            <w:pPr>
              <w:spacing w:before="60" w:after="60"/>
              <w:rPr>
                <w:rFonts w:ascii="Arial" w:hAnsi="Arial" w:cs="Arial"/>
                <w:sz w:val="16"/>
                <w:szCs w:val="16"/>
                <w:lang w:eastAsia="en-AU"/>
              </w:rPr>
            </w:pPr>
          </w:p>
        </w:tc>
        <w:tc>
          <w:tcPr>
            <w:tcW w:w="7661" w:type="dxa"/>
            <w:shd w:val="clear" w:color="auto" w:fill="auto"/>
            <w:tcMar>
              <w:top w:w="28" w:type="dxa"/>
              <w:left w:w="28" w:type="dxa"/>
            </w:tcMar>
          </w:tcPr>
          <w:p w14:paraId="102A7C37" w14:textId="27925FC8" w:rsidR="00E64A6D" w:rsidRPr="003A13C5" w:rsidRDefault="00E64A6D" w:rsidP="008F5E69">
            <w:pPr>
              <w:pStyle w:val="Tabletext0"/>
              <w:rPr>
                <w:rFonts w:cs="Arial"/>
                <w:szCs w:val="16"/>
              </w:rPr>
            </w:pPr>
            <w:r w:rsidRPr="003A13C5">
              <w:rPr>
                <w:rFonts w:cs="Arial"/>
                <w:szCs w:val="16"/>
              </w:rPr>
              <w:t>Pulmonary arterial hypertension (PAH)</w:t>
            </w:r>
            <w:r w:rsidRPr="003A13C5">
              <w:rPr>
                <w:rFonts w:cs="Arial"/>
                <w:szCs w:val="16"/>
              </w:rPr>
              <w:br/>
              <w:t>Initial 1 (new patients)</w:t>
            </w:r>
            <w:r w:rsidRPr="003A13C5">
              <w:rPr>
                <w:rFonts w:cs="Arial"/>
                <w:szCs w:val="16"/>
              </w:rPr>
              <w:br/>
              <w:t>Patient must not have received prior PBS-subsidised treatment with a pulmonary arterial hypertension (PAH) agent; AND</w:t>
            </w:r>
            <w:r w:rsidRPr="003A13C5">
              <w:rPr>
                <w:rFonts w:cs="Arial"/>
                <w:szCs w:val="16"/>
              </w:rPr>
              <w:br/>
              <w:t>Patient must have been assessed by a physician with expertise in the management of PAH; AND</w:t>
            </w:r>
            <w:r w:rsidRPr="003A13C5">
              <w:rPr>
                <w:rFonts w:cs="Arial"/>
                <w:szCs w:val="16"/>
              </w:rPr>
              <w:br/>
              <w:t>Patient must have WHO Functional Class II PAH, or WHO Functional Class III PAH, or WHO Functional Class IV PAH; AND</w:t>
            </w:r>
            <w:r w:rsidRPr="003A13C5">
              <w:rPr>
                <w:rFonts w:cs="Arial"/>
                <w:szCs w:val="16"/>
              </w:rPr>
              <w:br/>
              <w:t>The treatment must be the sole PBS-subsidised PAH agent for this condition.</w:t>
            </w:r>
            <w:r w:rsidRPr="003A13C5">
              <w:rPr>
                <w:rFonts w:cs="Arial"/>
                <w:szCs w:val="16"/>
              </w:rPr>
              <w:br/>
              <w:t>The term 'PAH agents' refers to bosentan monohydrate, iloprost trometamol, epoprostenol sodium, sildenafil citrate, ambrisentan, tadalafil, macitentan, and riociguat.</w:t>
            </w:r>
            <w:r w:rsidRPr="003A13C5">
              <w:rPr>
                <w:rFonts w:cs="Arial"/>
                <w:szCs w:val="16"/>
              </w:rPr>
              <w:br/>
              <w:t>PAH agents are not PBS-subsidised for patients with pulmonary hypertension secondary to interstitial lung disease associated with connective tissue disease, where the total lung capacity is less than 70% of predicted.</w:t>
            </w:r>
            <w:r w:rsidRPr="003A13C5">
              <w:rPr>
                <w:rFonts w:cs="Arial"/>
                <w:szCs w:val="16"/>
              </w:rPr>
              <w:br/>
              <w:t>PAH (WHO Group 1 pulmonary hypertension) is defined as follows:</w:t>
            </w:r>
            <w:r w:rsidRPr="003A13C5">
              <w:rPr>
                <w:rFonts w:cs="Arial"/>
                <w:szCs w:val="16"/>
              </w:rPr>
              <w:br/>
              <w:t>(i) mean pulmonary artery pressure (mPAP) greater than or equal to 25 mmHg at rest and pulmonary artery wedge pressure (PAWP) less than or equal to 15 mmHg; or</w:t>
            </w:r>
            <w:r w:rsidRPr="003A13C5">
              <w:rPr>
                <w:rFonts w:cs="Arial"/>
                <w:szCs w:val="16"/>
              </w:rPr>
              <w:br/>
              <w:t>(ii) where a right heart catheter (RHC) cannot be performed on clinical grounds, right ventricular systolic pressure (RVSP), assessed by echocardiography (ECHO), greater than 40 mmHg, with normal left ventricular function.</w:t>
            </w:r>
            <w:r w:rsidRPr="003A13C5">
              <w:rPr>
                <w:rFonts w:cs="Arial"/>
                <w:szCs w:val="16"/>
              </w:rPr>
              <w:br/>
              <w:t>Applications for authorisation must be in writing and must include:</w:t>
            </w:r>
            <w:r w:rsidRPr="003A13C5">
              <w:rPr>
                <w:rFonts w:cs="Arial"/>
                <w:szCs w:val="16"/>
              </w:rPr>
              <w:br/>
            </w:r>
            <w:r w:rsidRPr="003A13C5">
              <w:rPr>
                <w:rFonts w:cs="Arial"/>
                <w:szCs w:val="16"/>
              </w:rPr>
              <w:lastRenderedPageBreak/>
              <w:t>(1) a completed authority prescription form; and</w:t>
            </w:r>
            <w:r w:rsidRPr="003A13C5">
              <w:rPr>
                <w:rFonts w:cs="Arial"/>
                <w:szCs w:val="16"/>
              </w:rPr>
              <w:br/>
              <w:t>(2) a completed Pulmonary Arterial Hypertension PBS Authority Application - Supporting Information form which includes results from the three tests below, where available:</w:t>
            </w:r>
            <w:r w:rsidRPr="003A13C5">
              <w:rPr>
                <w:rFonts w:cs="Arial"/>
                <w:szCs w:val="16"/>
              </w:rPr>
              <w:br/>
              <w:t>(i) RHC composite assessment; and</w:t>
            </w:r>
            <w:r w:rsidRPr="003A13C5">
              <w:rPr>
                <w:rFonts w:cs="Arial"/>
                <w:szCs w:val="16"/>
              </w:rPr>
              <w:br/>
              <w:t>(ii) ECHO composite assessment; and</w:t>
            </w:r>
            <w:r w:rsidRPr="003A13C5">
              <w:rPr>
                <w:rFonts w:cs="Arial"/>
                <w:szCs w:val="16"/>
              </w:rPr>
              <w:br/>
              <w:t>(iii) 6 Minute Walk Test (6MWT).</w:t>
            </w:r>
            <w:r w:rsidRPr="003A13C5">
              <w:rPr>
                <w:rFonts w:cs="Arial"/>
                <w:szCs w:val="16"/>
              </w:rPr>
              <w:br/>
              <w:t>Where it is not possible to perform all 3 tests on clinical grounds, the following list outlines the preferred test combination, in descending order, for the purposes of initiation of PBS-subsidised treatment:</w:t>
            </w:r>
            <w:r w:rsidRPr="003A13C5">
              <w:rPr>
                <w:rFonts w:cs="Arial"/>
                <w:szCs w:val="16"/>
              </w:rPr>
              <w:br/>
              <w:t>(1) RHC plus ECHO composite assessments;</w:t>
            </w:r>
            <w:r w:rsidRPr="003A13C5">
              <w:rPr>
                <w:rFonts w:cs="Arial"/>
                <w:szCs w:val="16"/>
              </w:rPr>
              <w:br/>
              <w:t>(2) RHC composite assessment plus 6MWT;</w:t>
            </w:r>
            <w:r w:rsidRPr="003A13C5">
              <w:rPr>
                <w:rFonts w:cs="Arial"/>
                <w:szCs w:val="16"/>
              </w:rPr>
              <w:br/>
              <w:t>(3) RHC composite assessment only.</w:t>
            </w:r>
            <w:r w:rsidRPr="003A13C5">
              <w:rPr>
                <w:rFonts w:cs="Arial"/>
                <w:szCs w:val="16"/>
              </w:rPr>
              <w:br/>
              <w:t>In circumstances where a RHC cannot be performed on clinical grounds, applications may be submitted for consideration based on the results of the following test combinations, which are listed in descending order of preference:</w:t>
            </w:r>
            <w:r w:rsidRPr="003A13C5">
              <w:rPr>
                <w:rFonts w:cs="Arial"/>
                <w:szCs w:val="16"/>
              </w:rPr>
              <w:br/>
              <w:t>(1) ECHO composite assessment plus 6MWT;</w:t>
            </w:r>
            <w:r w:rsidRPr="003A13C5">
              <w:rPr>
                <w:rFonts w:cs="Arial"/>
                <w:szCs w:val="16"/>
              </w:rPr>
              <w:br/>
              <w:t>(2) ECHO composite assessment only.</w:t>
            </w:r>
            <w:r w:rsidRPr="003A13C5">
              <w:rPr>
                <w:rFonts w:cs="Arial"/>
                <w:szCs w:val="16"/>
              </w:rPr>
              <w:br/>
              <w:t>Where fewer than 3 tests are able to be performed on clinical grounds, a patient specific reason outlining why the particular test(s) could not be conducted must be provided with the authority application.</w:t>
            </w:r>
            <w:r w:rsidRPr="003A13C5">
              <w:rPr>
                <w:rFonts w:cs="Arial"/>
                <w:szCs w:val="16"/>
              </w:rPr>
              <w:br/>
              <w:t>Where a RHC cannot be performed on clinical grounds, confirmation of the reason(s) must be provided with the authority application by a second PAH physician or cardiologist with expertise in the management of PAH.</w:t>
            </w:r>
            <w:r w:rsidRPr="003A13C5">
              <w:rPr>
                <w:rFonts w:cs="Arial"/>
                <w:szCs w:val="16"/>
              </w:rPr>
              <w:br/>
              <w:t>The test results provided must not be more than 2 months old at the time of application.</w:t>
            </w:r>
            <w:r w:rsidRPr="003A13C5">
              <w:rPr>
                <w:rFonts w:cs="Arial"/>
                <w:szCs w:val="16"/>
              </w:rPr>
              <w:br/>
              <w:t>The maximum quantity authorised will be limited to provide sufficient supply for 1 month of treatment, based on the dosage recommendations in the TGA-approved Product Information.</w:t>
            </w:r>
            <w:r w:rsidRPr="003A13C5">
              <w:rPr>
                <w:rFonts w:cs="Arial"/>
                <w:szCs w:val="16"/>
              </w:rPr>
              <w:br/>
              <w:t>A maximum of 5 repeats may be requested.</w:t>
            </w:r>
          </w:p>
        </w:tc>
        <w:tc>
          <w:tcPr>
            <w:tcW w:w="2650" w:type="dxa"/>
            <w:shd w:val="clear" w:color="auto" w:fill="auto"/>
            <w:tcMar>
              <w:top w:w="28" w:type="dxa"/>
              <w:left w:w="28" w:type="dxa"/>
              <w:right w:w="57" w:type="dxa"/>
            </w:tcMar>
          </w:tcPr>
          <w:p w14:paraId="48EC1462" w14:textId="014022B3" w:rsidR="00E64A6D" w:rsidRPr="003A13C5" w:rsidRDefault="00E64A6D" w:rsidP="008F5E69">
            <w:pPr>
              <w:pStyle w:val="Tabletext0"/>
              <w:rPr>
                <w:rFonts w:cs="Arial"/>
                <w:szCs w:val="16"/>
              </w:rPr>
            </w:pPr>
            <w:r w:rsidRPr="003A13C5">
              <w:rPr>
                <w:rFonts w:cs="Arial"/>
                <w:szCs w:val="16"/>
              </w:rPr>
              <w:lastRenderedPageBreak/>
              <w:t>Compliance with Written Authority Required procedures</w:t>
            </w:r>
          </w:p>
        </w:tc>
      </w:tr>
    </w:tbl>
    <w:p w14:paraId="77720D81" w14:textId="49F3A9F0" w:rsidR="005A3A03" w:rsidRPr="003A13C5" w:rsidRDefault="005A3A03" w:rsidP="00ED6DB3">
      <w:pPr>
        <w:widowControl w:val="0"/>
        <w:numPr>
          <w:ilvl w:val="0"/>
          <w:numId w:val="5"/>
        </w:numPr>
        <w:tabs>
          <w:tab w:val="clear" w:pos="794"/>
        </w:tabs>
        <w:spacing w:before="120"/>
        <w:ind w:left="567" w:hanging="567"/>
        <w:outlineLvl w:val="1"/>
        <w:rPr>
          <w:rFonts w:ascii="Arial" w:hAnsi="Arial" w:cs="Arial"/>
          <w:b/>
          <w:bCs/>
          <w:sz w:val="20"/>
          <w:szCs w:val="20"/>
          <w:lang w:eastAsia="en-AU"/>
        </w:rPr>
      </w:pPr>
      <w:r w:rsidRPr="003A13C5">
        <w:rPr>
          <w:rFonts w:ascii="Arial" w:hAnsi="Arial" w:cs="Arial"/>
          <w:b/>
          <w:bCs/>
          <w:sz w:val="20"/>
          <w:szCs w:val="20"/>
          <w:lang w:eastAsia="en-AU"/>
        </w:rPr>
        <w:t>Schedule 3</w:t>
      </w:r>
      <w:r w:rsidR="006D1371" w:rsidRPr="003A13C5">
        <w:rPr>
          <w:rFonts w:ascii="Arial" w:hAnsi="Arial" w:cs="Arial"/>
          <w:b/>
          <w:bCs/>
          <w:sz w:val="20"/>
          <w:szCs w:val="20"/>
          <w:lang w:eastAsia="en-AU"/>
        </w:rPr>
        <w:t>,</w:t>
      </w:r>
      <w:r w:rsidRPr="003A13C5">
        <w:rPr>
          <w:rFonts w:ascii="Arial" w:hAnsi="Arial" w:cs="Arial"/>
          <w:b/>
          <w:bCs/>
          <w:sz w:val="20"/>
          <w:szCs w:val="20"/>
          <w:lang w:eastAsia="en-AU"/>
        </w:rPr>
        <w:t xml:space="preserve"> entry for </w:t>
      </w:r>
      <w:r w:rsidR="00E64A6D" w:rsidRPr="003A13C5">
        <w:rPr>
          <w:rFonts w:ascii="Arial" w:hAnsi="Arial" w:cs="Arial"/>
          <w:b/>
          <w:bCs/>
          <w:sz w:val="20"/>
          <w:szCs w:val="20"/>
          <w:lang w:eastAsia="en-AU"/>
        </w:rPr>
        <w:t>Bosentan</w:t>
      </w:r>
    </w:p>
    <w:p w14:paraId="75E60B81" w14:textId="0F6E8BEA" w:rsidR="00EF422C" w:rsidRPr="003A13C5" w:rsidRDefault="00E64A6D" w:rsidP="00ED6DB3">
      <w:pPr>
        <w:pStyle w:val="Amendment2"/>
        <w:spacing w:before="60" w:after="60"/>
        <w:ind w:left="567" w:firstLine="0"/>
      </w:pPr>
      <w:r w:rsidRPr="003A13C5">
        <w:rPr>
          <w:i/>
        </w:rPr>
        <w:t>substitute</w:t>
      </w:r>
      <w:r w:rsidR="00EF422C" w:rsidRPr="003A13C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38"/>
        <w:gridCol w:w="851"/>
        <w:gridCol w:w="850"/>
        <w:gridCol w:w="7655"/>
        <w:gridCol w:w="2693"/>
      </w:tblGrid>
      <w:tr w:rsidR="00E64A6D" w:rsidRPr="003A13C5" w14:paraId="3245C2B1" w14:textId="77777777" w:rsidTr="006A3276">
        <w:tc>
          <w:tcPr>
            <w:tcW w:w="1838" w:type="dxa"/>
            <w:shd w:val="clear" w:color="auto" w:fill="auto"/>
            <w:tcMar>
              <w:top w:w="28" w:type="dxa"/>
              <w:left w:w="28" w:type="dxa"/>
            </w:tcMar>
          </w:tcPr>
          <w:p w14:paraId="6B25EBF4" w14:textId="723F87AD" w:rsidR="00E64A6D" w:rsidRPr="003A13C5" w:rsidRDefault="00E64A6D" w:rsidP="008F5E69">
            <w:pPr>
              <w:spacing w:before="60"/>
              <w:rPr>
                <w:rFonts w:ascii="Arial" w:hAnsi="Arial" w:cs="Arial"/>
                <w:sz w:val="16"/>
                <w:szCs w:val="16"/>
              </w:rPr>
            </w:pPr>
            <w:r w:rsidRPr="003A13C5">
              <w:rPr>
                <w:rFonts w:ascii="Arial" w:hAnsi="Arial" w:cs="Arial"/>
                <w:sz w:val="16"/>
                <w:szCs w:val="16"/>
              </w:rPr>
              <w:t>Bosentan</w:t>
            </w:r>
          </w:p>
        </w:tc>
        <w:tc>
          <w:tcPr>
            <w:tcW w:w="851" w:type="dxa"/>
            <w:shd w:val="clear" w:color="auto" w:fill="auto"/>
            <w:tcMar>
              <w:top w:w="28" w:type="dxa"/>
              <w:left w:w="28" w:type="dxa"/>
            </w:tcMar>
          </w:tcPr>
          <w:p w14:paraId="28D9EEF2" w14:textId="027CC80B" w:rsidR="00E64A6D" w:rsidRPr="003A13C5" w:rsidRDefault="00E64A6D" w:rsidP="008F5E69">
            <w:pPr>
              <w:spacing w:before="60"/>
              <w:rPr>
                <w:rFonts w:ascii="Arial" w:hAnsi="Arial" w:cs="Arial"/>
                <w:sz w:val="16"/>
                <w:szCs w:val="16"/>
              </w:rPr>
            </w:pPr>
            <w:r w:rsidRPr="003A13C5">
              <w:rPr>
                <w:rFonts w:ascii="Arial" w:hAnsi="Arial" w:cs="Arial"/>
                <w:sz w:val="16"/>
                <w:szCs w:val="16"/>
              </w:rPr>
              <w:t>C10228</w:t>
            </w:r>
          </w:p>
        </w:tc>
        <w:tc>
          <w:tcPr>
            <w:tcW w:w="850" w:type="dxa"/>
            <w:shd w:val="clear" w:color="auto" w:fill="auto"/>
            <w:tcMar>
              <w:top w:w="28" w:type="dxa"/>
              <w:left w:w="28" w:type="dxa"/>
            </w:tcMar>
          </w:tcPr>
          <w:p w14:paraId="4BB084C4" w14:textId="77777777" w:rsidR="00E64A6D" w:rsidRPr="003A13C5" w:rsidRDefault="00E64A6D" w:rsidP="008F5E69">
            <w:pPr>
              <w:spacing w:before="60"/>
              <w:rPr>
                <w:rFonts w:ascii="Arial" w:hAnsi="Arial" w:cs="Arial"/>
                <w:sz w:val="16"/>
                <w:szCs w:val="16"/>
              </w:rPr>
            </w:pPr>
          </w:p>
        </w:tc>
        <w:tc>
          <w:tcPr>
            <w:tcW w:w="7655" w:type="dxa"/>
            <w:shd w:val="clear" w:color="auto" w:fill="auto"/>
            <w:tcMar>
              <w:top w:w="28" w:type="dxa"/>
              <w:left w:w="28" w:type="dxa"/>
            </w:tcMar>
          </w:tcPr>
          <w:p w14:paraId="7AA03564" w14:textId="0E90B375" w:rsidR="00E64A6D" w:rsidRPr="003A13C5" w:rsidRDefault="00E64A6D" w:rsidP="008F5E69">
            <w:pPr>
              <w:spacing w:before="60"/>
              <w:rPr>
                <w:rFonts w:ascii="Arial" w:eastAsia="Arial" w:hAnsi="Arial" w:cs="Arial"/>
                <w:sz w:val="16"/>
                <w:szCs w:val="22"/>
                <w:lang w:eastAsia="zh-CN"/>
              </w:rPr>
            </w:pPr>
            <w:r w:rsidRPr="003A13C5">
              <w:rPr>
                <w:rFonts w:ascii="Arial" w:hAnsi="Arial" w:cs="Arial"/>
                <w:sz w:val="16"/>
                <w:szCs w:val="16"/>
              </w:rPr>
              <w:t>Pulmonary arterial hypertension (PAH)</w:t>
            </w:r>
            <w:r w:rsidRPr="003A13C5">
              <w:rPr>
                <w:rFonts w:ascii="Arial" w:hAnsi="Arial" w:cs="Arial"/>
                <w:sz w:val="16"/>
                <w:szCs w:val="16"/>
              </w:rPr>
              <w:br/>
              <w:t>Continuing treatment</w:t>
            </w:r>
            <w:r w:rsidRPr="003A13C5">
              <w:rPr>
                <w:rFonts w:ascii="Arial" w:hAnsi="Arial" w:cs="Arial"/>
                <w:sz w:val="16"/>
                <w:szCs w:val="16"/>
              </w:rPr>
              <w:br/>
              <w:t>Patient must have received their most recent course of PBS-subsidised treatment with this PAH agent for this condition; AND</w:t>
            </w:r>
            <w:r w:rsidRPr="003A13C5">
              <w:rPr>
                <w:rFonts w:ascii="Arial" w:hAnsi="Arial" w:cs="Arial"/>
                <w:sz w:val="16"/>
                <w:szCs w:val="16"/>
              </w:rPr>
              <w:br/>
              <w:t>The treatment must be the sole PBS-subsidised PAH agent for this condition.</w:t>
            </w:r>
            <w:r w:rsidRPr="003A13C5">
              <w:rPr>
                <w:rFonts w:ascii="Arial" w:hAnsi="Arial" w:cs="Arial"/>
                <w:sz w:val="16"/>
                <w:szCs w:val="16"/>
              </w:rPr>
              <w:br/>
              <w:t>The term 'PAH agents' refers to bosentan monohydrate, iloprost trometamol, epoprostenol sodium, sildenafil citrate, ambrisentan, tadalafil, macitentan, and riociguat.</w:t>
            </w:r>
            <w:r w:rsidRPr="003A13C5">
              <w:rPr>
                <w:rFonts w:ascii="Arial" w:hAnsi="Arial" w:cs="Arial"/>
                <w:sz w:val="16"/>
                <w:szCs w:val="16"/>
              </w:rPr>
              <w:br/>
              <w:t>PAH agents are not PBS-subsidised for patients with pulmonary hypertension secondary to interstitial lung disease associated with connective tissue disease, where the total lung capacity is less than 70% of predicted.</w:t>
            </w:r>
            <w:r w:rsidRPr="003A13C5">
              <w:rPr>
                <w:rFonts w:ascii="Arial" w:hAnsi="Arial" w:cs="Arial"/>
                <w:sz w:val="16"/>
                <w:szCs w:val="16"/>
              </w:rPr>
              <w:br/>
              <w:t>The maximum quantity authorised will be limited to provide sufficient supply for 1 month of treatment, based on the dosage recommendations in the TGA-approved Product Information.</w:t>
            </w:r>
            <w:r w:rsidRPr="003A13C5">
              <w:rPr>
                <w:rFonts w:ascii="Arial" w:hAnsi="Arial" w:cs="Arial"/>
                <w:sz w:val="16"/>
                <w:szCs w:val="16"/>
              </w:rPr>
              <w:br/>
              <w:t>A maximum of 5 repeats may be requested.</w:t>
            </w:r>
          </w:p>
        </w:tc>
        <w:tc>
          <w:tcPr>
            <w:tcW w:w="2693" w:type="dxa"/>
            <w:shd w:val="clear" w:color="auto" w:fill="auto"/>
            <w:tcMar>
              <w:top w:w="28" w:type="dxa"/>
              <w:left w:w="28" w:type="dxa"/>
              <w:right w:w="57" w:type="dxa"/>
            </w:tcMar>
          </w:tcPr>
          <w:p w14:paraId="6F2D2733" w14:textId="2B48F2E1" w:rsidR="00E64A6D" w:rsidRPr="003A13C5" w:rsidRDefault="00E64A6D" w:rsidP="008F5E69">
            <w:pPr>
              <w:spacing w:before="60"/>
              <w:rPr>
                <w:rFonts w:ascii="Arial" w:eastAsia="Arial" w:hAnsi="Arial" w:cs="Arial"/>
                <w:sz w:val="16"/>
                <w:szCs w:val="22"/>
                <w:lang w:eastAsia="zh-CN"/>
              </w:rPr>
            </w:pPr>
            <w:r w:rsidRPr="003A13C5">
              <w:rPr>
                <w:rFonts w:ascii="Arial" w:hAnsi="Arial" w:cs="Arial"/>
                <w:sz w:val="16"/>
                <w:szCs w:val="16"/>
              </w:rPr>
              <w:t>Compliance with Authority Required procedures</w:t>
            </w:r>
          </w:p>
        </w:tc>
      </w:tr>
      <w:tr w:rsidR="00E64A6D" w:rsidRPr="003A13C5" w14:paraId="463E2261" w14:textId="77777777" w:rsidTr="006A3276">
        <w:tc>
          <w:tcPr>
            <w:tcW w:w="1838" w:type="dxa"/>
            <w:shd w:val="clear" w:color="auto" w:fill="auto"/>
            <w:tcMar>
              <w:top w:w="28" w:type="dxa"/>
              <w:left w:w="28" w:type="dxa"/>
            </w:tcMar>
          </w:tcPr>
          <w:p w14:paraId="394AE12F" w14:textId="77777777" w:rsidR="00E64A6D" w:rsidRPr="003A13C5" w:rsidRDefault="00E64A6D" w:rsidP="00E64A6D">
            <w:pPr>
              <w:rPr>
                <w:rFonts w:ascii="Arial" w:hAnsi="Arial" w:cs="Arial"/>
                <w:sz w:val="16"/>
                <w:szCs w:val="16"/>
              </w:rPr>
            </w:pPr>
          </w:p>
        </w:tc>
        <w:tc>
          <w:tcPr>
            <w:tcW w:w="851" w:type="dxa"/>
            <w:shd w:val="clear" w:color="auto" w:fill="auto"/>
            <w:tcMar>
              <w:top w:w="28" w:type="dxa"/>
              <w:left w:w="28" w:type="dxa"/>
            </w:tcMar>
          </w:tcPr>
          <w:p w14:paraId="08AD9C99" w14:textId="13404D7B" w:rsidR="00E64A6D" w:rsidRPr="003A13C5" w:rsidRDefault="00E64A6D" w:rsidP="008F5E69">
            <w:pPr>
              <w:spacing w:before="60"/>
              <w:rPr>
                <w:rFonts w:ascii="Arial" w:hAnsi="Arial" w:cs="Arial"/>
                <w:sz w:val="16"/>
                <w:szCs w:val="16"/>
              </w:rPr>
            </w:pPr>
            <w:r w:rsidRPr="003A13C5">
              <w:rPr>
                <w:rFonts w:ascii="Arial" w:hAnsi="Arial" w:cs="Arial"/>
                <w:sz w:val="16"/>
                <w:szCs w:val="16"/>
              </w:rPr>
              <w:t>C10238</w:t>
            </w:r>
          </w:p>
        </w:tc>
        <w:tc>
          <w:tcPr>
            <w:tcW w:w="850" w:type="dxa"/>
            <w:shd w:val="clear" w:color="auto" w:fill="auto"/>
            <w:tcMar>
              <w:top w:w="28" w:type="dxa"/>
              <w:left w:w="28" w:type="dxa"/>
            </w:tcMar>
          </w:tcPr>
          <w:p w14:paraId="075D48DE" w14:textId="77777777" w:rsidR="00E64A6D" w:rsidRPr="003A13C5" w:rsidRDefault="00E64A6D" w:rsidP="008F5E69">
            <w:pPr>
              <w:spacing w:before="60"/>
              <w:rPr>
                <w:rFonts w:ascii="Arial" w:hAnsi="Arial" w:cs="Arial"/>
                <w:sz w:val="16"/>
                <w:szCs w:val="16"/>
              </w:rPr>
            </w:pPr>
          </w:p>
        </w:tc>
        <w:tc>
          <w:tcPr>
            <w:tcW w:w="7655" w:type="dxa"/>
            <w:shd w:val="clear" w:color="auto" w:fill="auto"/>
            <w:tcMar>
              <w:top w:w="28" w:type="dxa"/>
              <w:left w:w="28" w:type="dxa"/>
            </w:tcMar>
          </w:tcPr>
          <w:p w14:paraId="42714CF1" w14:textId="16E75517" w:rsidR="00E64A6D" w:rsidRPr="003A13C5" w:rsidRDefault="00E64A6D" w:rsidP="008F5E69">
            <w:pPr>
              <w:spacing w:before="60"/>
              <w:rPr>
                <w:rFonts w:ascii="Arial" w:eastAsia="Arial" w:hAnsi="Arial" w:cs="Arial"/>
                <w:sz w:val="16"/>
                <w:szCs w:val="22"/>
                <w:lang w:eastAsia="zh-CN"/>
              </w:rPr>
            </w:pPr>
            <w:r w:rsidRPr="003A13C5">
              <w:rPr>
                <w:rFonts w:ascii="Arial" w:hAnsi="Arial" w:cs="Arial"/>
                <w:sz w:val="16"/>
                <w:szCs w:val="16"/>
              </w:rPr>
              <w:t>Pulmonary arterial hypertension (PAH)</w:t>
            </w:r>
            <w:r w:rsidRPr="003A13C5">
              <w:rPr>
                <w:rFonts w:ascii="Arial" w:hAnsi="Arial" w:cs="Arial"/>
                <w:sz w:val="16"/>
                <w:szCs w:val="16"/>
              </w:rPr>
              <w:br/>
              <w:t>Cessation of treatment (all patients)</w:t>
            </w:r>
            <w:r w:rsidRPr="003A13C5">
              <w:rPr>
                <w:rFonts w:ascii="Arial" w:hAnsi="Arial" w:cs="Arial"/>
                <w:sz w:val="16"/>
                <w:szCs w:val="16"/>
              </w:rPr>
              <w:br/>
              <w:t>Patient must be receiving PBS-subsidised treatment with this PAH agent; AND</w:t>
            </w:r>
            <w:r w:rsidRPr="003A13C5">
              <w:rPr>
                <w:rFonts w:ascii="Arial" w:hAnsi="Arial" w:cs="Arial"/>
                <w:sz w:val="16"/>
                <w:szCs w:val="16"/>
              </w:rPr>
              <w:br/>
              <w:t>The treatment must be for the purpose of gradual dose reduction prior to ceasing therapy.</w:t>
            </w:r>
            <w:r w:rsidRPr="003A13C5">
              <w:rPr>
                <w:rFonts w:ascii="Arial" w:hAnsi="Arial" w:cs="Arial"/>
                <w:sz w:val="16"/>
                <w:szCs w:val="16"/>
              </w:rPr>
              <w:br/>
            </w:r>
            <w:r w:rsidRPr="003A13C5">
              <w:rPr>
                <w:rFonts w:ascii="Arial" w:hAnsi="Arial" w:cs="Arial"/>
                <w:sz w:val="16"/>
                <w:szCs w:val="16"/>
              </w:rPr>
              <w:lastRenderedPageBreak/>
              <w:t>The maximum quantity authorised will be limited to provide sufficient supply for 1 month of treatment. Treatment beyond 1 month will not be approved.</w:t>
            </w:r>
          </w:p>
        </w:tc>
        <w:tc>
          <w:tcPr>
            <w:tcW w:w="2693" w:type="dxa"/>
            <w:shd w:val="clear" w:color="auto" w:fill="auto"/>
            <w:tcMar>
              <w:top w:w="28" w:type="dxa"/>
              <w:left w:w="28" w:type="dxa"/>
              <w:right w:w="57" w:type="dxa"/>
            </w:tcMar>
          </w:tcPr>
          <w:p w14:paraId="0FA19E2F" w14:textId="7F6D20DB" w:rsidR="00E64A6D" w:rsidRPr="003A13C5" w:rsidRDefault="00E64A6D" w:rsidP="008F5E69">
            <w:pPr>
              <w:spacing w:before="60"/>
              <w:rPr>
                <w:rFonts w:ascii="Arial" w:eastAsia="Arial" w:hAnsi="Arial" w:cs="Arial"/>
                <w:sz w:val="16"/>
                <w:szCs w:val="22"/>
                <w:lang w:eastAsia="zh-CN"/>
              </w:rPr>
            </w:pPr>
            <w:r w:rsidRPr="003A13C5">
              <w:rPr>
                <w:rFonts w:ascii="Arial" w:hAnsi="Arial" w:cs="Arial"/>
                <w:sz w:val="16"/>
                <w:szCs w:val="16"/>
              </w:rPr>
              <w:lastRenderedPageBreak/>
              <w:t>Compliance with Authority Required procedures</w:t>
            </w:r>
          </w:p>
        </w:tc>
      </w:tr>
      <w:tr w:rsidR="00E64A6D" w:rsidRPr="003A13C5" w14:paraId="583C5257" w14:textId="77777777" w:rsidTr="006A3276">
        <w:tc>
          <w:tcPr>
            <w:tcW w:w="1838" w:type="dxa"/>
            <w:shd w:val="clear" w:color="auto" w:fill="auto"/>
            <w:tcMar>
              <w:top w:w="28" w:type="dxa"/>
              <w:left w:w="28" w:type="dxa"/>
            </w:tcMar>
          </w:tcPr>
          <w:p w14:paraId="7FAE8CC5" w14:textId="77777777" w:rsidR="00E64A6D" w:rsidRPr="003A13C5" w:rsidRDefault="00E64A6D" w:rsidP="00E64A6D">
            <w:pPr>
              <w:rPr>
                <w:rFonts w:ascii="Arial" w:hAnsi="Arial" w:cs="Arial"/>
                <w:sz w:val="16"/>
                <w:szCs w:val="16"/>
              </w:rPr>
            </w:pPr>
          </w:p>
        </w:tc>
        <w:tc>
          <w:tcPr>
            <w:tcW w:w="851" w:type="dxa"/>
            <w:shd w:val="clear" w:color="auto" w:fill="auto"/>
            <w:tcMar>
              <w:top w:w="28" w:type="dxa"/>
              <w:left w:w="28" w:type="dxa"/>
            </w:tcMar>
          </w:tcPr>
          <w:p w14:paraId="665B4FDC" w14:textId="18926A59" w:rsidR="00E64A6D" w:rsidRPr="003A13C5" w:rsidRDefault="00E64A6D" w:rsidP="008F5E69">
            <w:pPr>
              <w:spacing w:before="60"/>
              <w:rPr>
                <w:rFonts w:ascii="Arial" w:hAnsi="Arial" w:cs="Arial"/>
                <w:sz w:val="16"/>
                <w:szCs w:val="16"/>
              </w:rPr>
            </w:pPr>
            <w:r w:rsidRPr="003A13C5">
              <w:rPr>
                <w:rFonts w:ascii="Arial" w:hAnsi="Arial" w:cs="Arial"/>
                <w:sz w:val="16"/>
                <w:szCs w:val="16"/>
              </w:rPr>
              <w:t>C10286</w:t>
            </w:r>
          </w:p>
        </w:tc>
        <w:tc>
          <w:tcPr>
            <w:tcW w:w="850" w:type="dxa"/>
            <w:shd w:val="clear" w:color="auto" w:fill="auto"/>
            <w:tcMar>
              <w:top w:w="28" w:type="dxa"/>
              <w:left w:w="28" w:type="dxa"/>
            </w:tcMar>
          </w:tcPr>
          <w:p w14:paraId="58139325" w14:textId="77777777" w:rsidR="00E64A6D" w:rsidRPr="003A13C5" w:rsidRDefault="00E64A6D" w:rsidP="008F5E69">
            <w:pPr>
              <w:spacing w:before="60"/>
              <w:rPr>
                <w:rFonts w:ascii="Arial" w:hAnsi="Arial" w:cs="Arial"/>
                <w:sz w:val="16"/>
                <w:szCs w:val="16"/>
              </w:rPr>
            </w:pPr>
          </w:p>
        </w:tc>
        <w:tc>
          <w:tcPr>
            <w:tcW w:w="7655" w:type="dxa"/>
            <w:shd w:val="clear" w:color="auto" w:fill="auto"/>
            <w:tcMar>
              <w:top w:w="28" w:type="dxa"/>
              <w:left w:w="28" w:type="dxa"/>
            </w:tcMar>
          </w:tcPr>
          <w:p w14:paraId="0200E5AF" w14:textId="41C75EFD" w:rsidR="00E64A6D" w:rsidRPr="003A13C5" w:rsidRDefault="00E64A6D" w:rsidP="008F5E69">
            <w:pPr>
              <w:spacing w:before="60"/>
              <w:rPr>
                <w:rFonts w:ascii="Arial" w:eastAsia="Arial" w:hAnsi="Arial" w:cs="Arial"/>
                <w:sz w:val="16"/>
                <w:szCs w:val="22"/>
                <w:lang w:eastAsia="zh-CN"/>
              </w:rPr>
            </w:pPr>
            <w:r w:rsidRPr="003A13C5">
              <w:rPr>
                <w:rFonts w:ascii="Arial" w:hAnsi="Arial" w:cs="Arial"/>
                <w:sz w:val="16"/>
                <w:szCs w:val="16"/>
              </w:rPr>
              <w:t>Pulmonary arterial hypertension (PAH)</w:t>
            </w:r>
            <w:r w:rsidRPr="003A13C5">
              <w:rPr>
                <w:rFonts w:ascii="Arial" w:hAnsi="Arial" w:cs="Arial"/>
                <w:sz w:val="16"/>
                <w:szCs w:val="16"/>
              </w:rPr>
              <w:br/>
              <w:t>Initial 1 (new patients)</w:t>
            </w:r>
            <w:r w:rsidRPr="003A13C5">
              <w:rPr>
                <w:rFonts w:ascii="Arial" w:hAnsi="Arial" w:cs="Arial"/>
                <w:sz w:val="16"/>
                <w:szCs w:val="16"/>
              </w:rPr>
              <w:br/>
              <w:t>Patient must not have received prior PBS-subsidised treatment with a pulmonary arterial hypertension (PAH) agent; AND</w:t>
            </w:r>
            <w:r w:rsidRPr="003A13C5">
              <w:rPr>
                <w:rFonts w:ascii="Arial" w:hAnsi="Arial" w:cs="Arial"/>
                <w:sz w:val="16"/>
                <w:szCs w:val="16"/>
              </w:rPr>
              <w:br/>
              <w:t>Patient must have been assessed by a physician with expertise in the management of PAH; AND</w:t>
            </w:r>
            <w:r w:rsidRPr="003A13C5">
              <w:rPr>
                <w:rFonts w:ascii="Arial" w:hAnsi="Arial" w:cs="Arial"/>
                <w:sz w:val="16"/>
                <w:szCs w:val="16"/>
              </w:rPr>
              <w:br/>
              <w:t>Patient must have WHO Functional Class II PAH, or WHO Functional Class III PAH, or WHO Functional Class IV PAH; AND</w:t>
            </w:r>
            <w:r w:rsidRPr="003A13C5">
              <w:rPr>
                <w:rFonts w:ascii="Arial" w:hAnsi="Arial" w:cs="Arial"/>
                <w:sz w:val="16"/>
                <w:szCs w:val="16"/>
              </w:rPr>
              <w:br/>
              <w:t>The treatment must be the sole PBS-subsidised PAH agent for this condition.</w:t>
            </w:r>
            <w:r w:rsidRPr="003A13C5">
              <w:rPr>
                <w:rFonts w:ascii="Arial" w:hAnsi="Arial" w:cs="Arial"/>
                <w:sz w:val="16"/>
                <w:szCs w:val="16"/>
              </w:rPr>
              <w:br/>
              <w:t>The term 'PAH agents' refers to bosentan monohydrate, iloprost trometamol, epoprostenol sodium, sildenafil citrate, ambrisentan, tadalafil, macitentan, and riociguat.</w:t>
            </w:r>
            <w:r w:rsidRPr="003A13C5">
              <w:rPr>
                <w:rFonts w:ascii="Arial" w:hAnsi="Arial" w:cs="Arial"/>
                <w:sz w:val="16"/>
                <w:szCs w:val="16"/>
              </w:rPr>
              <w:br/>
              <w:t>PAH agents are not PBS-subsidised for patients with pulmonary hypertension secondary to interstitial lung disease associated with connective tissue disease, where the total lung capacity is less than 70% of predicted.</w:t>
            </w:r>
            <w:r w:rsidRPr="003A13C5">
              <w:rPr>
                <w:rFonts w:ascii="Arial" w:hAnsi="Arial" w:cs="Arial"/>
                <w:sz w:val="16"/>
                <w:szCs w:val="16"/>
              </w:rPr>
              <w:br/>
              <w:t>PAH (WHO Group 1 pulmonary hypertension) is defined as follows:</w:t>
            </w:r>
            <w:r w:rsidRPr="003A13C5">
              <w:rPr>
                <w:rFonts w:ascii="Arial" w:hAnsi="Arial" w:cs="Arial"/>
                <w:sz w:val="16"/>
                <w:szCs w:val="16"/>
              </w:rPr>
              <w:br/>
              <w:t>(i) mean pulmonary artery pressure (mPAP) greater than or equal to 25 mmHg at rest and pulmonary artery wedge pressure (PAWP) less than or equal to 15 mmHg; or</w:t>
            </w:r>
            <w:r w:rsidRPr="003A13C5">
              <w:rPr>
                <w:rFonts w:ascii="Arial" w:hAnsi="Arial" w:cs="Arial"/>
                <w:sz w:val="16"/>
                <w:szCs w:val="16"/>
              </w:rPr>
              <w:br/>
              <w:t>(ii) where a right heart catheter (RHC) cannot be performed on clinical grounds, right ventricular systolic pressure (RVSP), assessed by echocardiography (ECHO), greater than 40 mmHg, with normal left ventricular function.</w:t>
            </w:r>
            <w:r w:rsidRPr="003A13C5">
              <w:rPr>
                <w:rFonts w:ascii="Arial" w:hAnsi="Arial" w:cs="Arial"/>
                <w:sz w:val="16"/>
                <w:szCs w:val="16"/>
              </w:rPr>
              <w:br/>
              <w:t>Applications for authorisation must be in writing and must include:</w:t>
            </w:r>
            <w:r w:rsidRPr="003A13C5">
              <w:rPr>
                <w:rFonts w:ascii="Arial" w:hAnsi="Arial" w:cs="Arial"/>
                <w:sz w:val="16"/>
                <w:szCs w:val="16"/>
              </w:rPr>
              <w:br/>
              <w:t>(1) two completed authority prescription forms; and</w:t>
            </w:r>
            <w:r w:rsidRPr="003A13C5">
              <w:rPr>
                <w:rFonts w:ascii="Arial" w:hAnsi="Arial" w:cs="Arial"/>
                <w:sz w:val="16"/>
                <w:szCs w:val="16"/>
              </w:rPr>
              <w:br/>
              <w:t>(2) a completed Pulmonary Arterial Hypertension PBS Authority Application - Supporting Information form which includes results from the three tests below, where available:</w:t>
            </w:r>
            <w:r w:rsidRPr="003A13C5">
              <w:rPr>
                <w:rFonts w:ascii="Arial" w:hAnsi="Arial" w:cs="Arial"/>
                <w:sz w:val="16"/>
                <w:szCs w:val="16"/>
              </w:rPr>
              <w:br/>
              <w:t>(i) RHC composite assessment; and</w:t>
            </w:r>
            <w:r w:rsidRPr="003A13C5">
              <w:rPr>
                <w:rFonts w:ascii="Arial" w:hAnsi="Arial" w:cs="Arial"/>
                <w:sz w:val="16"/>
                <w:szCs w:val="16"/>
              </w:rPr>
              <w:br/>
              <w:t>(ii) ECHO composite assessment; and</w:t>
            </w:r>
            <w:r w:rsidRPr="003A13C5">
              <w:rPr>
                <w:rFonts w:ascii="Arial" w:hAnsi="Arial" w:cs="Arial"/>
                <w:sz w:val="16"/>
                <w:szCs w:val="16"/>
              </w:rPr>
              <w:br/>
              <w:t>(iii) 6 Minute Walk Test (6MWT).</w:t>
            </w:r>
            <w:r w:rsidRPr="003A13C5">
              <w:rPr>
                <w:rFonts w:ascii="Arial" w:hAnsi="Arial" w:cs="Arial"/>
                <w:sz w:val="16"/>
                <w:szCs w:val="16"/>
              </w:rPr>
              <w:br/>
              <w:t>Where it is not possible to perform all 3 tests on clinical grounds, the following list outlines the preferred test combination, in descending order, for the purposes of initiation of PBS-subsidised treatment:</w:t>
            </w:r>
            <w:r w:rsidRPr="003A13C5">
              <w:rPr>
                <w:rFonts w:ascii="Arial" w:hAnsi="Arial" w:cs="Arial"/>
                <w:sz w:val="16"/>
                <w:szCs w:val="16"/>
              </w:rPr>
              <w:br/>
              <w:t>(1) RHC plus ECHO composite assessments;</w:t>
            </w:r>
            <w:r w:rsidRPr="003A13C5">
              <w:rPr>
                <w:rFonts w:ascii="Arial" w:hAnsi="Arial" w:cs="Arial"/>
                <w:sz w:val="16"/>
                <w:szCs w:val="16"/>
              </w:rPr>
              <w:br/>
              <w:t>(2) RHC composite assessment plus 6MWT;</w:t>
            </w:r>
            <w:r w:rsidRPr="003A13C5">
              <w:rPr>
                <w:rFonts w:ascii="Arial" w:hAnsi="Arial" w:cs="Arial"/>
                <w:sz w:val="16"/>
                <w:szCs w:val="16"/>
              </w:rPr>
              <w:br/>
              <w:t>(3) RHC composite assessment only.</w:t>
            </w:r>
            <w:r w:rsidRPr="003A13C5">
              <w:rPr>
                <w:rFonts w:ascii="Arial" w:hAnsi="Arial" w:cs="Arial"/>
                <w:sz w:val="16"/>
                <w:szCs w:val="16"/>
              </w:rPr>
              <w:br/>
              <w:t>In circumstances where a RHC cannot be performed on clinical grounds, applications may be submitted for consideration based on the results of the following test combinations, which are listed in descending order of preference:</w:t>
            </w:r>
            <w:r w:rsidRPr="003A13C5">
              <w:rPr>
                <w:rFonts w:ascii="Arial" w:hAnsi="Arial" w:cs="Arial"/>
                <w:sz w:val="16"/>
                <w:szCs w:val="16"/>
              </w:rPr>
              <w:br/>
              <w:t>(1) ECHO composite assessment plus 6MWT;</w:t>
            </w:r>
            <w:r w:rsidRPr="003A13C5">
              <w:rPr>
                <w:rFonts w:ascii="Arial" w:hAnsi="Arial" w:cs="Arial"/>
                <w:sz w:val="16"/>
                <w:szCs w:val="16"/>
              </w:rPr>
              <w:br/>
              <w:t>(2) ECHO composite assessment only.</w:t>
            </w:r>
            <w:r w:rsidRPr="003A13C5">
              <w:rPr>
                <w:rFonts w:ascii="Arial" w:hAnsi="Arial" w:cs="Arial"/>
                <w:sz w:val="16"/>
                <w:szCs w:val="16"/>
              </w:rPr>
              <w:br/>
              <w:t>Where fewer than 3 tests are able to be performed on clinical grounds, a patient specific reason outlining why the particular test(s) could not be conducted must be provided with the authority application.</w:t>
            </w:r>
            <w:r w:rsidRPr="003A13C5">
              <w:rPr>
                <w:rFonts w:ascii="Arial" w:hAnsi="Arial" w:cs="Arial"/>
                <w:sz w:val="16"/>
                <w:szCs w:val="16"/>
              </w:rPr>
              <w:br/>
              <w:t>Where a RHC cannot be performed on clinical grounds, confirmation of the reason(s) must be provided with the authority application by a second PAH physician or cardiologist with expertise in the management of PAH.</w:t>
            </w:r>
            <w:r w:rsidRPr="003A13C5">
              <w:rPr>
                <w:rFonts w:ascii="Arial" w:hAnsi="Arial" w:cs="Arial"/>
                <w:sz w:val="16"/>
                <w:szCs w:val="16"/>
              </w:rPr>
              <w:br/>
              <w:t>The test results provided must not be more than 2 months old at the time of application.</w:t>
            </w:r>
            <w:r w:rsidRPr="003A13C5">
              <w:rPr>
                <w:rFonts w:ascii="Arial" w:hAnsi="Arial" w:cs="Arial"/>
                <w:sz w:val="16"/>
                <w:szCs w:val="16"/>
              </w:rPr>
              <w:br/>
              <w:t>Prescribers should request the first authority prescription of therapy with the 62.5 mg tablet strength, with the quantity for one month of treatment, based on the dosage recommendations in the TGA-approved Product Information. No repeats will be authorised for this prescription.</w:t>
            </w:r>
            <w:r w:rsidRPr="003A13C5">
              <w:rPr>
                <w:rFonts w:ascii="Arial" w:hAnsi="Arial" w:cs="Arial"/>
                <w:sz w:val="16"/>
                <w:szCs w:val="16"/>
              </w:rPr>
              <w:br/>
              <w:t xml:space="preserve">Prescribers should request the second authority prescription of therapy with either the 62.5 mg tablet or the </w:t>
            </w:r>
            <w:r w:rsidRPr="003A13C5">
              <w:rPr>
                <w:rFonts w:ascii="Arial" w:hAnsi="Arial" w:cs="Arial"/>
                <w:sz w:val="16"/>
                <w:szCs w:val="16"/>
              </w:rPr>
              <w:lastRenderedPageBreak/>
              <w:t>125 mg tablet strengths, with the quantity for one month of treatment, based on the dosage recommendations in the TGA-approved Product Information, and a maximum of 4 repeats.</w:t>
            </w:r>
          </w:p>
        </w:tc>
        <w:tc>
          <w:tcPr>
            <w:tcW w:w="2693" w:type="dxa"/>
            <w:shd w:val="clear" w:color="auto" w:fill="auto"/>
            <w:tcMar>
              <w:top w:w="28" w:type="dxa"/>
              <w:left w:w="28" w:type="dxa"/>
              <w:right w:w="57" w:type="dxa"/>
            </w:tcMar>
          </w:tcPr>
          <w:p w14:paraId="77782BFC" w14:textId="6600D88A" w:rsidR="00E64A6D" w:rsidRPr="003A13C5" w:rsidRDefault="00E64A6D" w:rsidP="008F5E69">
            <w:pPr>
              <w:spacing w:before="60"/>
              <w:rPr>
                <w:rFonts w:ascii="Arial" w:eastAsia="Arial" w:hAnsi="Arial" w:cs="Arial"/>
                <w:sz w:val="16"/>
                <w:szCs w:val="22"/>
                <w:lang w:eastAsia="zh-CN"/>
              </w:rPr>
            </w:pPr>
            <w:r w:rsidRPr="003A13C5">
              <w:rPr>
                <w:rFonts w:ascii="Arial" w:hAnsi="Arial" w:cs="Arial"/>
                <w:sz w:val="16"/>
                <w:szCs w:val="16"/>
              </w:rPr>
              <w:lastRenderedPageBreak/>
              <w:t>Compliance with Written Authority Required procedures</w:t>
            </w:r>
          </w:p>
        </w:tc>
      </w:tr>
      <w:tr w:rsidR="00E64A6D" w:rsidRPr="003A13C5" w14:paraId="27C83069" w14:textId="77777777" w:rsidTr="006A3276">
        <w:tc>
          <w:tcPr>
            <w:tcW w:w="1838" w:type="dxa"/>
            <w:shd w:val="clear" w:color="auto" w:fill="auto"/>
            <w:tcMar>
              <w:top w:w="28" w:type="dxa"/>
              <w:left w:w="28" w:type="dxa"/>
            </w:tcMar>
          </w:tcPr>
          <w:p w14:paraId="6F7BB87B" w14:textId="77777777" w:rsidR="00E64A6D" w:rsidRPr="003A13C5" w:rsidRDefault="00E64A6D" w:rsidP="00E64A6D">
            <w:pPr>
              <w:rPr>
                <w:rFonts w:ascii="Arial" w:hAnsi="Arial" w:cs="Arial"/>
                <w:sz w:val="16"/>
                <w:szCs w:val="16"/>
              </w:rPr>
            </w:pPr>
          </w:p>
        </w:tc>
        <w:tc>
          <w:tcPr>
            <w:tcW w:w="851" w:type="dxa"/>
            <w:shd w:val="clear" w:color="auto" w:fill="auto"/>
            <w:tcMar>
              <w:top w:w="28" w:type="dxa"/>
              <w:left w:w="28" w:type="dxa"/>
            </w:tcMar>
          </w:tcPr>
          <w:p w14:paraId="78613CFE" w14:textId="50BF9EC9" w:rsidR="00E64A6D" w:rsidRPr="003A13C5" w:rsidRDefault="00E64A6D" w:rsidP="008F5E69">
            <w:pPr>
              <w:spacing w:before="60"/>
              <w:rPr>
                <w:rFonts w:ascii="Arial" w:hAnsi="Arial" w:cs="Arial"/>
                <w:sz w:val="16"/>
                <w:szCs w:val="16"/>
              </w:rPr>
            </w:pPr>
            <w:r w:rsidRPr="003A13C5">
              <w:rPr>
                <w:rFonts w:ascii="Arial" w:hAnsi="Arial" w:cs="Arial"/>
                <w:sz w:val="16"/>
                <w:szCs w:val="16"/>
              </w:rPr>
              <w:t>C10305</w:t>
            </w:r>
          </w:p>
        </w:tc>
        <w:tc>
          <w:tcPr>
            <w:tcW w:w="850" w:type="dxa"/>
            <w:shd w:val="clear" w:color="auto" w:fill="auto"/>
            <w:tcMar>
              <w:top w:w="28" w:type="dxa"/>
              <w:left w:w="28" w:type="dxa"/>
            </w:tcMar>
          </w:tcPr>
          <w:p w14:paraId="456DD548" w14:textId="77777777" w:rsidR="00E64A6D" w:rsidRPr="003A13C5" w:rsidRDefault="00E64A6D" w:rsidP="008F5E69">
            <w:pPr>
              <w:spacing w:before="60"/>
              <w:rPr>
                <w:rFonts w:ascii="Arial" w:hAnsi="Arial" w:cs="Arial"/>
                <w:sz w:val="16"/>
                <w:szCs w:val="16"/>
              </w:rPr>
            </w:pPr>
          </w:p>
        </w:tc>
        <w:tc>
          <w:tcPr>
            <w:tcW w:w="7655" w:type="dxa"/>
            <w:shd w:val="clear" w:color="auto" w:fill="auto"/>
            <w:tcMar>
              <w:top w:w="28" w:type="dxa"/>
              <w:left w:w="28" w:type="dxa"/>
            </w:tcMar>
          </w:tcPr>
          <w:p w14:paraId="219C127C" w14:textId="7D1A5ACD" w:rsidR="00E64A6D" w:rsidRPr="003A13C5" w:rsidRDefault="00E64A6D" w:rsidP="008F5E69">
            <w:pPr>
              <w:spacing w:before="60"/>
              <w:rPr>
                <w:rFonts w:ascii="Arial" w:eastAsia="Arial" w:hAnsi="Arial" w:cs="Arial"/>
                <w:sz w:val="16"/>
                <w:szCs w:val="22"/>
                <w:lang w:eastAsia="zh-CN"/>
              </w:rPr>
            </w:pPr>
            <w:r w:rsidRPr="003A13C5">
              <w:rPr>
                <w:rFonts w:ascii="Arial" w:hAnsi="Arial" w:cs="Arial"/>
                <w:sz w:val="16"/>
                <w:szCs w:val="16"/>
              </w:rPr>
              <w:t>Pulmonary arterial hypertension (PAH)</w:t>
            </w:r>
            <w:r w:rsidRPr="003A13C5">
              <w:rPr>
                <w:rFonts w:ascii="Arial" w:hAnsi="Arial" w:cs="Arial"/>
                <w:sz w:val="16"/>
                <w:szCs w:val="16"/>
              </w:rPr>
              <w:br/>
              <w:t>Initial 2 (change)</w:t>
            </w:r>
            <w:r w:rsidRPr="003A13C5">
              <w:rPr>
                <w:rFonts w:ascii="Arial" w:hAnsi="Arial" w:cs="Arial"/>
                <w:sz w:val="16"/>
                <w:szCs w:val="16"/>
              </w:rPr>
              <w:br/>
              <w:t>Patient must have documented WHO Functional Class II PAH, or WHO Functional Class III PAH, or WHO Functional Class IV PAH; AND</w:t>
            </w:r>
            <w:r w:rsidRPr="003A13C5">
              <w:rPr>
                <w:rFonts w:ascii="Arial" w:hAnsi="Arial" w:cs="Arial"/>
                <w:sz w:val="16"/>
                <w:szCs w:val="16"/>
              </w:rPr>
              <w:br/>
              <w:t>Patient must have had their most recent course of PBS-subsidised treatment for this condition with a PAH agent other than this agent; AND</w:t>
            </w:r>
            <w:r w:rsidRPr="003A13C5">
              <w:rPr>
                <w:rFonts w:ascii="Arial" w:hAnsi="Arial" w:cs="Arial"/>
                <w:sz w:val="16"/>
                <w:szCs w:val="16"/>
              </w:rPr>
              <w:br/>
              <w:t>The treatment must be the sole PBS-subsidised PAH agent for this condition.</w:t>
            </w:r>
            <w:r w:rsidRPr="003A13C5">
              <w:rPr>
                <w:rFonts w:ascii="Arial" w:hAnsi="Arial" w:cs="Arial"/>
                <w:sz w:val="16"/>
                <w:szCs w:val="16"/>
              </w:rPr>
              <w:br/>
              <w:t>The term 'PAH agents' refers to bosentan monohydrate, iloprost trometamol, epoprostenol sodium, sildenafil citrate, ambrisentan, tadalafil, macitentan, and riociguat.</w:t>
            </w:r>
            <w:r w:rsidRPr="003A13C5">
              <w:rPr>
                <w:rFonts w:ascii="Arial" w:hAnsi="Arial" w:cs="Arial"/>
                <w:sz w:val="16"/>
                <w:szCs w:val="16"/>
              </w:rPr>
              <w:br/>
              <w:t>PAH agents are not PBS-subsidised for patients with pulmonary hypertension secondary to interstitial lung disease associated with connective tissue disease, where the total lung capacity is less than 70% of predicted.</w:t>
            </w:r>
            <w:r w:rsidRPr="003A13C5">
              <w:rPr>
                <w:rFonts w:ascii="Arial" w:hAnsi="Arial" w:cs="Arial"/>
                <w:sz w:val="16"/>
                <w:szCs w:val="16"/>
              </w:rPr>
              <w:br/>
              <w:t>Swapping between PAH agents: Patients can access PAH agents through the PBS according to the relevant restrictions. Once these patients are approved initial treatment (monotherapy) with 1 of these 8 drugs, they may swap between PAH agents at any time without having to re-qualify for treatment with the alternate agent. This means that patients may commence treatment with the alternate agent, subject to that agent's restriction, irrespective of the severity of their disease at the time the application to swap therapy is submitted.</w:t>
            </w:r>
            <w:r w:rsidRPr="003A13C5">
              <w:rPr>
                <w:rFonts w:ascii="Arial" w:hAnsi="Arial" w:cs="Arial"/>
                <w:sz w:val="16"/>
                <w:szCs w:val="16"/>
              </w:rPr>
              <w:br/>
              <w:t>Applications to swap between the 8 PAH agents must be made under the relevant initial treatment (monotherapy) restriction.</w:t>
            </w:r>
            <w:r w:rsidRPr="003A13C5">
              <w:rPr>
                <w:rFonts w:ascii="Arial" w:hAnsi="Arial" w:cs="Arial"/>
                <w:sz w:val="16"/>
                <w:szCs w:val="16"/>
              </w:rPr>
              <w:br/>
              <w:t>Prescribers should request the first authority prescription of therapy with the 62.5 mg tablet strength, with the quantity for one month of treatment, based on the dosage recommendations in the TGA-approved Product Information. No repeats will be authorised for this prescription.</w:t>
            </w:r>
            <w:r w:rsidRPr="003A13C5">
              <w:rPr>
                <w:rFonts w:ascii="Arial" w:hAnsi="Arial" w:cs="Arial"/>
                <w:sz w:val="16"/>
                <w:szCs w:val="16"/>
              </w:rPr>
              <w:br/>
              <w:t>Prescribers should request the second authority prescription of therapy with either the 62.5 mg tablet or the 125 mg tablet strengths, with the quantity for one month of treatment, based on the dosage recommendations in the TGA-approved Product Information, and a maximum of 4 repeats.</w:t>
            </w:r>
          </w:p>
        </w:tc>
        <w:tc>
          <w:tcPr>
            <w:tcW w:w="2693" w:type="dxa"/>
            <w:shd w:val="clear" w:color="auto" w:fill="auto"/>
            <w:tcMar>
              <w:top w:w="28" w:type="dxa"/>
              <w:left w:w="28" w:type="dxa"/>
              <w:right w:w="57" w:type="dxa"/>
            </w:tcMar>
          </w:tcPr>
          <w:p w14:paraId="7B7DE507" w14:textId="5ED9618C" w:rsidR="00E64A6D" w:rsidRPr="003A13C5" w:rsidRDefault="00E64A6D" w:rsidP="008F5E69">
            <w:pPr>
              <w:spacing w:before="60"/>
              <w:rPr>
                <w:rFonts w:ascii="Arial" w:eastAsia="Arial" w:hAnsi="Arial" w:cs="Arial"/>
                <w:sz w:val="16"/>
                <w:szCs w:val="22"/>
                <w:lang w:eastAsia="zh-CN"/>
              </w:rPr>
            </w:pPr>
            <w:r w:rsidRPr="003A13C5">
              <w:rPr>
                <w:rFonts w:ascii="Arial" w:hAnsi="Arial" w:cs="Arial"/>
                <w:sz w:val="16"/>
                <w:szCs w:val="16"/>
              </w:rPr>
              <w:t>Compliance with Authority Required procedures</w:t>
            </w:r>
          </w:p>
        </w:tc>
      </w:tr>
    </w:tbl>
    <w:p w14:paraId="5DFA5E66" w14:textId="43885A2D" w:rsidR="003C43CE" w:rsidRPr="003A13C5" w:rsidRDefault="003C43CE" w:rsidP="007118F1">
      <w:pPr>
        <w:widowControl w:val="0"/>
        <w:numPr>
          <w:ilvl w:val="0"/>
          <w:numId w:val="5"/>
        </w:numPr>
        <w:tabs>
          <w:tab w:val="clear" w:pos="794"/>
        </w:tabs>
        <w:spacing w:before="120"/>
        <w:ind w:left="567" w:hanging="567"/>
        <w:outlineLvl w:val="1"/>
        <w:rPr>
          <w:rFonts w:ascii="Arial" w:hAnsi="Arial" w:cs="Arial"/>
          <w:b/>
          <w:bCs/>
          <w:sz w:val="20"/>
          <w:szCs w:val="20"/>
          <w:lang w:eastAsia="en-AU"/>
        </w:rPr>
      </w:pPr>
      <w:r w:rsidRPr="003A13C5">
        <w:rPr>
          <w:rFonts w:ascii="Arial" w:hAnsi="Arial" w:cs="Arial"/>
          <w:b/>
          <w:bCs/>
          <w:sz w:val="20"/>
          <w:szCs w:val="20"/>
          <w:lang w:eastAsia="en-AU"/>
        </w:rPr>
        <w:t xml:space="preserve">Schedule 3, entry for </w:t>
      </w:r>
      <w:r w:rsidR="00E64A6D" w:rsidRPr="003A13C5">
        <w:rPr>
          <w:rFonts w:ascii="Arial" w:hAnsi="Arial" w:cs="Arial"/>
          <w:b/>
          <w:bCs/>
          <w:sz w:val="20"/>
          <w:szCs w:val="20"/>
          <w:lang w:eastAsia="en-AU"/>
        </w:rPr>
        <w:t>Epoprostenol</w:t>
      </w:r>
    </w:p>
    <w:p w14:paraId="69044F56" w14:textId="56166505" w:rsidR="003C43CE" w:rsidRPr="003A13C5" w:rsidRDefault="00E64A6D" w:rsidP="00E64A6D">
      <w:pPr>
        <w:pStyle w:val="Amendment3"/>
        <w:numPr>
          <w:ilvl w:val="0"/>
          <w:numId w:val="0"/>
        </w:numPr>
        <w:ind w:firstLine="567"/>
      </w:pPr>
      <w:r w:rsidRPr="003A13C5">
        <w:rPr>
          <w:i/>
        </w:rPr>
        <w:t>substitute</w:t>
      </w:r>
      <w:r w:rsidR="003C43CE" w:rsidRPr="003A13C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38"/>
        <w:gridCol w:w="851"/>
        <w:gridCol w:w="850"/>
        <w:gridCol w:w="7655"/>
        <w:gridCol w:w="2693"/>
      </w:tblGrid>
      <w:tr w:rsidR="00E64A6D" w:rsidRPr="003A13C5" w14:paraId="37FD736C" w14:textId="77777777" w:rsidTr="00E64A6D">
        <w:trPr>
          <w:cantSplit/>
        </w:trPr>
        <w:tc>
          <w:tcPr>
            <w:tcW w:w="1838" w:type="dxa"/>
            <w:shd w:val="clear" w:color="auto" w:fill="auto"/>
            <w:tcMar>
              <w:top w:w="28" w:type="dxa"/>
              <w:left w:w="28" w:type="dxa"/>
            </w:tcMar>
          </w:tcPr>
          <w:p w14:paraId="5DA88A6E" w14:textId="02165BF3" w:rsidR="00E64A6D" w:rsidRPr="003A13C5" w:rsidRDefault="00E64A6D" w:rsidP="008F5E69">
            <w:pPr>
              <w:spacing w:before="60"/>
              <w:rPr>
                <w:rFonts w:ascii="Arial" w:hAnsi="Arial" w:cs="Arial"/>
                <w:sz w:val="16"/>
                <w:szCs w:val="16"/>
              </w:rPr>
            </w:pPr>
            <w:r w:rsidRPr="003A13C5">
              <w:rPr>
                <w:rFonts w:ascii="Arial" w:hAnsi="Arial" w:cs="Arial"/>
                <w:bCs/>
                <w:sz w:val="16"/>
                <w:szCs w:val="20"/>
                <w:lang w:eastAsia="en-AU"/>
              </w:rPr>
              <w:t>Epoprostenol</w:t>
            </w:r>
          </w:p>
        </w:tc>
        <w:tc>
          <w:tcPr>
            <w:tcW w:w="851" w:type="dxa"/>
            <w:shd w:val="clear" w:color="auto" w:fill="auto"/>
            <w:tcMar>
              <w:top w:w="28" w:type="dxa"/>
              <w:left w:w="28" w:type="dxa"/>
            </w:tcMar>
          </w:tcPr>
          <w:p w14:paraId="25D37674" w14:textId="167B12BD" w:rsidR="00E64A6D" w:rsidRPr="003A13C5" w:rsidRDefault="00E64A6D" w:rsidP="008F5E69">
            <w:pPr>
              <w:spacing w:before="60"/>
              <w:rPr>
                <w:rFonts w:ascii="Arial" w:hAnsi="Arial" w:cs="Arial"/>
                <w:sz w:val="16"/>
                <w:szCs w:val="16"/>
              </w:rPr>
            </w:pPr>
            <w:r w:rsidRPr="003A13C5">
              <w:rPr>
                <w:rFonts w:ascii="Arial" w:hAnsi="Arial" w:cs="Arial"/>
                <w:sz w:val="16"/>
                <w:szCs w:val="16"/>
                <w:lang w:eastAsia="en-AU"/>
              </w:rPr>
              <w:t>C10228</w:t>
            </w:r>
          </w:p>
        </w:tc>
        <w:tc>
          <w:tcPr>
            <w:tcW w:w="850" w:type="dxa"/>
            <w:shd w:val="clear" w:color="auto" w:fill="auto"/>
            <w:tcMar>
              <w:top w:w="28" w:type="dxa"/>
              <w:left w:w="28" w:type="dxa"/>
            </w:tcMar>
          </w:tcPr>
          <w:p w14:paraId="3C740779" w14:textId="2A19BB55" w:rsidR="00E64A6D" w:rsidRPr="003A13C5" w:rsidRDefault="00E64A6D" w:rsidP="008F5E69">
            <w:pPr>
              <w:spacing w:before="60"/>
              <w:rPr>
                <w:rFonts w:ascii="Arial" w:hAnsi="Arial" w:cs="Arial"/>
                <w:sz w:val="16"/>
                <w:szCs w:val="16"/>
              </w:rPr>
            </w:pPr>
          </w:p>
        </w:tc>
        <w:tc>
          <w:tcPr>
            <w:tcW w:w="7655" w:type="dxa"/>
            <w:shd w:val="clear" w:color="auto" w:fill="auto"/>
            <w:tcMar>
              <w:top w:w="28" w:type="dxa"/>
              <w:left w:w="28" w:type="dxa"/>
            </w:tcMar>
          </w:tcPr>
          <w:p w14:paraId="4A4F83CC" w14:textId="11421002" w:rsidR="00E64A6D" w:rsidRPr="003A13C5" w:rsidRDefault="00E64A6D" w:rsidP="008F5E69">
            <w:pPr>
              <w:spacing w:before="60"/>
              <w:rPr>
                <w:rFonts w:ascii="Arial" w:eastAsia="Arial" w:hAnsi="Arial" w:cs="Arial"/>
                <w:sz w:val="16"/>
                <w:szCs w:val="22"/>
                <w:lang w:eastAsia="zh-CN"/>
              </w:rPr>
            </w:pPr>
            <w:r w:rsidRPr="003A13C5">
              <w:rPr>
                <w:rFonts w:ascii="Arial" w:hAnsi="Arial" w:cs="Arial"/>
                <w:sz w:val="16"/>
                <w:szCs w:val="16"/>
              </w:rPr>
              <w:t>Pulmonary arterial hypertension (PAH)</w:t>
            </w:r>
            <w:r w:rsidRPr="003A13C5">
              <w:rPr>
                <w:rFonts w:ascii="Arial" w:hAnsi="Arial" w:cs="Arial"/>
                <w:sz w:val="16"/>
                <w:szCs w:val="16"/>
              </w:rPr>
              <w:br/>
              <w:t>Continuing treatment</w:t>
            </w:r>
            <w:r w:rsidRPr="003A13C5">
              <w:rPr>
                <w:rFonts w:ascii="Arial" w:hAnsi="Arial" w:cs="Arial"/>
                <w:sz w:val="16"/>
                <w:szCs w:val="16"/>
              </w:rPr>
              <w:br/>
              <w:t>Patient must have received their most recent course of PBS-subsidised treatment with this PAH agent for this condition; AND</w:t>
            </w:r>
            <w:r w:rsidRPr="003A13C5">
              <w:rPr>
                <w:rFonts w:ascii="Arial" w:hAnsi="Arial" w:cs="Arial"/>
                <w:sz w:val="16"/>
                <w:szCs w:val="16"/>
              </w:rPr>
              <w:br/>
              <w:t>The treatment must be the sole PBS-subsidised PAH agent for this condition.</w:t>
            </w:r>
            <w:r w:rsidRPr="003A13C5">
              <w:rPr>
                <w:rFonts w:ascii="Arial" w:hAnsi="Arial" w:cs="Arial"/>
                <w:sz w:val="16"/>
                <w:szCs w:val="16"/>
              </w:rPr>
              <w:br/>
              <w:t>The term 'PAH agents' refers to bosentan monohydrate, iloprost trometamol, epoprostenol sodium, sildenafil citrate, ambrisentan, tadalafil, macitentan, and riociguat.</w:t>
            </w:r>
            <w:r w:rsidRPr="003A13C5">
              <w:rPr>
                <w:rFonts w:ascii="Arial" w:hAnsi="Arial" w:cs="Arial"/>
                <w:sz w:val="16"/>
                <w:szCs w:val="16"/>
              </w:rPr>
              <w:br/>
              <w:t>PAH agents are not PBS-subsidised for patients with pulmonary hypertension secondary to interstitial lung disease associated with connective tissue disease, where the total lung capacity is less than 70% of predicted.</w:t>
            </w:r>
            <w:r w:rsidRPr="003A13C5">
              <w:rPr>
                <w:rFonts w:ascii="Arial" w:hAnsi="Arial" w:cs="Arial"/>
                <w:sz w:val="16"/>
                <w:szCs w:val="16"/>
              </w:rPr>
              <w:br/>
              <w:t>The maximum quantity authorised will be limited to provide sufficient supply for 1 month of treatment, based on the dosage recommendations in the TGA-approved Product Information.</w:t>
            </w:r>
            <w:r w:rsidRPr="003A13C5">
              <w:rPr>
                <w:rFonts w:ascii="Arial" w:hAnsi="Arial" w:cs="Arial"/>
                <w:sz w:val="16"/>
                <w:szCs w:val="16"/>
              </w:rPr>
              <w:br/>
              <w:t>A maximum of 5 repeats may be requested.</w:t>
            </w:r>
          </w:p>
        </w:tc>
        <w:tc>
          <w:tcPr>
            <w:tcW w:w="2693" w:type="dxa"/>
            <w:shd w:val="clear" w:color="auto" w:fill="auto"/>
            <w:tcMar>
              <w:top w:w="28" w:type="dxa"/>
              <w:left w:w="28" w:type="dxa"/>
              <w:right w:w="57" w:type="dxa"/>
            </w:tcMar>
          </w:tcPr>
          <w:p w14:paraId="678016F4" w14:textId="09DC658B" w:rsidR="00E64A6D" w:rsidRPr="003A13C5" w:rsidRDefault="00E64A6D" w:rsidP="008F5E69">
            <w:pPr>
              <w:spacing w:before="60"/>
              <w:rPr>
                <w:rFonts w:ascii="Arial" w:eastAsia="Arial" w:hAnsi="Arial" w:cs="Arial"/>
                <w:sz w:val="16"/>
                <w:szCs w:val="22"/>
                <w:lang w:eastAsia="zh-CN"/>
              </w:rPr>
            </w:pPr>
            <w:r w:rsidRPr="003A13C5">
              <w:rPr>
                <w:rFonts w:ascii="Arial" w:hAnsi="Arial" w:cs="Arial"/>
                <w:sz w:val="16"/>
                <w:szCs w:val="16"/>
                <w:lang w:eastAsia="en-AU"/>
              </w:rPr>
              <w:t>Compliance with Authority Required procedures</w:t>
            </w:r>
          </w:p>
        </w:tc>
      </w:tr>
      <w:tr w:rsidR="00E64A6D" w:rsidRPr="003A13C5" w14:paraId="5F08BF8E" w14:textId="77777777" w:rsidTr="00E64A6D">
        <w:trPr>
          <w:cantSplit/>
        </w:trPr>
        <w:tc>
          <w:tcPr>
            <w:tcW w:w="1838" w:type="dxa"/>
            <w:shd w:val="clear" w:color="auto" w:fill="auto"/>
            <w:tcMar>
              <w:top w:w="28" w:type="dxa"/>
              <w:left w:w="28" w:type="dxa"/>
            </w:tcMar>
          </w:tcPr>
          <w:p w14:paraId="064BFEA8" w14:textId="77777777" w:rsidR="00E64A6D" w:rsidRPr="003A13C5" w:rsidRDefault="00E64A6D" w:rsidP="00E64A6D">
            <w:pPr>
              <w:rPr>
                <w:rFonts w:ascii="Arial" w:hAnsi="Arial" w:cs="Arial"/>
                <w:sz w:val="16"/>
                <w:szCs w:val="16"/>
              </w:rPr>
            </w:pPr>
          </w:p>
        </w:tc>
        <w:tc>
          <w:tcPr>
            <w:tcW w:w="851" w:type="dxa"/>
            <w:shd w:val="clear" w:color="auto" w:fill="auto"/>
            <w:tcMar>
              <w:top w:w="28" w:type="dxa"/>
              <w:left w:w="28" w:type="dxa"/>
            </w:tcMar>
          </w:tcPr>
          <w:p w14:paraId="2C75253C" w14:textId="67303047" w:rsidR="00E64A6D" w:rsidRPr="003A13C5" w:rsidRDefault="00E64A6D" w:rsidP="008F5E69">
            <w:pPr>
              <w:spacing w:before="60"/>
              <w:rPr>
                <w:rFonts w:ascii="Arial" w:hAnsi="Arial" w:cs="Arial"/>
                <w:sz w:val="16"/>
                <w:szCs w:val="16"/>
              </w:rPr>
            </w:pPr>
            <w:r w:rsidRPr="003A13C5">
              <w:rPr>
                <w:rFonts w:ascii="Arial" w:hAnsi="Arial" w:cs="Arial"/>
                <w:sz w:val="16"/>
                <w:szCs w:val="16"/>
                <w:lang w:eastAsia="en-AU"/>
              </w:rPr>
              <w:t>C10240</w:t>
            </w:r>
          </w:p>
        </w:tc>
        <w:tc>
          <w:tcPr>
            <w:tcW w:w="850" w:type="dxa"/>
            <w:shd w:val="clear" w:color="auto" w:fill="auto"/>
            <w:tcMar>
              <w:top w:w="28" w:type="dxa"/>
              <w:left w:w="28" w:type="dxa"/>
            </w:tcMar>
          </w:tcPr>
          <w:p w14:paraId="25223D19" w14:textId="77777777" w:rsidR="00E64A6D" w:rsidRPr="003A13C5" w:rsidRDefault="00E64A6D" w:rsidP="008F5E69">
            <w:pPr>
              <w:spacing w:before="60"/>
              <w:rPr>
                <w:rFonts w:ascii="Arial" w:hAnsi="Arial" w:cs="Arial"/>
                <w:sz w:val="16"/>
                <w:szCs w:val="16"/>
              </w:rPr>
            </w:pPr>
          </w:p>
        </w:tc>
        <w:tc>
          <w:tcPr>
            <w:tcW w:w="7655" w:type="dxa"/>
            <w:shd w:val="clear" w:color="auto" w:fill="auto"/>
            <w:tcMar>
              <w:top w:w="28" w:type="dxa"/>
              <w:left w:w="28" w:type="dxa"/>
            </w:tcMar>
          </w:tcPr>
          <w:p w14:paraId="2D8EBACE" w14:textId="695617E1" w:rsidR="00E64A6D" w:rsidRPr="003A13C5" w:rsidRDefault="00E64A6D" w:rsidP="008F5E69">
            <w:pPr>
              <w:spacing w:before="60"/>
              <w:rPr>
                <w:rFonts w:ascii="Arial" w:eastAsia="Arial" w:hAnsi="Arial" w:cs="Arial"/>
                <w:sz w:val="16"/>
                <w:szCs w:val="22"/>
                <w:lang w:eastAsia="zh-CN"/>
              </w:rPr>
            </w:pPr>
            <w:r w:rsidRPr="003A13C5">
              <w:rPr>
                <w:rFonts w:ascii="Arial" w:hAnsi="Arial" w:cs="Arial"/>
                <w:sz w:val="16"/>
                <w:szCs w:val="16"/>
              </w:rPr>
              <w:t>Pulmonary arterial hypertension (PAH)</w:t>
            </w:r>
            <w:r w:rsidRPr="003A13C5">
              <w:rPr>
                <w:rFonts w:ascii="Arial" w:hAnsi="Arial" w:cs="Arial"/>
                <w:sz w:val="16"/>
                <w:szCs w:val="16"/>
              </w:rPr>
              <w:br/>
              <w:t>Initial 1 (new patients)</w:t>
            </w:r>
            <w:r w:rsidRPr="003A13C5">
              <w:rPr>
                <w:rFonts w:ascii="Arial" w:hAnsi="Arial" w:cs="Arial"/>
                <w:sz w:val="16"/>
                <w:szCs w:val="16"/>
              </w:rPr>
              <w:br/>
              <w:t>Patient must not have received prior PBS-subsidised treatment with a pulmonary arterial hypertension (PAH) agent; AND</w:t>
            </w:r>
            <w:r w:rsidRPr="003A13C5">
              <w:rPr>
                <w:rFonts w:ascii="Arial" w:hAnsi="Arial" w:cs="Arial"/>
                <w:sz w:val="16"/>
                <w:szCs w:val="16"/>
              </w:rPr>
              <w:br/>
              <w:t>Patient must have been assessed by a physician with expertise in the management of PAH; AND</w:t>
            </w:r>
            <w:r w:rsidRPr="003A13C5">
              <w:rPr>
                <w:rFonts w:ascii="Arial" w:hAnsi="Arial" w:cs="Arial"/>
                <w:sz w:val="16"/>
                <w:szCs w:val="16"/>
              </w:rPr>
              <w:br/>
              <w:t>Patient must have WHO Functional Class IV PAH; AND</w:t>
            </w:r>
            <w:r w:rsidRPr="003A13C5">
              <w:rPr>
                <w:rFonts w:ascii="Arial" w:hAnsi="Arial" w:cs="Arial"/>
                <w:sz w:val="16"/>
                <w:szCs w:val="16"/>
              </w:rPr>
              <w:br/>
              <w:t>The treatment must be the sole PBS-subsidised PAH agent for this condition.</w:t>
            </w:r>
            <w:r w:rsidRPr="003A13C5">
              <w:rPr>
                <w:rFonts w:ascii="Arial" w:hAnsi="Arial" w:cs="Arial"/>
                <w:sz w:val="16"/>
                <w:szCs w:val="16"/>
              </w:rPr>
              <w:br/>
              <w:t>The term 'PAH agents' refers to bosentan monohydrate, iloprost trometamol, epoprostenol sodium, sildenafil citrate, ambrisentan, tadalafil, macitentan, and riociguat.</w:t>
            </w:r>
            <w:r w:rsidRPr="003A13C5">
              <w:rPr>
                <w:rFonts w:ascii="Arial" w:hAnsi="Arial" w:cs="Arial"/>
                <w:sz w:val="16"/>
                <w:szCs w:val="16"/>
              </w:rPr>
              <w:br/>
              <w:t>PAH agents are not PBS-subsidised for patients with pulmonary hypertension secondary to interstitial lung disease associated with connective tissue disease, where the total lung capacity is less than 70% of predicted.</w:t>
            </w:r>
            <w:r w:rsidRPr="003A13C5">
              <w:rPr>
                <w:rFonts w:ascii="Arial" w:hAnsi="Arial" w:cs="Arial"/>
                <w:sz w:val="16"/>
                <w:szCs w:val="16"/>
              </w:rPr>
              <w:br/>
              <w:t>PAH (WHO Group 1 pulmonary hypertension) is defined as follows:</w:t>
            </w:r>
            <w:r w:rsidRPr="003A13C5">
              <w:rPr>
                <w:rFonts w:ascii="Arial" w:hAnsi="Arial" w:cs="Arial"/>
                <w:sz w:val="16"/>
                <w:szCs w:val="16"/>
              </w:rPr>
              <w:br/>
              <w:t>(i) mean pulmonary artery pressure (mPAP) greater than or equal to 25 mmHg at rest and pulmonary artery wedge pressure (PAWP) less than or equal to 15 mmHg; or</w:t>
            </w:r>
            <w:r w:rsidRPr="003A13C5">
              <w:rPr>
                <w:rFonts w:ascii="Arial" w:hAnsi="Arial" w:cs="Arial"/>
                <w:sz w:val="16"/>
                <w:szCs w:val="16"/>
              </w:rPr>
              <w:br/>
              <w:t>(ii) where a right heart catheter (RHC) cannot be performed on clinical grounds, right ventricular systolic pressure (RVSP), assessed by echocardiography (ECHO), greater than 40 mmHg, with normal left ventricular function.</w:t>
            </w:r>
            <w:r w:rsidRPr="003A13C5">
              <w:rPr>
                <w:rFonts w:ascii="Arial" w:hAnsi="Arial" w:cs="Arial"/>
                <w:sz w:val="16"/>
                <w:szCs w:val="16"/>
              </w:rPr>
              <w:br/>
              <w:t>Applications for authorisation must be in writing and must include:</w:t>
            </w:r>
            <w:r w:rsidRPr="003A13C5">
              <w:rPr>
                <w:rFonts w:ascii="Arial" w:hAnsi="Arial" w:cs="Arial"/>
                <w:sz w:val="16"/>
                <w:szCs w:val="16"/>
              </w:rPr>
              <w:br/>
              <w:t>(1) a completed authority prescription form; and</w:t>
            </w:r>
            <w:r w:rsidRPr="003A13C5">
              <w:rPr>
                <w:rFonts w:ascii="Arial" w:hAnsi="Arial" w:cs="Arial"/>
                <w:sz w:val="16"/>
                <w:szCs w:val="16"/>
              </w:rPr>
              <w:br/>
              <w:t>(2) a completed Pulmonary Arterial Hypertension PBS Authority Application - Supporting Information form which includes results from the three tests below, where available:</w:t>
            </w:r>
            <w:r w:rsidRPr="003A13C5">
              <w:rPr>
                <w:rFonts w:ascii="Arial" w:hAnsi="Arial" w:cs="Arial"/>
                <w:sz w:val="16"/>
                <w:szCs w:val="16"/>
              </w:rPr>
              <w:br/>
              <w:t>(i) RHC composite assessment; and</w:t>
            </w:r>
            <w:r w:rsidRPr="003A13C5">
              <w:rPr>
                <w:rFonts w:ascii="Arial" w:hAnsi="Arial" w:cs="Arial"/>
                <w:sz w:val="16"/>
                <w:szCs w:val="16"/>
              </w:rPr>
              <w:br/>
              <w:t>(ii) ECHO composite assessment; and</w:t>
            </w:r>
            <w:r w:rsidRPr="003A13C5">
              <w:rPr>
                <w:rFonts w:ascii="Arial" w:hAnsi="Arial" w:cs="Arial"/>
                <w:sz w:val="16"/>
                <w:szCs w:val="16"/>
              </w:rPr>
              <w:br/>
              <w:t>(iii) 6 Minute Walk Test (6MWT).</w:t>
            </w:r>
            <w:r w:rsidRPr="003A13C5">
              <w:rPr>
                <w:rFonts w:ascii="Arial" w:hAnsi="Arial" w:cs="Arial"/>
                <w:sz w:val="16"/>
                <w:szCs w:val="16"/>
              </w:rPr>
              <w:br/>
              <w:t>Where it is not possible to perform all 3 tests on clinical grounds, the following list outlines the preferred test combination, in descending order, for the purposes of initiation of PBS-subsidised treatment:</w:t>
            </w:r>
            <w:r w:rsidRPr="003A13C5">
              <w:rPr>
                <w:rFonts w:ascii="Arial" w:hAnsi="Arial" w:cs="Arial"/>
                <w:sz w:val="16"/>
                <w:szCs w:val="16"/>
              </w:rPr>
              <w:br/>
              <w:t>(1) RHC plus ECHO composite assessments;</w:t>
            </w:r>
            <w:r w:rsidRPr="003A13C5">
              <w:rPr>
                <w:rFonts w:ascii="Arial" w:hAnsi="Arial" w:cs="Arial"/>
                <w:sz w:val="16"/>
                <w:szCs w:val="16"/>
              </w:rPr>
              <w:br/>
              <w:t>(2) RHC composite assessment plus 6MWT;</w:t>
            </w:r>
            <w:r w:rsidRPr="003A13C5">
              <w:rPr>
                <w:rFonts w:ascii="Arial" w:hAnsi="Arial" w:cs="Arial"/>
                <w:sz w:val="16"/>
                <w:szCs w:val="16"/>
              </w:rPr>
              <w:br/>
              <w:t>(3) RHC composite assessment only.</w:t>
            </w:r>
            <w:r w:rsidRPr="003A13C5">
              <w:rPr>
                <w:rFonts w:ascii="Arial" w:hAnsi="Arial" w:cs="Arial"/>
                <w:sz w:val="16"/>
                <w:szCs w:val="16"/>
              </w:rPr>
              <w:br/>
              <w:t>In circumstances where a RHC cannot be performed on clinical grounds, applications may be submitted for consideration based on the results of the following test combinations, which are listed in descending order of preference:</w:t>
            </w:r>
            <w:r w:rsidRPr="003A13C5">
              <w:rPr>
                <w:rFonts w:ascii="Arial" w:hAnsi="Arial" w:cs="Arial"/>
                <w:sz w:val="16"/>
                <w:szCs w:val="16"/>
              </w:rPr>
              <w:br/>
              <w:t>(1) ECHO composite assessment plus 6MWT;</w:t>
            </w:r>
            <w:r w:rsidRPr="003A13C5">
              <w:rPr>
                <w:rFonts w:ascii="Arial" w:hAnsi="Arial" w:cs="Arial"/>
                <w:sz w:val="16"/>
                <w:szCs w:val="16"/>
              </w:rPr>
              <w:br/>
              <w:t>(2) ECHO composite assessment only.</w:t>
            </w:r>
            <w:r w:rsidRPr="003A13C5">
              <w:rPr>
                <w:rFonts w:ascii="Arial" w:hAnsi="Arial" w:cs="Arial"/>
                <w:sz w:val="16"/>
                <w:szCs w:val="16"/>
              </w:rPr>
              <w:br/>
              <w:t>Where fewer than 3 tests are able to be performed on clinical grounds, a patient specific reason outlining why the particular test(s) could not be conducted must be provided with the authority application.</w:t>
            </w:r>
            <w:r w:rsidRPr="003A13C5">
              <w:rPr>
                <w:rFonts w:ascii="Arial" w:hAnsi="Arial" w:cs="Arial"/>
                <w:sz w:val="16"/>
                <w:szCs w:val="16"/>
              </w:rPr>
              <w:br/>
              <w:t>Where a RHC cannot be performed on clinical grounds, confirmation of the reason(s) must be provided with the authority application by a second PAH physician or cardiologist with expertise in the management of PAH.</w:t>
            </w:r>
            <w:r w:rsidRPr="003A13C5">
              <w:rPr>
                <w:rFonts w:ascii="Arial" w:hAnsi="Arial" w:cs="Arial"/>
                <w:sz w:val="16"/>
                <w:szCs w:val="16"/>
              </w:rPr>
              <w:br/>
              <w:t>The test results provided must not be more than 2 months old at the time of application.</w:t>
            </w:r>
            <w:r w:rsidRPr="003A13C5">
              <w:rPr>
                <w:rFonts w:ascii="Arial" w:hAnsi="Arial" w:cs="Arial"/>
                <w:sz w:val="16"/>
                <w:szCs w:val="16"/>
              </w:rPr>
              <w:br/>
              <w:t>The maximum quantity authorised will be limited to provide sufficient supply for 1 month of treatment, based on the dosage recommendations in the Therapeutic Goods Administration (TGA) approved Product Information.</w:t>
            </w:r>
            <w:r w:rsidRPr="003A13C5">
              <w:rPr>
                <w:rFonts w:ascii="Arial" w:hAnsi="Arial" w:cs="Arial"/>
                <w:sz w:val="16"/>
                <w:szCs w:val="16"/>
              </w:rPr>
              <w:br/>
              <w:t>A maximum of 5 repeats may be requested.</w:t>
            </w:r>
          </w:p>
        </w:tc>
        <w:tc>
          <w:tcPr>
            <w:tcW w:w="2693" w:type="dxa"/>
            <w:shd w:val="clear" w:color="auto" w:fill="auto"/>
            <w:tcMar>
              <w:top w:w="28" w:type="dxa"/>
              <w:left w:w="28" w:type="dxa"/>
              <w:right w:w="57" w:type="dxa"/>
            </w:tcMar>
          </w:tcPr>
          <w:p w14:paraId="57A138B1" w14:textId="74F40FD0" w:rsidR="00E64A6D" w:rsidRPr="003A13C5" w:rsidRDefault="00E64A6D" w:rsidP="008F5E69">
            <w:pPr>
              <w:spacing w:before="60"/>
              <w:rPr>
                <w:rFonts w:ascii="Arial" w:eastAsia="Arial" w:hAnsi="Arial" w:cs="Arial"/>
                <w:sz w:val="16"/>
                <w:szCs w:val="22"/>
                <w:lang w:eastAsia="zh-CN"/>
              </w:rPr>
            </w:pPr>
            <w:r w:rsidRPr="003A13C5">
              <w:rPr>
                <w:rFonts w:ascii="Arial" w:hAnsi="Arial" w:cs="Arial"/>
                <w:sz w:val="16"/>
                <w:szCs w:val="16"/>
                <w:lang w:eastAsia="en-AU"/>
              </w:rPr>
              <w:t>Compliance with Written Authority Required procedures</w:t>
            </w:r>
          </w:p>
        </w:tc>
      </w:tr>
      <w:tr w:rsidR="00E64A6D" w:rsidRPr="003A13C5" w14:paraId="671D2602" w14:textId="77777777" w:rsidTr="00E64A6D">
        <w:trPr>
          <w:cantSplit/>
        </w:trPr>
        <w:tc>
          <w:tcPr>
            <w:tcW w:w="1838" w:type="dxa"/>
            <w:shd w:val="clear" w:color="auto" w:fill="auto"/>
            <w:tcMar>
              <w:top w:w="28" w:type="dxa"/>
              <w:left w:w="28" w:type="dxa"/>
            </w:tcMar>
          </w:tcPr>
          <w:p w14:paraId="28307906" w14:textId="77777777" w:rsidR="00E64A6D" w:rsidRPr="003A13C5" w:rsidRDefault="00E64A6D" w:rsidP="00E64A6D">
            <w:pPr>
              <w:rPr>
                <w:rFonts w:ascii="Arial" w:hAnsi="Arial" w:cs="Arial"/>
                <w:sz w:val="16"/>
                <w:szCs w:val="16"/>
              </w:rPr>
            </w:pPr>
          </w:p>
        </w:tc>
        <w:tc>
          <w:tcPr>
            <w:tcW w:w="851" w:type="dxa"/>
            <w:shd w:val="clear" w:color="auto" w:fill="auto"/>
            <w:tcMar>
              <w:top w:w="28" w:type="dxa"/>
              <w:left w:w="28" w:type="dxa"/>
            </w:tcMar>
          </w:tcPr>
          <w:p w14:paraId="669FA296" w14:textId="520F9121" w:rsidR="00E64A6D" w:rsidRPr="003A13C5" w:rsidRDefault="00E64A6D" w:rsidP="008F5E69">
            <w:pPr>
              <w:spacing w:before="60"/>
              <w:rPr>
                <w:rFonts w:ascii="Arial" w:hAnsi="Arial" w:cs="Arial"/>
                <w:sz w:val="16"/>
                <w:szCs w:val="16"/>
              </w:rPr>
            </w:pPr>
            <w:r w:rsidRPr="003A13C5">
              <w:rPr>
                <w:rFonts w:ascii="Arial" w:hAnsi="Arial" w:cs="Arial"/>
                <w:sz w:val="16"/>
                <w:szCs w:val="16"/>
                <w:lang w:eastAsia="en-AU"/>
              </w:rPr>
              <w:t>C10241</w:t>
            </w:r>
          </w:p>
        </w:tc>
        <w:tc>
          <w:tcPr>
            <w:tcW w:w="850" w:type="dxa"/>
            <w:shd w:val="clear" w:color="auto" w:fill="auto"/>
            <w:tcMar>
              <w:top w:w="28" w:type="dxa"/>
              <w:left w:w="28" w:type="dxa"/>
            </w:tcMar>
          </w:tcPr>
          <w:p w14:paraId="152D324E" w14:textId="77777777" w:rsidR="00E64A6D" w:rsidRPr="003A13C5" w:rsidRDefault="00E64A6D" w:rsidP="008F5E69">
            <w:pPr>
              <w:spacing w:before="60"/>
              <w:rPr>
                <w:rFonts w:ascii="Arial" w:hAnsi="Arial" w:cs="Arial"/>
                <w:sz w:val="16"/>
                <w:szCs w:val="16"/>
              </w:rPr>
            </w:pPr>
          </w:p>
        </w:tc>
        <w:tc>
          <w:tcPr>
            <w:tcW w:w="7655" w:type="dxa"/>
            <w:shd w:val="clear" w:color="auto" w:fill="auto"/>
            <w:tcMar>
              <w:top w:w="28" w:type="dxa"/>
              <w:left w:w="28" w:type="dxa"/>
            </w:tcMar>
          </w:tcPr>
          <w:p w14:paraId="01EF9DB3" w14:textId="53F1D3D8" w:rsidR="00E64A6D" w:rsidRPr="003A13C5" w:rsidRDefault="00E64A6D" w:rsidP="008F5E69">
            <w:pPr>
              <w:spacing w:before="60"/>
              <w:rPr>
                <w:rFonts w:ascii="Arial" w:eastAsia="Arial" w:hAnsi="Arial" w:cs="Arial"/>
                <w:sz w:val="16"/>
                <w:szCs w:val="22"/>
                <w:lang w:eastAsia="zh-CN"/>
              </w:rPr>
            </w:pPr>
            <w:r w:rsidRPr="003A13C5">
              <w:rPr>
                <w:rFonts w:ascii="Arial" w:hAnsi="Arial" w:cs="Arial"/>
                <w:sz w:val="16"/>
                <w:szCs w:val="16"/>
              </w:rPr>
              <w:t>Pulmonary arterial hypertension (PAH)</w:t>
            </w:r>
            <w:r w:rsidRPr="003A13C5">
              <w:rPr>
                <w:rFonts w:ascii="Arial" w:hAnsi="Arial" w:cs="Arial"/>
                <w:sz w:val="16"/>
                <w:szCs w:val="16"/>
              </w:rPr>
              <w:br/>
              <w:t>Initial 2 (change)</w:t>
            </w:r>
            <w:r w:rsidRPr="003A13C5">
              <w:rPr>
                <w:rFonts w:ascii="Arial" w:hAnsi="Arial" w:cs="Arial"/>
                <w:sz w:val="16"/>
                <w:szCs w:val="16"/>
              </w:rPr>
              <w:br/>
              <w:t>Patient must have documented WHO Functional Class III PAH or WHO Functional Class IV PAH; AND</w:t>
            </w:r>
            <w:r w:rsidRPr="003A13C5">
              <w:rPr>
                <w:rFonts w:ascii="Arial" w:hAnsi="Arial" w:cs="Arial"/>
                <w:sz w:val="16"/>
                <w:szCs w:val="16"/>
              </w:rPr>
              <w:br/>
              <w:t>Patient must have had their most recent course of PBS-subsidised treatment for this condition with a PAH agent other than this agent; AND</w:t>
            </w:r>
            <w:r w:rsidRPr="003A13C5">
              <w:rPr>
                <w:rFonts w:ascii="Arial" w:hAnsi="Arial" w:cs="Arial"/>
                <w:sz w:val="16"/>
                <w:szCs w:val="16"/>
              </w:rPr>
              <w:br/>
              <w:t>The treatment must be the sole PBS-subsidised PAH agent for this condition.</w:t>
            </w:r>
            <w:r w:rsidRPr="003A13C5">
              <w:rPr>
                <w:rFonts w:ascii="Arial" w:hAnsi="Arial" w:cs="Arial"/>
                <w:sz w:val="16"/>
                <w:szCs w:val="16"/>
              </w:rPr>
              <w:br/>
              <w:t>The term 'PAH agents' refers to bosentan monohydrate, iloprost trometamol, epoprostenol sodium, sildenafil citrate, ambrisentan, tadalafil, macitentan, and riociguat.</w:t>
            </w:r>
            <w:r w:rsidRPr="003A13C5">
              <w:rPr>
                <w:rFonts w:ascii="Arial" w:hAnsi="Arial" w:cs="Arial"/>
                <w:sz w:val="16"/>
                <w:szCs w:val="16"/>
              </w:rPr>
              <w:br/>
              <w:t>PAH agents are not PBS-subsidised for patients with pulmonary hypertension secondary to interstitial lung disease associated with connective tissue disease, where the total lung capacity is less than 70% of predicted.</w:t>
            </w:r>
            <w:r w:rsidRPr="003A13C5">
              <w:rPr>
                <w:rFonts w:ascii="Arial" w:hAnsi="Arial" w:cs="Arial"/>
                <w:sz w:val="16"/>
                <w:szCs w:val="16"/>
              </w:rPr>
              <w:br/>
              <w:t>Swapping between PAH agents: Patients can access PAH agents through the PBS according to the relevant restrictions. Once these patients are approved initial treatment (monotherapy) with 1 of these 8 drugs, they may swap between PAH agents at any time without having to re-qualify for treatment with the alternate agent. This means that patients may commence treatment with the alternate agent, subject to that agent's restriction, irrespective of the severity of their disease at the time the application to swap therapy is submitted.</w:t>
            </w:r>
            <w:r w:rsidRPr="003A13C5">
              <w:rPr>
                <w:rFonts w:ascii="Arial" w:hAnsi="Arial" w:cs="Arial"/>
                <w:sz w:val="16"/>
                <w:szCs w:val="16"/>
              </w:rPr>
              <w:br/>
              <w:t>Applications to swap between the 8 PAH agents must be made under the relevant initial treatment (monotherapy) restriction.</w:t>
            </w:r>
            <w:r w:rsidRPr="003A13C5">
              <w:rPr>
                <w:rFonts w:ascii="Arial" w:hAnsi="Arial" w:cs="Arial"/>
                <w:sz w:val="16"/>
                <w:szCs w:val="16"/>
              </w:rPr>
              <w:br/>
              <w:t>The maximum quantity authorised will be limited to provide sufficient supply for 1 month of treatment, based on the dosage recommendations in the TGA-approved Product Information.</w:t>
            </w:r>
            <w:r w:rsidRPr="003A13C5">
              <w:rPr>
                <w:rFonts w:ascii="Arial" w:hAnsi="Arial" w:cs="Arial"/>
                <w:sz w:val="16"/>
                <w:szCs w:val="16"/>
              </w:rPr>
              <w:br/>
              <w:t>A maximum of 5 repeats may be requested.</w:t>
            </w:r>
          </w:p>
        </w:tc>
        <w:tc>
          <w:tcPr>
            <w:tcW w:w="2693" w:type="dxa"/>
            <w:shd w:val="clear" w:color="auto" w:fill="auto"/>
            <w:tcMar>
              <w:top w:w="28" w:type="dxa"/>
              <w:left w:w="28" w:type="dxa"/>
              <w:right w:w="57" w:type="dxa"/>
            </w:tcMar>
          </w:tcPr>
          <w:p w14:paraId="60819AD1" w14:textId="15097049" w:rsidR="00E64A6D" w:rsidRPr="003A13C5" w:rsidRDefault="00E64A6D" w:rsidP="008F5E69">
            <w:pPr>
              <w:spacing w:before="60"/>
              <w:rPr>
                <w:rFonts w:ascii="Arial" w:eastAsia="Arial" w:hAnsi="Arial" w:cs="Arial"/>
                <w:sz w:val="16"/>
                <w:szCs w:val="22"/>
                <w:lang w:eastAsia="zh-CN"/>
              </w:rPr>
            </w:pPr>
            <w:r w:rsidRPr="003A13C5">
              <w:rPr>
                <w:rFonts w:ascii="Arial" w:hAnsi="Arial" w:cs="Arial"/>
                <w:sz w:val="16"/>
                <w:szCs w:val="16"/>
                <w:lang w:eastAsia="en-AU"/>
              </w:rPr>
              <w:t>Compliance with Authority Required procedures</w:t>
            </w:r>
          </w:p>
        </w:tc>
      </w:tr>
    </w:tbl>
    <w:p w14:paraId="7B7F2C81" w14:textId="1D470924" w:rsidR="00C8541E" w:rsidRPr="003A13C5" w:rsidRDefault="00C8541E" w:rsidP="00C8541E">
      <w:pPr>
        <w:widowControl w:val="0"/>
        <w:numPr>
          <w:ilvl w:val="0"/>
          <w:numId w:val="5"/>
        </w:numPr>
        <w:tabs>
          <w:tab w:val="clear" w:pos="794"/>
        </w:tabs>
        <w:spacing w:before="120"/>
        <w:ind w:left="567" w:hanging="567"/>
        <w:outlineLvl w:val="1"/>
        <w:rPr>
          <w:rFonts w:ascii="Arial" w:hAnsi="Arial" w:cs="Arial"/>
          <w:b/>
          <w:bCs/>
          <w:sz w:val="20"/>
          <w:szCs w:val="20"/>
          <w:lang w:eastAsia="en-AU"/>
        </w:rPr>
      </w:pPr>
      <w:r w:rsidRPr="003A13C5">
        <w:rPr>
          <w:rFonts w:ascii="Arial" w:hAnsi="Arial" w:cs="Arial"/>
          <w:b/>
          <w:bCs/>
          <w:sz w:val="20"/>
          <w:szCs w:val="20"/>
          <w:lang w:eastAsia="en-AU"/>
        </w:rPr>
        <w:t xml:space="preserve">Schedule 3, entry for </w:t>
      </w:r>
      <w:r w:rsidR="00CB6975" w:rsidRPr="003A13C5">
        <w:rPr>
          <w:rFonts w:ascii="Arial" w:hAnsi="Arial" w:cs="Arial"/>
          <w:b/>
          <w:bCs/>
          <w:sz w:val="20"/>
          <w:szCs w:val="20"/>
          <w:lang w:eastAsia="en-AU"/>
        </w:rPr>
        <w:t>Iloprost</w:t>
      </w:r>
    </w:p>
    <w:p w14:paraId="5DD3F0EC" w14:textId="5DBC38EA" w:rsidR="00CB6975" w:rsidRPr="003A13C5" w:rsidRDefault="00CB6975" w:rsidP="00CB6975">
      <w:pPr>
        <w:pStyle w:val="Amendment3"/>
        <w:numPr>
          <w:ilvl w:val="0"/>
          <w:numId w:val="0"/>
        </w:numPr>
        <w:ind w:firstLine="567"/>
        <w:rPr>
          <w:i/>
        </w:rPr>
      </w:pPr>
      <w:r w:rsidRPr="003A13C5">
        <w:rPr>
          <w:i/>
        </w:rPr>
        <w:t>substitute: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38"/>
        <w:gridCol w:w="851"/>
        <w:gridCol w:w="850"/>
        <w:gridCol w:w="7655"/>
        <w:gridCol w:w="2693"/>
      </w:tblGrid>
      <w:tr w:rsidR="00CB6975" w:rsidRPr="003A13C5" w14:paraId="283851E9" w14:textId="77777777" w:rsidTr="004A6516">
        <w:tc>
          <w:tcPr>
            <w:tcW w:w="1838" w:type="dxa"/>
            <w:shd w:val="clear" w:color="auto" w:fill="auto"/>
            <w:tcMar>
              <w:top w:w="28" w:type="dxa"/>
              <w:left w:w="28" w:type="dxa"/>
            </w:tcMar>
          </w:tcPr>
          <w:p w14:paraId="26CE67BA" w14:textId="10D73411" w:rsidR="00CB6975" w:rsidRPr="003A13C5" w:rsidRDefault="00CB6975" w:rsidP="008F5E69">
            <w:pPr>
              <w:spacing w:before="60"/>
              <w:rPr>
                <w:rFonts w:ascii="Arial" w:hAnsi="Arial" w:cs="Arial"/>
                <w:sz w:val="16"/>
                <w:szCs w:val="16"/>
              </w:rPr>
            </w:pPr>
            <w:r w:rsidRPr="003A13C5">
              <w:rPr>
                <w:rFonts w:ascii="Arial" w:eastAsia="SimSun" w:hAnsi="Arial" w:cs="Arial"/>
                <w:sz w:val="16"/>
                <w:szCs w:val="16"/>
                <w:lang w:eastAsia="zh-CN"/>
              </w:rPr>
              <w:t>Iloprost</w:t>
            </w:r>
          </w:p>
        </w:tc>
        <w:tc>
          <w:tcPr>
            <w:tcW w:w="851" w:type="dxa"/>
            <w:shd w:val="clear" w:color="auto" w:fill="auto"/>
            <w:tcMar>
              <w:top w:w="28" w:type="dxa"/>
              <w:left w:w="28" w:type="dxa"/>
            </w:tcMar>
          </w:tcPr>
          <w:p w14:paraId="576E03D0" w14:textId="32602FEA" w:rsidR="00CB6975" w:rsidRPr="003A13C5" w:rsidRDefault="00CB6975" w:rsidP="008F5E69">
            <w:pPr>
              <w:spacing w:before="60"/>
              <w:rPr>
                <w:rFonts w:ascii="Arial" w:hAnsi="Arial" w:cs="Arial"/>
                <w:sz w:val="16"/>
                <w:szCs w:val="16"/>
              </w:rPr>
            </w:pPr>
            <w:r w:rsidRPr="003A13C5">
              <w:rPr>
                <w:rFonts w:ascii="Arial" w:hAnsi="Arial" w:cs="Arial"/>
                <w:sz w:val="16"/>
                <w:szCs w:val="16"/>
              </w:rPr>
              <w:t>C10228</w:t>
            </w:r>
          </w:p>
        </w:tc>
        <w:tc>
          <w:tcPr>
            <w:tcW w:w="850" w:type="dxa"/>
            <w:shd w:val="clear" w:color="auto" w:fill="auto"/>
            <w:tcMar>
              <w:top w:w="28" w:type="dxa"/>
              <w:left w:w="28" w:type="dxa"/>
            </w:tcMar>
          </w:tcPr>
          <w:p w14:paraId="32953A13" w14:textId="77777777" w:rsidR="00CB6975" w:rsidRPr="003A13C5" w:rsidRDefault="00CB6975" w:rsidP="008F5E69">
            <w:pPr>
              <w:spacing w:before="60"/>
              <w:rPr>
                <w:rFonts w:ascii="Arial" w:hAnsi="Arial" w:cs="Arial"/>
                <w:sz w:val="16"/>
                <w:szCs w:val="16"/>
              </w:rPr>
            </w:pPr>
          </w:p>
        </w:tc>
        <w:tc>
          <w:tcPr>
            <w:tcW w:w="7655" w:type="dxa"/>
            <w:shd w:val="clear" w:color="auto" w:fill="auto"/>
            <w:tcMar>
              <w:top w:w="28" w:type="dxa"/>
              <w:left w:w="28" w:type="dxa"/>
            </w:tcMar>
          </w:tcPr>
          <w:p w14:paraId="21E1B9E1" w14:textId="022F3BC2" w:rsidR="00CB6975" w:rsidRPr="003A13C5" w:rsidRDefault="00CB6975" w:rsidP="008F5E69">
            <w:pPr>
              <w:spacing w:before="60"/>
            </w:pPr>
            <w:r w:rsidRPr="003A13C5">
              <w:rPr>
                <w:rFonts w:ascii="Arial" w:hAnsi="Arial" w:cs="Arial"/>
                <w:sz w:val="16"/>
                <w:szCs w:val="16"/>
              </w:rPr>
              <w:t>Pulmonary arterial hypertension (PAH)</w:t>
            </w:r>
            <w:r w:rsidRPr="003A13C5">
              <w:rPr>
                <w:rFonts w:ascii="Arial" w:hAnsi="Arial" w:cs="Arial"/>
                <w:sz w:val="16"/>
                <w:szCs w:val="16"/>
              </w:rPr>
              <w:br/>
              <w:t>Continuing treatment</w:t>
            </w:r>
            <w:r w:rsidRPr="003A13C5">
              <w:rPr>
                <w:rFonts w:ascii="Arial" w:hAnsi="Arial" w:cs="Arial"/>
                <w:sz w:val="16"/>
                <w:szCs w:val="16"/>
              </w:rPr>
              <w:br/>
              <w:t>Patient must have received their most recent course of PBS-subsidised treatment with this PAH agent for this condition; AND</w:t>
            </w:r>
            <w:r w:rsidRPr="003A13C5">
              <w:rPr>
                <w:rFonts w:ascii="Arial" w:hAnsi="Arial" w:cs="Arial"/>
                <w:sz w:val="16"/>
                <w:szCs w:val="16"/>
              </w:rPr>
              <w:br/>
              <w:t>The treatment must be the sole PBS-subsidised PAH agent for this condition.</w:t>
            </w:r>
            <w:r w:rsidRPr="003A13C5">
              <w:rPr>
                <w:rFonts w:ascii="Arial" w:hAnsi="Arial" w:cs="Arial"/>
                <w:sz w:val="16"/>
                <w:szCs w:val="16"/>
              </w:rPr>
              <w:br/>
              <w:t>The term 'PAH agents' refers to bosentan monohydrate, iloprost trometamol, epoprostenol sodium, sildenafil citrate, ambrisentan, tadalafil, macitentan, and riociguat.</w:t>
            </w:r>
            <w:r w:rsidRPr="003A13C5">
              <w:rPr>
                <w:rFonts w:ascii="Arial" w:hAnsi="Arial" w:cs="Arial"/>
                <w:sz w:val="16"/>
                <w:szCs w:val="16"/>
              </w:rPr>
              <w:br/>
              <w:t>PAH agents are not PBS-subsidised for patients with pulmonary hypertension secondary to interstitial lung disease associated with connective tissue disease, where the total lung capacity is less than 70% of predicted.</w:t>
            </w:r>
            <w:r w:rsidRPr="003A13C5">
              <w:rPr>
                <w:rFonts w:ascii="Arial" w:hAnsi="Arial" w:cs="Arial"/>
                <w:sz w:val="16"/>
                <w:szCs w:val="16"/>
              </w:rPr>
              <w:br/>
              <w:t>The maximum quantity authorised will be limited to provide sufficient supply for 1 month of treatment, based on the dosage recommendations in the TGA-approved Product Information.</w:t>
            </w:r>
            <w:r w:rsidRPr="003A13C5">
              <w:rPr>
                <w:rFonts w:ascii="Arial" w:hAnsi="Arial" w:cs="Arial"/>
                <w:sz w:val="16"/>
                <w:szCs w:val="16"/>
              </w:rPr>
              <w:br/>
              <w:t>A maximum of 5 repeats may be requested.</w:t>
            </w:r>
          </w:p>
        </w:tc>
        <w:tc>
          <w:tcPr>
            <w:tcW w:w="2693" w:type="dxa"/>
            <w:shd w:val="clear" w:color="auto" w:fill="auto"/>
            <w:tcMar>
              <w:top w:w="28" w:type="dxa"/>
              <w:left w:w="28" w:type="dxa"/>
              <w:right w:w="57" w:type="dxa"/>
            </w:tcMar>
          </w:tcPr>
          <w:p w14:paraId="6BA4B172" w14:textId="0611AB68" w:rsidR="00CB6975" w:rsidRPr="003A13C5" w:rsidRDefault="00CB6975" w:rsidP="008F5E69">
            <w:pPr>
              <w:spacing w:before="60"/>
              <w:rPr>
                <w:rFonts w:ascii="Arial" w:eastAsia="Arial" w:hAnsi="Arial" w:cs="Arial"/>
                <w:sz w:val="16"/>
                <w:szCs w:val="22"/>
                <w:lang w:eastAsia="zh-CN"/>
              </w:rPr>
            </w:pPr>
            <w:r w:rsidRPr="003A13C5">
              <w:rPr>
                <w:rFonts w:ascii="Arial" w:hAnsi="Arial" w:cs="Arial"/>
                <w:sz w:val="16"/>
                <w:szCs w:val="16"/>
              </w:rPr>
              <w:t>Compliance with Authority Required procedures</w:t>
            </w:r>
          </w:p>
        </w:tc>
      </w:tr>
      <w:tr w:rsidR="00CB6975" w:rsidRPr="003A13C5" w14:paraId="2C7949B8" w14:textId="77777777" w:rsidTr="004A6516">
        <w:tc>
          <w:tcPr>
            <w:tcW w:w="1838" w:type="dxa"/>
            <w:shd w:val="clear" w:color="auto" w:fill="auto"/>
            <w:tcMar>
              <w:top w:w="28" w:type="dxa"/>
              <w:left w:w="28" w:type="dxa"/>
            </w:tcMar>
          </w:tcPr>
          <w:p w14:paraId="7429F278" w14:textId="77777777" w:rsidR="00CB6975" w:rsidRPr="003A13C5" w:rsidRDefault="00CB6975" w:rsidP="00CB6975">
            <w:pPr>
              <w:rPr>
                <w:rFonts w:ascii="Arial" w:hAnsi="Arial" w:cs="Arial"/>
                <w:sz w:val="16"/>
                <w:szCs w:val="16"/>
              </w:rPr>
            </w:pPr>
          </w:p>
        </w:tc>
        <w:tc>
          <w:tcPr>
            <w:tcW w:w="851" w:type="dxa"/>
            <w:shd w:val="clear" w:color="auto" w:fill="auto"/>
            <w:tcMar>
              <w:top w:w="28" w:type="dxa"/>
              <w:left w:w="28" w:type="dxa"/>
            </w:tcMar>
          </w:tcPr>
          <w:p w14:paraId="0847D910" w14:textId="6EE95599" w:rsidR="00CB6975" w:rsidRPr="003A13C5" w:rsidRDefault="00CB6975" w:rsidP="008F5E69">
            <w:pPr>
              <w:spacing w:before="60"/>
              <w:rPr>
                <w:rFonts w:ascii="Arial" w:hAnsi="Arial" w:cs="Arial"/>
                <w:sz w:val="16"/>
                <w:szCs w:val="16"/>
              </w:rPr>
            </w:pPr>
            <w:r w:rsidRPr="003A13C5">
              <w:rPr>
                <w:rFonts w:ascii="Arial" w:hAnsi="Arial" w:cs="Arial"/>
                <w:sz w:val="16"/>
                <w:szCs w:val="16"/>
              </w:rPr>
              <w:t>C10229</w:t>
            </w:r>
          </w:p>
        </w:tc>
        <w:tc>
          <w:tcPr>
            <w:tcW w:w="850" w:type="dxa"/>
            <w:shd w:val="clear" w:color="auto" w:fill="auto"/>
            <w:tcMar>
              <w:top w:w="28" w:type="dxa"/>
              <w:left w:w="28" w:type="dxa"/>
            </w:tcMar>
          </w:tcPr>
          <w:p w14:paraId="475EEAD7" w14:textId="77777777" w:rsidR="00CB6975" w:rsidRPr="003A13C5" w:rsidRDefault="00CB6975" w:rsidP="008F5E69">
            <w:pPr>
              <w:spacing w:before="60"/>
              <w:rPr>
                <w:rFonts w:ascii="Arial" w:hAnsi="Arial" w:cs="Arial"/>
                <w:sz w:val="16"/>
                <w:szCs w:val="16"/>
              </w:rPr>
            </w:pPr>
          </w:p>
        </w:tc>
        <w:tc>
          <w:tcPr>
            <w:tcW w:w="7655" w:type="dxa"/>
            <w:shd w:val="clear" w:color="auto" w:fill="auto"/>
            <w:tcMar>
              <w:top w:w="28" w:type="dxa"/>
              <w:left w:w="28" w:type="dxa"/>
            </w:tcMar>
          </w:tcPr>
          <w:p w14:paraId="1F642482" w14:textId="006E1CF1" w:rsidR="00CB6975" w:rsidRPr="003A13C5" w:rsidRDefault="00CB6975" w:rsidP="008F5E69">
            <w:pPr>
              <w:spacing w:before="60"/>
            </w:pPr>
            <w:r w:rsidRPr="003A13C5">
              <w:rPr>
                <w:rFonts w:ascii="Arial" w:hAnsi="Arial" w:cs="Arial"/>
                <w:sz w:val="16"/>
                <w:szCs w:val="16"/>
              </w:rPr>
              <w:t>Pulmonary arterial hypertension (PAH)</w:t>
            </w:r>
            <w:r w:rsidRPr="003A13C5">
              <w:rPr>
                <w:rFonts w:ascii="Arial" w:hAnsi="Arial" w:cs="Arial"/>
                <w:sz w:val="16"/>
                <w:szCs w:val="16"/>
              </w:rPr>
              <w:br/>
              <w:t>Initial 2 (change)</w:t>
            </w:r>
            <w:r w:rsidRPr="003A13C5">
              <w:rPr>
                <w:rFonts w:ascii="Arial" w:hAnsi="Arial" w:cs="Arial"/>
                <w:sz w:val="16"/>
                <w:szCs w:val="16"/>
              </w:rPr>
              <w:br/>
              <w:t>Patient must have documented WHO Functional Class III PAH or WHO Functional Class IV PAH; AND</w:t>
            </w:r>
            <w:r w:rsidRPr="003A13C5">
              <w:rPr>
                <w:rFonts w:ascii="Arial" w:hAnsi="Arial" w:cs="Arial"/>
                <w:sz w:val="16"/>
                <w:szCs w:val="16"/>
              </w:rPr>
              <w:br/>
              <w:t>Patient must have had their most recent course of PBS-subsidised treatment for this condition with a PAH agent other than this agent; AND</w:t>
            </w:r>
            <w:r w:rsidRPr="003A13C5">
              <w:rPr>
                <w:rFonts w:ascii="Arial" w:hAnsi="Arial" w:cs="Arial"/>
                <w:sz w:val="16"/>
                <w:szCs w:val="16"/>
              </w:rPr>
              <w:br/>
              <w:t>The treatment must be the sole PBS-subsidised PAH agent for this condition.</w:t>
            </w:r>
            <w:r w:rsidRPr="003A13C5">
              <w:rPr>
                <w:rFonts w:ascii="Arial" w:hAnsi="Arial" w:cs="Arial"/>
                <w:sz w:val="16"/>
                <w:szCs w:val="16"/>
              </w:rPr>
              <w:br/>
              <w:t>The term 'PAH agents' refers to bosentan monohydrate, iloprost trometamol, epoprostenol sodium, sildenafil citrate, ambrisentan, tadalafil, macitentan, and riociguat.</w:t>
            </w:r>
            <w:r w:rsidRPr="003A13C5">
              <w:rPr>
                <w:rFonts w:ascii="Arial" w:hAnsi="Arial" w:cs="Arial"/>
                <w:sz w:val="16"/>
                <w:szCs w:val="16"/>
              </w:rPr>
              <w:br/>
            </w:r>
            <w:r w:rsidRPr="003A13C5">
              <w:rPr>
                <w:rFonts w:ascii="Arial" w:hAnsi="Arial" w:cs="Arial"/>
                <w:sz w:val="16"/>
                <w:szCs w:val="16"/>
              </w:rPr>
              <w:lastRenderedPageBreak/>
              <w:t>PAH agents are not PBS-subsidised for patients with pulmonary hypertension secondary to interstitial lung disease associated with connective tissue disease, where the total lung capacity is less than 70% of predicted.</w:t>
            </w:r>
            <w:r w:rsidRPr="003A13C5">
              <w:rPr>
                <w:rFonts w:ascii="Arial" w:hAnsi="Arial" w:cs="Arial"/>
                <w:sz w:val="16"/>
                <w:szCs w:val="16"/>
              </w:rPr>
              <w:br/>
              <w:t>Swapping between PAH agents: Patients can access PAH agents through the PBS according to the relevant restrictions. Once these patients are approved initial treatment (monotherapy) with 1 of these 8 drugs, they may swap between PAH agents at any time without having to re-qualify for treatment with the alternate agent. This means that patients may commence treatment with the alternate agent, subject to that agent's restriction, irrespective of the severity of their disease at the time the application to swap therapy is submitted.</w:t>
            </w:r>
            <w:r w:rsidRPr="003A13C5">
              <w:rPr>
                <w:rFonts w:ascii="Arial" w:hAnsi="Arial" w:cs="Arial"/>
                <w:sz w:val="16"/>
                <w:szCs w:val="16"/>
              </w:rPr>
              <w:br/>
              <w:t>Applications to swap between the 8 PAH agents must be made under the relevant initial treatment (monotherapy) restriction.</w:t>
            </w:r>
            <w:r w:rsidRPr="003A13C5">
              <w:rPr>
                <w:rFonts w:ascii="Arial" w:hAnsi="Arial" w:cs="Arial"/>
                <w:sz w:val="16"/>
                <w:szCs w:val="16"/>
              </w:rPr>
              <w:br/>
              <w:t>The maximum quantity authorised will be limited to provide sufficient supply for 1 month of treatment, based on the dosage recommendations in the TGA-approved Product Information.</w:t>
            </w:r>
            <w:r w:rsidRPr="003A13C5">
              <w:rPr>
                <w:rFonts w:ascii="Arial" w:hAnsi="Arial" w:cs="Arial"/>
                <w:sz w:val="16"/>
                <w:szCs w:val="16"/>
              </w:rPr>
              <w:br/>
              <w:t>A maximum of 5 repeats may be requested.</w:t>
            </w:r>
          </w:p>
        </w:tc>
        <w:tc>
          <w:tcPr>
            <w:tcW w:w="2693" w:type="dxa"/>
            <w:shd w:val="clear" w:color="auto" w:fill="auto"/>
            <w:tcMar>
              <w:top w:w="28" w:type="dxa"/>
              <w:left w:w="28" w:type="dxa"/>
              <w:right w:w="57" w:type="dxa"/>
            </w:tcMar>
          </w:tcPr>
          <w:p w14:paraId="5FD94001" w14:textId="50C6BD6E" w:rsidR="00CB6975" w:rsidRPr="003A13C5" w:rsidRDefault="00CB6975" w:rsidP="008F5E69">
            <w:pPr>
              <w:spacing w:before="60"/>
              <w:rPr>
                <w:rFonts w:ascii="Arial" w:eastAsia="Arial" w:hAnsi="Arial" w:cs="Arial"/>
                <w:sz w:val="16"/>
                <w:szCs w:val="22"/>
                <w:lang w:eastAsia="zh-CN"/>
              </w:rPr>
            </w:pPr>
            <w:r w:rsidRPr="003A13C5">
              <w:rPr>
                <w:rFonts w:ascii="Arial" w:hAnsi="Arial" w:cs="Arial"/>
                <w:sz w:val="16"/>
                <w:szCs w:val="16"/>
              </w:rPr>
              <w:lastRenderedPageBreak/>
              <w:t>Compliance with Authority Required procedures</w:t>
            </w:r>
          </w:p>
        </w:tc>
      </w:tr>
      <w:tr w:rsidR="00CB6975" w:rsidRPr="003A13C5" w14:paraId="5D3F5435" w14:textId="77777777" w:rsidTr="004A6516">
        <w:tc>
          <w:tcPr>
            <w:tcW w:w="1838" w:type="dxa"/>
            <w:shd w:val="clear" w:color="auto" w:fill="auto"/>
            <w:tcMar>
              <w:top w:w="28" w:type="dxa"/>
              <w:left w:w="28" w:type="dxa"/>
            </w:tcMar>
          </w:tcPr>
          <w:p w14:paraId="4E0A2E35" w14:textId="77777777" w:rsidR="00CB6975" w:rsidRPr="003A13C5" w:rsidRDefault="00CB6975" w:rsidP="00CB6975">
            <w:pPr>
              <w:rPr>
                <w:rFonts w:ascii="Arial" w:hAnsi="Arial" w:cs="Arial"/>
                <w:sz w:val="16"/>
                <w:szCs w:val="16"/>
              </w:rPr>
            </w:pPr>
          </w:p>
        </w:tc>
        <w:tc>
          <w:tcPr>
            <w:tcW w:w="851" w:type="dxa"/>
            <w:shd w:val="clear" w:color="auto" w:fill="auto"/>
            <w:tcMar>
              <w:top w:w="28" w:type="dxa"/>
              <w:left w:w="28" w:type="dxa"/>
            </w:tcMar>
          </w:tcPr>
          <w:p w14:paraId="779B8BE1" w14:textId="735E16A0" w:rsidR="00CB6975" w:rsidRPr="003A13C5" w:rsidRDefault="00CB6975" w:rsidP="008F5E69">
            <w:pPr>
              <w:spacing w:before="60"/>
              <w:rPr>
                <w:rFonts w:ascii="Arial" w:hAnsi="Arial" w:cs="Arial"/>
                <w:sz w:val="16"/>
                <w:szCs w:val="16"/>
              </w:rPr>
            </w:pPr>
            <w:r w:rsidRPr="003A13C5">
              <w:rPr>
                <w:rFonts w:ascii="Arial" w:hAnsi="Arial" w:cs="Arial"/>
                <w:sz w:val="16"/>
                <w:szCs w:val="16"/>
              </w:rPr>
              <w:t>C10284</w:t>
            </w:r>
          </w:p>
        </w:tc>
        <w:tc>
          <w:tcPr>
            <w:tcW w:w="850" w:type="dxa"/>
            <w:shd w:val="clear" w:color="auto" w:fill="auto"/>
            <w:tcMar>
              <w:top w:w="28" w:type="dxa"/>
              <w:left w:w="28" w:type="dxa"/>
            </w:tcMar>
          </w:tcPr>
          <w:p w14:paraId="255234C5" w14:textId="77777777" w:rsidR="00CB6975" w:rsidRPr="003A13C5" w:rsidRDefault="00CB6975" w:rsidP="008F5E69">
            <w:pPr>
              <w:spacing w:before="60"/>
              <w:rPr>
                <w:rFonts w:ascii="Arial" w:hAnsi="Arial" w:cs="Arial"/>
                <w:sz w:val="16"/>
                <w:szCs w:val="16"/>
              </w:rPr>
            </w:pPr>
          </w:p>
        </w:tc>
        <w:tc>
          <w:tcPr>
            <w:tcW w:w="7655" w:type="dxa"/>
            <w:shd w:val="clear" w:color="auto" w:fill="auto"/>
            <w:tcMar>
              <w:top w:w="28" w:type="dxa"/>
              <w:left w:w="28" w:type="dxa"/>
            </w:tcMar>
          </w:tcPr>
          <w:p w14:paraId="5DBF311F" w14:textId="35AAEA03" w:rsidR="00CB6975" w:rsidRPr="003A13C5" w:rsidRDefault="00CB6975" w:rsidP="008F5E69">
            <w:pPr>
              <w:spacing w:before="60"/>
            </w:pPr>
            <w:r w:rsidRPr="003A13C5">
              <w:rPr>
                <w:rFonts w:ascii="Arial" w:hAnsi="Arial" w:cs="Arial"/>
                <w:sz w:val="16"/>
                <w:szCs w:val="16"/>
              </w:rPr>
              <w:t>Pulmonary arterial hypertension (PAH)</w:t>
            </w:r>
            <w:r w:rsidRPr="003A13C5">
              <w:rPr>
                <w:rFonts w:ascii="Arial" w:hAnsi="Arial" w:cs="Arial"/>
                <w:sz w:val="16"/>
                <w:szCs w:val="16"/>
              </w:rPr>
              <w:br/>
              <w:t>Initial 1 (new patients)</w:t>
            </w:r>
            <w:r w:rsidRPr="003A13C5">
              <w:rPr>
                <w:rFonts w:ascii="Arial" w:hAnsi="Arial" w:cs="Arial"/>
                <w:sz w:val="16"/>
                <w:szCs w:val="16"/>
              </w:rPr>
              <w:br/>
              <w:t>Patient must not have received prior PBS-subsidised treatment with a pulmonary arterial hypertension (PAH) agent; AND</w:t>
            </w:r>
            <w:r w:rsidRPr="003A13C5">
              <w:rPr>
                <w:rFonts w:ascii="Arial" w:hAnsi="Arial" w:cs="Arial"/>
                <w:sz w:val="16"/>
                <w:szCs w:val="16"/>
              </w:rPr>
              <w:br/>
              <w:t>Patient must have been assessed by a physician with expertise in the management of PAH; AND</w:t>
            </w:r>
            <w:r w:rsidRPr="003A13C5">
              <w:rPr>
                <w:rFonts w:ascii="Arial" w:hAnsi="Arial" w:cs="Arial"/>
                <w:sz w:val="16"/>
                <w:szCs w:val="16"/>
              </w:rPr>
              <w:br/>
              <w:t>Patient must have WHO Functional Class III drug and toxins induced PAH, or WHO Functional Class IV PAH; AND</w:t>
            </w:r>
            <w:r w:rsidRPr="003A13C5">
              <w:rPr>
                <w:rFonts w:ascii="Arial" w:hAnsi="Arial" w:cs="Arial"/>
                <w:sz w:val="16"/>
                <w:szCs w:val="16"/>
              </w:rPr>
              <w:br/>
              <w:t>The treatment must be the sole PBS-subsidised PAH agent for this condition.</w:t>
            </w:r>
            <w:r w:rsidRPr="003A13C5">
              <w:rPr>
                <w:rFonts w:ascii="Arial" w:hAnsi="Arial" w:cs="Arial"/>
                <w:sz w:val="16"/>
                <w:szCs w:val="16"/>
              </w:rPr>
              <w:br/>
              <w:t>The term 'PAH agents' refers to bosentan monohydrate, iloprost trometamol, epoprostenol sodium, sildenafil citrate, ambrisentan, tadalafil, macitentan, and riociguat.</w:t>
            </w:r>
            <w:r w:rsidRPr="003A13C5">
              <w:rPr>
                <w:rFonts w:ascii="Arial" w:hAnsi="Arial" w:cs="Arial"/>
                <w:sz w:val="16"/>
                <w:szCs w:val="16"/>
              </w:rPr>
              <w:br/>
              <w:t>PAH agents are not PBS-subsidised for patients with pulmonary hypertension secondary to interstitial lung disease associated with connective tissue disease, where the total lung capacity is less than 70% of predicted.</w:t>
            </w:r>
            <w:r w:rsidRPr="003A13C5">
              <w:rPr>
                <w:rFonts w:ascii="Arial" w:hAnsi="Arial" w:cs="Arial"/>
                <w:sz w:val="16"/>
                <w:szCs w:val="16"/>
              </w:rPr>
              <w:br/>
              <w:t>PAH (WHO Group 1 pulmonary hypertension) is defined as follows:</w:t>
            </w:r>
            <w:r w:rsidRPr="003A13C5">
              <w:rPr>
                <w:rFonts w:ascii="Arial" w:hAnsi="Arial" w:cs="Arial"/>
                <w:sz w:val="16"/>
                <w:szCs w:val="16"/>
              </w:rPr>
              <w:br/>
              <w:t>(i) mean pulmonary artery pressure (mPAP) greater than or equal to 25 mmHg at rest and pulmonary artery wedge pressure (PAWP) less than or equal to 15 mmHg; or</w:t>
            </w:r>
            <w:r w:rsidRPr="003A13C5">
              <w:rPr>
                <w:rFonts w:ascii="Arial" w:hAnsi="Arial" w:cs="Arial"/>
                <w:sz w:val="16"/>
                <w:szCs w:val="16"/>
              </w:rPr>
              <w:br/>
              <w:t>(ii) where a right heart catheter (RHC) cannot be performed on clinical grounds, right ventricular systolic pressure (RVSP), assessed by echocardiography (ECHO), greater than 40 mmHg, with normal left ventricular function.</w:t>
            </w:r>
            <w:r w:rsidRPr="003A13C5">
              <w:rPr>
                <w:rFonts w:ascii="Arial" w:hAnsi="Arial" w:cs="Arial"/>
                <w:sz w:val="16"/>
                <w:szCs w:val="16"/>
              </w:rPr>
              <w:br/>
              <w:t>Applications for authorisation must be in writing and must include:</w:t>
            </w:r>
            <w:r w:rsidRPr="003A13C5">
              <w:rPr>
                <w:rFonts w:ascii="Arial" w:hAnsi="Arial" w:cs="Arial"/>
                <w:sz w:val="16"/>
                <w:szCs w:val="16"/>
              </w:rPr>
              <w:br/>
              <w:t>(1) a completed authority prescription form; and</w:t>
            </w:r>
            <w:r w:rsidRPr="003A13C5">
              <w:rPr>
                <w:rFonts w:ascii="Arial" w:hAnsi="Arial" w:cs="Arial"/>
                <w:sz w:val="16"/>
                <w:szCs w:val="16"/>
              </w:rPr>
              <w:br/>
              <w:t>(2) a completed Pulmonary Arterial Hypertension PBS Authority Application - Supporting Information form which includes results from the three tests below, where available:</w:t>
            </w:r>
            <w:r w:rsidRPr="003A13C5">
              <w:rPr>
                <w:rFonts w:ascii="Arial" w:hAnsi="Arial" w:cs="Arial"/>
                <w:sz w:val="16"/>
                <w:szCs w:val="16"/>
              </w:rPr>
              <w:br/>
              <w:t>(i) RHC composite assessment; and</w:t>
            </w:r>
            <w:r w:rsidRPr="003A13C5">
              <w:rPr>
                <w:rFonts w:ascii="Arial" w:hAnsi="Arial" w:cs="Arial"/>
                <w:sz w:val="16"/>
                <w:szCs w:val="16"/>
              </w:rPr>
              <w:br/>
              <w:t>(ii) ECHO composite assessment; and</w:t>
            </w:r>
            <w:r w:rsidRPr="003A13C5">
              <w:rPr>
                <w:rFonts w:ascii="Arial" w:hAnsi="Arial" w:cs="Arial"/>
                <w:sz w:val="16"/>
                <w:szCs w:val="16"/>
              </w:rPr>
              <w:br/>
              <w:t>(iii) 6 Minute Walk Test (6MWT).</w:t>
            </w:r>
            <w:r w:rsidRPr="003A13C5">
              <w:rPr>
                <w:rFonts w:ascii="Arial" w:hAnsi="Arial" w:cs="Arial"/>
                <w:sz w:val="16"/>
                <w:szCs w:val="16"/>
              </w:rPr>
              <w:br/>
              <w:t>Where it is not possible to perform all 3 tests on clinical grounds, the following list outlines the preferred test combination, in descending order, for the purposes of initiation of PBS-subsidised treatment:</w:t>
            </w:r>
            <w:r w:rsidRPr="003A13C5">
              <w:rPr>
                <w:rFonts w:ascii="Arial" w:hAnsi="Arial" w:cs="Arial"/>
                <w:sz w:val="16"/>
                <w:szCs w:val="16"/>
              </w:rPr>
              <w:br/>
              <w:t>(1) RHC plus ECHO composite assessments;</w:t>
            </w:r>
            <w:r w:rsidRPr="003A13C5">
              <w:rPr>
                <w:rFonts w:ascii="Arial" w:hAnsi="Arial" w:cs="Arial"/>
                <w:sz w:val="16"/>
                <w:szCs w:val="16"/>
              </w:rPr>
              <w:br/>
              <w:t>(2) RHC composite assessment plus 6MWT;</w:t>
            </w:r>
            <w:r w:rsidRPr="003A13C5">
              <w:rPr>
                <w:rFonts w:ascii="Arial" w:hAnsi="Arial" w:cs="Arial"/>
                <w:sz w:val="16"/>
                <w:szCs w:val="16"/>
              </w:rPr>
              <w:br/>
              <w:t>(3) RHC composite assessment only.</w:t>
            </w:r>
            <w:r w:rsidRPr="003A13C5">
              <w:rPr>
                <w:rFonts w:ascii="Arial" w:hAnsi="Arial" w:cs="Arial"/>
                <w:sz w:val="16"/>
                <w:szCs w:val="16"/>
              </w:rPr>
              <w:br/>
              <w:t>In circumstances where a RHC cannot be performed on clinical grounds, applications may be submitted for consideration based on the results of the following test combinations, which are listed in descending order of preference:</w:t>
            </w:r>
            <w:r w:rsidRPr="003A13C5">
              <w:rPr>
                <w:rFonts w:ascii="Arial" w:hAnsi="Arial" w:cs="Arial"/>
                <w:sz w:val="16"/>
                <w:szCs w:val="16"/>
              </w:rPr>
              <w:br/>
            </w:r>
            <w:r w:rsidRPr="003A13C5">
              <w:rPr>
                <w:rFonts w:ascii="Arial" w:hAnsi="Arial" w:cs="Arial"/>
                <w:sz w:val="16"/>
                <w:szCs w:val="16"/>
              </w:rPr>
              <w:lastRenderedPageBreak/>
              <w:t>(1) ECHO composite assessment plus 6MWT;</w:t>
            </w:r>
            <w:r w:rsidRPr="003A13C5">
              <w:rPr>
                <w:rFonts w:ascii="Arial" w:hAnsi="Arial" w:cs="Arial"/>
                <w:sz w:val="16"/>
                <w:szCs w:val="16"/>
              </w:rPr>
              <w:br/>
              <w:t>(2) ECHO composite assessment only.</w:t>
            </w:r>
            <w:r w:rsidRPr="003A13C5">
              <w:rPr>
                <w:rFonts w:ascii="Arial" w:hAnsi="Arial" w:cs="Arial"/>
                <w:sz w:val="16"/>
                <w:szCs w:val="16"/>
              </w:rPr>
              <w:br/>
              <w:t>Where fewer than 3 tests are able to be performed on clinical grounds, a patient specific reason outlining why the particular test(s) could not be conducted must be provided with the authority application.</w:t>
            </w:r>
            <w:r w:rsidRPr="003A13C5">
              <w:rPr>
                <w:rFonts w:ascii="Arial" w:hAnsi="Arial" w:cs="Arial"/>
                <w:sz w:val="16"/>
                <w:szCs w:val="16"/>
              </w:rPr>
              <w:br/>
              <w:t>Where a RHC cannot be performed on clinical grounds, confirmation of the reason(s) must be provided with the authority application by a second PAH physician or cardiologist with expertise in the management of PAH.</w:t>
            </w:r>
            <w:r w:rsidRPr="003A13C5">
              <w:rPr>
                <w:rFonts w:ascii="Arial" w:hAnsi="Arial" w:cs="Arial"/>
                <w:sz w:val="16"/>
                <w:szCs w:val="16"/>
              </w:rPr>
              <w:br/>
              <w:t>The test results provided must not be more than 2 months old at the time of application.</w:t>
            </w:r>
            <w:r w:rsidRPr="003A13C5">
              <w:rPr>
                <w:rFonts w:ascii="Arial" w:hAnsi="Arial" w:cs="Arial"/>
                <w:sz w:val="16"/>
                <w:szCs w:val="16"/>
              </w:rPr>
              <w:br/>
              <w:t>The maximum quantity authorised will be limited to provide sufficient supply for 1 month of treatment, based on the dosage recommendations in the Therapeutic Goods Administration (TGA) approved Product Information.</w:t>
            </w:r>
            <w:r w:rsidRPr="003A13C5">
              <w:rPr>
                <w:rFonts w:ascii="Arial" w:hAnsi="Arial" w:cs="Arial"/>
                <w:sz w:val="16"/>
                <w:szCs w:val="16"/>
              </w:rPr>
              <w:br/>
              <w:t>A maximum of 5 repeats may be requested.</w:t>
            </w:r>
          </w:p>
        </w:tc>
        <w:tc>
          <w:tcPr>
            <w:tcW w:w="2693" w:type="dxa"/>
            <w:shd w:val="clear" w:color="auto" w:fill="auto"/>
            <w:tcMar>
              <w:top w:w="28" w:type="dxa"/>
              <w:left w:w="28" w:type="dxa"/>
              <w:right w:w="57" w:type="dxa"/>
            </w:tcMar>
          </w:tcPr>
          <w:p w14:paraId="0ACC5E03" w14:textId="7CB84D0A" w:rsidR="00CB6975" w:rsidRPr="003A13C5" w:rsidRDefault="00CB6975" w:rsidP="008F5E69">
            <w:pPr>
              <w:spacing w:before="60"/>
              <w:rPr>
                <w:rFonts w:ascii="Arial" w:eastAsia="Arial" w:hAnsi="Arial" w:cs="Arial"/>
                <w:sz w:val="16"/>
                <w:szCs w:val="22"/>
                <w:lang w:eastAsia="zh-CN"/>
              </w:rPr>
            </w:pPr>
            <w:r w:rsidRPr="003A13C5">
              <w:rPr>
                <w:rFonts w:ascii="Arial" w:hAnsi="Arial" w:cs="Arial"/>
                <w:sz w:val="16"/>
                <w:szCs w:val="16"/>
              </w:rPr>
              <w:lastRenderedPageBreak/>
              <w:t>Compliance with Written Authority Required procedures</w:t>
            </w:r>
          </w:p>
        </w:tc>
      </w:tr>
    </w:tbl>
    <w:p w14:paraId="470A64B0" w14:textId="5F75A654" w:rsidR="00CB6975" w:rsidRPr="003A13C5" w:rsidRDefault="00CB6975" w:rsidP="00CB6975">
      <w:pPr>
        <w:widowControl w:val="0"/>
        <w:numPr>
          <w:ilvl w:val="0"/>
          <w:numId w:val="5"/>
        </w:numPr>
        <w:tabs>
          <w:tab w:val="clear" w:pos="794"/>
        </w:tabs>
        <w:spacing w:before="120"/>
        <w:ind w:left="567" w:hanging="567"/>
        <w:outlineLvl w:val="1"/>
        <w:rPr>
          <w:rFonts w:ascii="Arial" w:hAnsi="Arial" w:cs="Arial"/>
          <w:b/>
          <w:bCs/>
          <w:sz w:val="20"/>
          <w:szCs w:val="20"/>
          <w:lang w:eastAsia="en-AU"/>
        </w:rPr>
      </w:pPr>
      <w:r w:rsidRPr="003A13C5">
        <w:rPr>
          <w:rFonts w:ascii="Arial" w:hAnsi="Arial" w:cs="Arial"/>
          <w:b/>
          <w:bCs/>
          <w:sz w:val="20"/>
          <w:szCs w:val="20"/>
          <w:lang w:eastAsia="en-AU"/>
        </w:rPr>
        <w:t>Schedule 3, entry for Lenalidomide</w:t>
      </w:r>
    </w:p>
    <w:p w14:paraId="0622B2A8" w14:textId="77777777" w:rsidR="00FB03D5" w:rsidRPr="003A13C5" w:rsidRDefault="00FB03D5" w:rsidP="00FB03D5">
      <w:pPr>
        <w:pStyle w:val="Amendment3"/>
        <w:numPr>
          <w:ilvl w:val="2"/>
          <w:numId w:val="5"/>
        </w:numPr>
        <w:tabs>
          <w:tab w:val="clear" w:pos="1474"/>
        </w:tabs>
        <w:ind w:left="1134"/>
      </w:pPr>
      <w:r w:rsidRPr="003A13C5">
        <w:rPr>
          <w:i/>
        </w:rPr>
        <w:t>omit</w:t>
      </w:r>
      <w:r w:rsidRPr="003A13C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00"/>
        <w:gridCol w:w="850"/>
        <w:gridCol w:w="850"/>
        <w:gridCol w:w="7661"/>
        <w:gridCol w:w="2650"/>
      </w:tblGrid>
      <w:tr w:rsidR="00DF6EA4" w:rsidRPr="003A13C5" w14:paraId="1C675C60" w14:textId="77777777" w:rsidTr="004A6516">
        <w:tc>
          <w:tcPr>
            <w:tcW w:w="1900" w:type="dxa"/>
            <w:shd w:val="clear" w:color="auto" w:fill="auto"/>
            <w:tcMar>
              <w:top w:w="28" w:type="dxa"/>
              <w:left w:w="28" w:type="dxa"/>
            </w:tcMar>
          </w:tcPr>
          <w:p w14:paraId="7C2C7812" w14:textId="77777777" w:rsidR="00DF6EA4" w:rsidRPr="003A13C5" w:rsidRDefault="00DF6EA4" w:rsidP="00DF6EA4">
            <w:pPr>
              <w:pStyle w:val="Tabletext0"/>
              <w:rPr>
                <w:rFonts w:cs="Arial"/>
                <w:szCs w:val="16"/>
              </w:rPr>
            </w:pPr>
          </w:p>
        </w:tc>
        <w:tc>
          <w:tcPr>
            <w:tcW w:w="850" w:type="dxa"/>
            <w:shd w:val="clear" w:color="auto" w:fill="auto"/>
            <w:tcMar>
              <w:top w:w="28" w:type="dxa"/>
              <w:left w:w="28" w:type="dxa"/>
            </w:tcMar>
          </w:tcPr>
          <w:p w14:paraId="51074EB6" w14:textId="2AA0F142" w:rsidR="00DF6EA4" w:rsidRPr="003A13C5" w:rsidRDefault="00DF6EA4" w:rsidP="008F5E69">
            <w:pPr>
              <w:pStyle w:val="Tabletext0"/>
              <w:rPr>
                <w:rFonts w:cs="Arial"/>
                <w:szCs w:val="16"/>
              </w:rPr>
            </w:pPr>
            <w:r w:rsidRPr="003A13C5">
              <w:rPr>
                <w:rFonts w:cs="Arial"/>
                <w:szCs w:val="16"/>
              </w:rPr>
              <w:t>C7381</w:t>
            </w:r>
          </w:p>
        </w:tc>
        <w:tc>
          <w:tcPr>
            <w:tcW w:w="850" w:type="dxa"/>
            <w:shd w:val="clear" w:color="auto" w:fill="auto"/>
            <w:tcMar>
              <w:top w:w="28" w:type="dxa"/>
              <w:left w:w="28" w:type="dxa"/>
            </w:tcMar>
          </w:tcPr>
          <w:p w14:paraId="206385D8" w14:textId="77777777" w:rsidR="00DF6EA4" w:rsidRPr="003A13C5" w:rsidDel="00E03489" w:rsidRDefault="00DF6EA4" w:rsidP="008F5E69">
            <w:pPr>
              <w:spacing w:before="60" w:after="60"/>
              <w:rPr>
                <w:rFonts w:ascii="Arial" w:hAnsi="Arial" w:cs="Arial"/>
                <w:sz w:val="16"/>
                <w:szCs w:val="16"/>
                <w:lang w:eastAsia="en-AU"/>
              </w:rPr>
            </w:pPr>
          </w:p>
        </w:tc>
        <w:tc>
          <w:tcPr>
            <w:tcW w:w="7661" w:type="dxa"/>
            <w:shd w:val="clear" w:color="auto" w:fill="auto"/>
            <w:tcMar>
              <w:top w:w="28" w:type="dxa"/>
              <w:left w:w="28" w:type="dxa"/>
            </w:tcMar>
          </w:tcPr>
          <w:p w14:paraId="25126E43" w14:textId="41B85ACA" w:rsidR="00DF6EA4" w:rsidRPr="003A13C5" w:rsidRDefault="00DF6EA4" w:rsidP="008F5E69">
            <w:pPr>
              <w:pStyle w:val="Tabletext0"/>
              <w:rPr>
                <w:rFonts w:cs="Arial"/>
                <w:szCs w:val="16"/>
              </w:rPr>
            </w:pPr>
            <w:r w:rsidRPr="003A13C5">
              <w:rPr>
                <w:rFonts w:eastAsia="SimSun" w:cs="Arial"/>
                <w:szCs w:val="16"/>
                <w:lang w:eastAsia="zh-CN"/>
              </w:rPr>
              <w:t>Multiple myeloma</w:t>
            </w:r>
            <w:r w:rsidRPr="003A13C5">
              <w:rPr>
                <w:rFonts w:eastAsia="SimSun" w:cs="Arial"/>
                <w:szCs w:val="16"/>
                <w:lang w:eastAsia="zh-CN"/>
              </w:rPr>
              <w:br/>
              <w:t>Initial treatment</w:t>
            </w:r>
            <w:r w:rsidRPr="003A13C5">
              <w:rPr>
                <w:rFonts w:eastAsia="SimSun" w:cs="Arial"/>
                <w:szCs w:val="16"/>
                <w:lang w:eastAsia="zh-CN"/>
              </w:rPr>
              <w:br/>
              <w:t>The condition must be newly diagnosed; AND</w:t>
            </w:r>
            <w:r w:rsidRPr="003A13C5">
              <w:rPr>
                <w:rFonts w:eastAsia="SimSun" w:cs="Arial"/>
                <w:szCs w:val="16"/>
                <w:lang w:eastAsia="zh-CN"/>
              </w:rPr>
              <w:br/>
              <w:t>The condition must be confirmed by a histological diagnosis; AND</w:t>
            </w:r>
            <w:r w:rsidRPr="003A13C5">
              <w:rPr>
                <w:rFonts w:eastAsia="SimSun" w:cs="Arial"/>
                <w:szCs w:val="16"/>
                <w:lang w:eastAsia="zh-CN"/>
              </w:rPr>
              <w:br/>
              <w:t>Patient must be ineligible for a primary stem cell transplantation; AND</w:t>
            </w:r>
            <w:r w:rsidRPr="003A13C5">
              <w:rPr>
                <w:rFonts w:eastAsia="SimSun" w:cs="Arial"/>
                <w:szCs w:val="16"/>
                <w:lang w:eastAsia="zh-CN"/>
              </w:rPr>
              <w:br/>
              <w:t>Patient must not be receiving concomitant PBS</w:t>
            </w:r>
            <w:r w:rsidRPr="003A13C5">
              <w:rPr>
                <w:rFonts w:eastAsia="SimSun" w:cs="Arial"/>
                <w:szCs w:val="16"/>
                <w:lang w:eastAsia="zh-CN"/>
              </w:rPr>
              <w:noBreakHyphen/>
              <w:t>subsidised bortezomib, thalidomide or its analogues; AND</w:t>
            </w:r>
            <w:r w:rsidRPr="003A13C5">
              <w:rPr>
                <w:rFonts w:eastAsia="SimSun" w:cs="Arial"/>
                <w:szCs w:val="16"/>
                <w:lang w:eastAsia="zh-CN"/>
              </w:rPr>
              <w:br/>
              <w:t>The treatment must be in combination with dexamethasone.</w:t>
            </w:r>
            <w:r w:rsidRPr="003A13C5">
              <w:rPr>
                <w:rFonts w:eastAsia="SimSun" w:cs="Arial"/>
                <w:szCs w:val="16"/>
                <w:lang w:eastAsia="zh-CN"/>
              </w:rPr>
              <w:br/>
              <w:t>The authority application must be made in writing and must include:</w:t>
            </w:r>
            <w:r w:rsidRPr="003A13C5">
              <w:rPr>
                <w:rFonts w:eastAsia="SimSun" w:cs="Arial"/>
                <w:szCs w:val="16"/>
                <w:lang w:eastAsia="zh-CN"/>
              </w:rPr>
              <w:br/>
              <w:t>(1) a completed authority prescription form; and</w:t>
            </w:r>
            <w:r w:rsidRPr="003A13C5">
              <w:rPr>
                <w:rFonts w:eastAsia="SimSun" w:cs="Arial"/>
                <w:szCs w:val="16"/>
                <w:lang w:eastAsia="zh-CN"/>
              </w:rPr>
              <w:br/>
              <w:t xml:space="preserve">(2) a completed Multiple Myeloma lenalidomide Authority Application </w:t>
            </w:r>
            <w:r w:rsidRPr="003A13C5">
              <w:rPr>
                <w:rFonts w:eastAsia="SimSun" w:cs="Arial"/>
                <w:szCs w:val="16"/>
                <w:lang w:eastAsia="zh-CN"/>
              </w:rPr>
              <w:noBreakHyphen/>
              <w:t xml:space="preserve"> Supporting Information Form, which includes details of the histological diagnosis of multiple myeloma, and ineligibility for prior stem cell transplant; and nomination of which disease activity parameters will be used to assess response; and</w:t>
            </w:r>
            <w:r w:rsidRPr="003A13C5">
              <w:rPr>
                <w:rFonts w:eastAsia="SimSun" w:cs="Arial"/>
                <w:szCs w:val="16"/>
                <w:lang w:eastAsia="zh-CN"/>
              </w:rPr>
              <w:br/>
              <w:t>(3) a signed patient acknowledgement.</w:t>
            </w:r>
            <w:r w:rsidRPr="003A13C5">
              <w:rPr>
                <w:rFonts w:eastAsia="SimSun" w:cs="Arial"/>
                <w:szCs w:val="16"/>
                <w:lang w:eastAsia="zh-CN"/>
              </w:rPr>
              <w:br/>
              <w:t>To enable confirmation of eligibility for treatment, current diagnostic reports of at least one of the following must be provided:</w:t>
            </w:r>
            <w:r w:rsidRPr="003A13C5">
              <w:rPr>
                <w:rFonts w:eastAsia="SimSun" w:cs="Arial"/>
                <w:szCs w:val="16"/>
                <w:lang w:eastAsia="zh-CN"/>
              </w:rPr>
              <w:br/>
              <w:t>(a) the level of serum monoclonal protein; or</w:t>
            </w:r>
            <w:r w:rsidRPr="003A13C5">
              <w:rPr>
                <w:rFonts w:eastAsia="SimSun" w:cs="Arial"/>
                <w:szCs w:val="16"/>
                <w:lang w:eastAsia="zh-CN"/>
              </w:rPr>
              <w:br/>
              <w:t>(b) Bence</w:t>
            </w:r>
            <w:r w:rsidRPr="003A13C5">
              <w:rPr>
                <w:rFonts w:eastAsia="SimSun" w:cs="Arial"/>
                <w:szCs w:val="16"/>
                <w:lang w:eastAsia="zh-CN"/>
              </w:rPr>
              <w:noBreakHyphen/>
              <w:t xml:space="preserve">Jones proteinuria </w:t>
            </w:r>
            <w:r w:rsidRPr="003A13C5">
              <w:rPr>
                <w:rFonts w:eastAsia="SimSun" w:cs="Arial"/>
                <w:szCs w:val="16"/>
                <w:lang w:eastAsia="zh-CN"/>
              </w:rPr>
              <w:noBreakHyphen/>
              <w:t xml:space="preserve"> the results of 24</w:t>
            </w:r>
            <w:r w:rsidRPr="003A13C5">
              <w:rPr>
                <w:rFonts w:eastAsia="SimSun" w:cs="Arial"/>
                <w:szCs w:val="16"/>
                <w:lang w:eastAsia="zh-CN"/>
              </w:rPr>
              <w:noBreakHyphen/>
              <w:t>hour urinary light chain M protein excretion; or</w:t>
            </w:r>
            <w:r w:rsidRPr="003A13C5">
              <w:rPr>
                <w:rFonts w:eastAsia="SimSun" w:cs="Arial"/>
                <w:szCs w:val="16"/>
                <w:lang w:eastAsia="zh-CN"/>
              </w:rPr>
              <w:br/>
              <w:t>(c) the serum level of free kappa and lambda light chains; or</w:t>
            </w:r>
            <w:r w:rsidRPr="003A13C5">
              <w:rPr>
                <w:rFonts w:eastAsia="SimSun" w:cs="Arial"/>
                <w:szCs w:val="16"/>
                <w:lang w:eastAsia="zh-CN"/>
              </w:rPr>
              <w:br/>
              <w:t>(d) bone marrow aspirate or trephine; or</w:t>
            </w:r>
            <w:r w:rsidRPr="003A13C5">
              <w:rPr>
                <w:rFonts w:eastAsia="SimSun" w:cs="Arial"/>
                <w:szCs w:val="16"/>
                <w:lang w:eastAsia="zh-CN"/>
              </w:rPr>
              <w:br/>
              <w:t>(e) if present, the size and location of lytic bone lesions (not including compression fractures); or</w:t>
            </w:r>
            <w:r w:rsidRPr="003A13C5">
              <w:rPr>
                <w:rFonts w:eastAsia="SimSun" w:cs="Arial"/>
                <w:szCs w:val="16"/>
                <w:lang w:eastAsia="zh-CN"/>
              </w:rPr>
              <w:br/>
              <w:t>(f) if present, the size and location of all soft tissue plasmacytomas by clinical or radiographic examination i.e. MRI or CT</w:t>
            </w:r>
            <w:r w:rsidRPr="003A13C5">
              <w:rPr>
                <w:rFonts w:eastAsia="SimSun" w:cs="Arial"/>
                <w:szCs w:val="16"/>
                <w:lang w:eastAsia="zh-CN"/>
              </w:rPr>
              <w:noBreakHyphen/>
              <w:t>scan; or</w:t>
            </w:r>
            <w:r w:rsidRPr="003A13C5">
              <w:rPr>
                <w:rFonts w:eastAsia="SimSun" w:cs="Arial"/>
                <w:szCs w:val="16"/>
                <w:lang w:eastAsia="zh-CN"/>
              </w:rPr>
              <w:br/>
              <w:t>(g) if present, the level of hypercalcaemia, corrected for albumin concentration.</w:t>
            </w:r>
            <w:r w:rsidRPr="003A13C5">
              <w:rPr>
                <w:rFonts w:eastAsia="SimSun" w:cs="Arial"/>
                <w:szCs w:val="16"/>
                <w:lang w:eastAsia="zh-CN"/>
              </w:rPr>
              <w:br/>
              <w:t>As these parameters will be used to determine response, results for either (a) or (b) or (c) should be provided for all patients. Where the patient has oligo</w:t>
            </w:r>
            <w:r w:rsidRPr="003A13C5">
              <w:rPr>
                <w:rFonts w:eastAsia="SimSun" w:cs="Arial"/>
                <w:szCs w:val="16"/>
                <w:lang w:eastAsia="zh-CN"/>
              </w:rPr>
              <w:noBreakHyphen/>
              <w:t>secretory or non</w:t>
            </w:r>
            <w:r w:rsidRPr="003A13C5">
              <w:rPr>
                <w:rFonts w:eastAsia="SimSun" w:cs="Arial"/>
                <w:szCs w:val="16"/>
                <w:lang w:eastAsia="zh-CN"/>
              </w:rPr>
              <w:noBreakHyphen/>
              <w:t>secretory multiple myeloma, either (c) or (d) or if relevant (e), (f) or (g) should be provided. Where the prescriber plans to assess response in patients with oligo</w:t>
            </w:r>
            <w:r w:rsidRPr="003A13C5">
              <w:rPr>
                <w:rFonts w:eastAsia="SimSun" w:cs="Arial"/>
                <w:szCs w:val="16"/>
                <w:lang w:eastAsia="zh-CN"/>
              </w:rPr>
              <w:noBreakHyphen/>
              <w:t>secretory or non</w:t>
            </w:r>
            <w:r w:rsidRPr="003A13C5">
              <w:rPr>
                <w:rFonts w:eastAsia="SimSun" w:cs="Arial"/>
                <w:szCs w:val="16"/>
                <w:lang w:eastAsia="zh-CN"/>
              </w:rPr>
              <w:noBreakHyphen/>
              <w:t>secretory multiple myeloma with free light chain assays, evidence of the oligo</w:t>
            </w:r>
            <w:r w:rsidRPr="003A13C5">
              <w:rPr>
                <w:rFonts w:eastAsia="SimSun" w:cs="Arial"/>
                <w:szCs w:val="16"/>
                <w:lang w:eastAsia="zh-CN"/>
              </w:rPr>
              <w:noBreakHyphen/>
              <w:t>secretory or non</w:t>
            </w:r>
            <w:r w:rsidRPr="003A13C5">
              <w:rPr>
                <w:rFonts w:eastAsia="SimSun" w:cs="Arial"/>
                <w:szCs w:val="16"/>
                <w:lang w:eastAsia="zh-CN"/>
              </w:rPr>
              <w:noBreakHyphen/>
              <w:t>secretory nature of the multiple myeloma (current serum M protein less than 10 g per L) must be provided.</w:t>
            </w:r>
          </w:p>
        </w:tc>
        <w:tc>
          <w:tcPr>
            <w:tcW w:w="2650" w:type="dxa"/>
            <w:shd w:val="clear" w:color="auto" w:fill="auto"/>
            <w:tcMar>
              <w:top w:w="28" w:type="dxa"/>
              <w:left w:w="28" w:type="dxa"/>
              <w:right w:w="57" w:type="dxa"/>
            </w:tcMar>
          </w:tcPr>
          <w:p w14:paraId="4F1CBC0F" w14:textId="0B14DBEE" w:rsidR="00DF6EA4" w:rsidRPr="003A13C5" w:rsidRDefault="00DF6EA4" w:rsidP="008F5E69">
            <w:pPr>
              <w:pStyle w:val="Tabletext0"/>
              <w:rPr>
                <w:rFonts w:cs="Arial"/>
                <w:szCs w:val="16"/>
              </w:rPr>
            </w:pPr>
            <w:r w:rsidRPr="003A13C5">
              <w:rPr>
                <w:rFonts w:eastAsia="SimSun" w:cs="Arial"/>
                <w:szCs w:val="16"/>
                <w:lang w:eastAsia="zh-CN"/>
              </w:rPr>
              <w:t>Compliance with Written Authority Required procedures</w:t>
            </w:r>
          </w:p>
        </w:tc>
      </w:tr>
      <w:tr w:rsidR="00DF6EA4" w:rsidRPr="003A13C5" w14:paraId="5504BA17" w14:textId="77777777" w:rsidTr="004A6516">
        <w:tc>
          <w:tcPr>
            <w:tcW w:w="1900" w:type="dxa"/>
            <w:shd w:val="clear" w:color="auto" w:fill="auto"/>
            <w:tcMar>
              <w:top w:w="28" w:type="dxa"/>
              <w:left w:w="28" w:type="dxa"/>
            </w:tcMar>
          </w:tcPr>
          <w:p w14:paraId="444F88F2" w14:textId="77777777" w:rsidR="00DF6EA4" w:rsidRPr="003A13C5" w:rsidRDefault="00DF6EA4" w:rsidP="00DF6EA4">
            <w:pPr>
              <w:pStyle w:val="Tabletext0"/>
              <w:rPr>
                <w:rFonts w:cs="Arial"/>
                <w:szCs w:val="16"/>
              </w:rPr>
            </w:pPr>
          </w:p>
        </w:tc>
        <w:tc>
          <w:tcPr>
            <w:tcW w:w="850" w:type="dxa"/>
            <w:shd w:val="clear" w:color="auto" w:fill="auto"/>
            <w:tcMar>
              <w:top w:w="28" w:type="dxa"/>
              <w:left w:w="28" w:type="dxa"/>
            </w:tcMar>
          </w:tcPr>
          <w:p w14:paraId="3A457CFD" w14:textId="3A45E153" w:rsidR="00DF6EA4" w:rsidRPr="003A13C5" w:rsidRDefault="00DF6EA4" w:rsidP="008F5E69">
            <w:pPr>
              <w:pStyle w:val="Tabletext0"/>
              <w:rPr>
                <w:rFonts w:cs="Arial"/>
                <w:szCs w:val="16"/>
              </w:rPr>
            </w:pPr>
            <w:r w:rsidRPr="003A13C5">
              <w:rPr>
                <w:rFonts w:cs="Arial"/>
                <w:szCs w:val="16"/>
              </w:rPr>
              <w:t>C7383</w:t>
            </w:r>
          </w:p>
        </w:tc>
        <w:tc>
          <w:tcPr>
            <w:tcW w:w="850" w:type="dxa"/>
            <w:shd w:val="clear" w:color="auto" w:fill="auto"/>
            <w:tcMar>
              <w:top w:w="28" w:type="dxa"/>
              <w:left w:w="28" w:type="dxa"/>
            </w:tcMar>
          </w:tcPr>
          <w:p w14:paraId="16D8BDEB" w14:textId="77777777" w:rsidR="00DF6EA4" w:rsidRPr="003A13C5" w:rsidDel="00E03489" w:rsidRDefault="00DF6EA4" w:rsidP="008F5E69">
            <w:pPr>
              <w:spacing w:before="60" w:after="60"/>
              <w:rPr>
                <w:rFonts w:ascii="Arial" w:hAnsi="Arial" w:cs="Arial"/>
                <w:sz w:val="16"/>
                <w:szCs w:val="16"/>
                <w:lang w:eastAsia="en-AU"/>
              </w:rPr>
            </w:pPr>
          </w:p>
        </w:tc>
        <w:tc>
          <w:tcPr>
            <w:tcW w:w="7661" w:type="dxa"/>
            <w:shd w:val="clear" w:color="auto" w:fill="auto"/>
            <w:tcMar>
              <w:top w:w="28" w:type="dxa"/>
              <w:left w:w="28" w:type="dxa"/>
            </w:tcMar>
          </w:tcPr>
          <w:p w14:paraId="13FAA934" w14:textId="66D1A1BC" w:rsidR="00DF6EA4" w:rsidRPr="003A13C5" w:rsidRDefault="00DF6EA4" w:rsidP="008F5E69">
            <w:pPr>
              <w:pStyle w:val="Tabletext0"/>
              <w:rPr>
                <w:rFonts w:cs="Arial"/>
                <w:szCs w:val="16"/>
              </w:rPr>
            </w:pPr>
            <w:r w:rsidRPr="003A13C5">
              <w:rPr>
                <w:rFonts w:eastAsia="SimSun" w:cs="Arial"/>
                <w:szCs w:val="16"/>
                <w:lang w:eastAsia="zh-CN"/>
              </w:rPr>
              <w:t>Multiple myeloma</w:t>
            </w:r>
            <w:r w:rsidRPr="003A13C5">
              <w:rPr>
                <w:rFonts w:eastAsia="SimSun" w:cs="Arial"/>
                <w:szCs w:val="16"/>
                <w:lang w:eastAsia="zh-CN"/>
              </w:rPr>
              <w:br/>
              <w:t>Continuing treatment</w:t>
            </w:r>
            <w:r w:rsidRPr="003A13C5">
              <w:rPr>
                <w:rFonts w:eastAsia="SimSun" w:cs="Arial"/>
                <w:szCs w:val="16"/>
                <w:lang w:eastAsia="zh-CN"/>
              </w:rPr>
              <w:br/>
            </w:r>
            <w:r w:rsidRPr="003A13C5">
              <w:rPr>
                <w:rFonts w:eastAsia="SimSun" w:cs="Arial"/>
                <w:szCs w:val="16"/>
                <w:lang w:eastAsia="zh-CN"/>
              </w:rPr>
              <w:lastRenderedPageBreak/>
              <w:t>Patient must have previously been authorised with a PBS prescription with this drug for the condition; AND</w:t>
            </w:r>
            <w:r w:rsidRPr="003A13C5">
              <w:rPr>
                <w:rFonts w:eastAsia="SimSun" w:cs="Arial"/>
                <w:szCs w:val="16"/>
                <w:lang w:eastAsia="zh-CN"/>
              </w:rPr>
              <w:br/>
              <w:t>Patient must not have demonstrated progressive disease; AND</w:t>
            </w:r>
            <w:r w:rsidRPr="003A13C5">
              <w:rPr>
                <w:rFonts w:eastAsia="SimSun" w:cs="Arial"/>
                <w:szCs w:val="16"/>
                <w:lang w:eastAsia="zh-CN"/>
              </w:rPr>
              <w:br/>
              <w:t>Patient must not be receiving concomitant PBS</w:t>
            </w:r>
            <w:r w:rsidRPr="003A13C5">
              <w:rPr>
                <w:rFonts w:eastAsia="SimSun" w:cs="Arial"/>
                <w:szCs w:val="16"/>
                <w:lang w:eastAsia="zh-CN"/>
              </w:rPr>
              <w:noBreakHyphen/>
              <w:t>subsidised bortezomib, thalidomide or its analogues; AND</w:t>
            </w:r>
            <w:r w:rsidRPr="003A13C5">
              <w:rPr>
                <w:rFonts w:eastAsia="SimSun" w:cs="Arial"/>
                <w:szCs w:val="16"/>
                <w:lang w:eastAsia="zh-CN"/>
              </w:rPr>
              <w:br/>
              <w:t>The treatment must be in combination with dexamethasone.</w:t>
            </w:r>
            <w:r w:rsidRPr="003A13C5">
              <w:rPr>
                <w:rFonts w:eastAsia="SimSun" w:cs="Arial"/>
                <w:szCs w:val="16"/>
                <w:lang w:eastAsia="zh-CN"/>
              </w:rPr>
              <w:br/>
              <w:t>Progressive disease is defined as at least 1 of the following:</w:t>
            </w:r>
            <w:r w:rsidRPr="003A13C5">
              <w:rPr>
                <w:rFonts w:eastAsia="SimSun" w:cs="Arial"/>
                <w:szCs w:val="16"/>
                <w:lang w:eastAsia="zh-CN"/>
              </w:rPr>
              <w:br/>
              <w:t>(a) at least a 25% increase and an absolute increase of at least 5 g per L in serum M protein (monoclonal protein); or</w:t>
            </w:r>
            <w:r w:rsidRPr="003A13C5">
              <w:rPr>
                <w:rFonts w:eastAsia="SimSun" w:cs="Arial"/>
                <w:szCs w:val="16"/>
                <w:lang w:eastAsia="zh-CN"/>
              </w:rPr>
              <w:br/>
              <w:t>(b) at least a 25% increase in 24</w:t>
            </w:r>
            <w:r w:rsidRPr="003A13C5">
              <w:rPr>
                <w:rFonts w:eastAsia="SimSun" w:cs="Arial"/>
                <w:szCs w:val="16"/>
                <w:lang w:eastAsia="zh-CN"/>
              </w:rPr>
              <w:noBreakHyphen/>
              <w:t>hour urinary light chain M protein excretion, and an absolute increase of at least 200 mg per 24 hours; or</w:t>
            </w:r>
            <w:r w:rsidRPr="003A13C5">
              <w:rPr>
                <w:rFonts w:eastAsia="SimSun" w:cs="Arial"/>
                <w:szCs w:val="16"/>
                <w:lang w:eastAsia="zh-CN"/>
              </w:rPr>
              <w:br/>
              <w:t>(c) in oligo</w:t>
            </w:r>
            <w:r w:rsidRPr="003A13C5">
              <w:rPr>
                <w:rFonts w:eastAsia="SimSun" w:cs="Arial"/>
                <w:szCs w:val="16"/>
                <w:lang w:eastAsia="zh-CN"/>
              </w:rPr>
              <w:noBreakHyphen/>
              <w:t>secretory and non</w:t>
            </w:r>
            <w:r w:rsidRPr="003A13C5">
              <w:rPr>
                <w:rFonts w:eastAsia="SimSun" w:cs="Arial"/>
                <w:szCs w:val="16"/>
                <w:lang w:eastAsia="zh-CN"/>
              </w:rPr>
              <w:noBreakHyphen/>
              <w:t xml:space="preserve">secretory myeloma patients only, at least a 50% increase </w:t>
            </w:r>
            <w:r w:rsidR="00DA4003" w:rsidRPr="003A13C5">
              <w:rPr>
                <w:rFonts w:eastAsia="SimSun" w:cs="Arial"/>
                <w:szCs w:val="16"/>
                <w:lang w:eastAsia="zh-CN"/>
              </w:rPr>
              <w:t>in</w:t>
            </w:r>
            <w:r w:rsidRPr="003A13C5">
              <w:rPr>
                <w:rFonts w:eastAsia="SimSun" w:cs="Arial"/>
                <w:szCs w:val="16"/>
                <w:lang w:eastAsia="zh-CN"/>
              </w:rPr>
              <w:t xml:space="preserve"> the difference between involved free light chain and uninvolved free light chain; or</w:t>
            </w:r>
            <w:r w:rsidRPr="003A13C5">
              <w:rPr>
                <w:rFonts w:eastAsia="SimSun" w:cs="Arial"/>
                <w:szCs w:val="16"/>
                <w:lang w:eastAsia="zh-CN"/>
              </w:rPr>
              <w:br/>
              <w:t>(d) at least a 25% relative increase and at least a 10% absolute increase in plasma cells in a bone marrow aspirate or on biopsy; or</w:t>
            </w:r>
            <w:r w:rsidRPr="003A13C5">
              <w:rPr>
                <w:rFonts w:eastAsia="SimSun" w:cs="Arial"/>
                <w:szCs w:val="16"/>
                <w:lang w:eastAsia="zh-CN"/>
              </w:rPr>
              <w:br/>
              <w:t>(e) an increase in the size or number of lytic bone lesions (not including compression fractures); or</w:t>
            </w:r>
            <w:r w:rsidRPr="003A13C5">
              <w:rPr>
                <w:rFonts w:eastAsia="SimSun" w:cs="Arial"/>
                <w:szCs w:val="16"/>
                <w:lang w:eastAsia="zh-CN"/>
              </w:rPr>
              <w:br/>
              <w:t>(f) at least a 25% increase in the size of an existing or the development of a new soft tissue plasmacytoma (determined by clinical examination or diagnostic imaging); or</w:t>
            </w:r>
            <w:r w:rsidRPr="003A13C5">
              <w:rPr>
                <w:rFonts w:eastAsia="SimSun" w:cs="Arial"/>
                <w:szCs w:val="16"/>
                <w:lang w:eastAsia="zh-CN"/>
              </w:rPr>
              <w:br/>
              <w:t>(g) development of hypercalcaemia (corrected serum calcium greater than 2.65 mmol per L not attributable to any other cause).</w:t>
            </w:r>
            <w:r w:rsidRPr="003A13C5">
              <w:rPr>
                <w:rFonts w:eastAsia="SimSun" w:cs="Arial"/>
                <w:szCs w:val="16"/>
                <w:lang w:eastAsia="zh-CN"/>
              </w:rPr>
              <w:br/>
              <w:t>Oligo</w:t>
            </w:r>
            <w:r w:rsidRPr="003A13C5">
              <w:rPr>
                <w:rFonts w:eastAsia="SimSun" w:cs="Arial"/>
                <w:szCs w:val="16"/>
                <w:lang w:eastAsia="zh-CN"/>
              </w:rPr>
              <w:noBreakHyphen/>
              <w:t>secretory and non</w:t>
            </w:r>
            <w:r w:rsidRPr="003A13C5">
              <w:rPr>
                <w:rFonts w:eastAsia="SimSun" w:cs="Arial"/>
                <w:szCs w:val="16"/>
                <w:lang w:eastAsia="zh-CN"/>
              </w:rPr>
              <w:noBreakHyphen/>
              <w:t>secretory patients are defined as having active disease with less than 10 g per L serum M protein.</w:t>
            </w:r>
            <w:r w:rsidRPr="003A13C5">
              <w:rPr>
                <w:rFonts w:eastAsia="SimSun" w:cs="Arial"/>
                <w:szCs w:val="16"/>
                <w:lang w:eastAsia="zh-CN"/>
              </w:rPr>
              <w:br/>
              <w:t>Patients receiving this drug under the PBS listing must be registered in the i</w:t>
            </w:r>
            <w:r w:rsidRPr="003A13C5">
              <w:rPr>
                <w:rFonts w:eastAsia="SimSun" w:cs="Arial"/>
                <w:szCs w:val="16"/>
                <w:lang w:eastAsia="zh-CN"/>
              </w:rPr>
              <w:noBreakHyphen/>
              <w:t>access risk management program.</w:t>
            </w:r>
          </w:p>
        </w:tc>
        <w:tc>
          <w:tcPr>
            <w:tcW w:w="2650" w:type="dxa"/>
            <w:shd w:val="clear" w:color="auto" w:fill="auto"/>
            <w:tcMar>
              <w:top w:w="28" w:type="dxa"/>
              <w:left w:w="28" w:type="dxa"/>
              <w:right w:w="57" w:type="dxa"/>
            </w:tcMar>
          </w:tcPr>
          <w:p w14:paraId="1239F8A6" w14:textId="1DF9E8E2" w:rsidR="00DF6EA4" w:rsidRPr="003A13C5" w:rsidRDefault="00DF6EA4" w:rsidP="008F5E69">
            <w:pPr>
              <w:pStyle w:val="Tabletext0"/>
              <w:rPr>
                <w:rFonts w:cs="Arial"/>
                <w:szCs w:val="16"/>
              </w:rPr>
            </w:pPr>
            <w:r w:rsidRPr="003A13C5">
              <w:rPr>
                <w:rFonts w:eastAsia="SimSun" w:cs="Arial"/>
                <w:szCs w:val="16"/>
                <w:lang w:eastAsia="zh-CN"/>
              </w:rPr>
              <w:lastRenderedPageBreak/>
              <w:t>Compliance with Authority Required procedures</w:t>
            </w:r>
          </w:p>
        </w:tc>
      </w:tr>
      <w:tr w:rsidR="00DF6EA4" w:rsidRPr="003A13C5" w14:paraId="6577DCEF" w14:textId="77777777" w:rsidTr="004A6516">
        <w:tc>
          <w:tcPr>
            <w:tcW w:w="1900" w:type="dxa"/>
            <w:shd w:val="clear" w:color="auto" w:fill="auto"/>
            <w:tcMar>
              <w:top w:w="28" w:type="dxa"/>
              <w:left w:w="28" w:type="dxa"/>
            </w:tcMar>
          </w:tcPr>
          <w:p w14:paraId="1E1A092B" w14:textId="77777777" w:rsidR="00DF6EA4" w:rsidRPr="003A13C5" w:rsidRDefault="00DF6EA4" w:rsidP="00DF6EA4">
            <w:pPr>
              <w:pStyle w:val="Tabletext0"/>
              <w:rPr>
                <w:rFonts w:cs="Arial"/>
                <w:szCs w:val="16"/>
              </w:rPr>
            </w:pPr>
          </w:p>
        </w:tc>
        <w:tc>
          <w:tcPr>
            <w:tcW w:w="850" w:type="dxa"/>
            <w:shd w:val="clear" w:color="auto" w:fill="auto"/>
            <w:tcMar>
              <w:top w:w="28" w:type="dxa"/>
              <w:left w:w="28" w:type="dxa"/>
            </w:tcMar>
          </w:tcPr>
          <w:p w14:paraId="67DE83A5" w14:textId="27837355" w:rsidR="00DF6EA4" w:rsidRPr="003A13C5" w:rsidRDefault="00DF6EA4" w:rsidP="008F5E69">
            <w:pPr>
              <w:pStyle w:val="Tabletext0"/>
              <w:rPr>
                <w:rFonts w:cs="Arial"/>
                <w:szCs w:val="16"/>
              </w:rPr>
            </w:pPr>
            <w:r w:rsidRPr="003A13C5">
              <w:rPr>
                <w:rFonts w:cs="Arial"/>
                <w:szCs w:val="16"/>
              </w:rPr>
              <w:t>C7807</w:t>
            </w:r>
          </w:p>
        </w:tc>
        <w:tc>
          <w:tcPr>
            <w:tcW w:w="850" w:type="dxa"/>
            <w:shd w:val="clear" w:color="auto" w:fill="auto"/>
            <w:tcMar>
              <w:top w:w="28" w:type="dxa"/>
              <w:left w:w="28" w:type="dxa"/>
            </w:tcMar>
          </w:tcPr>
          <w:p w14:paraId="5E6D46A7" w14:textId="77777777" w:rsidR="00DF6EA4" w:rsidRPr="003A13C5" w:rsidDel="00E03489" w:rsidRDefault="00DF6EA4" w:rsidP="008F5E69">
            <w:pPr>
              <w:spacing w:before="60" w:after="60"/>
              <w:rPr>
                <w:rFonts w:ascii="Arial" w:hAnsi="Arial" w:cs="Arial"/>
                <w:sz w:val="16"/>
                <w:szCs w:val="16"/>
                <w:lang w:eastAsia="en-AU"/>
              </w:rPr>
            </w:pPr>
          </w:p>
        </w:tc>
        <w:tc>
          <w:tcPr>
            <w:tcW w:w="7661" w:type="dxa"/>
            <w:shd w:val="clear" w:color="auto" w:fill="auto"/>
            <w:tcMar>
              <w:top w:w="28" w:type="dxa"/>
              <w:left w:w="28" w:type="dxa"/>
            </w:tcMar>
          </w:tcPr>
          <w:p w14:paraId="213C5C39" w14:textId="7E0A9C65" w:rsidR="00DF6EA4" w:rsidRPr="003A13C5" w:rsidRDefault="00DF6EA4" w:rsidP="008F5E69">
            <w:pPr>
              <w:spacing w:before="60" w:after="60"/>
              <w:rPr>
                <w:rFonts w:ascii="Arial" w:eastAsia="SimSun" w:hAnsi="Arial" w:cs="Arial"/>
                <w:sz w:val="16"/>
                <w:szCs w:val="16"/>
                <w:lang w:eastAsia="zh-CN"/>
              </w:rPr>
            </w:pPr>
            <w:r w:rsidRPr="003A13C5">
              <w:rPr>
                <w:rFonts w:ascii="Arial" w:hAnsi="Arial" w:cs="Arial"/>
                <w:sz w:val="16"/>
                <w:szCs w:val="16"/>
              </w:rPr>
              <w:t>Multiple myeloma</w:t>
            </w:r>
            <w:r w:rsidRPr="003A13C5">
              <w:rPr>
                <w:rFonts w:ascii="Arial" w:hAnsi="Arial" w:cs="Arial"/>
                <w:sz w:val="16"/>
                <w:szCs w:val="16"/>
              </w:rPr>
              <w:br/>
              <w:t>Continuing PBS</w:t>
            </w:r>
            <w:r w:rsidRPr="003A13C5">
              <w:rPr>
                <w:rFonts w:ascii="Arial" w:hAnsi="Arial" w:cs="Arial"/>
                <w:sz w:val="16"/>
                <w:szCs w:val="16"/>
              </w:rPr>
              <w:noBreakHyphen/>
              <w:t>subsidised treatment</w:t>
            </w:r>
            <w:r w:rsidRPr="003A13C5">
              <w:rPr>
                <w:rFonts w:ascii="Arial" w:hAnsi="Arial" w:cs="Arial"/>
                <w:sz w:val="16"/>
                <w:szCs w:val="16"/>
              </w:rPr>
              <w:br/>
              <w:t>Patient must have previously received PBS</w:t>
            </w:r>
            <w:r w:rsidRPr="003A13C5">
              <w:rPr>
                <w:rFonts w:ascii="Arial" w:hAnsi="Arial" w:cs="Arial"/>
                <w:sz w:val="16"/>
                <w:szCs w:val="16"/>
              </w:rPr>
              <w:noBreakHyphen/>
              <w:t>subsidised treatment with this drug for relapsed or refractory multiple myeloma; AND</w:t>
            </w:r>
            <w:r w:rsidRPr="003A13C5">
              <w:rPr>
                <w:rFonts w:ascii="Arial" w:hAnsi="Arial" w:cs="Arial"/>
                <w:sz w:val="16"/>
                <w:szCs w:val="16"/>
              </w:rPr>
              <w:br/>
              <w:t>The treatment must be as monotherapy; OR</w:t>
            </w:r>
            <w:r w:rsidRPr="003A13C5">
              <w:rPr>
                <w:rFonts w:ascii="Arial" w:hAnsi="Arial" w:cs="Arial"/>
                <w:sz w:val="16"/>
                <w:szCs w:val="16"/>
              </w:rPr>
              <w:br/>
              <w:t>The treatment must be in combination with dexamethasone; AND</w:t>
            </w:r>
            <w:r w:rsidRPr="003A13C5">
              <w:rPr>
                <w:rFonts w:ascii="Arial" w:hAnsi="Arial" w:cs="Arial"/>
                <w:sz w:val="16"/>
                <w:szCs w:val="16"/>
              </w:rPr>
              <w:br/>
              <w:t>Patient must not be receiving concomitant PBS</w:t>
            </w:r>
            <w:r w:rsidRPr="003A13C5">
              <w:rPr>
                <w:rFonts w:ascii="Arial" w:hAnsi="Arial" w:cs="Arial"/>
                <w:sz w:val="16"/>
                <w:szCs w:val="16"/>
              </w:rPr>
              <w:noBreakHyphen/>
              <w:t>subsidised bortezomib, carfilzomib or thalidomide or its analogues.</w:t>
            </w:r>
            <w:r w:rsidRPr="003A13C5">
              <w:rPr>
                <w:rFonts w:ascii="Arial" w:hAnsi="Arial" w:cs="Arial"/>
                <w:sz w:val="16"/>
                <w:szCs w:val="16"/>
              </w:rPr>
              <w:br/>
              <w:t>Patients receiving lenalidomide under the PBS listing must be registered in the i</w:t>
            </w:r>
            <w:r w:rsidRPr="003A13C5">
              <w:rPr>
                <w:rFonts w:ascii="Arial" w:hAnsi="Arial" w:cs="Arial"/>
                <w:sz w:val="16"/>
                <w:szCs w:val="16"/>
              </w:rPr>
              <w:noBreakHyphen/>
              <w:t>access risk management program.</w:t>
            </w:r>
          </w:p>
        </w:tc>
        <w:tc>
          <w:tcPr>
            <w:tcW w:w="2650" w:type="dxa"/>
            <w:shd w:val="clear" w:color="auto" w:fill="auto"/>
            <w:tcMar>
              <w:top w:w="28" w:type="dxa"/>
              <w:left w:w="28" w:type="dxa"/>
              <w:right w:w="57" w:type="dxa"/>
            </w:tcMar>
          </w:tcPr>
          <w:p w14:paraId="23AAAB3C" w14:textId="73879436" w:rsidR="00DF6EA4" w:rsidRPr="003A13C5" w:rsidRDefault="00DF6EA4" w:rsidP="008F5E69">
            <w:pPr>
              <w:pStyle w:val="Tabletext0"/>
              <w:rPr>
                <w:rFonts w:eastAsia="SimSun" w:cs="Arial"/>
                <w:szCs w:val="16"/>
                <w:lang w:eastAsia="zh-CN"/>
              </w:rPr>
            </w:pPr>
            <w:r w:rsidRPr="003A13C5">
              <w:rPr>
                <w:rFonts w:cs="Arial"/>
                <w:szCs w:val="16"/>
              </w:rPr>
              <w:t>Compliance with Authority Required procedures</w:t>
            </w:r>
          </w:p>
        </w:tc>
      </w:tr>
      <w:tr w:rsidR="00DF6EA4" w:rsidRPr="003A13C5" w14:paraId="6F9830A8" w14:textId="77777777" w:rsidTr="004A6516">
        <w:tc>
          <w:tcPr>
            <w:tcW w:w="1900" w:type="dxa"/>
            <w:shd w:val="clear" w:color="auto" w:fill="auto"/>
            <w:tcMar>
              <w:top w:w="28" w:type="dxa"/>
              <w:left w:w="28" w:type="dxa"/>
            </w:tcMar>
          </w:tcPr>
          <w:p w14:paraId="0A2FB111" w14:textId="77777777" w:rsidR="00DF6EA4" w:rsidRPr="003A13C5" w:rsidRDefault="00DF6EA4" w:rsidP="00DF6EA4">
            <w:pPr>
              <w:pStyle w:val="Tabletext0"/>
              <w:rPr>
                <w:rFonts w:cs="Arial"/>
                <w:szCs w:val="16"/>
              </w:rPr>
            </w:pPr>
          </w:p>
        </w:tc>
        <w:tc>
          <w:tcPr>
            <w:tcW w:w="850" w:type="dxa"/>
            <w:shd w:val="clear" w:color="auto" w:fill="auto"/>
            <w:tcMar>
              <w:top w:w="28" w:type="dxa"/>
              <w:left w:w="28" w:type="dxa"/>
            </w:tcMar>
          </w:tcPr>
          <w:p w14:paraId="62A89C3C" w14:textId="334DC0FF" w:rsidR="00DF6EA4" w:rsidRPr="003A13C5" w:rsidRDefault="00DF6EA4" w:rsidP="008F5E69">
            <w:pPr>
              <w:pStyle w:val="Tabletext0"/>
              <w:rPr>
                <w:rFonts w:cs="Arial"/>
                <w:szCs w:val="16"/>
              </w:rPr>
            </w:pPr>
            <w:r w:rsidRPr="003A13C5">
              <w:rPr>
                <w:rFonts w:cs="Arial"/>
                <w:szCs w:val="16"/>
              </w:rPr>
              <w:t>C7808</w:t>
            </w:r>
          </w:p>
        </w:tc>
        <w:tc>
          <w:tcPr>
            <w:tcW w:w="850" w:type="dxa"/>
            <w:shd w:val="clear" w:color="auto" w:fill="auto"/>
            <w:tcMar>
              <w:top w:w="28" w:type="dxa"/>
              <w:left w:w="28" w:type="dxa"/>
            </w:tcMar>
          </w:tcPr>
          <w:p w14:paraId="797E9970" w14:textId="77777777" w:rsidR="00DF6EA4" w:rsidRPr="003A13C5" w:rsidDel="00E03489" w:rsidRDefault="00DF6EA4" w:rsidP="008F5E69">
            <w:pPr>
              <w:spacing w:before="60" w:after="60"/>
              <w:rPr>
                <w:rFonts w:ascii="Arial" w:hAnsi="Arial" w:cs="Arial"/>
                <w:sz w:val="16"/>
                <w:szCs w:val="16"/>
                <w:lang w:eastAsia="en-AU"/>
              </w:rPr>
            </w:pPr>
          </w:p>
        </w:tc>
        <w:tc>
          <w:tcPr>
            <w:tcW w:w="7661" w:type="dxa"/>
            <w:shd w:val="clear" w:color="auto" w:fill="auto"/>
            <w:tcMar>
              <w:top w:w="28" w:type="dxa"/>
              <w:left w:w="28" w:type="dxa"/>
            </w:tcMar>
          </w:tcPr>
          <w:p w14:paraId="08D15042" w14:textId="2B253565" w:rsidR="00DF6EA4" w:rsidRPr="003A13C5" w:rsidRDefault="00DF6EA4" w:rsidP="008F5E69">
            <w:pPr>
              <w:spacing w:before="60" w:after="60"/>
              <w:rPr>
                <w:rFonts w:ascii="Arial" w:eastAsia="SimSun" w:hAnsi="Arial" w:cs="Arial"/>
                <w:sz w:val="16"/>
                <w:szCs w:val="16"/>
                <w:lang w:eastAsia="zh-CN"/>
              </w:rPr>
            </w:pPr>
            <w:r w:rsidRPr="003A13C5">
              <w:rPr>
                <w:rFonts w:ascii="Arial" w:hAnsi="Arial" w:cs="Arial"/>
                <w:sz w:val="16"/>
                <w:szCs w:val="16"/>
              </w:rPr>
              <w:t>Multiple myeloma</w:t>
            </w:r>
            <w:r w:rsidRPr="003A13C5">
              <w:rPr>
                <w:rFonts w:ascii="Arial" w:hAnsi="Arial" w:cs="Arial"/>
                <w:sz w:val="16"/>
                <w:szCs w:val="16"/>
              </w:rPr>
              <w:br/>
              <w:t>Initial PBS</w:t>
            </w:r>
            <w:r w:rsidRPr="003A13C5">
              <w:rPr>
                <w:rFonts w:ascii="Arial" w:hAnsi="Arial" w:cs="Arial"/>
                <w:sz w:val="16"/>
                <w:szCs w:val="16"/>
              </w:rPr>
              <w:noBreakHyphen/>
              <w:t>subsidised treatment</w:t>
            </w:r>
            <w:r w:rsidRPr="003A13C5">
              <w:rPr>
                <w:rFonts w:ascii="Arial" w:hAnsi="Arial" w:cs="Arial"/>
                <w:sz w:val="16"/>
                <w:szCs w:val="16"/>
              </w:rPr>
              <w:br/>
              <w:t>The condition must be confirmed by a histological diagnosis; AND</w:t>
            </w:r>
            <w:r w:rsidRPr="003A13C5">
              <w:rPr>
                <w:rFonts w:ascii="Arial" w:hAnsi="Arial" w:cs="Arial"/>
                <w:sz w:val="16"/>
                <w:szCs w:val="16"/>
              </w:rPr>
              <w:br/>
              <w:t>The treatment must be as monotherapy; OR</w:t>
            </w:r>
            <w:r w:rsidRPr="003A13C5">
              <w:rPr>
                <w:rFonts w:ascii="Arial" w:hAnsi="Arial" w:cs="Arial"/>
                <w:sz w:val="16"/>
                <w:szCs w:val="16"/>
              </w:rPr>
              <w:br/>
              <w:t>The treatment must be in combination with dexamethasone; AND</w:t>
            </w:r>
            <w:r w:rsidRPr="003A13C5">
              <w:rPr>
                <w:rFonts w:ascii="Arial" w:hAnsi="Arial" w:cs="Arial"/>
                <w:sz w:val="16"/>
                <w:szCs w:val="16"/>
              </w:rPr>
              <w:br/>
              <w:t>Patient must have progressive disease after at least one prior therapy; AND</w:t>
            </w:r>
            <w:r w:rsidRPr="003A13C5">
              <w:rPr>
                <w:rFonts w:ascii="Arial" w:hAnsi="Arial" w:cs="Arial"/>
                <w:sz w:val="16"/>
                <w:szCs w:val="16"/>
              </w:rPr>
              <w:br/>
              <w:t>Patient must have undergone or be ineligible for a primary stem cell transplant; AND</w:t>
            </w:r>
            <w:r w:rsidRPr="003A13C5">
              <w:rPr>
                <w:rFonts w:ascii="Arial" w:hAnsi="Arial" w:cs="Arial"/>
                <w:sz w:val="16"/>
                <w:szCs w:val="16"/>
              </w:rPr>
              <w:br/>
              <w:t>Patient must not be receiving concomitant PBS</w:t>
            </w:r>
            <w:r w:rsidRPr="003A13C5">
              <w:rPr>
                <w:rFonts w:ascii="Arial" w:hAnsi="Arial" w:cs="Arial"/>
                <w:sz w:val="16"/>
                <w:szCs w:val="16"/>
              </w:rPr>
              <w:noBreakHyphen/>
              <w:t>subsidised bortezomib, carfilzomib or thalidomide or its analogues.</w:t>
            </w:r>
            <w:r w:rsidRPr="003A13C5">
              <w:rPr>
                <w:rFonts w:ascii="Arial" w:hAnsi="Arial" w:cs="Arial"/>
                <w:sz w:val="16"/>
                <w:szCs w:val="16"/>
              </w:rPr>
              <w:br/>
              <w:t>Progressive disease is defined as at least 1 of the following:</w:t>
            </w:r>
            <w:r w:rsidRPr="003A13C5">
              <w:rPr>
                <w:rFonts w:ascii="Arial" w:hAnsi="Arial" w:cs="Arial"/>
                <w:sz w:val="16"/>
                <w:szCs w:val="16"/>
              </w:rPr>
              <w:br/>
              <w:t>(a) at least a 25% increase and an absolute increase of at least 5 g per L in serum M protein (monoclonal protein); or</w:t>
            </w:r>
            <w:r w:rsidRPr="003A13C5">
              <w:rPr>
                <w:rFonts w:ascii="Arial" w:hAnsi="Arial" w:cs="Arial"/>
                <w:sz w:val="16"/>
                <w:szCs w:val="16"/>
              </w:rPr>
              <w:br/>
              <w:t>(b) at least a 25% increase in 24</w:t>
            </w:r>
            <w:r w:rsidRPr="003A13C5">
              <w:rPr>
                <w:rFonts w:ascii="Arial" w:hAnsi="Arial" w:cs="Arial"/>
                <w:sz w:val="16"/>
                <w:szCs w:val="16"/>
              </w:rPr>
              <w:noBreakHyphen/>
              <w:t>hour urinary light chain M protein excretion, and an absolute increase of at least 200 mg per 24 hours; or</w:t>
            </w:r>
            <w:r w:rsidRPr="003A13C5">
              <w:rPr>
                <w:rFonts w:ascii="Arial" w:hAnsi="Arial" w:cs="Arial"/>
                <w:sz w:val="16"/>
                <w:szCs w:val="16"/>
              </w:rPr>
              <w:br/>
              <w:t>(c) in oligo</w:t>
            </w:r>
            <w:r w:rsidRPr="003A13C5">
              <w:rPr>
                <w:rFonts w:ascii="Arial" w:hAnsi="Arial" w:cs="Arial"/>
                <w:sz w:val="16"/>
                <w:szCs w:val="16"/>
              </w:rPr>
              <w:noBreakHyphen/>
              <w:t>secretory and non</w:t>
            </w:r>
            <w:r w:rsidRPr="003A13C5">
              <w:rPr>
                <w:rFonts w:ascii="Arial" w:hAnsi="Arial" w:cs="Arial"/>
                <w:sz w:val="16"/>
                <w:szCs w:val="16"/>
              </w:rPr>
              <w:noBreakHyphen/>
              <w:t xml:space="preserve">secretory myeloma patients </w:t>
            </w:r>
            <w:r w:rsidR="00DA4003" w:rsidRPr="003A13C5">
              <w:rPr>
                <w:rFonts w:ascii="Arial" w:hAnsi="Arial" w:cs="Arial"/>
                <w:sz w:val="16"/>
                <w:szCs w:val="16"/>
              </w:rPr>
              <w:t>only, at least a 50% increase in</w:t>
            </w:r>
            <w:r w:rsidRPr="003A13C5">
              <w:rPr>
                <w:rFonts w:ascii="Arial" w:hAnsi="Arial" w:cs="Arial"/>
                <w:sz w:val="16"/>
                <w:szCs w:val="16"/>
              </w:rPr>
              <w:t xml:space="preserve"> the difference </w:t>
            </w:r>
            <w:r w:rsidRPr="003A13C5">
              <w:rPr>
                <w:rFonts w:ascii="Arial" w:hAnsi="Arial" w:cs="Arial"/>
                <w:sz w:val="16"/>
                <w:szCs w:val="16"/>
              </w:rPr>
              <w:lastRenderedPageBreak/>
              <w:t>between involved free light chain and uninvolved free light chain; or</w:t>
            </w:r>
            <w:r w:rsidRPr="003A13C5">
              <w:rPr>
                <w:rFonts w:ascii="Arial" w:hAnsi="Arial" w:cs="Arial"/>
                <w:sz w:val="16"/>
                <w:szCs w:val="16"/>
              </w:rPr>
              <w:br/>
              <w:t>(d) at least a 25% relative increase and at least a 10% absolute increase in plasma cells in a bone marrow aspirate or on biopsy; or</w:t>
            </w:r>
            <w:r w:rsidRPr="003A13C5">
              <w:rPr>
                <w:rFonts w:ascii="Arial" w:hAnsi="Arial" w:cs="Arial"/>
                <w:sz w:val="16"/>
                <w:szCs w:val="16"/>
              </w:rPr>
              <w:br/>
              <w:t>(e) an increase in the size or number of lytic bone lesions (not including compression fractures); or</w:t>
            </w:r>
            <w:r w:rsidRPr="003A13C5">
              <w:rPr>
                <w:rFonts w:ascii="Arial" w:hAnsi="Arial" w:cs="Arial"/>
                <w:sz w:val="16"/>
                <w:szCs w:val="16"/>
              </w:rPr>
              <w:br/>
              <w:t>(f) at least a 25% increase in the size of an existing or the development of a new soft tissue plasmacytoma (determined by clinical examination or diagnostic imaging); or</w:t>
            </w:r>
            <w:r w:rsidRPr="003A13C5">
              <w:rPr>
                <w:rFonts w:ascii="Arial" w:hAnsi="Arial" w:cs="Arial"/>
                <w:sz w:val="16"/>
                <w:szCs w:val="16"/>
              </w:rPr>
              <w:br/>
              <w:t>(g) development of hypercalcaemia (corrected serum calcium greater than 2.65 mmol per L not attributable to any other cause).</w:t>
            </w:r>
            <w:r w:rsidRPr="003A13C5">
              <w:rPr>
                <w:rFonts w:ascii="Arial" w:hAnsi="Arial" w:cs="Arial"/>
                <w:sz w:val="16"/>
                <w:szCs w:val="16"/>
              </w:rPr>
              <w:br/>
              <w:t>Oligo</w:t>
            </w:r>
            <w:r w:rsidRPr="003A13C5">
              <w:rPr>
                <w:rFonts w:ascii="Arial" w:hAnsi="Arial" w:cs="Arial"/>
                <w:sz w:val="16"/>
                <w:szCs w:val="16"/>
              </w:rPr>
              <w:noBreakHyphen/>
              <w:t>secretory and non</w:t>
            </w:r>
            <w:r w:rsidRPr="003A13C5">
              <w:rPr>
                <w:rFonts w:ascii="Arial" w:hAnsi="Arial" w:cs="Arial"/>
                <w:sz w:val="16"/>
                <w:szCs w:val="16"/>
              </w:rPr>
              <w:noBreakHyphen/>
              <w:t>secretory patients are defined as having active disease with less than 10 g per L serum M protein.</w:t>
            </w:r>
            <w:r w:rsidRPr="003A13C5">
              <w:rPr>
                <w:rFonts w:ascii="Arial" w:hAnsi="Arial" w:cs="Arial"/>
                <w:sz w:val="16"/>
                <w:szCs w:val="16"/>
              </w:rPr>
              <w:br/>
              <w:t>The authority application must be made in writing and must include:</w:t>
            </w:r>
            <w:r w:rsidRPr="003A13C5">
              <w:rPr>
                <w:rFonts w:ascii="Arial" w:hAnsi="Arial" w:cs="Arial"/>
                <w:sz w:val="16"/>
                <w:szCs w:val="16"/>
              </w:rPr>
              <w:br/>
              <w:t>(1) a completed authority prescription form; and</w:t>
            </w:r>
            <w:r w:rsidRPr="003A13C5">
              <w:rPr>
                <w:rFonts w:ascii="Arial" w:hAnsi="Arial" w:cs="Arial"/>
                <w:sz w:val="16"/>
                <w:szCs w:val="16"/>
              </w:rPr>
              <w:br/>
              <w:t xml:space="preserve">(2) a completed Multiple Myeloma lenalidomide Authority Application </w:t>
            </w:r>
            <w:r w:rsidRPr="003A13C5">
              <w:rPr>
                <w:rFonts w:ascii="Arial" w:hAnsi="Arial" w:cs="Arial"/>
                <w:sz w:val="16"/>
                <w:szCs w:val="16"/>
              </w:rPr>
              <w:noBreakHyphen/>
              <w:t xml:space="preserve"> Supporting Information Form, which includes details of the histological diagnosis of multiple myeloma, prior treatments including name(s) of drug(s) and date of most recent treatment cycle and record of prior stem cell transplant or ineligibility for prior stem cell transplant; details of the basis of the diagnosis of progressive disease or failure to respond; and nomination of which disease activity parameters will be used to assess response; and</w:t>
            </w:r>
            <w:r w:rsidRPr="003A13C5">
              <w:rPr>
                <w:rFonts w:ascii="Arial" w:hAnsi="Arial" w:cs="Arial"/>
                <w:sz w:val="16"/>
                <w:szCs w:val="16"/>
              </w:rPr>
              <w:br/>
              <w:t>(3) a signed patient acknowledgment.</w:t>
            </w:r>
            <w:r w:rsidRPr="003A13C5">
              <w:rPr>
                <w:rFonts w:ascii="Arial" w:hAnsi="Arial" w:cs="Arial"/>
                <w:sz w:val="16"/>
                <w:szCs w:val="16"/>
              </w:rPr>
              <w:br/>
              <w:t>To enable confirmation of eligibility for treatment, current diagnostic reports of at least one of the following must be provided:</w:t>
            </w:r>
            <w:r w:rsidRPr="003A13C5">
              <w:rPr>
                <w:rFonts w:ascii="Arial" w:hAnsi="Arial" w:cs="Arial"/>
                <w:sz w:val="16"/>
                <w:szCs w:val="16"/>
              </w:rPr>
              <w:br/>
              <w:t>(a) the level of serum monoclonal protein; or</w:t>
            </w:r>
            <w:r w:rsidRPr="003A13C5">
              <w:rPr>
                <w:rFonts w:ascii="Arial" w:hAnsi="Arial" w:cs="Arial"/>
                <w:sz w:val="16"/>
                <w:szCs w:val="16"/>
              </w:rPr>
              <w:br/>
              <w:t>(b) Bence</w:t>
            </w:r>
            <w:r w:rsidRPr="003A13C5">
              <w:rPr>
                <w:rFonts w:ascii="Arial" w:hAnsi="Arial" w:cs="Arial"/>
                <w:sz w:val="16"/>
                <w:szCs w:val="16"/>
              </w:rPr>
              <w:noBreakHyphen/>
              <w:t xml:space="preserve">Jones proteinuria </w:t>
            </w:r>
            <w:r w:rsidRPr="003A13C5">
              <w:rPr>
                <w:rFonts w:ascii="Arial" w:hAnsi="Arial" w:cs="Arial"/>
                <w:sz w:val="16"/>
                <w:szCs w:val="16"/>
              </w:rPr>
              <w:noBreakHyphen/>
              <w:t xml:space="preserve"> the results of 24</w:t>
            </w:r>
            <w:r w:rsidRPr="003A13C5">
              <w:rPr>
                <w:rFonts w:ascii="Arial" w:hAnsi="Arial" w:cs="Arial"/>
                <w:sz w:val="16"/>
                <w:szCs w:val="16"/>
              </w:rPr>
              <w:noBreakHyphen/>
              <w:t>hour urinary light chain M protein excretion; or</w:t>
            </w:r>
            <w:r w:rsidRPr="003A13C5">
              <w:rPr>
                <w:rFonts w:ascii="Arial" w:hAnsi="Arial" w:cs="Arial"/>
                <w:sz w:val="16"/>
                <w:szCs w:val="16"/>
              </w:rPr>
              <w:br/>
              <w:t>(c) the serum level of free kappa and lambda light chains; or</w:t>
            </w:r>
            <w:r w:rsidRPr="003A13C5">
              <w:rPr>
                <w:rFonts w:ascii="Arial" w:hAnsi="Arial" w:cs="Arial"/>
                <w:sz w:val="16"/>
                <w:szCs w:val="16"/>
              </w:rPr>
              <w:br/>
              <w:t>(d) bone marrow aspirate or trephine; or</w:t>
            </w:r>
            <w:r w:rsidRPr="003A13C5">
              <w:rPr>
                <w:rFonts w:ascii="Arial" w:hAnsi="Arial" w:cs="Arial"/>
                <w:sz w:val="16"/>
                <w:szCs w:val="16"/>
              </w:rPr>
              <w:br/>
              <w:t>(e) if present, the size and location of lytic bone lesions (not including compression fractures); or</w:t>
            </w:r>
            <w:r w:rsidRPr="003A13C5">
              <w:rPr>
                <w:rFonts w:ascii="Arial" w:hAnsi="Arial" w:cs="Arial"/>
                <w:sz w:val="16"/>
                <w:szCs w:val="16"/>
              </w:rPr>
              <w:br/>
              <w:t>(f) if present, the size and location of all soft tissue plasmacytomas by clinical or radiographic examination i.e. MRI or CT</w:t>
            </w:r>
            <w:r w:rsidRPr="003A13C5">
              <w:rPr>
                <w:rFonts w:ascii="Arial" w:hAnsi="Arial" w:cs="Arial"/>
                <w:sz w:val="16"/>
                <w:szCs w:val="16"/>
              </w:rPr>
              <w:noBreakHyphen/>
              <w:t>scan; or</w:t>
            </w:r>
            <w:r w:rsidRPr="003A13C5">
              <w:rPr>
                <w:rFonts w:ascii="Arial" w:hAnsi="Arial" w:cs="Arial"/>
                <w:sz w:val="16"/>
                <w:szCs w:val="16"/>
              </w:rPr>
              <w:br/>
              <w:t>(g) if present, the level of hypercalcaemia, corrected for albumin concentration.</w:t>
            </w:r>
            <w:r w:rsidRPr="003A13C5">
              <w:rPr>
                <w:rFonts w:ascii="Arial" w:hAnsi="Arial" w:cs="Arial"/>
                <w:sz w:val="16"/>
                <w:szCs w:val="16"/>
              </w:rPr>
              <w:br/>
              <w:t>As these parameters will be used to determine response, results for either (a) or (b) or (c) should be provided for all patients. Where the patient has oligo</w:t>
            </w:r>
            <w:r w:rsidRPr="003A13C5">
              <w:rPr>
                <w:rFonts w:ascii="Arial" w:hAnsi="Arial" w:cs="Arial"/>
                <w:sz w:val="16"/>
                <w:szCs w:val="16"/>
              </w:rPr>
              <w:noBreakHyphen/>
              <w:t>secretory or non</w:t>
            </w:r>
            <w:r w:rsidRPr="003A13C5">
              <w:rPr>
                <w:rFonts w:ascii="Arial" w:hAnsi="Arial" w:cs="Arial"/>
                <w:sz w:val="16"/>
                <w:szCs w:val="16"/>
              </w:rPr>
              <w:noBreakHyphen/>
              <w:t>secretory multiple myeloma, either (c) or (d) or if relevant (e), (f) or (g) should be provided. Where the prescriber plans to assess response in patients with oligo</w:t>
            </w:r>
            <w:r w:rsidRPr="003A13C5">
              <w:rPr>
                <w:rFonts w:ascii="Arial" w:hAnsi="Arial" w:cs="Arial"/>
                <w:sz w:val="16"/>
                <w:szCs w:val="16"/>
              </w:rPr>
              <w:noBreakHyphen/>
              <w:t>secretory or non</w:t>
            </w:r>
            <w:r w:rsidRPr="003A13C5">
              <w:rPr>
                <w:rFonts w:ascii="Arial" w:hAnsi="Arial" w:cs="Arial"/>
                <w:sz w:val="16"/>
                <w:szCs w:val="16"/>
              </w:rPr>
              <w:noBreakHyphen/>
              <w:t>secretory multiple myeloma with free light chain assays, evidence of the oligo</w:t>
            </w:r>
            <w:r w:rsidRPr="003A13C5">
              <w:rPr>
                <w:rFonts w:ascii="Arial" w:hAnsi="Arial" w:cs="Arial"/>
                <w:sz w:val="16"/>
                <w:szCs w:val="16"/>
              </w:rPr>
              <w:noBreakHyphen/>
              <w:t>secretory or non</w:t>
            </w:r>
            <w:r w:rsidRPr="003A13C5">
              <w:rPr>
                <w:rFonts w:ascii="Arial" w:hAnsi="Arial" w:cs="Arial"/>
                <w:sz w:val="16"/>
                <w:szCs w:val="16"/>
              </w:rPr>
              <w:noBreakHyphen/>
              <w:t>secretory nature of the multiple myeloma (current serum M protein less than 10 g per L) must be provided.</w:t>
            </w:r>
            <w:r w:rsidRPr="003A13C5">
              <w:rPr>
                <w:rFonts w:ascii="Arial" w:hAnsi="Arial" w:cs="Arial"/>
                <w:sz w:val="16"/>
                <w:szCs w:val="16"/>
              </w:rPr>
              <w:br/>
              <w:t>Patients receiving lenalidomide under the PBS listing must be registered in the i</w:t>
            </w:r>
            <w:r w:rsidRPr="003A13C5">
              <w:rPr>
                <w:rFonts w:ascii="Arial" w:hAnsi="Arial" w:cs="Arial"/>
                <w:sz w:val="16"/>
                <w:szCs w:val="16"/>
              </w:rPr>
              <w:noBreakHyphen/>
              <w:t>access risk management program.</w:t>
            </w:r>
          </w:p>
        </w:tc>
        <w:tc>
          <w:tcPr>
            <w:tcW w:w="2650" w:type="dxa"/>
            <w:shd w:val="clear" w:color="auto" w:fill="auto"/>
            <w:tcMar>
              <w:top w:w="28" w:type="dxa"/>
              <w:left w:w="28" w:type="dxa"/>
              <w:right w:w="57" w:type="dxa"/>
            </w:tcMar>
          </w:tcPr>
          <w:p w14:paraId="61009D1C" w14:textId="27F56552" w:rsidR="00DF6EA4" w:rsidRPr="003A13C5" w:rsidRDefault="00DF6EA4" w:rsidP="008F5E69">
            <w:pPr>
              <w:pStyle w:val="Tabletext0"/>
              <w:rPr>
                <w:rFonts w:eastAsia="SimSun" w:cs="Arial"/>
                <w:szCs w:val="16"/>
                <w:lang w:eastAsia="zh-CN"/>
              </w:rPr>
            </w:pPr>
            <w:r w:rsidRPr="003A13C5">
              <w:rPr>
                <w:rFonts w:cs="Arial"/>
                <w:szCs w:val="16"/>
              </w:rPr>
              <w:lastRenderedPageBreak/>
              <w:t>Compliance with Written Authority Required procedures</w:t>
            </w:r>
          </w:p>
        </w:tc>
      </w:tr>
    </w:tbl>
    <w:p w14:paraId="7B32CF6E" w14:textId="77777777" w:rsidR="00DF6EA4" w:rsidRPr="003A13C5" w:rsidRDefault="00DF6EA4" w:rsidP="00DF6EA4">
      <w:pPr>
        <w:pStyle w:val="Amendment3"/>
        <w:tabs>
          <w:tab w:val="clear" w:pos="1050"/>
        </w:tabs>
        <w:ind w:left="1049" w:hanging="198"/>
        <w:rPr>
          <w:i/>
        </w:rPr>
      </w:pPr>
      <w:r w:rsidRPr="003A13C5">
        <w:rPr>
          <w:i/>
        </w:rPr>
        <w:t>insert in numerical order after existing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38"/>
        <w:gridCol w:w="851"/>
        <w:gridCol w:w="850"/>
        <w:gridCol w:w="7655"/>
        <w:gridCol w:w="2693"/>
      </w:tblGrid>
      <w:tr w:rsidR="00DF6EA4" w:rsidRPr="003A13C5" w14:paraId="4BD41191" w14:textId="77777777" w:rsidTr="004A6516">
        <w:tc>
          <w:tcPr>
            <w:tcW w:w="1838" w:type="dxa"/>
            <w:shd w:val="clear" w:color="auto" w:fill="auto"/>
            <w:tcMar>
              <w:top w:w="28" w:type="dxa"/>
              <w:left w:w="28" w:type="dxa"/>
            </w:tcMar>
          </w:tcPr>
          <w:p w14:paraId="0FDD72A0" w14:textId="77777777" w:rsidR="00DF6EA4" w:rsidRPr="003A13C5" w:rsidRDefault="00DF6EA4" w:rsidP="00DF6EA4">
            <w:pPr>
              <w:rPr>
                <w:rFonts w:ascii="Arial" w:hAnsi="Arial" w:cs="Arial"/>
                <w:sz w:val="16"/>
                <w:szCs w:val="16"/>
              </w:rPr>
            </w:pPr>
          </w:p>
        </w:tc>
        <w:tc>
          <w:tcPr>
            <w:tcW w:w="851" w:type="dxa"/>
            <w:shd w:val="clear" w:color="auto" w:fill="auto"/>
            <w:tcMar>
              <w:top w:w="28" w:type="dxa"/>
              <w:left w:w="28" w:type="dxa"/>
            </w:tcMar>
          </w:tcPr>
          <w:p w14:paraId="3D833041" w14:textId="2534B597" w:rsidR="00DF6EA4" w:rsidRPr="003A13C5" w:rsidRDefault="00DF6EA4" w:rsidP="008F5E69">
            <w:pPr>
              <w:spacing w:before="60"/>
              <w:rPr>
                <w:rFonts w:ascii="Arial" w:hAnsi="Arial" w:cs="Arial"/>
                <w:sz w:val="16"/>
                <w:szCs w:val="16"/>
              </w:rPr>
            </w:pPr>
            <w:r w:rsidRPr="003A13C5">
              <w:rPr>
                <w:rFonts w:ascii="Arial" w:eastAsia="Arial" w:hAnsi="Arial" w:cs="Arial"/>
                <w:sz w:val="16"/>
                <w:szCs w:val="16"/>
                <w:lang w:eastAsia="zh-CN"/>
              </w:rPr>
              <w:t>C10349</w:t>
            </w:r>
          </w:p>
        </w:tc>
        <w:tc>
          <w:tcPr>
            <w:tcW w:w="850" w:type="dxa"/>
            <w:shd w:val="clear" w:color="auto" w:fill="auto"/>
            <w:tcMar>
              <w:top w:w="28" w:type="dxa"/>
              <w:left w:w="28" w:type="dxa"/>
            </w:tcMar>
          </w:tcPr>
          <w:p w14:paraId="6CDEF611" w14:textId="77777777" w:rsidR="00DF6EA4" w:rsidRPr="003A13C5" w:rsidRDefault="00DF6EA4" w:rsidP="008F5E69">
            <w:pPr>
              <w:spacing w:before="60"/>
              <w:rPr>
                <w:rFonts w:ascii="Arial" w:hAnsi="Arial" w:cs="Arial"/>
                <w:sz w:val="16"/>
                <w:szCs w:val="16"/>
              </w:rPr>
            </w:pPr>
          </w:p>
        </w:tc>
        <w:tc>
          <w:tcPr>
            <w:tcW w:w="7655" w:type="dxa"/>
            <w:shd w:val="clear" w:color="auto" w:fill="auto"/>
            <w:tcMar>
              <w:top w:w="28" w:type="dxa"/>
              <w:left w:w="28" w:type="dxa"/>
            </w:tcMar>
          </w:tcPr>
          <w:p w14:paraId="4092DCD1" w14:textId="0D9A3709" w:rsidR="00DF6EA4" w:rsidRPr="003A13C5" w:rsidRDefault="00DF6EA4" w:rsidP="008F5E69">
            <w:pPr>
              <w:spacing w:before="60"/>
              <w:rPr>
                <w:rFonts w:ascii="Arial" w:eastAsia="Arial" w:hAnsi="Arial" w:cs="Arial"/>
                <w:sz w:val="16"/>
                <w:szCs w:val="16"/>
                <w:lang w:eastAsia="zh-CN"/>
              </w:rPr>
            </w:pPr>
            <w:r w:rsidRPr="003A13C5">
              <w:rPr>
                <w:rFonts w:ascii="Arial" w:hAnsi="Arial" w:cs="Arial"/>
                <w:sz w:val="16"/>
                <w:szCs w:val="16"/>
              </w:rPr>
              <w:t>Multiple myeloma</w:t>
            </w:r>
            <w:r w:rsidRPr="003A13C5">
              <w:rPr>
                <w:rFonts w:ascii="Arial" w:hAnsi="Arial" w:cs="Arial"/>
                <w:sz w:val="16"/>
                <w:szCs w:val="16"/>
              </w:rPr>
              <w:br/>
              <w:t>Continuing treatment as monotherapy or dual combination therapy with dexamethasone following initial treatment for progressive disease</w:t>
            </w:r>
            <w:r w:rsidRPr="003A13C5">
              <w:rPr>
                <w:rFonts w:ascii="Arial" w:hAnsi="Arial" w:cs="Arial"/>
                <w:sz w:val="16"/>
                <w:szCs w:val="16"/>
              </w:rPr>
              <w:br/>
              <w:t>Patient must have previously received PBS-subsidised treatment with this drug for relapsed or refractory multiple myeloma; AND</w:t>
            </w:r>
            <w:r w:rsidRPr="003A13C5">
              <w:rPr>
                <w:rFonts w:ascii="Arial" w:hAnsi="Arial" w:cs="Arial"/>
                <w:sz w:val="16"/>
                <w:szCs w:val="16"/>
              </w:rPr>
              <w:br/>
              <w:t>The treatment must be as monotherapy; OR</w:t>
            </w:r>
            <w:r w:rsidRPr="003A13C5">
              <w:rPr>
                <w:rFonts w:ascii="Arial" w:hAnsi="Arial" w:cs="Arial"/>
                <w:sz w:val="16"/>
                <w:szCs w:val="16"/>
              </w:rPr>
              <w:br/>
              <w:t>The treatment must be in combination with dexamethasone; AND</w:t>
            </w:r>
            <w:r w:rsidRPr="003A13C5">
              <w:rPr>
                <w:rFonts w:ascii="Arial" w:hAnsi="Arial" w:cs="Arial"/>
                <w:sz w:val="16"/>
                <w:szCs w:val="16"/>
              </w:rPr>
              <w:br/>
              <w:t>Patient must not be receiving concomitant PBS-subsidised bortezomib, carfilzomib or thalidomide or its analogues.</w:t>
            </w:r>
            <w:r w:rsidRPr="003A13C5">
              <w:rPr>
                <w:rFonts w:ascii="Arial" w:hAnsi="Arial" w:cs="Arial"/>
                <w:sz w:val="16"/>
                <w:szCs w:val="16"/>
              </w:rPr>
              <w:br/>
            </w:r>
            <w:r w:rsidRPr="003A13C5">
              <w:rPr>
                <w:rFonts w:ascii="Arial" w:hAnsi="Arial" w:cs="Arial"/>
                <w:sz w:val="16"/>
                <w:szCs w:val="16"/>
              </w:rPr>
              <w:lastRenderedPageBreak/>
              <w:t>Patients receiving lenalidomide under the PBS listing must be registered in the i-access risk management program.</w:t>
            </w:r>
          </w:p>
        </w:tc>
        <w:tc>
          <w:tcPr>
            <w:tcW w:w="2693" w:type="dxa"/>
            <w:shd w:val="clear" w:color="auto" w:fill="auto"/>
            <w:tcMar>
              <w:top w:w="28" w:type="dxa"/>
              <w:left w:w="28" w:type="dxa"/>
              <w:right w:w="57" w:type="dxa"/>
            </w:tcMar>
          </w:tcPr>
          <w:p w14:paraId="5D2E1477" w14:textId="058F41F9" w:rsidR="00DF6EA4" w:rsidRPr="003A13C5" w:rsidRDefault="00DF6EA4" w:rsidP="008F5E69">
            <w:pPr>
              <w:spacing w:before="60"/>
              <w:rPr>
                <w:rFonts w:ascii="Arial" w:eastAsia="Arial" w:hAnsi="Arial" w:cs="Arial"/>
                <w:sz w:val="16"/>
                <w:szCs w:val="16"/>
                <w:lang w:eastAsia="zh-CN"/>
              </w:rPr>
            </w:pPr>
            <w:r w:rsidRPr="003A13C5">
              <w:rPr>
                <w:rFonts w:ascii="Arial" w:eastAsia="Arial" w:hAnsi="Arial" w:cs="Arial"/>
                <w:sz w:val="16"/>
                <w:szCs w:val="16"/>
                <w:lang w:eastAsia="zh-CN"/>
              </w:rPr>
              <w:lastRenderedPageBreak/>
              <w:t>Compliance with Authority Required procedures</w:t>
            </w:r>
          </w:p>
        </w:tc>
      </w:tr>
      <w:tr w:rsidR="00DF6EA4" w:rsidRPr="003A13C5" w14:paraId="6BAC9E55" w14:textId="77777777" w:rsidTr="004A6516">
        <w:tc>
          <w:tcPr>
            <w:tcW w:w="1838" w:type="dxa"/>
            <w:shd w:val="clear" w:color="auto" w:fill="auto"/>
            <w:tcMar>
              <w:top w:w="28" w:type="dxa"/>
              <w:left w:w="28" w:type="dxa"/>
            </w:tcMar>
          </w:tcPr>
          <w:p w14:paraId="209C1738" w14:textId="77777777" w:rsidR="00DF6EA4" w:rsidRPr="003A13C5" w:rsidRDefault="00DF6EA4" w:rsidP="00DF6EA4">
            <w:pPr>
              <w:rPr>
                <w:rFonts w:ascii="Arial" w:hAnsi="Arial" w:cs="Arial"/>
                <w:sz w:val="16"/>
                <w:szCs w:val="16"/>
              </w:rPr>
            </w:pPr>
          </w:p>
        </w:tc>
        <w:tc>
          <w:tcPr>
            <w:tcW w:w="851" w:type="dxa"/>
            <w:shd w:val="clear" w:color="auto" w:fill="auto"/>
            <w:tcMar>
              <w:top w:w="28" w:type="dxa"/>
              <w:left w:w="28" w:type="dxa"/>
            </w:tcMar>
          </w:tcPr>
          <w:p w14:paraId="1F33706D" w14:textId="63E29CA9" w:rsidR="00DF6EA4" w:rsidRPr="003A13C5" w:rsidRDefault="00DF6EA4" w:rsidP="008F5E69">
            <w:pPr>
              <w:spacing w:before="60"/>
              <w:rPr>
                <w:rFonts w:ascii="Arial" w:hAnsi="Arial" w:cs="Arial"/>
                <w:sz w:val="16"/>
                <w:szCs w:val="16"/>
              </w:rPr>
            </w:pPr>
            <w:r w:rsidRPr="003A13C5">
              <w:rPr>
                <w:rFonts w:ascii="Arial" w:eastAsia="Arial" w:hAnsi="Arial" w:cs="Arial"/>
                <w:sz w:val="16"/>
                <w:szCs w:val="16"/>
                <w:lang w:eastAsia="zh-CN"/>
              </w:rPr>
              <w:t>C10350</w:t>
            </w:r>
          </w:p>
        </w:tc>
        <w:tc>
          <w:tcPr>
            <w:tcW w:w="850" w:type="dxa"/>
            <w:shd w:val="clear" w:color="auto" w:fill="auto"/>
            <w:tcMar>
              <w:top w:w="28" w:type="dxa"/>
              <w:left w:w="28" w:type="dxa"/>
            </w:tcMar>
          </w:tcPr>
          <w:p w14:paraId="136CB81A" w14:textId="77777777" w:rsidR="00DF6EA4" w:rsidRPr="003A13C5" w:rsidRDefault="00DF6EA4" w:rsidP="008F5E69">
            <w:pPr>
              <w:spacing w:before="60"/>
              <w:rPr>
                <w:rFonts w:ascii="Arial" w:hAnsi="Arial" w:cs="Arial"/>
                <w:sz w:val="16"/>
                <w:szCs w:val="16"/>
              </w:rPr>
            </w:pPr>
          </w:p>
        </w:tc>
        <w:tc>
          <w:tcPr>
            <w:tcW w:w="7655" w:type="dxa"/>
            <w:shd w:val="clear" w:color="auto" w:fill="auto"/>
            <w:tcMar>
              <w:top w:w="28" w:type="dxa"/>
              <w:left w:w="28" w:type="dxa"/>
            </w:tcMar>
          </w:tcPr>
          <w:p w14:paraId="4CDF8141" w14:textId="15198F67" w:rsidR="00DF6EA4" w:rsidRPr="003A13C5" w:rsidRDefault="00DF6EA4" w:rsidP="008F5E69">
            <w:pPr>
              <w:spacing w:before="60"/>
              <w:rPr>
                <w:rFonts w:ascii="Arial" w:eastAsia="Arial" w:hAnsi="Arial" w:cs="Arial"/>
                <w:sz w:val="16"/>
                <w:szCs w:val="16"/>
                <w:lang w:eastAsia="zh-CN"/>
              </w:rPr>
            </w:pPr>
            <w:r w:rsidRPr="003A13C5">
              <w:rPr>
                <w:rFonts w:ascii="Arial" w:hAnsi="Arial" w:cs="Arial"/>
                <w:sz w:val="16"/>
                <w:szCs w:val="16"/>
              </w:rPr>
              <w:t>Multiple myeloma</w:t>
            </w:r>
            <w:r w:rsidRPr="003A13C5">
              <w:rPr>
                <w:rFonts w:ascii="Arial" w:hAnsi="Arial" w:cs="Arial"/>
                <w:sz w:val="16"/>
                <w:szCs w:val="16"/>
              </w:rPr>
              <w:br/>
              <w:t>Initial treatment as monotherapy or dual combination therapy with dexamethasone for progressive disease</w:t>
            </w:r>
            <w:r w:rsidRPr="003A13C5">
              <w:rPr>
                <w:rFonts w:ascii="Arial" w:hAnsi="Arial" w:cs="Arial"/>
                <w:sz w:val="16"/>
                <w:szCs w:val="16"/>
              </w:rPr>
              <w:br/>
              <w:t>The condition must be confirmed by a histological diagnosis; AND</w:t>
            </w:r>
            <w:r w:rsidRPr="003A13C5">
              <w:rPr>
                <w:rFonts w:ascii="Arial" w:hAnsi="Arial" w:cs="Arial"/>
                <w:sz w:val="16"/>
                <w:szCs w:val="16"/>
              </w:rPr>
              <w:br/>
              <w:t>The treatment must be as monotherapy; OR</w:t>
            </w:r>
            <w:r w:rsidRPr="003A13C5">
              <w:rPr>
                <w:rFonts w:ascii="Arial" w:hAnsi="Arial" w:cs="Arial"/>
                <w:sz w:val="16"/>
                <w:szCs w:val="16"/>
              </w:rPr>
              <w:br/>
              <w:t>The treatment must be in combination with dexamethasone; AND</w:t>
            </w:r>
            <w:r w:rsidRPr="003A13C5">
              <w:rPr>
                <w:rFonts w:ascii="Arial" w:hAnsi="Arial" w:cs="Arial"/>
                <w:sz w:val="16"/>
                <w:szCs w:val="16"/>
              </w:rPr>
              <w:br/>
              <w:t>Patient must have progressive disease after at least one prior therapy; AND</w:t>
            </w:r>
            <w:r w:rsidRPr="003A13C5">
              <w:rPr>
                <w:rFonts w:ascii="Arial" w:hAnsi="Arial" w:cs="Arial"/>
                <w:sz w:val="16"/>
                <w:szCs w:val="16"/>
              </w:rPr>
              <w:br/>
              <w:t>Patient must have undergone or be ineligible for a primary stem cell transplant; AND</w:t>
            </w:r>
            <w:r w:rsidRPr="003A13C5">
              <w:rPr>
                <w:rFonts w:ascii="Arial" w:hAnsi="Arial" w:cs="Arial"/>
                <w:sz w:val="16"/>
                <w:szCs w:val="16"/>
              </w:rPr>
              <w:br/>
              <w:t>Patient must not be receiving concomitant PBS-subsidised bortezomib, carfilzomib or thalidomide or its analogues.</w:t>
            </w:r>
            <w:r w:rsidRPr="003A13C5">
              <w:rPr>
                <w:rFonts w:ascii="Arial" w:hAnsi="Arial" w:cs="Arial"/>
                <w:sz w:val="16"/>
                <w:szCs w:val="16"/>
              </w:rPr>
              <w:br/>
              <w:t>Progressive disease is defined as at least 1 of the following:</w:t>
            </w:r>
            <w:r w:rsidRPr="003A13C5">
              <w:rPr>
                <w:rFonts w:ascii="Arial" w:hAnsi="Arial" w:cs="Arial"/>
                <w:sz w:val="16"/>
                <w:szCs w:val="16"/>
              </w:rPr>
              <w:br/>
              <w:t>(a) at least a 25% increase and an absolute increase of at least 5 g per L in serum M protein (monoclonal protein); or</w:t>
            </w:r>
            <w:r w:rsidRPr="003A13C5">
              <w:rPr>
                <w:rFonts w:ascii="Arial" w:hAnsi="Arial" w:cs="Arial"/>
                <w:sz w:val="16"/>
                <w:szCs w:val="16"/>
              </w:rPr>
              <w:br/>
              <w:t>(b) at least a 25% increase in 24-hour urinary light chain M protein excretion, and an absolute increase of at least 200 mg per 24 hours; or</w:t>
            </w:r>
            <w:r w:rsidRPr="003A13C5">
              <w:rPr>
                <w:rFonts w:ascii="Arial" w:hAnsi="Arial" w:cs="Arial"/>
                <w:sz w:val="16"/>
                <w:szCs w:val="16"/>
              </w:rPr>
              <w:br/>
              <w:t>(c) in oligo-secretory and non-secretory myeloma patients only, at least a 50% increase in the difference between involved free light chain and uninvolved free light chain; or</w:t>
            </w:r>
            <w:r w:rsidRPr="003A13C5">
              <w:rPr>
                <w:rFonts w:ascii="Arial" w:hAnsi="Arial" w:cs="Arial"/>
                <w:sz w:val="16"/>
                <w:szCs w:val="16"/>
              </w:rPr>
              <w:br/>
              <w:t>(d) at least a 25% relative increase and at least a 10% absolute increase in plasma cells in a bone marrow aspirate or on biopsy; or</w:t>
            </w:r>
            <w:r w:rsidRPr="003A13C5">
              <w:rPr>
                <w:rFonts w:ascii="Arial" w:hAnsi="Arial" w:cs="Arial"/>
                <w:sz w:val="16"/>
                <w:szCs w:val="16"/>
              </w:rPr>
              <w:br/>
              <w:t>(e) an increase in the size or number of lytic bone lesions (not including compression fractures); or</w:t>
            </w:r>
            <w:r w:rsidRPr="003A13C5">
              <w:rPr>
                <w:rFonts w:ascii="Arial" w:hAnsi="Arial" w:cs="Arial"/>
                <w:sz w:val="16"/>
                <w:szCs w:val="16"/>
              </w:rPr>
              <w:br/>
              <w:t>(f) at least a 25% increase in the size of an existing or the development of a new soft tissue plasmacytoma (determined by clinical examination or diagnostic imaging); or</w:t>
            </w:r>
            <w:r w:rsidRPr="003A13C5">
              <w:rPr>
                <w:rFonts w:ascii="Arial" w:hAnsi="Arial" w:cs="Arial"/>
                <w:sz w:val="16"/>
                <w:szCs w:val="16"/>
              </w:rPr>
              <w:br/>
              <w:t>(g) development of hypercalcaemia (corrected serum calcium greater than 2.65 mmol per L not attributable to any other cause).</w:t>
            </w:r>
            <w:r w:rsidRPr="003A13C5">
              <w:rPr>
                <w:rFonts w:ascii="Arial" w:hAnsi="Arial" w:cs="Arial"/>
                <w:sz w:val="16"/>
                <w:szCs w:val="16"/>
              </w:rPr>
              <w:br/>
              <w:t>Oligo-secretory and non-secretory patients are defined as having active disease with less than 10 g per L serum M protein.</w:t>
            </w:r>
            <w:r w:rsidRPr="003A13C5">
              <w:rPr>
                <w:rFonts w:ascii="Arial" w:hAnsi="Arial" w:cs="Arial"/>
                <w:sz w:val="16"/>
                <w:szCs w:val="16"/>
              </w:rPr>
              <w:br/>
              <w:t>The authority application must be made in writing and must include:</w:t>
            </w:r>
            <w:r w:rsidRPr="003A13C5">
              <w:rPr>
                <w:rFonts w:ascii="Arial" w:hAnsi="Arial" w:cs="Arial"/>
                <w:sz w:val="16"/>
                <w:szCs w:val="16"/>
              </w:rPr>
              <w:br/>
              <w:t>(1) a completed authority prescription form; and</w:t>
            </w:r>
            <w:r w:rsidRPr="003A13C5">
              <w:rPr>
                <w:rFonts w:ascii="Arial" w:hAnsi="Arial" w:cs="Arial"/>
                <w:sz w:val="16"/>
                <w:szCs w:val="16"/>
              </w:rPr>
              <w:br/>
              <w:t>(2) a completed Multiple Myeloma lenalidomide Authority Application - Supporting Information Form, which includes details of the histological diagnosis of multiple myeloma, prior treatments including name(s) of drug(s) and date of most recent treatment cycle and record of prior stem cell transplant or ineligibility for prior stem cell transplant; details of the basis of the diagnosis of progressive disease or failure to respond; and nomination of which disease activity parameters will be used to assess response; and</w:t>
            </w:r>
            <w:r w:rsidRPr="003A13C5">
              <w:rPr>
                <w:rFonts w:ascii="Arial" w:hAnsi="Arial" w:cs="Arial"/>
                <w:sz w:val="16"/>
                <w:szCs w:val="16"/>
              </w:rPr>
              <w:br/>
              <w:t>(3) a signed patient acknowledgment.</w:t>
            </w:r>
            <w:r w:rsidRPr="003A13C5">
              <w:rPr>
                <w:rFonts w:ascii="Arial" w:hAnsi="Arial" w:cs="Arial"/>
                <w:sz w:val="16"/>
                <w:szCs w:val="16"/>
              </w:rPr>
              <w:br/>
              <w:t>To enable confirmation of eligibility for treatment, current diagnostic reports of at least one of the following must be provided:</w:t>
            </w:r>
            <w:r w:rsidRPr="003A13C5">
              <w:rPr>
                <w:rFonts w:ascii="Arial" w:hAnsi="Arial" w:cs="Arial"/>
                <w:sz w:val="16"/>
                <w:szCs w:val="16"/>
              </w:rPr>
              <w:br/>
              <w:t>(a) the level of serum monoclonal protein; or</w:t>
            </w:r>
            <w:r w:rsidRPr="003A13C5">
              <w:rPr>
                <w:rFonts w:ascii="Arial" w:hAnsi="Arial" w:cs="Arial"/>
                <w:sz w:val="16"/>
                <w:szCs w:val="16"/>
              </w:rPr>
              <w:br/>
              <w:t>(b) Bence-Jones proteinuria - the results of 24-hour urinary light chain M protein excretion; or</w:t>
            </w:r>
            <w:r w:rsidRPr="003A13C5">
              <w:rPr>
                <w:rFonts w:ascii="Arial" w:hAnsi="Arial" w:cs="Arial"/>
                <w:sz w:val="16"/>
                <w:szCs w:val="16"/>
              </w:rPr>
              <w:br/>
              <w:t>(c) the serum level of free kappa and lambda light chains; or</w:t>
            </w:r>
            <w:r w:rsidRPr="003A13C5">
              <w:rPr>
                <w:rFonts w:ascii="Arial" w:hAnsi="Arial" w:cs="Arial"/>
                <w:sz w:val="16"/>
                <w:szCs w:val="16"/>
              </w:rPr>
              <w:br/>
              <w:t>(d) bone marrow aspirate or trephine; or</w:t>
            </w:r>
            <w:r w:rsidRPr="003A13C5">
              <w:rPr>
                <w:rFonts w:ascii="Arial" w:hAnsi="Arial" w:cs="Arial"/>
                <w:sz w:val="16"/>
                <w:szCs w:val="16"/>
              </w:rPr>
              <w:br/>
              <w:t>(e) if present, the size and location of lytic bone lesions (not including compression fractures); or</w:t>
            </w:r>
            <w:r w:rsidRPr="003A13C5">
              <w:rPr>
                <w:rFonts w:ascii="Arial" w:hAnsi="Arial" w:cs="Arial"/>
                <w:sz w:val="16"/>
                <w:szCs w:val="16"/>
              </w:rPr>
              <w:br/>
              <w:t>(f) if present, the size and location of all soft tissue plasmacytomas by clinical or radiographic examination i.e. MRI or CT-scan; or</w:t>
            </w:r>
            <w:r w:rsidRPr="003A13C5">
              <w:rPr>
                <w:rFonts w:ascii="Arial" w:hAnsi="Arial" w:cs="Arial"/>
                <w:sz w:val="16"/>
                <w:szCs w:val="16"/>
              </w:rPr>
              <w:br/>
              <w:t>(g) if present, the level of hypercalcaemia, corrected for albumin concentration.</w:t>
            </w:r>
            <w:r w:rsidRPr="003A13C5">
              <w:rPr>
                <w:rFonts w:ascii="Arial" w:hAnsi="Arial" w:cs="Arial"/>
                <w:sz w:val="16"/>
                <w:szCs w:val="16"/>
              </w:rPr>
              <w:br/>
              <w:t xml:space="preserve">As these parameters will be used to determine response, results for either (a) or (b) or (c) should be provided for all patients. Where the patient has oligo-secretory or non-secretory multiple myeloma, either (c) or (d) or if relevant (e), (f) or (g) should be provided. Where the prescriber plans to assess response in </w:t>
            </w:r>
            <w:r w:rsidRPr="003A13C5">
              <w:rPr>
                <w:rFonts w:ascii="Arial" w:hAnsi="Arial" w:cs="Arial"/>
                <w:sz w:val="16"/>
                <w:szCs w:val="16"/>
              </w:rPr>
              <w:lastRenderedPageBreak/>
              <w:t>patients with oligo-secretory or non-secretory multiple myeloma with free light chain assays, evidence of the oligo-secretory or non-secretory nature of the multiple myeloma (current serum M protein less than 10 g per L) must be provided.</w:t>
            </w:r>
            <w:r w:rsidRPr="003A13C5">
              <w:rPr>
                <w:rFonts w:ascii="Arial" w:hAnsi="Arial" w:cs="Arial"/>
                <w:sz w:val="16"/>
                <w:szCs w:val="16"/>
              </w:rPr>
              <w:br/>
              <w:t>Patients receiving lenalidomide under the PBS listing must be registered in the i-access risk management program.</w:t>
            </w:r>
          </w:p>
        </w:tc>
        <w:tc>
          <w:tcPr>
            <w:tcW w:w="2693" w:type="dxa"/>
            <w:shd w:val="clear" w:color="auto" w:fill="auto"/>
            <w:tcMar>
              <w:top w:w="28" w:type="dxa"/>
              <w:left w:w="28" w:type="dxa"/>
              <w:right w:w="57" w:type="dxa"/>
            </w:tcMar>
          </w:tcPr>
          <w:p w14:paraId="356E8337" w14:textId="12C1D6DC" w:rsidR="00DF6EA4" w:rsidRPr="003A13C5" w:rsidRDefault="00DF6EA4" w:rsidP="008F5E69">
            <w:pPr>
              <w:spacing w:before="60"/>
              <w:rPr>
                <w:rFonts w:ascii="Arial" w:eastAsia="Arial" w:hAnsi="Arial" w:cs="Arial"/>
                <w:sz w:val="16"/>
                <w:szCs w:val="16"/>
                <w:lang w:eastAsia="zh-CN"/>
              </w:rPr>
            </w:pPr>
            <w:r w:rsidRPr="003A13C5">
              <w:rPr>
                <w:rFonts w:ascii="Arial" w:eastAsia="Arial" w:hAnsi="Arial" w:cs="Arial"/>
                <w:sz w:val="16"/>
                <w:szCs w:val="16"/>
                <w:lang w:eastAsia="zh-CN"/>
              </w:rPr>
              <w:lastRenderedPageBreak/>
              <w:t>Compliance with Written Authority Required procedures</w:t>
            </w:r>
          </w:p>
        </w:tc>
      </w:tr>
      <w:tr w:rsidR="00DF6EA4" w:rsidRPr="003A13C5" w14:paraId="567EDB0A" w14:textId="77777777" w:rsidTr="004A6516">
        <w:tc>
          <w:tcPr>
            <w:tcW w:w="1838" w:type="dxa"/>
            <w:shd w:val="clear" w:color="auto" w:fill="auto"/>
            <w:tcMar>
              <w:top w:w="28" w:type="dxa"/>
              <w:left w:w="28" w:type="dxa"/>
            </w:tcMar>
          </w:tcPr>
          <w:p w14:paraId="455DC1DD" w14:textId="77777777" w:rsidR="00DF6EA4" w:rsidRPr="003A13C5" w:rsidRDefault="00DF6EA4" w:rsidP="00DF6EA4">
            <w:pPr>
              <w:rPr>
                <w:rFonts w:ascii="Arial" w:hAnsi="Arial" w:cs="Arial"/>
                <w:sz w:val="16"/>
                <w:szCs w:val="16"/>
              </w:rPr>
            </w:pPr>
          </w:p>
        </w:tc>
        <w:tc>
          <w:tcPr>
            <w:tcW w:w="851" w:type="dxa"/>
            <w:shd w:val="clear" w:color="auto" w:fill="auto"/>
            <w:tcMar>
              <w:top w:w="28" w:type="dxa"/>
              <w:left w:w="28" w:type="dxa"/>
            </w:tcMar>
          </w:tcPr>
          <w:p w14:paraId="38E30457" w14:textId="315C7A8F" w:rsidR="00DF6EA4" w:rsidRPr="003A13C5" w:rsidRDefault="00DF6EA4" w:rsidP="008F5E69">
            <w:pPr>
              <w:spacing w:before="60"/>
              <w:rPr>
                <w:rFonts w:ascii="Arial" w:hAnsi="Arial" w:cs="Arial"/>
                <w:sz w:val="16"/>
                <w:szCs w:val="16"/>
              </w:rPr>
            </w:pPr>
            <w:r w:rsidRPr="003A13C5">
              <w:rPr>
                <w:rFonts w:ascii="Arial" w:eastAsia="Arial" w:hAnsi="Arial" w:cs="Arial"/>
                <w:sz w:val="16"/>
                <w:szCs w:val="16"/>
                <w:lang w:eastAsia="zh-CN"/>
              </w:rPr>
              <w:t>C10373</w:t>
            </w:r>
          </w:p>
        </w:tc>
        <w:tc>
          <w:tcPr>
            <w:tcW w:w="850" w:type="dxa"/>
            <w:shd w:val="clear" w:color="auto" w:fill="auto"/>
            <w:tcMar>
              <w:top w:w="28" w:type="dxa"/>
              <w:left w:w="28" w:type="dxa"/>
            </w:tcMar>
          </w:tcPr>
          <w:p w14:paraId="782A5B43" w14:textId="77777777" w:rsidR="00DF6EA4" w:rsidRPr="003A13C5" w:rsidRDefault="00DF6EA4" w:rsidP="008F5E69">
            <w:pPr>
              <w:spacing w:before="60"/>
              <w:rPr>
                <w:rFonts w:ascii="Arial" w:hAnsi="Arial" w:cs="Arial"/>
                <w:sz w:val="16"/>
                <w:szCs w:val="16"/>
              </w:rPr>
            </w:pPr>
          </w:p>
        </w:tc>
        <w:tc>
          <w:tcPr>
            <w:tcW w:w="7655" w:type="dxa"/>
            <w:shd w:val="clear" w:color="auto" w:fill="auto"/>
            <w:tcMar>
              <w:top w:w="28" w:type="dxa"/>
              <w:left w:w="28" w:type="dxa"/>
            </w:tcMar>
          </w:tcPr>
          <w:p w14:paraId="0BFC1B7E" w14:textId="0597D240" w:rsidR="00DF6EA4" w:rsidRPr="003A13C5" w:rsidRDefault="00DF6EA4" w:rsidP="008F5E69">
            <w:pPr>
              <w:spacing w:before="60"/>
              <w:rPr>
                <w:rFonts w:ascii="Arial" w:eastAsia="Arial" w:hAnsi="Arial" w:cs="Arial"/>
                <w:sz w:val="16"/>
                <w:szCs w:val="16"/>
                <w:lang w:eastAsia="zh-CN"/>
              </w:rPr>
            </w:pPr>
            <w:r w:rsidRPr="003A13C5">
              <w:rPr>
                <w:rFonts w:ascii="Arial" w:hAnsi="Arial" w:cs="Arial"/>
                <w:sz w:val="16"/>
                <w:szCs w:val="16"/>
              </w:rPr>
              <w:t>Multiple myeloma</w:t>
            </w:r>
            <w:r w:rsidRPr="003A13C5">
              <w:rPr>
                <w:rFonts w:ascii="Arial" w:hAnsi="Arial" w:cs="Arial"/>
                <w:sz w:val="16"/>
                <w:szCs w:val="16"/>
              </w:rPr>
              <w:br/>
              <w:t>Initial treatment in combination with dexamethasone, of newly diagnosed disease in a patient ineligible for stem cell transplantation</w:t>
            </w:r>
            <w:r w:rsidRPr="003A13C5">
              <w:rPr>
                <w:rFonts w:ascii="Arial" w:hAnsi="Arial" w:cs="Arial"/>
                <w:sz w:val="16"/>
                <w:szCs w:val="16"/>
              </w:rPr>
              <w:br/>
              <w:t>The condition must be newly diagnosed; AND</w:t>
            </w:r>
            <w:r w:rsidRPr="003A13C5">
              <w:rPr>
                <w:rFonts w:ascii="Arial" w:hAnsi="Arial" w:cs="Arial"/>
                <w:sz w:val="16"/>
                <w:szCs w:val="16"/>
              </w:rPr>
              <w:br/>
              <w:t>The condition must be confirmed by a histological diagnosis; AND</w:t>
            </w:r>
            <w:r w:rsidRPr="003A13C5">
              <w:rPr>
                <w:rFonts w:ascii="Arial" w:hAnsi="Arial" w:cs="Arial"/>
                <w:sz w:val="16"/>
                <w:szCs w:val="16"/>
              </w:rPr>
              <w:br/>
              <w:t>Patient must be ineligible for a primary stem cell transplantation; AND</w:t>
            </w:r>
            <w:r w:rsidRPr="003A13C5">
              <w:rPr>
                <w:rFonts w:ascii="Arial" w:hAnsi="Arial" w:cs="Arial"/>
                <w:sz w:val="16"/>
                <w:szCs w:val="16"/>
              </w:rPr>
              <w:br/>
              <w:t>Patient must not be receiving concomitant PBS-subsidised bortezomib, thalidomide or its analogues; AND</w:t>
            </w:r>
            <w:r w:rsidRPr="003A13C5">
              <w:rPr>
                <w:rFonts w:ascii="Arial" w:hAnsi="Arial" w:cs="Arial"/>
                <w:sz w:val="16"/>
                <w:szCs w:val="16"/>
              </w:rPr>
              <w:br/>
              <w:t>The treatment must be in combination with dexamethasone.</w:t>
            </w:r>
            <w:r w:rsidRPr="003A13C5">
              <w:rPr>
                <w:rFonts w:ascii="Arial" w:hAnsi="Arial" w:cs="Arial"/>
                <w:sz w:val="16"/>
                <w:szCs w:val="16"/>
              </w:rPr>
              <w:br/>
              <w:t>The authority application must be made in writing and must include:</w:t>
            </w:r>
            <w:r w:rsidRPr="003A13C5">
              <w:rPr>
                <w:rFonts w:ascii="Arial" w:hAnsi="Arial" w:cs="Arial"/>
                <w:sz w:val="16"/>
                <w:szCs w:val="16"/>
              </w:rPr>
              <w:br/>
              <w:t>(1) a completed authority prescription form; and</w:t>
            </w:r>
            <w:r w:rsidRPr="003A13C5">
              <w:rPr>
                <w:rFonts w:ascii="Arial" w:hAnsi="Arial" w:cs="Arial"/>
                <w:sz w:val="16"/>
                <w:szCs w:val="16"/>
              </w:rPr>
              <w:br/>
              <w:t>(2) a completed Multiple Myeloma lenalidomide Authority Application - Supporting Information Form, which includes details of the histological diagnosis of multiple myeloma, and ineligibility for prior stem cell transplant; and nomination of which disease activity parameters will be used to assess response; and</w:t>
            </w:r>
            <w:r w:rsidRPr="003A13C5">
              <w:rPr>
                <w:rFonts w:ascii="Arial" w:hAnsi="Arial" w:cs="Arial"/>
                <w:sz w:val="16"/>
                <w:szCs w:val="16"/>
              </w:rPr>
              <w:br/>
              <w:t>(3) a signed patient acknowledgement.</w:t>
            </w:r>
            <w:r w:rsidRPr="003A13C5">
              <w:rPr>
                <w:rFonts w:ascii="Arial" w:hAnsi="Arial" w:cs="Arial"/>
                <w:sz w:val="16"/>
                <w:szCs w:val="16"/>
              </w:rPr>
              <w:br/>
              <w:t>To enable confirmation of eligibility for treatment, current diagnostic reports of at least one of the following must be provided:</w:t>
            </w:r>
            <w:r w:rsidRPr="003A13C5">
              <w:rPr>
                <w:rFonts w:ascii="Arial" w:hAnsi="Arial" w:cs="Arial"/>
                <w:sz w:val="16"/>
                <w:szCs w:val="16"/>
              </w:rPr>
              <w:br/>
              <w:t>(a) the level of serum monoclonal protein; or</w:t>
            </w:r>
            <w:r w:rsidRPr="003A13C5">
              <w:rPr>
                <w:rFonts w:ascii="Arial" w:hAnsi="Arial" w:cs="Arial"/>
                <w:sz w:val="16"/>
                <w:szCs w:val="16"/>
              </w:rPr>
              <w:br/>
              <w:t>(b) Bence-Jones proteinuria - the results of 24-hour urinary light chain M protein excretion; or</w:t>
            </w:r>
            <w:r w:rsidRPr="003A13C5">
              <w:rPr>
                <w:rFonts w:ascii="Arial" w:hAnsi="Arial" w:cs="Arial"/>
                <w:sz w:val="16"/>
                <w:szCs w:val="16"/>
              </w:rPr>
              <w:br/>
              <w:t>(c) the serum level of free kappa and lambda light chains; or</w:t>
            </w:r>
            <w:r w:rsidRPr="003A13C5">
              <w:rPr>
                <w:rFonts w:ascii="Arial" w:hAnsi="Arial" w:cs="Arial"/>
                <w:sz w:val="16"/>
                <w:szCs w:val="16"/>
              </w:rPr>
              <w:br/>
              <w:t>(d) bone marrow aspirate or trephine; or</w:t>
            </w:r>
            <w:r w:rsidRPr="003A13C5">
              <w:rPr>
                <w:rFonts w:ascii="Arial" w:hAnsi="Arial" w:cs="Arial"/>
                <w:sz w:val="16"/>
                <w:szCs w:val="16"/>
              </w:rPr>
              <w:br/>
              <w:t>(e) if present, the size and location of lytic bone lesions (not including compression fractures); or</w:t>
            </w:r>
            <w:r w:rsidRPr="003A13C5">
              <w:rPr>
                <w:rFonts w:ascii="Arial" w:hAnsi="Arial" w:cs="Arial"/>
                <w:sz w:val="16"/>
                <w:szCs w:val="16"/>
              </w:rPr>
              <w:br/>
              <w:t>(f) if present, the size and location of all soft tissue plasmacytomas by clinical or radiographic examination i.e. MRI or CT-scan; or</w:t>
            </w:r>
            <w:r w:rsidRPr="003A13C5">
              <w:rPr>
                <w:rFonts w:ascii="Arial" w:hAnsi="Arial" w:cs="Arial"/>
                <w:sz w:val="16"/>
                <w:szCs w:val="16"/>
              </w:rPr>
              <w:br/>
              <w:t>(g) if present, the level of hypercalcaemia, corrected for albumin concentration.</w:t>
            </w:r>
            <w:r w:rsidRPr="003A13C5">
              <w:rPr>
                <w:rFonts w:ascii="Arial" w:hAnsi="Arial" w:cs="Arial"/>
                <w:sz w:val="16"/>
                <w:szCs w:val="16"/>
              </w:rPr>
              <w:br/>
              <w:t>As these parameters will be used to determine response, results for either (a) or (b) or (c) should be provided for all patients. Where the patient has oligo-secretory or non-secretory multiple myeloma, either (c) or (d) or if relevant (e), (f) or (g) should be provided. Where the prescriber plans to assess response in patients with oligo-secretory or non-secretory multiple myeloma with free light chain assays, evidence of the oligo-secretory or non-secretory nature of the multiple myeloma (current serum M protein less than 10 g per L) must be provided.</w:t>
            </w:r>
            <w:r w:rsidRPr="003A13C5">
              <w:rPr>
                <w:rFonts w:ascii="Arial" w:hAnsi="Arial" w:cs="Arial"/>
                <w:sz w:val="16"/>
                <w:szCs w:val="16"/>
              </w:rPr>
              <w:br/>
              <w:t>Patients receiving this drug under the PBS listing must be registered in the i-access risk management program.</w:t>
            </w:r>
          </w:p>
        </w:tc>
        <w:tc>
          <w:tcPr>
            <w:tcW w:w="2693" w:type="dxa"/>
            <w:shd w:val="clear" w:color="auto" w:fill="auto"/>
            <w:tcMar>
              <w:top w:w="28" w:type="dxa"/>
              <w:left w:w="28" w:type="dxa"/>
              <w:right w:w="57" w:type="dxa"/>
            </w:tcMar>
          </w:tcPr>
          <w:p w14:paraId="61B777E1" w14:textId="1A6151AB" w:rsidR="00DF6EA4" w:rsidRPr="003A13C5" w:rsidRDefault="00DF6EA4" w:rsidP="008F5E69">
            <w:pPr>
              <w:spacing w:before="60"/>
              <w:rPr>
                <w:rFonts w:ascii="Arial" w:eastAsia="Arial" w:hAnsi="Arial" w:cs="Arial"/>
                <w:sz w:val="16"/>
                <w:szCs w:val="16"/>
                <w:lang w:eastAsia="zh-CN"/>
              </w:rPr>
            </w:pPr>
            <w:r w:rsidRPr="003A13C5">
              <w:rPr>
                <w:rFonts w:ascii="Arial" w:eastAsia="Arial" w:hAnsi="Arial" w:cs="Arial"/>
                <w:sz w:val="16"/>
                <w:szCs w:val="16"/>
                <w:lang w:eastAsia="zh-CN"/>
              </w:rPr>
              <w:t>Compliance with Written Authority Required procedures</w:t>
            </w:r>
          </w:p>
        </w:tc>
      </w:tr>
      <w:tr w:rsidR="008F5E69" w:rsidRPr="003A13C5" w14:paraId="5A31687D" w14:textId="77777777" w:rsidTr="004A6516">
        <w:tc>
          <w:tcPr>
            <w:tcW w:w="1838" w:type="dxa"/>
            <w:shd w:val="clear" w:color="auto" w:fill="auto"/>
            <w:tcMar>
              <w:top w:w="28" w:type="dxa"/>
              <w:left w:w="28" w:type="dxa"/>
            </w:tcMar>
          </w:tcPr>
          <w:p w14:paraId="134D48FA" w14:textId="77777777" w:rsidR="008F5E69" w:rsidRPr="003A13C5" w:rsidRDefault="008F5E69" w:rsidP="00DF6EA4">
            <w:pPr>
              <w:rPr>
                <w:rFonts w:ascii="Arial" w:hAnsi="Arial" w:cs="Arial"/>
                <w:sz w:val="16"/>
                <w:szCs w:val="16"/>
              </w:rPr>
            </w:pPr>
          </w:p>
        </w:tc>
        <w:tc>
          <w:tcPr>
            <w:tcW w:w="851" w:type="dxa"/>
            <w:shd w:val="clear" w:color="auto" w:fill="auto"/>
            <w:tcMar>
              <w:top w:w="28" w:type="dxa"/>
              <w:left w:w="28" w:type="dxa"/>
            </w:tcMar>
          </w:tcPr>
          <w:p w14:paraId="16F55A2B" w14:textId="5FF32C4A" w:rsidR="008F5E69" w:rsidRPr="003A13C5" w:rsidRDefault="008F5E69" w:rsidP="008F5E69">
            <w:pPr>
              <w:spacing w:before="60"/>
              <w:rPr>
                <w:rFonts w:ascii="Arial" w:eastAsia="Arial" w:hAnsi="Arial" w:cs="Arial"/>
                <w:sz w:val="16"/>
                <w:szCs w:val="16"/>
                <w:lang w:eastAsia="zh-CN"/>
              </w:rPr>
            </w:pPr>
            <w:r w:rsidRPr="003A13C5">
              <w:rPr>
                <w:rFonts w:ascii="Arial" w:eastAsia="Arial" w:hAnsi="Arial" w:cs="Arial"/>
                <w:sz w:val="16"/>
                <w:szCs w:val="16"/>
                <w:lang w:eastAsia="zh-CN"/>
              </w:rPr>
              <w:t>C10421</w:t>
            </w:r>
          </w:p>
        </w:tc>
        <w:tc>
          <w:tcPr>
            <w:tcW w:w="850" w:type="dxa"/>
            <w:shd w:val="clear" w:color="auto" w:fill="auto"/>
            <w:tcMar>
              <w:top w:w="28" w:type="dxa"/>
              <w:left w:w="28" w:type="dxa"/>
            </w:tcMar>
          </w:tcPr>
          <w:p w14:paraId="5D90D1B3" w14:textId="77777777" w:rsidR="008F5E69" w:rsidRPr="003A13C5" w:rsidRDefault="008F5E69" w:rsidP="008F5E69">
            <w:pPr>
              <w:spacing w:before="60"/>
              <w:rPr>
                <w:rFonts w:ascii="Arial" w:hAnsi="Arial" w:cs="Arial"/>
                <w:sz w:val="16"/>
                <w:szCs w:val="16"/>
              </w:rPr>
            </w:pPr>
          </w:p>
        </w:tc>
        <w:tc>
          <w:tcPr>
            <w:tcW w:w="7655" w:type="dxa"/>
            <w:shd w:val="clear" w:color="auto" w:fill="auto"/>
            <w:tcMar>
              <w:top w:w="28" w:type="dxa"/>
              <w:left w:w="28" w:type="dxa"/>
            </w:tcMar>
          </w:tcPr>
          <w:p w14:paraId="17C9B511" w14:textId="6127F563" w:rsidR="008F5E69" w:rsidRPr="003A13C5" w:rsidRDefault="008F5E69" w:rsidP="008F5E69">
            <w:pPr>
              <w:pStyle w:val="mps3-data"/>
              <w:rPr>
                <w:szCs w:val="16"/>
              </w:rPr>
            </w:pPr>
            <w:r w:rsidRPr="003A13C5">
              <w:rPr>
                <w:szCs w:val="16"/>
              </w:rPr>
              <w:t>Multiple myeloma</w:t>
            </w:r>
            <w:r w:rsidRPr="003A13C5">
              <w:rPr>
                <w:szCs w:val="16"/>
              </w:rPr>
              <w:br/>
              <w:t>Continuing treatment until progression in patients treated with dual combination therapy (lenalidomide and dexamethasone)</w:t>
            </w:r>
            <w:r w:rsidRPr="003A13C5">
              <w:rPr>
                <w:szCs w:val="16"/>
              </w:rPr>
              <w:br/>
              <w:t>Patient must have previously been authorised with a PBS prescription with this drug for the condition; AND</w:t>
            </w:r>
            <w:r w:rsidRPr="003A13C5">
              <w:rPr>
                <w:szCs w:val="16"/>
              </w:rPr>
              <w:br/>
              <w:t>Patient must not have demonstrated progressive disease; AND</w:t>
            </w:r>
            <w:r w:rsidRPr="003A13C5">
              <w:rPr>
                <w:szCs w:val="16"/>
              </w:rPr>
              <w:br/>
              <w:t>Patient must not be receiving concomitant PBS-subsidised bortezomib, thalidomide or its analogues; AND</w:t>
            </w:r>
            <w:r w:rsidRPr="003A13C5">
              <w:rPr>
                <w:szCs w:val="16"/>
              </w:rPr>
              <w:br/>
              <w:t>The treatment must be in combination with dexamethasone.</w:t>
            </w:r>
            <w:r w:rsidRPr="003A13C5">
              <w:rPr>
                <w:szCs w:val="16"/>
              </w:rPr>
              <w:br/>
              <w:t>Progressive disease is defined as at least 1 of the following:</w:t>
            </w:r>
            <w:r w:rsidRPr="003A13C5">
              <w:rPr>
                <w:szCs w:val="16"/>
              </w:rPr>
              <w:br/>
              <w:t>(a) at least a 25% increase and an absolute increase of at least 5 g per L in serum M protein (monoclonal protein); or</w:t>
            </w:r>
            <w:r w:rsidRPr="003A13C5">
              <w:rPr>
                <w:szCs w:val="16"/>
              </w:rPr>
              <w:br/>
              <w:t xml:space="preserve">(b) at least a 25% increase in 24-hour urinary light chain M protein excretion, and an absolute increase of </w:t>
            </w:r>
            <w:r w:rsidRPr="003A13C5">
              <w:rPr>
                <w:szCs w:val="16"/>
              </w:rPr>
              <w:lastRenderedPageBreak/>
              <w:t>at least 200 mg per 24 hours; or</w:t>
            </w:r>
            <w:r w:rsidRPr="003A13C5">
              <w:rPr>
                <w:szCs w:val="16"/>
              </w:rPr>
              <w:br/>
              <w:t>(c) in oligo-secretory and non-secretory myeloma patients only, at least a 50% increase in the difference between involved free light chain and uninvolved free light chain; or</w:t>
            </w:r>
            <w:r w:rsidRPr="003A13C5">
              <w:rPr>
                <w:szCs w:val="16"/>
              </w:rPr>
              <w:br/>
              <w:t>(d) at least a 25% relative increase and at least a 10% absolute increase in plasma cells in a bone marrow aspirate or on biopsy; or</w:t>
            </w:r>
            <w:r w:rsidRPr="003A13C5">
              <w:rPr>
                <w:szCs w:val="16"/>
              </w:rPr>
              <w:br/>
              <w:t>(e) an increase in the size or number of lytic bone lesions (not including compression fractures); or</w:t>
            </w:r>
            <w:r w:rsidRPr="003A13C5">
              <w:rPr>
                <w:szCs w:val="16"/>
              </w:rPr>
              <w:br/>
              <w:t>(f) at least a 25% increase in the size of an existing or the development of a new soft tissue plasmacytoma (determined by clinical examination or diagnostic imaging); or</w:t>
            </w:r>
            <w:r w:rsidRPr="003A13C5">
              <w:rPr>
                <w:szCs w:val="16"/>
              </w:rPr>
              <w:br/>
              <w:t>(g) development of hypercalcaemia (corrected serum calcium greater than 2.65 mmol per L not attributable to any other cause).</w:t>
            </w:r>
            <w:r w:rsidRPr="003A13C5">
              <w:rPr>
                <w:szCs w:val="16"/>
              </w:rPr>
              <w:br/>
              <w:t>Oligo-secretory and non-secretory patients are defined as having active disease with less than 10 g per L serum M protein.</w:t>
            </w:r>
            <w:r w:rsidRPr="003A13C5">
              <w:rPr>
                <w:szCs w:val="16"/>
              </w:rPr>
              <w:br/>
              <w:t>Patients receiving this drug under the PBS listing must be registered in the i-access risk management program.</w:t>
            </w:r>
          </w:p>
        </w:tc>
        <w:tc>
          <w:tcPr>
            <w:tcW w:w="2693" w:type="dxa"/>
            <w:shd w:val="clear" w:color="auto" w:fill="auto"/>
            <w:tcMar>
              <w:top w:w="28" w:type="dxa"/>
              <w:left w:w="28" w:type="dxa"/>
              <w:right w:w="57" w:type="dxa"/>
            </w:tcMar>
          </w:tcPr>
          <w:p w14:paraId="30341C60" w14:textId="08387740" w:rsidR="008F5E69" w:rsidRPr="003A13C5" w:rsidRDefault="008F5E69" w:rsidP="008F5E69">
            <w:pPr>
              <w:spacing w:before="60"/>
              <w:rPr>
                <w:rFonts w:ascii="Arial" w:eastAsia="Arial" w:hAnsi="Arial" w:cs="Arial"/>
                <w:sz w:val="16"/>
                <w:szCs w:val="16"/>
                <w:lang w:eastAsia="zh-CN"/>
              </w:rPr>
            </w:pPr>
            <w:r w:rsidRPr="003A13C5">
              <w:rPr>
                <w:rFonts w:ascii="Arial" w:eastAsia="Arial" w:hAnsi="Arial" w:cs="Arial"/>
                <w:sz w:val="16"/>
                <w:szCs w:val="16"/>
                <w:lang w:eastAsia="zh-CN"/>
              </w:rPr>
              <w:lastRenderedPageBreak/>
              <w:t>Compliance with Authority Required procedures</w:t>
            </w:r>
          </w:p>
        </w:tc>
      </w:tr>
    </w:tbl>
    <w:p w14:paraId="163D4E2F" w14:textId="0AE3D866" w:rsidR="00FA3954" w:rsidRPr="003A13C5" w:rsidRDefault="00FA3954" w:rsidP="00FA3954">
      <w:pPr>
        <w:widowControl w:val="0"/>
        <w:numPr>
          <w:ilvl w:val="0"/>
          <w:numId w:val="5"/>
        </w:numPr>
        <w:tabs>
          <w:tab w:val="clear" w:pos="794"/>
        </w:tabs>
        <w:spacing w:before="120"/>
        <w:ind w:left="567" w:hanging="567"/>
        <w:outlineLvl w:val="1"/>
        <w:rPr>
          <w:rFonts w:ascii="Arial" w:hAnsi="Arial" w:cs="Arial"/>
          <w:b/>
          <w:bCs/>
          <w:sz w:val="20"/>
        </w:rPr>
      </w:pPr>
      <w:r w:rsidRPr="003A13C5">
        <w:rPr>
          <w:rFonts w:ascii="Arial" w:hAnsi="Arial" w:cs="Arial"/>
          <w:b/>
          <w:bCs/>
          <w:sz w:val="20"/>
        </w:rPr>
        <w:t>Schedule 3, entry for Levodopa with carbidopa</w:t>
      </w:r>
    </w:p>
    <w:p w14:paraId="388B4942" w14:textId="314B7699" w:rsidR="00CB6975" w:rsidRPr="003A13C5" w:rsidRDefault="00FA3954" w:rsidP="00FA3954">
      <w:pPr>
        <w:pStyle w:val="Amendment3"/>
        <w:numPr>
          <w:ilvl w:val="2"/>
          <w:numId w:val="5"/>
        </w:numPr>
        <w:tabs>
          <w:tab w:val="clear" w:pos="1474"/>
        </w:tabs>
        <w:ind w:left="1134" w:hanging="283"/>
        <w:outlineLvl w:val="1"/>
        <w:rPr>
          <w:rFonts w:ascii="Arial" w:hAnsi="Arial" w:cs="Arial"/>
          <w:b/>
          <w:bCs/>
          <w:sz w:val="16"/>
        </w:rPr>
      </w:pPr>
      <w:r w:rsidRPr="003A13C5">
        <w:rPr>
          <w:i/>
        </w:rPr>
        <w:t>omit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38"/>
        <w:gridCol w:w="851"/>
        <w:gridCol w:w="850"/>
        <w:gridCol w:w="7655"/>
        <w:gridCol w:w="2693"/>
      </w:tblGrid>
      <w:tr w:rsidR="00FA3954" w:rsidRPr="003A13C5" w14:paraId="44AE76FD" w14:textId="77777777" w:rsidTr="004A6516">
        <w:tc>
          <w:tcPr>
            <w:tcW w:w="1838" w:type="dxa"/>
            <w:shd w:val="clear" w:color="auto" w:fill="auto"/>
            <w:tcMar>
              <w:top w:w="28" w:type="dxa"/>
              <w:left w:w="28" w:type="dxa"/>
            </w:tcMar>
          </w:tcPr>
          <w:p w14:paraId="11AA5642" w14:textId="77777777" w:rsidR="00FA3954" w:rsidRPr="003A13C5" w:rsidRDefault="00FA3954" w:rsidP="00FA3954">
            <w:pPr>
              <w:rPr>
                <w:rFonts w:ascii="Arial" w:hAnsi="Arial" w:cs="Arial"/>
                <w:sz w:val="16"/>
                <w:szCs w:val="16"/>
              </w:rPr>
            </w:pPr>
          </w:p>
        </w:tc>
        <w:tc>
          <w:tcPr>
            <w:tcW w:w="851" w:type="dxa"/>
            <w:shd w:val="clear" w:color="auto" w:fill="auto"/>
            <w:tcMar>
              <w:top w:w="28" w:type="dxa"/>
              <w:left w:w="28" w:type="dxa"/>
            </w:tcMar>
          </w:tcPr>
          <w:p w14:paraId="4EBBCFAF" w14:textId="2F49EB25" w:rsidR="00FA3954" w:rsidRPr="003A13C5" w:rsidRDefault="00FA3954" w:rsidP="008F5E69">
            <w:pPr>
              <w:spacing w:before="60"/>
              <w:rPr>
                <w:rFonts w:ascii="Arial" w:hAnsi="Arial" w:cs="Arial"/>
                <w:sz w:val="16"/>
                <w:szCs w:val="16"/>
              </w:rPr>
            </w:pPr>
            <w:r w:rsidRPr="003A13C5">
              <w:rPr>
                <w:rFonts w:ascii="Arial" w:hAnsi="Arial" w:cs="Arial"/>
                <w:sz w:val="16"/>
                <w:szCs w:val="16"/>
              </w:rPr>
              <w:t>C10160</w:t>
            </w:r>
          </w:p>
        </w:tc>
        <w:tc>
          <w:tcPr>
            <w:tcW w:w="850" w:type="dxa"/>
            <w:shd w:val="clear" w:color="auto" w:fill="auto"/>
            <w:tcMar>
              <w:top w:w="28" w:type="dxa"/>
              <w:left w:w="28" w:type="dxa"/>
            </w:tcMar>
          </w:tcPr>
          <w:p w14:paraId="161B3EC6" w14:textId="41CEC272" w:rsidR="00FA3954" w:rsidRPr="003A13C5" w:rsidRDefault="00FA3954" w:rsidP="008F5E69">
            <w:pPr>
              <w:spacing w:before="60"/>
              <w:rPr>
                <w:rFonts w:ascii="Arial" w:hAnsi="Arial" w:cs="Arial"/>
                <w:sz w:val="16"/>
                <w:szCs w:val="16"/>
              </w:rPr>
            </w:pPr>
            <w:r w:rsidRPr="003A13C5">
              <w:rPr>
                <w:rFonts w:ascii="Arial" w:hAnsi="Arial" w:cs="Arial"/>
                <w:sz w:val="16"/>
                <w:szCs w:val="16"/>
                <w:lang w:eastAsia="en-AU"/>
              </w:rPr>
              <w:t>P10160</w:t>
            </w:r>
          </w:p>
        </w:tc>
        <w:tc>
          <w:tcPr>
            <w:tcW w:w="7655" w:type="dxa"/>
            <w:shd w:val="clear" w:color="auto" w:fill="auto"/>
            <w:tcMar>
              <w:top w:w="28" w:type="dxa"/>
              <w:left w:w="28" w:type="dxa"/>
            </w:tcMar>
          </w:tcPr>
          <w:p w14:paraId="2E43EF5F" w14:textId="340662FF" w:rsidR="00FA3954" w:rsidRPr="003A13C5" w:rsidRDefault="00FA3954" w:rsidP="008F5E69">
            <w:pPr>
              <w:spacing w:before="60"/>
              <w:rPr>
                <w:rFonts w:ascii="Arial" w:hAnsi="Arial" w:cs="Arial"/>
                <w:sz w:val="16"/>
              </w:rPr>
            </w:pPr>
            <w:r w:rsidRPr="003A13C5">
              <w:rPr>
                <w:rFonts w:ascii="Arial" w:hAnsi="Arial" w:cs="Arial"/>
                <w:sz w:val="16"/>
              </w:rPr>
              <w:t>Advanced Parkinson disease</w:t>
            </w:r>
            <w:r w:rsidRPr="003A13C5">
              <w:rPr>
                <w:rFonts w:ascii="Arial" w:hAnsi="Arial" w:cs="Arial"/>
                <w:sz w:val="16"/>
              </w:rPr>
              <w:br/>
              <w:t>Patient must have severe disabling motor fluctuations not adequately controlled by oral therapy; AND</w:t>
            </w:r>
            <w:r w:rsidRPr="003A13C5">
              <w:rPr>
                <w:rFonts w:ascii="Arial" w:hAnsi="Arial" w:cs="Arial"/>
                <w:sz w:val="16"/>
              </w:rPr>
              <w:br/>
              <w:t>The treatment must be commenced in a hospital-based movement disorder clinic; AND</w:t>
            </w:r>
            <w:r w:rsidRPr="003A13C5">
              <w:rPr>
                <w:rFonts w:ascii="Arial" w:hAnsi="Arial" w:cs="Arial"/>
                <w:sz w:val="16"/>
              </w:rPr>
              <w:br/>
              <w:t>Patient must be undergoing continuous treatment with a dose greater than 2000 mg of levodopa per day without an overnight break.</w:t>
            </w:r>
          </w:p>
        </w:tc>
        <w:tc>
          <w:tcPr>
            <w:tcW w:w="2693" w:type="dxa"/>
            <w:shd w:val="clear" w:color="auto" w:fill="auto"/>
            <w:tcMar>
              <w:top w:w="28" w:type="dxa"/>
              <w:left w:w="28" w:type="dxa"/>
              <w:right w:w="57" w:type="dxa"/>
            </w:tcMar>
          </w:tcPr>
          <w:p w14:paraId="7F42E740" w14:textId="7410AF0B" w:rsidR="00FA3954" w:rsidRPr="003A13C5" w:rsidRDefault="00FA3954" w:rsidP="008F5E69">
            <w:pPr>
              <w:spacing w:before="60"/>
              <w:rPr>
                <w:rFonts w:ascii="Arial" w:eastAsia="Arial" w:hAnsi="Arial" w:cs="Arial"/>
                <w:sz w:val="16"/>
                <w:szCs w:val="22"/>
                <w:lang w:eastAsia="zh-CN"/>
              </w:rPr>
            </w:pPr>
            <w:r w:rsidRPr="003A13C5">
              <w:rPr>
                <w:rFonts w:ascii="Arial" w:hAnsi="Arial" w:cs="Arial"/>
                <w:sz w:val="16"/>
              </w:rPr>
              <w:t>Compliance with Authority Required procedures - Streamlined Authority Code 10160</w:t>
            </w:r>
          </w:p>
        </w:tc>
      </w:tr>
    </w:tbl>
    <w:p w14:paraId="4867B596" w14:textId="3F913A1C" w:rsidR="00CB6975" w:rsidRPr="003A13C5" w:rsidRDefault="00FA3954" w:rsidP="00FA3954">
      <w:pPr>
        <w:pStyle w:val="Amendment3"/>
        <w:numPr>
          <w:ilvl w:val="2"/>
          <w:numId w:val="5"/>
        </w:numPr>
        <w:tabs>
          <w:tab w:val="clear" w:pos="1474"/>
        </w:tabs>
        <w:ind w:left="1134" w:hanging="283"/>
        <w:outlineLvl w:val="1"/>
        <w:rPr>
          <w:rFonts w:ascii="Arial" w:hAnsi="Arial" w:cs="Arial"/>
          <w:b/>
          <w:bCs/>
          <w:sz w:val="16"/>
        </w:rPr>
      </w:pPr>
      <w:r w:rsidRPr="003A13C5">
        <w:rPr>
          <w:i/>
        </w:rPr>
        <w:t>omit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38"/>
        <w:gridCol w:w="851"/>
        <w:gridCol w:w="850"/>
        <w:gridCol w:w="7655"/>
        <w:gridCol w:w="2693"/>
      </w:tblGrid>
      <w:tr w:rsidR="00BB34B7" w:rsidRPr="003A13C5" w14:paraId="5874B1AC" w14:textId="77777777" w:rsidTr="004A6516">
        <w:tc>
          <w:tcPr>
            <w:tcW w:w="1838" w:type="dxa"/>
            <w:shd w:val="clear" w:color="auto" w:fill="auto"/>
            <w:tcMar>
              <w:top w:w="28" w:type="dxa"/>
              <w:left w:w="28" w:type="dxa"/>
            </w:tcMar>
          </w:tcPr>
          <w:p w14:paraId="7048186F" w14:textId="77777777" w:rsidR="00BB34B7" w:rsidRPr="003A13C5" w:rsidRDefault="00BB34B7" w:rsidP="00BB34B7">
            <w:pPr>
              <w:rPr>
                <w:rFonts w:ascii="Arial" w:hAnsi="Arial" w:cs="Arial"/>
                <w:sz w:val="16"/>
                <w:szCs w:val="16"/>
              </w:rPr>
            </w:pPr>
          </w:p>
        </w:tc>
        <w:tc>
          <w:tcPr>
            <w:tcW w:w="851" w:type="dxa"/>
            <w:shd w:val="clear" w:color="auto" w:fill="auto"/>
            <w:tcMar>
              <w:top w:w="28" w:type="dxa"/>
              <w:left w:w="28" w:type="dxa"/>
            </w:tcMar>
          </w:tcPr>
          <w:p w14:paraId="18DE4B2B" w14:textId="1F93A3F5" w:rsidR="00BB34B7" w:rsidRPr="003A13C5" w:rsidRDefault="00BB34B7" w:rsidP="008F5E69">
            <w:pPr>
              <w:spacing w:before="60"/>
              <w:rPr>
                <w:rFonts w:ascii="Arial" w:hAnsi="Arial" w:cs="Arial"/>
                <w:sz w:val="16"/>
              </w:rPr>
            </w:pPr>
            <w:r w:rsidRPr="003A13C5">
              <w:rPr>
                <w:rFonts w:ascii="Arial" w:hAnsi="Arial" w:cs="Arial"/>
                <w:sz w:val="16"/>
              </w:rPr>
              <w:t>C10169</w:t>
            </w:r>
          </w:p>
        </w:tc>
        <w:tc>
          <w:tcPr>
            <w:tcW w:w="850" w:type="dxa"/>
            <w:shd w:val="clear" w:color="auto" w:fill="auto"/>
            <w:tcMar>
              <w:top w:w="28" w:type="dxa"/>
              <w:left w:w="28" w:type="dxa"/>
            </w:tcMar>
          </w:tcPr>
          <w:p w14:paraId="22F67961" w14:textId="3D71CAEB" w:rsidR="00BB34B7" w:rsidRPr="003A13C5" w:rsidRDefault="00BB34B7" w:rsidP="008F5E69">
            <w:pPr>
              <w:spacing w:before="60"/>
              <w:rPr>
                <w:rFonts w:ascii="Arial" w:hAnsi="Arial" w:cs="Arial"/>
                <w:sz w:val="16"/>
              </w:rPr>
            </w:pPr>
            <w:r w:rsidRPr="003A13C5">
              <w:rPr>
                <w:rFonts w:ascii="Arial" w:hAnsi="Arial" w:cs="Arial"/>
                <w:sz w:val="16"/>
              </w:rPr>
              <w:t>P10169</w:t>
            </w:r>
          </w:p>
        </w:tc>
        <w:tc>
          <w:tcPr>
            <w:tcW w:w="7655" w:type="dxa"/>
            <w:shd w:val="clear" w:color="auto" w:fill="auto"/>
            <w:tcMar>
              <w:top w:w="28" w:type="dxa"/>
              <w:left w:w="28" w:type="dxa"/>
            </w:tcMar>
          </w:tcPr>
          <w:p w14:paraId="649B4006" w14:textId="1514AA16" w:rsidR="00BB34B7" w:rsidRPr="003A13C5" w:rsidRDefault="00BB34B7" w:rsidP="008F5E69">
            <w:pPr>
              <w:spacing w:before="60"/>
              <w:rPr>
                <w:rFonts w:ascii="Arial" w:hAnsi="Arial" w:cs="Arial"/>
                <w:sz w:val="16"/>
              </w:rPr>
            </w:pPr>
            <w:r w:rsidRPr="003A13C5">
              <w:rPr>
                <w:rFonts w:ascii="Arial" w:hAnsi="Arial" w:cs="Arial"/>
                <w:sz w:val="16"/>
              </w:rPr>
              <w:t>Advanced Parkinson disease</w:t>
            </w:r>
            <w:r w:rsidRPr="003A13C5">
              <w:rPr>
                <w:rFonts w:ascii="Arial" w:hAnsi="Arial" w:cs="Arial"/>
                <w:sz w:val="16"/>
              </w:rPr>
              <w:br/>
              <w:t>Patient must have severe disabling motor fluctuations not adequately controlled by oral therapy; AND</w:t>
            </w:r>
            <w:r w:rsidRPr="003A13C5">
              <w:rPr>
                <w:rFonts w:ascii="Arial" w:hAnsi="Arial" w:cs="Arial"/>
                <w:sz w:val="16"/>
              </w:rPr>
              <w:br/>
              <w:t>The treatment must be commenced in a hospital-based movement disorder clinic; AND</w:t>
            </w:r>
            <w:r w:rsidRPr="003A13C5">
              <w:rPr>
                <w:rFonts w:ascii="Arial" w:hAnsi="Arial" w:cs="Arial"/>
                <w:sz w:val="16"/>
              </w:rPr>
              <w:br/>
              <w:t>Patient must be undergoing continuous treatment with a dose greater than 2000 mg of levodopa per day without an overnight break.</w:t>
            </w:r>
          </w:p>
        </w:tc>
        <w:tc>
          <w:tcPr>
            <w:tcW w:w="2693" w:type="dxa"/>
            <w:shd w:val="clear" w:color="auto" w:fill="auto"/>
            <w:tcMar>
              <w:top w:w="28" w:type="dxa"/>
              <w:left w:w="28" w:type="dxa"/>
              <w:right w:w="57" w:type="dxa"/>
            </w:tcMar>
          </w:tcPr>
          <w:p w14:paraId="32F41274" w14:textId="738CB563" w:rsidR="00BB34B7" w:rsidRPr="003A13C5" w:rsidRDefault="00BB34B7" w:rsidP="008F5E69">
            <w:pPr>
              <w:spacing w:before="60"/>
              <w:rPr>
                <w:rFonts w:ascii="Arial" w:hAnsi="Arial" w:cs="Arial"/>
                <w:sz w:val="16"/>
              </w:rPr>
            </w:pPr>
            <w:r w:rsidRPr="003A13C5">
              <w:rPr>
                <w:rFonts w:ascii="Arial" w:hAnsi="Arial" w:cs="Arial"/>
                <w:sz w:val="16"/>
              </w:rPr>
              <w:t>Compliance with Authority Required procedures - Streamlined Authority Code 10169</w:t>
            </w:r>
          </w:p>
        </w:tc>
      </w:tr>
    </w:tbl>
    <w:p w14:paraId="2F1DE8FC" w14:textId="77777777" w:rsidR="00FA3954" w:rsidRPr="003A13C5" w:rsidRDefault="00FA3954" w:rsidP="00FA3954">
      <w:pPr>
        <w:pStyle w:val="Amendment3"/>
        <w:numPr>
          <w:ilvl w:val="2"/>
          <w:numId w:val="5"/>
        </w:numPr>
        <w:tabs>
          <w:tab w:val="clear" w:pos="1474"/>
        </w:tabs>
        <w:ind w:left="1134" w:hanging="283"/>
        <w:outlineLvl w:val="1"/>
        <w:rPr>
          <w:i/>
        </w:rPr>
      </w:pPr>
      <w:r w:rsidRPr="003A13C5">
        <w:rPr>
          <w:i/>
        </w:rPr>
        <w:t>insert in numerical order after existing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38"/>
        <w:gridCol w:w="851"/>
        <w:gridCol w:w="850"/>
        <w:gridCol w:w="7655"/>
        <w:gridCol w:w="2693"/>
      </w:tblGrid>
      <w:tr w:rsidR="00FA3954" w:rsidRPr="003A13C5" w14:paraId="162120ED" w14:textId="77777777" w:rsidTr="004A6516">
        <w:tc>
          <w:tcPr>
            <w:tcW w:w="1838" w:type="dxa"/>
            <w:shd w:val="clear" w:color="auto" w:fill="auto"/>
            <w:tcMar>
              <w:top w:w="28" w:type="dxa"/>
              <w:left w:w="28" w:type="dxa"/>
            </w:tcMar>
          </w:tcPr>
          <w:p w14:paraId="297FC6BE" w14:textId="77777777" w:rsidR="00FA3954" w:rsidRPr="003A13C5" w:rsidRDefault="00FA3954" w:rsidP="00FA3954">
            <w:pPr>
              <w:rPr>
                <w:rFonts w:ascii="Arial" w:hAnsi="Arial" w:cs="Arial"/>
                <w:sz w:val="16"/>
                <w:szCs w:val="16"/>
              </w:rPr>
            </w:pPr>
          </w:p>
        </w:tc>
        <w:tc>
          <w:tcPr>
            <w:tcW w:w="851" w:type="dxa"/>
            <w:shd w:val="clear" w:color="auto" w:fill="auto"/>
            <w:tcMar>
              <w:top w:w="28" w:type="dxa"/>
              <w:left w:w="28" w:type="dxa"/>
            </w:tcMar>
          </w:tcPr>
          <w:p w14:paraId="25F82D88" w14:textId="2E8342F6" w:rsidR="00FA3954" w:rsidRPr="003A13C5" w:rsidRDefault="00FA3954" w:rsidP="008F5E69">
            <w:pPr>
              <w:spacing w:before="60"/>
              <w:rPr>
                <w:rFonts w:ascii="Arial" w:hAnsi="Arial" w:cs="Arial"/>
                <w:sz w:val="16"/>
                <w:szCs w:val="16"/>
              </w:rPr>
            </w:pPr>
            <w:r w:rsidRPr="003A13C5">
              <w:rPr>
                <w:rFonts w:ascii="Arial" w:hAnsi="Arial" w:cs="Arial"/>
                <w:sz w:val="16"/>
                <w:szCs w:val="16"/>
              </w:rPr>
              <w:t>C10363</w:t>
            </w:r>
          </w:p>
        </w:tc>
        <w:tc>
          <w:tcPr>
            <w:tcW w:w="850" w:type="dxa"/>
            <w:shd w:val="clear" w:color="auto" w:fill="auto"/>
            <w:tcMar>
              <w:top w:w="28" w:type="dxa"/>
              <w:left w:w="28" w:type="dxa"/>
            </w:tcMar>
          </w:tcPr>
          <w:p w14:paraId="3CF79153" w14:textId="7CACB58C" w:rsidR="00FA3954" w:rsidRPr="003A13C5" w:rsidRDefault="00FA3954" w:rsidP="008F5E69">
            <w:pPr>
              <w:spacing w:before="60"/>
              <w:rPr>
                <w:rFonts w:ascii="Arial" w:hAnsi="Arial" w:cs="Arial"/>
                <w:sz w:val="16"/>
                <w:szCs w:val="16"/>
              </w:rPr>
            </w:pPr>
            <w:r w:rsidRPr="003A13C5">
              <w:rPr>
                <w:rFonts w:ascii="Arial" w:hAnsi="Arial" w:cs="Arial"/>
                <w:sz w:val="16"/>
                <w:szCs w:val="16"/>
              </w:rPr>
              <w:t>P10363</w:t>
            </w:r>
          </w:p>
        </w:tc>
        <w:tc>
          <w:tcPr>
            <w:tcW w:w="7655" w:type="dxa"/>
            <w:shd w:val="clear" w:color="auto" w:fill="auto"/>
            <w:tcMar>
              <w:top w:w="28" w:type="dxa"/>
              <w:left w:w="28" w:type="dxa"/>
            </w:tcMar>
          </w:tcPr>
          <w:p w14:paraId="008EEB9B" w14:textId="07514C74" w:rsidR="00FA3954" w:rsidRPr="003A13C5" w:rsidRDefault="00FA3954" w:rsidP="008F5E69">
            <w:pPr>
              <w:pStyle w:val="mps3-data"/>
              <w:spacing w:after="0"/>
              <w:rPr>
                <w:szCs w:val="16"/>
              </w:rPr>
            </w:pPr>
            <w:r w:rsidRPr="003A13C5">
              <w:rPr>
                <w:szCs w:val="16"/>
              </w:rPr>
              <w:t>Advanced Parkinson disease</w:t>
            </w:r>
            <w:r w:rsidRPr="003A13C5">
              <w:rPr>
                <w:szCs w:val="16"/>
              </w:rPr>
              <w:br/>
              <w:t>Patient must have severe disabling motor fluctuations not adequately controlled by oral therapy; AND</w:t>
            </w:r>
            <w:r w:rsidRPr="003A13C5">
              <w:rPr>
                <w:szCs w:val="16"/>
              </w:rPr>
              <w:br/>
              <w:t>The treatment must be commenced in a hospital-based movement disorder clinic; AND</w:t>
            </w:r>
            <w:r w:rsidRPr="003A13C5">
              <w:rPr>
                <w:szCs w:val="16"/>
              </w:rPr>
              <w:br/>
              <w:t>Patient must require continuous administration of levodopa without an overnight break; OR</w:t>
            </w:r>
            <w:r w:rsidRPr="003A13C5">
              <w:rPr>
                <w:szCs w:val="16"/>
              </w:rPr>
              <w:br/>
              <w:t>Patient must require a total daily dose of more than 2000 mg of levodopa.</w:t>
            </w:r>
          </w:p>
        </w:tc>
        <w:tc>
          <w:tcPr>
            <w:tcW w:w="2693" w:type="dxa"/>
            <w:shd w:val="clear" w:color="auto" w:fill="auto"/>
            <w:tcMar>
              <w:top w:w="28" w:type="dxa"/>
              <w:left w:w="28" w:type="dxa"/>
              <w:right w:w="57" w:type="dxa"/>
            </w:tcMar>
          </w:tcPr>
          <w:p w14:paraId="05F1539B" w14:textId="3477A308" w:rsidR="00FA3954" w:rsidRPr="003A13C5" w:rsidRDefault="00FA3954" w:rsidP="008F5E69">
            <w:pPr>
              <w:spacing w:before="60"/>
              <w:rPr>
                <w:rFonts w:ascii="Arial" w:eastAsia="Arial" w:hAnsi="Arial" w:cs="Arial"/>
                <w:sz w:val="16"/>
                <w:szCs w:val="16"/>
                <w:lang w:eastAsia="zh-CN"/>
              </w:rPr>
            </w:pPr>
            <w:r w:rsidRPr="003A13C5">
              <w:rPr>
                <w:rFonts w:ascii="Arial" w:hAnsi="Arial" w:cs="Arial"/>
                <w:sz w:val="16"/>
                <w:szCs w:val="16"/>
              </w:rPr>
              <w:t>Compliance with Authority Required procedures - Streamlined Authority Code 10363</w:t>
            </w:r>
          </w:p>
        </w:tc>
      </w:tr>
      <w:tr w:rsidR="00FA3954" w:rsidRPr="003A13C5" w14:paraId="72465AC9" w14:textId="77777777" w:rsidTr="004A6516">
        <w:tc>
          <w:tcPr>
            <w:tcW w:w="1838" w:type="dxa"/>
            <w:shd w:val="clear" w:color="auto" w:fill="auto"/>
            <w:tcMar>
              <w:top w:w="28" w:type="dxa"/>
              <w:left w:w="28" w:type="dxa"/>
            </w:tcMar>
          </w:tcPr>
          <w:p w14:paraId="0FF8EB3E" w14:textId="77777777" w:rsidR="00FA3954" w:rsidRPr="003A13C5" w:rsidRDefault="00FA3954" w:rsidP="00FA3954">
            <w:pPr>
              <w:rPr>
                <w:rFonts w:ascii="Arial" w:hAnsi="Arial" w:cs="Arial"/>
                <w:sz w:val="16"/>
                <w:szCs w:val="16"/>
              </w:rPr>
            </w:pPr>
          </w:p>
        </w:tc>
        <w:tc>
          <w:tcPr>
            <w:tcW w:w="851" w:type="dxa"/>
            <w:shd w:val="clear" w:color="auto" w:fill="auto"/>
            <w:tcMar>
              <w:top w:w="28" w:type="dxa"/>
              <w:left w:w="28" w:type="dxa"/>
            </w:tcMar>
          </w:tcPr>
          <w:p w14:paraId="5B655423" w14:textId="6CB64996" w:rsidR="00FA3954" w:rsidRPr="003A13C5" w:rsidRDefault="00FA3954" w:rsidP="008F5E69">
            <w:pPr>
              <w:spacing w:before="60"/>
              <w:rPr>
                <w:rFonts w:ascii="Arial" w:hAnsi="Arial" w:cs="Arial"/>
                <w:sz w:val="16"/>
                <w:szCs w:val="16"/>
              </w:rPr>
            </w:pPr>
            <w:r w:rsidRPr="003A13C5">
              <w:rPr>
                <w:rFonts w:ascii="Arial" w:hAnsi="Arial" w:cs="Arial"/>
                <w:sz w:val="16"/>
                <w:szCs w:val="16"/>
              </w:rPr>
              <w:t>C10375</w:t>
            </w:r>
          </w:p>
        </w:tc>
        <w:tc>
          <w:tcPr>
            <w:tcW w:w="850" w:type="dxa"/>
            <w:shd w:val="clear" w:color="auto" w:fill="auto"/>
            <w:tcMar>
              <w:top w:w="28" w:type="dxa"/>
              <w:left w:w="28" w:type="dxa"/>
            </w:tcMar>
          </w:tcPr>
          <w:p w14:paraId="5959B1F7" w14:textId="2831FDF9" w:rsidR="00FA3954" w:rsidRPr="003A13C5" w:rsidRDefault="00FA3954" w:rsidP="008F5E69">
            <w:pPr>
              <w:spacing w:before="60"/>
              <w:rPr>
                <w:rFonts w:ascii="Arial" w:hAnsi="Arial" w:cs="Arial"/>
                <w:sz w:val="16"/>
                <w:szCs w:val="16"/>
              </w:rPr>
            </w:pPr>
            <w:r w:rsidRPr="003A13C5">
              <w:rPr>
                <w:rFonts w:ascii="Arial" w:hAnsi="Arial" w:cs="Arial"/>
                <w:sz w:val="16"/>
                <w:szCs w:val="16"/>
              </w:rPr>
              <w:t>P10375</w:t>
            </w:r>
          </w:p>
        </w:tc>
        <w:tc>
          <w:tcPr>
            <w:tcW w:w="7655" w:type="dxa"/>
            <w:shd w:val="clear" w:color="auto" w:fill="auto"/>
            <w:tcMar>
              <w:top w:w="28" w:type="dxa"/>
              <w:left w:w="28" w:type="dxa"/>
            </w:tcMar>
          </w:tcPr>
          <w:p w14:paraId="610D2852" w14:textId="1DE24570" w:rsidR="00FA3954" w:rsidRPr="003A13C5" w:rsidRDefault="00FA3954" w:rsidP="008F5E69">
            <w:pPr>
              <w:pStyle w:val="mps3-data"/>
              <w:spacing w:after="0"/>
              <w:rPr>
                <w:szCs w:val="16"/>
              </w:rPr>
            </w:pPr>
            <w:r w:rsidRPr="003A13C5">
              <w:rPr>
                <w:szCs w:val="16"/>
              </w:rPr>
              <w:t>Advanced Parkinson disease</w:t>
            </w:r>
            <w:r w:rsidRPr="003A13C5">
              <w:rPr>
                <w:szCs w:val="16"/>
              </w:rPr>
              <w:br/>
              <w:t>Patient must have severe disabling motor fluctuations not adequately controlled by oral therapy; AND</w:t>
            </w:r>
            <w:r w:rsidRPr="003A13C5">
              <w:rPr>
                <w:szCs w:val="16"/>
              </w:rPr>
              <w:br/>
              <w:t>The treatment must be commenced in a hospital-based movement disorder clinic; AND</w:t>
            </w:r>
            <w:r w:rsidRPr="003A13C5">
              <w:rPr>
                <w:szCs w:val="16"/>
              </w:rPr>
              <w:br/>
              <w:t>Patient must require continuous administration of levodopa without an overnight break; OR</w:t>
            </w:r>
            <w:r w:rsidRPr="003A13C5">
              <w:rPr>
                <w:szCs w:val="16"/>
              </w:rPr>
              <w:br/>
              <w:t>Patient must require a total daily dose of more than 2000 mg of levodopa.</w:t>
            </w:r>
          </w:p>
        </w:tc>
        <w:tc>
          <w:tcPr>
            <w:tcW w:w="2693" w:type="dxa"/>
            <w:shd w:val="clear" w:color="auto" w:fill="auto"/>
            <w:tcMar>
              <w:top w:w="28" w:type="dxa"/>
              <w:left w:w="28" w:type="dxa"/>
              <w:right w:w="57" w:type="dxa"/>
            </w:tcMar>
          </w:tcPr>
          <w:p w14:paraId="50D0B897" w14:textId="59125D26" w:rsidR="00FA3954" w:rsidRPr="003A13C5" w:rsidRDefault="00FA3954" w:rsidP="008F5E69">
            <w:pPr>
              <w:spacing w:before="60"/>
              <w:rPr>
                <w:rFonts w:ascii="Arial" w:eastAsia="Arial" w:hAnsi="Arial" w:cs="Arial"/>
                <w:sz w:val="16"/>
                <w:szCs w:val="16"/>
                <w:lang w:eastAsia="zh-CN"/>
              </w:rPr>
            </w:pPr>
            <w:r w:rsidRPr="003A13C5">
              <w:rPr>
                <w:rFonts w:ascii="Arial" w:hAnsi="Arial" w:cs="Arial"/>
                <w:sz w:val="16"/>
                <w:szCs w:val="16"/>
              </w:rPr>
              <w:t>Compliance with Authority Required procedures - Streamlined Authority Code 10375</w:t>
            </w:r>
          </w:p>
        </w:tc>
      </w:tr>
    </w:tbl>
    <w:p w14:paraId="15E35109" w14:textId="77777777" w:rsidR="007478B6" w:rsidRPr="003A13C5" w:rsidRDefault="007478B6">
      <w:pPr>
        <w:rPr>
          <w:rFonts w:ascii="Arial" w:hAnsi="Arial" w:cs="Arial"/>
          <w:b/>
          <w:bCs/>
          <w:sz w:val="20"/>
        </w:rPr>
      </w:pPr>
      <w:r w:rsidRPr="003A13C5">
        <w:rPr>
          <w:rFonts w:ascii="Arial" w:hAnsi="Arial" w:cs="Arial"/>
          <w:b/>
          <w:bCs/>
          <w:sz w:val="20"/>
        </w:rPr>
        <w:br w:type="page"/>
      </w:r>
    </w:p>
    <w:p w14:paraId="2CB60B6C" w14:textId="5ED1136E" w:rsidR="00FA3954" w:rsidRPr="003A13C5" w:rsidRDefault="00FA3954" w:rsidP="00FA3954">
      <w:pPr>
        <w:widowControl w:val="0"/>
        <w:numPr>
          <w:ilvl w:val="0"/>
          <w:numId w:val="5"/>
        </w:numPr>
        <w:tabs>
          <w:tab w:val="clear" w:pos="794"/>
        </w:tabs>
        <w:spacing w:before="120"/>
        <w:ind w:left="567" w:hanging="567"/>
        <w:outlineLvl w:val="1"/>
        <w:rPr>
          <w:rFonts w:ascii="Arial" w:hAnsi="Arial" w:cs="Arial"/>
          <w:b/>
          <w:bCs/>
          <w:sz w:val="20"/>
        </w:rPr>
      </w:pPr>
      <w:r w:rsidRPr="003A13C5">
        <w:rPr>
          <w:rFonts w:ascii="Arial" w:hAnsi="Arial" w:cs="Arial"/>
          <w:b/>
          <w:bCs/>
          <w:sz w:val="20"/>
        </w:rPr>
        <w:lastRenderedPageBreak/>
        <w:t>Schedule 3, entry for Macitentan</w:t>
      </w:r>
    </w:p>
    <w:p w14:paraId="6B69D0DF" w14:textId="1F879188" w:rsidR="00FA3954" w:rsidRPr="003A13C5" w:rsidRDefault="00FA3954" w:rsidP="00FA3954">
      <w:pPr>
        <w:pStyle w:val="Amendment3"/>
        <w:numPr>
          <w:ilvl w:val="0"/>
          <w:numId w:val="0"/>
        </w:numPr>
        <w:ind w:firstLine="567"/>
        <w:outlineLvl w:val="1"/>
        <w:rPr>
          <w:rFonts w:ascii="Arial" w:hAnsi="Arial" w:cs="Arial"/>
          <w:b/>
          <w:bCs/>
          <w:sz w:val="16"/>
        </w:rPr>
      </w:pPr>
      <w:r w:rsidRPr="003A13C5">
        <w:rPr>
          <w:i/>
        </w:rPr>
        <w:t>substitute: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38"/>
        <w:gridCol w:w="851"/>
        <w:gridCol w:w="850"/>
        <w:gridCol w:w="7655"/>
        <w:gridCol w:w="2693"/>
      </w:tblGrid>
      <w:tr w:rsidR="00FA3954" w:rsidRPr="003A13C5" w14:paraId="041911C3" w14:textId="77777777" w:rsidTr="004A6516">
        <w:tc>
          <w:tcPr>
            <w:tcW w:w="1838" w:type="dxa"/>
            <w:shd w:val="clear" w:color="auto" w:fill="auto"/>
            <w:tcMar>
              <w:top w:w="28" w:type="dxa"/>
              <w:left w:w="28" w:type="dxa"/>
            </w:tcMar>
          </w:tcPr>
          <w:p w14:paraId="4D50D058" w14:textId="1FBBE950" w:rsidR="00FA3954" w:rsidRPr="003A13C5" w:rsidRDefault="00FA3954" w:rsidP="008F5E69">
            <w:pPr>
              <w:spacing w:before="60"/>
              <w:rPr>
                <w:rFonts w:ascii="Arial" w:hAnsi="Arial" w:cs="Arial"/>
                <w:sz w:val="16"/>
                <w:szCs w:val="16"/>
              </w:rPr>
            </w:pPr>
            <w:r w:rsidRPr="003A13C5">
              <w:rPr>
                <w:rFonts w:ascii="Arial" w:eastAsia="SimSun" w:hAnsi="Arial" w:cs="Arial"/>
                <w:sz w:val="16"/>
                <w:szCs w:val="16"/>
                <w:lang w:eastAsia="zh-CN"/>
              </w:rPr>
              <w:t>Macitentan</w:t>
            </w:r>
          </w:p>
        </w:tc>
        <w:tc>
          <w:tcPr>
            <w:tcW w:w="851" w:type="dxa"/>
            <w:shd w:val="clear" w:color="auto" w:fill="auto"/>
            <w:tcMar>
              <w:top w:w="28" w:type="dxa"/>
              <w:left w:w="28" w:type="dxa"/>
            </w:tcMar>
          </w:tcPr>
          <w:p w14:paraId="3055A25A" w14:textId="504FC0A4" w:rsidR="00FA3954" w:rsidRPr="003A13C5" w:rsidRDefault="00FA3954" w:rsidP="008F5E69">
            <w:pPr>
              <w:spacing w:before="60"/>
              <w:rPr>
                <w:rFonts w:ascii="Arial" w:hAnsi="Arial" w:cs="Arial"/>
                <w:sz w:val="16"/>
                <w:szCs w:val="16"/>
              </w:rPr>
            </w:pPr>
            <w:r w:rsidRPr="003A13C5">
              <w:rPr>
                <w:rFonts w:ascii="Arial" w:eastAsia="SimSun" w:hAnsi="Arial" w:cs="Arial"/>
                <w:sz w:val="16"/>
                <w:szCs w:val="16"/>
                <w:lang w:eastAsia="zh-CN"/>
              </w:rPr>
              <w:t>C10228</w:t>
            </w:r>
          </w:p>
        </w:tc>
        <w:tc>
          <w:tcPr>
            <w:tcW w:w="850" w:type="dxa"/>
            <w:shd w:val="clear" w:color="auto" w:fill="auto"/>
            <w:tcMar>
              <w:top w:w="28" w:type="dxa"/>
              <w:left w:w="28" w:type="dxa"/>
            </w:tcMar>
          </w:tcPr>
          <w:p w14:paraId="60421D20" w14:textId="1C287CBE" w:rsidR="00FA3954" w:rsidRPr="003A13C5" w:rsidRDefault="00FA3954" w:rsidP="008F5E69">
            <w:pPr>
              <w:spacing w:before="60"/>
              <w:rPr>
                <w:rFonts w:ascii="Arial" w:hAnsi="Arial" w:cs="Arial"/>
                <w:sz w:val="16"/>
                <w:szCs w:val="16"/>
              </w:rPr>
            </w:pPr>
          </w:p>
        </w:tc>
        <w:tc>
          <w:tcPr>
            <w:tcW w:w="7655" w:type="dxa"/>
            <w:shd w:val="clear" w:color="auto" w:fill="auto"/>
            <w:tcMar>
              <w:top w:w="28" w:type="dxa"/>
              <w:left w:w="28" w:type="dxa"/>
            </w:tcMar>
          </w:tcPr>
          <w:p w14:paraId="63644AEF" w14:textId="5DE4BC7E" w:rsidR="00FA3954" w:rsidRPr="003A13C5" w:rsidRDefault="00FA3954" w:rsidP="008F5E69">
            <w:pPr>
              <w:pStyle w:val="mps3-data"/>
              <w:spacing w:after="0"/>
              <w:rPr>
                <w:szCs w:val="16"/>
              </w:rPr>
            </w:pPr>
            <w:r w:rsidRPr="003A13C5">
              <w:rPr>
                <w:rFonts w:eastAsia="SimSun"/>
                <w:szCs w:val="16"/>
              </w:rPr>
              <w:t>Pulmonary arterial hypertension (PAH)</w:t>
            </w:r>
            <w:r w:rsidRPr="003A13C5">
              <w:rPr>
                <w:rFonts w:eastAsia="SimSun"/>
                <w:szCs w:val="16"/>
              </w:rPr>
              <w:br/>
              <w:t>Continuing treatment</w:t>
            </w:r>
            <w:r w:rsidRPr="003A13C5">
              <w:rPr>
                <w:rFonts w:eastAsia="SimSun"/>
                <w:szCs w:val="16"/>
              </w:rPr>
              <w:br/>
              <w:t>Patient must have received their most recent course of PBS-subsidised treatment with this PAH agent for this condition; AND</w:t>
            </w:r>
            <w:r w:rsidRPr="003A13C5">
              <w:rPr>
                <w:rFonts w:eastAsia="SimSun"/>
                <w:szCs w:val="16"/>
              </w:rPr>
              <w:br/>
              <w:t>The treatment must be the sole PBS-subsidised PAH agent for this condition.</w:t>
            </w:r>
            <w:r w:rsidRPr="003A13C5">
              <w:rPr>
                <w:rFonts w:eastAsia="SimSun"/>
                <w:szCs w:val="16"/>
              </w:rPr>
              <w:br/>
              <w:t>The term 'PAH agents' refers to bosentan monohydrate, iloprost trometamol, epoprostenol sodium, sildenafil citrate, ambrisentan, tadalafil, macitentan, and riociguat.</w:t>
            </w:r>
            <w:r w:rsidRPr="003A13C5">
              <w:rPr>
                <w:rFonts w:eastAsia="SimSun"/>
                <w:szCs w:val="16"/>
              </w:rPr>
              <w:br/>
              <w:t>PAH agents are not PBS-subsidised for patients with pulmonary hypertension secondary to interstitial lung disease associated with connective tissue disease, where the total lung capacity is less than 70% of predicted.</w:t>
            </w:r>
            <w:r w:rsidRPr="003A13C5">
              <w:rPr>
                <w:rFonts w:eastAsia="SimSun"/>
                <w:szCs w:val="16"/>
              </w:rPr>
              <w:br/>
              <w:t>The maximum quantity authorised will be limited to provide sufficient supply for 1 month of treatment, based on the dosage recommendations in the TGA-approved Product Information.</w:t>
            </w:r>
            <w:r w:rsidRPr="003A13C5">
              <w:rPr>
                <w:rFonts w:eastAsia="SimSun"/>
                <w:szCs w:val="16"/>
              </w:rPr>
              <w:br/>
              <w:t>A maximum of 5 repeats may be requested.</w:t>
            </w:r>
          </w:p>
        </w:tc>
        <w:tc>
          <w:tcPr>
            <w:tcW w:w="2693" w:type="dxa"/>
            <w:shd w:val="clear" w:color="auto" w:fill="auto"/>
            <w:tcMar>
              <w:top w:w="28" w:type="dxa"/>
              <w:left w:w="28" w:type="dxa"/>
              <w:right w:w="57" w:type="dxa"/>
            </w:tcMar>
          </w:tcPr>
          <w:p w14:paraId="199BABC3" w14:textId="49435EB5" w:rsidR="00FA3954" w:rsidRPr="003A13C5" w:rsidRDefault="00FA3954" w:rsidP="008F5E69">
            <w:pPr>
              <w:spacing w:before="60"/>
              <w:rPr>
                <w:rFonts w:ascii="Arial" w:eastAsia="Arial" w:hAnsi="Arial" w:cs="Arial"/>
                <w:sz w:val="16"/>
                <w:szCs w:val="16"/>
                <w:lang w:eastAsia="zh-CN"/>
              </w:rPr>
            </w:pPr>
            <w:r w:rsidRPr="003A13C5">
              <w:rPr>
                <w:rFonts w:ascii="Arial" w:eastAsia="SimSun" w:hAnsi="Arial" w:cs="Arial"/>
                <w:sz w:val="16"/>
                <w:szCs w:val="16"/>
                <w:lang w:eastAsia="zh-CN"/>
              </w:rPr>
              <w:t>Compliance with Authority Required procedures</w:t>
            </w:r>
          </w:p>
        </w:tc>
      </w:tr>
      <w:tr w:rsidR="00FA3954" w:rsidRPr="003A13C5" w14:paraId="31848071" w14:textId="77777777" w:rsidTr="004A6516">
        <w:tc>
          <w:tcPr>
            <w:tcW w:w="1838" w:type="dxa"/>
            <w:shd w:val="clear" w:color="auto" w:fill="auto"/>
            <w:tcMar>
              <w:top w:w="28" w:type="dxa"/>
              <w:left w:w="28" w:type="dxa"/>
            </w:tcMar>
          </w:tcPr>
          <w:p w14:paraId="50CB28FA" w14:textId="77777777" w:rsidR="00FA3954" w:rsidRPr="003A13C5" w:rsidRDefault="00FA3954" w:rsidP="008F5E69">
            <w:pPr>
              <w:spacing w:before="60"/>
              <w:rPr>
                <w:rFonts w:ascii="Arial" w:hAnsi="Arial" w:cs="Arial"/>
                <w:sz w:val="16"/>
                <w:szCs w:val="16"/>
              </w:rPr>
            </w:pPr>
          </w:p>
        </w:tc>
        <w:tc>
          <w:tcPr>
            <w:tcW w:w="851" w:type="dxa"/>
            <w:shd w:val="clear" w:color="auto" w:fill="auto"/>
            <w:tcMar>
              <w:top w:w="28" w:type="dxa"/>
              <w:left w:w="28" w:type="dxa"/>
            </w:tcMar>
          </w:tcPr>
          <w:p w14:paraId="1CEFCF12" w14:textId="3895334D" w:rsidR="00FA3954" w:rsidRPr="003A13C5" w:rsidRDefault="00FA3954" w:rsidP="008F5E69">
            <w:pPr>
              <w:spacing w:before="60"/>
              <w:rPr>
                <w:rFonts w:ascii="Arial" w:hAnsi="Arial" w:cs="Arial"/>
                <w:sz w:val="16"/>
                <w:szCs w:val="16"/>
              </w:rPr>
            </w:pPr>
            <w:r w:rsidRPr="003A13C5">
              <w:rPr>
                <w:rFonts w:ascii="Arial" w:eastAsia="SimSun" w:hAnsi="Arial" w:cs="Arial"/>
                <w:sz w:val="16"/>
                <w:szCs w:val="16"/>
                <w:lang w:eastAsia="zh-CN"/>
              </w:rPr>
              <w:t>C10236</w:t>
            </w:r>
          </w:p>
        </w:tc>
        <w:tc>
          <w:tcPr>
            <w:tcW w:w="850" w:type="dxa"/>
            <w:shd w:val="clear" w:color="auto" w:fill="auto"/>
            <w:tcMar>
              <w:top w:w="28" w:type="dxa"/>
              <w:left w:w="28" w:type="dxa"/>
            </w:tcMar>
          </w:tcPr>
          <w:p w14:paraId="36E7AD9F" w14:textId="388DF9C0" w:rsidR="00FA3954" w:rsidRPr="003A13C5" w:rsidRDefault="00FA3954" w:rsidP="008F5E69">
            <w:pPr>
              <w:spacing w:before="60"/>
              <w:rPr>
                <w:rFonts w:ascii="Arial" w:hAnsi="Arial" w:cs="Arial"/>
                <w:sz w:val="16"/>
                <w:szCs w:val="16"/>
              </w:rPr>
            </w:pPr>
          </w:p>
        </w:tc>
        <w:tc>
          <w:tcPr>
            <w:tcW w:w="7655" w:type="dxa"/>
            <w:shd w:val="clear" w:color="auto" w:fill="auto"/>
            <w:tcMar>
              <w:top w:w="28" w:type="dxa"/>
              <w:left w:w="28" w:type="dxa"/>
            </w:tcMar>
          </w:tcPr>
          <w:p w14:paraId="70FC7C8F" w14:textId="1B8A9397" w:rsidR="00FA3954" w:rsidRPr="003A13C5" w:rsidRDefault="00FA3954" w:rsidP="008F5E69">
            <w:pPr>
              <w:pStyle w:val="mps3-data"/>
              <w:spacing w:after="0"/>
              <w:rPr>
                <w:szCs w:val="16"/>
              </w:rPr>
            </w:pPr>
            <w:r w:rsidRPr="003A13C5">
              <w:rPr>
                <w:rFonts w:eastAsia="SimSun"/>
                <w:szCs w:val="16"/>
              </w:rPr>
              <w:t>Pulmonary arterial hypertension (PAH)</w:t>
            </w:r>
            <w:r w:rsidRPr="003A13C5">
              <w:rPr>
                <w:rFonts w:eastAsia="SimSun"/>
                <w:szCs w:val="16"/>
              </w:rPr>
              <w:br/>
              <w:t>Initial 2 (change)</w:t>
            </w:r>
            <w:r w:rsidRPr="003A13C5">
              <w:rPr>
                <w:rFonts w:eastAsia="SimSun"/>
                <w:szCs w:val="16"/>
              </w:rPr>
              <w:br/>
              <w:t>Patient must have documented WHO Functional Class II PAH, or WHO Functional Class III PAH, or WHO Functional Class IV PAH; AND</w:t>
            </w:r>
            <w:r w:rsidRPr="003A13C5">
              <w:rPr>
                <w:rFonts w:eastAsia="SimSun"/>
                <w:szCs w:val="16"/>
              </w:rPr>
              <w:br/>
              <w:t>Patient must have had their most recent course of PBS-subsidised treatment for this condition with a PAH agent other than this agent; AND</w:t>
            </w:r>
            <w:r w:rsidRPr="003A13C5">
              <w:rPr>
                <w:rFonts w:eastAsia="SimSun"/>
                <w:szCs w:val="16"/>
              </w:rPr>
              <w:br/>
              <w:t>The treatment must be the sole PBS-subsidised PAH agent for this condition.</w:t>
            </w:r>
            <w:r w:rsidRPr="003A13C5">
              <w:rPr>
                <w:rFonts w:eastAsia="SimSun"/>
                <w:szCs w:val="16"/>
              </w:rPr>
              <w:br/>
              <w:t>The term 'PAH agents' refers to bosentan monohydrate, iloprost trometamol, epoprostenol sodium, sildenafil citrate, ambrisentan, tadalafil, macitentan, and riociguat.</w:t>
            </w:r>
            <w:r w:rsidRPr="003A13C5">
              <w:rPr>
                <w:rFonts w:eastAsia="SimSun"/>
                <w:szCs w:val="16"/>
              </w:rPr>
              <w:br/>
              <w:t>PAH agents are not PBS-subsidised for patients with pulmonary hypertension secondary to interstitial lung disease associated with connective tissue disease, where the total lung capacity is less than 70% of predicted.</w:t>
            </w:r>
            <w:r w:rsidRPr="003A13C5">
              <w:rPr>
                <w:rFonts w:eastAsia="SimSun"/>
                <w:szCs w:val="16"/>
              </w:rPr>
              <w:br/>
              <w:t>Swapping between PAH agents: Patients can access PAH agents through the PBS according to the relevant restrictions. Once these patients are approved initial treatment (monotherapy) with 1 of these 8 drugs, they may swap between PAH agents at any time without having to re-qualify for treatment with the alternate agent. This means that patients may commence treatment with the alternate agent, subject to that agent's restriction, irrespective of the severity of their disease at the time the application to swap therapy is submitted.</w:t>
            </w:r>
            <w:r w:rsidRPr="003A13C5">
              <w:rPr>
                <w:rFonts w:eastAsia="SimSun"/>
                <w:szCs w:val="16"/>
              </w:rPr>
              <w:br/>
              <w:t>Applications to swap between the 8 PAH agents must be made under the relevant initial treatment (monotherapy) restriction.</w:t>
            </w:r>
            <w:r w:rsidRPr="003A13C5">
              <w:rPr>
                <w:rFonts w:eastAsia="SimSun"/>
                <w:szCs w:val="16"/>
              </w:rPr>
              <w:br/>
              <w:t>The maximum quantity authorised will be limited to provide sufficient supply for 1 month of treatment, based on the dosage recommendations in the TGA-approved Product Information.</w:t>
            </w:r>
            <w:r w:rsidRPr="003A13C5">
              <w:rPr>
                <w:rFonts w:eastAsia="SimSun"/>
                <w:szCs w:val="16"/>
              </w:rPr>
              <w:br/>
              <w:t>A maximum of 5 repeats may be requested.</w:t>
            </w:r>
          </w:p>
        </w:tc>
        <w:tc>
          <w:tcPr>
            <w:tcW w:w="2693" w:type="dxa"/>
            <w:shd w:val="clear" w:color="auto" w:fill="auto"/>
            <w:tcMar>
              <w:top w:w="28" w:type="dxa"/>
              <w:left w:w="28" w:type="dxa"/>
              <w:right w:w="57" w:type="dxa"/>
            </w:tcMar>
          </w:tcPr>
          <w:p w14:paraId="214364F3" w14:textId="3E73438F" w:rsidR="00FA3954" w:rsidRPr="003A13C5" w:rsidRDefault="00FA3954" w:rsidP="008F5E69">
            <w:pPr>
              <w:spacing w:before="60"/>
              <w:rPr>
                <w:rFonts w:ascii="Arial" w:eastAsia="Arial" w:hAnsi="Arial" w:cs="Arial"/>
                <w:sz w:val="16"/>
                <w:szCs w:val="16"/>
                <w:lang w:eastAsia="zh-CN"/>
              </w:rPr>
            </w:pPr>
            <w:r w:rsidRPr="003A13C5">
              <w:rPr>
                <w:rFonts w:ascii="Arial" w:eastAsia="SimSun" w:hAnsi="Arial" w:cs="Arial"/>
                <w:sz w:val="16"/>
                <w:szCs w:val="16"/>
                <w:lang w:eastAsia="zh-CN"/>
              </w:rPr>
              <w:t>Compliance with Authority Required procedures</w:t>
            </w:r>
          </w:p>
        </w:tc>
      </w:tr>
      <w:tr w:rsidR="00FA3954" w:rsidRPr="003A13C5" w14:paraId="0ADA6D46" w14:textId="77777777" w:rsidTr="004A6516">
        <w:tc>
          <w:tcPr>
            <w:tcW w:w="1838" w:type="dxa"/>
            <w:shd w:val="clear" w:color="auto" w:fill="auto"/>
            <w:tcMar>
              <w:top w:w="28" w:type="dxa"/>
              <w:left w:w="28" w:type="dxa"/>
            </w:tcMar>
          </w:tcPr>
          <w:p w14:paraId="219FDEFF" w14:textId="77777777" w:rsidR="00FA3954" w:rsidRPr="003A13C5" w:rsidRDefault="00FA3954" w:rsidP="008F5E69">
            <w:pPr>
              <w:spacing w:before="60"/>
              <w:rPr>
                <w:rFonts w:ascii="Arial" w:hAnsi="Arial" w:cs="Arial"/>
                <w:sz w:val="16"/>
                <w:szCs w:val="16"/>
              </w:rPr>
            </w:pPr>
          </w:p>
        </w:tc>
        <w:tc>
          <w:tcPr>
            <w:tcW w:w="851" w:type="dxa"/>
            <w:shd w:val="clear" w:color="auto" w:fill="auto"/>
            <w:tcMar>
              <w:top w:w="28" w:type="dxa"/>
              <w:left w:w="28" w:type="dxa"/>
            </w:tcMar>
          </w:tcPr>
          <w:p w14:paraId="0D3A9DE7" w14:textId="66F38C81" w:rsidR="00FA3954" w:rsidRPr="003A13C5" w:rsidRDefault="00FA3954" w:rsidP="008F5E69">
            <w:pPr>
              <w:spacing w:before="60"/>
              <w:rPr>
                <w:rFonts w:ascii="Arial" w:hAnsi="Arial" w:cs="Arial"/>
                <w:sz w:val="16"/>
                <w:szCs w:val="16"/>
              </w:rPr>
            </w:pPr>
            <w:r w:rsidRPr="003A13C5">
              <w:rPr>
                <w:rFonts w:ascii="Arial" w:eastAsia="SimSun" w:hAnsi="Arial" w:cs="Arial"/>
                <w:sz w:val="16"/>
                <w:szCs w:val="16"/>
                <w:lang w:eastAsia="zh-CN"/>
              </w:rPr>
              <w:t>C10285</w:t>
            </w:r>
          </w:p>
        </w:tc>
        <w:tc>
          <w:tcPr>
            <w:tcW w:w="850" w:type="dxa"/>
            <w:shd w:val="clear" w:color="auto" w:fill="auto"/>
            <w:tcMar>
              <w:top w:w="28" w:type="dxa"/>
              <w:left w:w="28" w:type="dxa"/>
            </w:tcMar>
          </w:tcPr>
          <w:p w14:paraId="1CC8626A" w14:textId="77777777" w:rsidR="00FA3954" w:rsidRPr="003A13C5" w:rsidRDefault="00FA3954" w:rsidP="008F5E69">
            <w:pPr>
              <w:spacing w:before="60"/>
              <w:rPr>
                <w:rFonts w:ascii="Arial" w:hAnsi="Arial" w:cs="Arial"/>
                <w:sz w:val="16"/>
                <w:szCs w:val="16"/>
              </w:rPr>
            </w:pPr>
          </w:p>
        </w:tc>
        <w:tc>
          <w:tcPr>
            <w:tcW w:w="7655" w:type="dxa"/>
            <w:shd w:val="clear" w:color="auto" w:fill="auto"/>
            <w:tcMar>
              <w:top w:w="28" w:type="dxa"/>
              <w:left w:w="28" w:type="dxa"/>
            </w:tcMar>
          </w:tcPr>
          <w:p w14:paraId="4E743886" w14:textId="70DE8EB3" w:rsidR="00FA3954" w:rsidRPr="003A13C5" w:rsidRDefault="00FA3954" w:rsidP="008F5E69">
            <w:pPr>
              <w:pStyle w:val="mps3-data"/>
              <w:spacing w:after="0"/>
              <w:rPr>
                <w:szCs w:val="16"/>
              </w:rPr>
            </w:pPr>
            <w:r w:rsidRPr="003A13C5">
              <w:rPr>
                <w:rFonts w:eastAsia="SimSun"/>
                <w:szCs w:val="16"/>
              </w:rPr>
              <w:t>Pulmonary arterial hypertension (PAH)</w:t>
            </w:r>
            <w:r w:rsidRPr="003A13C5">
              <w:rPr>
                <w:rFonts w:eastAsia="SimSun"/>
                <w:szCs w:val="16"/>
              </w:rPr>
              <w:br/>
              <w:t>Initial 1 (new patients)</w:t>
            </w:r>
            <w:r w:rsidRPr="003A13C5">
              <w:rPr>
                <w:rFonts w:eastAsia="SimSun"/>
                <w:szCs w:val="16"/>
              </w:rPr>
              <w:br/>
              <w:t>Patient must not have received prior PBS-subsidised treatment with a pulmonary arterial hypertension (PAH) agent; AND</w:t>
            </w:r>
            <w:r w:rsidRPr="003A13C5">
              <w:rPr>
                <w:rFonts w:eastAsia="SimSun"/>
                <w:szCs w:val="16"/>
              </w:rPr>
              <w:br/>
              <w:t>Patient must have been assessed by a physician with expertise in the management of PAH; AND</w:t>
            </w:r>
            <w:r w:rsidRPr="003A13C5">
              <w:rPr>
                <w:rFonts w:eastAsia="SimSun"/>
                <w:szCs w:val="16"/>
              </w:rPr>
              <w:br/>
              <w:t>Patient must have WHO Functional Class II PAH, or WHO Functional Class III PAH, or WHO Functional Class IV PAH; AND</w:t>
            </w:r>
            <w:r w:rsidRPr="003A13C5">
              <w:rPr>
                <w:rFonts w:eastAsia="SimSun"/>
                <w:szCs w:val="16"/>
              </w:rPr>
              <w:br/>
              <w:t>The treatment must be the sole PBS-subsidised PAH agent for this condition.</w:t>
            </w:r>
            <w:r w:rsidRPr="003A13C5">
              <w:rPr>
                <w:rFonts w:eastAsia="SimSun"/>
                <w:szCs w:val="16"/>
              </w:rPr>
              <w:br/>
            </w:r>
            <w:r w:rsidRPr="003A13C5">
              <w:rPr>
                <w:rFonts w:eastAsia="SimSun"/>
                <w:szCs w:val="16"/>
              </w:rPr>
              <w:lastRenderedPageBreak/>
              <w:t>The term 'PAH agents' refers to bosentan monohydrate, iloprost trometamol, epoprostenol sodium, sildenafil citrate, ambrisentan, tadalafil, macitentan, and riociguat.</w:t>
            </w:r>
            <w:r w:rsidRPr="003A13C5">
              <w:rPr>
                <w:rFonts w:eastAsia="SimSun"/>
                <w:szCs w:val="16"/>
              </w:rPr>
              <w:br/>
              <w:t>PAH agents are not PBS-subsidised for patients with pulmonary hypertension secondary to interstitial lung disease associated with connective tissue disease, where the total lung capacity is less than 70% of predicted.</w:t>
            </w:r>
            <w:r w:rsidRPr="003A13C5">
              <w:rPr>
                <w:rFonts w:eastAsia="SimSun"/>
                <w:szCs w:val="16"/>
              </w:rPr>
              <w:br/>
              <w:t>PAH (WHO Group 1 pulmonary hypertension) is defined as follows:</w:t>
            </w:r>
            <w:r w:rsidRPr="003A13C5">
              <w:rPr>
                <w:rFonts w:eastAsia="SimSun"/>
                <w:szCs w:val="16"/>
              </w:rPr>
              <w:br/>
              <w:t>(i) mean pulmonary artery pressure (mPAP) greater than or equal to 25 mmHg at rest and pulmonary artery wedge pressure (PAWP) less than or equal to 15 mmHg; or</w:t>
            </w:r>
            <w:r w:rsidRPr="003A13C5">
              <w:rPr>
                <w:rFonts w:eastAsia="SimSun"/>
                <w:szCs w:val="16"/>
              </w:rPr>
              <w:br/>
              <w:t>(ii) where a right heart catheter (RHC) cannot be performed on clinical grounds, right ventricular systolic pressure (RVSP), assessed by echocardiography (ECHO), greater than 40 mmHg, with normal left ventricular function.</w:t>
            </w:r>
            <w:r w:rsidRPr="003A13C5">
              <w:rPr>
                <w:rFonts w:eastAsia="SimSun"/>
                <w:szCs w:val="16"/>
              </w:rPr>
              <w:br/>
              <w:t>Applications for authorisation must be in writing and must include:</w:t>
            </w:r>
            <w:r w:rsidRPr="003A13C5">
              <w:rPr>
                <w:rFonts w:eastAsia="SimSun"/>
                <w:szCs w:val="16"/>
              </w:rPr>
              <w:br/>
              <w:t>(1) a completed authority prescription form; and</w:t>
            </w:r>
            <w:r w:rsidRPr="003A13C5">
              <w:rPr>
                <w:rFonts w:eastAsia="SimSun"/>
                <w:szCs w:val="16"/>
              </w:rPr>
              <w:br/>
              <w:t>(2) a completed Pulmonary Arterial Hypertension PBS Authority Application - Supporting Information form which includes results from the three tests below, where available:</w:t>
            </w:r>
            <w:r w:rsidRPr="003A13C5">
              <w:rPr>
                <w:rFonts w:eastAsia="SimSun"/>
                <w:szCs w:val="16"/>
              </w:rPr>
              <w:br/>
              <w:t>(i) RHC composite assessment; and</w:t>
            </w:r>
            <w:r w:rsidRPr="003A13C5">
              <w:rPr>
                <w:rFonts w:eastAsia="SimSun"/>
                <w:szCs w:val="16"/>
              </w:rPr>
              <w:br/>
              <w:t>(ii) ECHO composite assessment; and</w:t>
            </w:r>
            <w:r w:rsidRPr="003A13C5">
              <w:rPr>
                <w:rFonts w:eastAsia="SimSun"/>
                <w:szCs w:val="16"/>
              </w:rPr>
              <w:br/>
              <w:t>(iii) 6 Minute Walk Test (6MWT).</w:t>
            </w:r>
            <w:r w:rsidRPr="003A13C5">
              <w:rPr>
                <w:rFonts w:eastAsia="SimSun"/>
                <w:szCs w:val="16"/>
              </w:rPr>
              <w:br/>
              <w:t>Where it is not possible to perform all 3 tests on clinical grounds, the following list outlines the preferred test combination, in descending order, for the purposes of initiation of PBS-subsidised treatment:</w:t>
            </w:r>
            <w:r w:rsidRPr="003A13C5">
              <w:rPr>
                <w:rFonts w:eastAsia="SimSun"/>
                <w:szCs w:val="16"/>
              </w:rPr>
              <w:br/>
              <w:t>(1) RHC plus ECHO composite assessments;</w:t>
            </w:r>
            <w:r w:rsidRPr="003A13C5">
              <w:rPr>
                <w:rFonts w:eastAsia="SimSun"/>
                <w:szCs w:val="16"/>
              </w:rPr>
              <w:br/>
              <w:t>(2) RHC composite assessment plus 6MWT;</w:t>
            </w:r>
            <w:r w:rsidRPr="003A13C5">
              <w:rPr>
                <w:rFonts w:eastAsia="SimSun"/>
                <w:szCs w:val="16"/>
              </w:rPr>
              <w:br/>
              <w:t>(3) RHC composite assessment only.</w:t>
            </w:r>
            <w:r w:rsidRPr="003A13C5">
              <w:rPr>
                <w:rFonts w:eastAsia="SimSun"/>
                <w:szCs w:val="16"/>
              </w:rPr>
              <w:br/>
              <w:t>In circumstances where a RHC cannot be performed on clinical grounds, applications may be submitted for consideration based on the results of the following test combinations, which are listed in descending order of preference:</w:t>
            </w:r>
            <w:r w:rsidRPr="003A13C5">
              <w:rPr>
                <w:rFonts w:eastAsia="SimSun"/>
                <w:szCs w:val="16"/>
              </w:rPr>
              <w:br/>
              <w:t>(1) ECHO composite assessment plus 6MWT;</w:t>
            </w:r>
            <w:r w:rsidRPr="003A13C5">
              <w:rPr>
                <w:rFonts w:eastAsia="SimSun"/>
                <w:szCs w:val="16"/>
              </w:rPr>
              <w:br/>
              <w:t>(2) ECHO composite assessment only.</w:t>
            </w:r>
            <w:r w:rsidRPr="003A13C5">
              <w:rPr>
                <w:rFonts w:eastAsia="SimSun"/>
                <w:szCs w:val="16"/>
              </w:rPr>
              <w:br/>
              <w:t>Where fewer than 3 tests are able to be performed on clinical grounds, a patient specific reason outlining why the particular test(s) could not be conducted must be provided with the authority application.</w:t>
            </w:r>
            <w:r w:rsidRPr="003A13C5">
              <w:rPr>
                <w:rFonts w:eastAsia="SimSun"/>
                <w:szCs w:val="16"/>
              </w:rPr>
              <w:br/>
              <w:t>Where a RHC cannot be performed on clinical grounds, confirmation of the reason(s) must be provided with the authority application by a second PAH physician or cardiologist with expertise in the management of PAH.</w:t>
            </w:r>
            <w:r w:rsidRPr="003A13C5">
              <w:rPr>
                <w:rFonts w:eastAsia="SimSun"/>
                <w:szCs w:val="16"/>
              </w:rPr>
              <w:br/>
              <w:t>The test results provided must not be more than 2 months old at the time of application.</w:t>
            </w:r>
            <w:r w:rsidRPr="003A13C5">
              <w:rPr>
                <w:rFonts w:eastAsia="SimSun"/>
                <w:szCs w:val="16"/>
              </w:rPr>
              <w:br/>
              <w:t>The maximum quantity authorised will be limited to provide sufficient supply for 1 month of treatment, based on the dosage recommendations in the TGA-approved Product Information.</w:t>
            </w:r>
            <w:r w:rsidRPr="003A13C5">
              <w:rPr>
                <w:rFonts w:eastAsia="SimSun"/>
                <w:szCs w:val="16"/>
              </w:rPr>
              <w:br/>
              <w:t>A maximum of 5 repeats may be requested.</w:t>
            </w:r>
          </w:p>
        </w:tc>
        <w:tc>
          <w:tcPr>
            <w:tcW w:w="2693" w:type="dxa"/>
            <w:shd w:val="clear" w:color="auto" w:fill="auto"/>
            <w:tcMar>
              <w:top w:w="28" w:type="dxa"/>
              <w:left w:w="28" w:type="dxa"/>
              <w:right w:w="57" w:type="dxa"/>
            </w:tcMar>
          </w:tcPr>
          <w:p w14:paraId="5BA95979" w14:textId="6BF01E7A" w:rsidR="00FA3954" w:rsidRPr="003A13C5" w:rsidRDefault="00FA3954" w:rsidP="008F5E69">
            <w:pPr>
              <w:spacing w:before="60"/>
              <w:rPr>
                <w:rFonts w:ascii="Arial" w:eastAsia="Arial" w:hAnsi="Arial" w:cs="Arial"/>
                <w:sz w:val="16"/>
                <w:szCs w:val="16"/>
                <w:lang w:eastAsia="zh-CN"/>
              </w:rPr>
            </w:pPr>
            <w:r w:rsidRPr="003A13C5">
              <w:rPr>
                <w:rFonts w:ascii="Arial" w:eastAsia="SimSun" w:hAnsi="Arial" w:cs="Arial"/>
                <w:sz w:val="16"/>
                <w:szCs w:val="16"/>
                <w:lang w:eastAsia="zh-CN"/>
              </w:rPr>
              <w:lastRenderedPageBreak/>
              <w:t>Compliance with Written Authority Required procedures</w:t>
            </w:r>
          </w:p>
        </w:tc>
      </w:tr>
    </w:tbl>
    <w:p w14:paraId="4CCEE0E6" w14:textId="19D89F88" w:rsidR="007049CF" w:rsidRPr="003A13C5" w:rsidRDefault="007049CF" w:rsidP="007049CF">
      <w:pPr>
        <w:widowControl w:val="0"/>
        <w:numPr>
          <w:ilvl w:val="0"/>
          <w:numId w:val="5"/>
        </w:numPr>
        <w:tabs>
          <w:tab w:val="clear" w:pos="794"/>
        </w:tabs>
        <w:spacing w:before="120"/>
        <w:ind w:left="567" w:hanging="567"/>
        <w:outlineLvl w:val="1"/>
        <w:rPr>
          <w:rFonts w:ascii="Arial" w:hAnsi="Arial" w:cs="Arial"/>
          <w:b/>
          <w:bCs/>
          <w:sz w:val="20"/>
        </w:rPr>
      </w:pPr>
      <w:r w:rsidRPr="003A13C5">
        <w:rPr>
          <w:rFonts w:ascii="Arial" w:hAnsi="Arial" w:cs="Arial"/>
          <w:b/>
          <w:bCs/>
          <w:sz w:val="20"/>
        </w:rPr>
        <w:t>Schedule 3, entry for Riociguat</w:t>
      </w:r>
    </w:p>
    <w:p w14:paraId="3796A8ED" w14:textId="79820EAB" w:rsidR="007049CF" w:rsidRPr="003A13C5" w:rsidRDefault="007049CF" w:rsidP="007049CF">
      <w:pPr>
        <w:pStyle w:val="Amendment3"/>
        <w:numPr>
          <w:ilvl w:val="2"/>
          <w:numId w:val="5"/>
        </w:numPr>
        <w:tabs>
          <w:tab w:val="clear" w:pos="1474"/>
        </w:tabs>
        <w:ind w:left="1134"/>
        <w:outlineLvl w:val="1"/>
        <w:rPr>
          <w:rFonts w:ascii="Arial" w:hAnsi="Arial" w:cs="Arial"/>
          <w:b/>
          <w:bCs/>
          <w:sz w:val="16"/>
        </w:rPr>
      </w:pPr>
      <w:r w:rsidRPr="003A13C5">
        <w:rPr>
          <w:i/>
        </w:rPr>
        <w:t>omit: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38"/>
        <w:gridCol w:w="851"/>
        <w:gridCol w:w="850"/>
        <w:gridCol w:w="7655"/>
        <w:gridCol w:w="2693"/>
      </w:tblGrid>
      <w:tr w:rsidR="007049CF" w:rsidRPr="003A13C5" w14:paraId="7D34776A" w14:textId="77777777" w:rsidTr="004A6516">
        <w:tc>
          <w:tcPr>
            <w:tcW w:w="1838" w:type="dxa"/>
            <w:shd w:val="clear" w:color="auto" w:fill="auto"/>
            <w:tcMar>
              <w:top w:w="28" w:type="dxa"/>
              <w:left w:w="28" w:type="dxa"/>
            </w:tcMar>
          </w:tcPr>
          <w:p w14:paraId="271356C9" w14:textId="77777777" w:rsidR="007049CF" w:rsidRPr="003A13C5" w:rsidRDefault="007049CF" w:rsidP="007049CF">
            <w:pPr>
              <w:rPr>
                <w:rFonts w:ascii="Arial" w:hAnsi="Arial" w:cs="Arial"/>
                <w:sz w:val="16"/>
                <w:szCs w:val="16"/>
              </w:rPr>
            </w:pPr>
          </w:p>
        </w:tc>
        <w:tc>
          <w:tcPr>
            <w:tcW w:w="851" w:type="dxa"/>
            <w:shd w:val="clear" w:color="auto" w:fill="auto"/>
            <w:tcMar>
              <w:top w:w="28" w:type="dxa"/>
              <w:left w:w="28" w:type="dxa"/>
            </w:tcMar>
          </w:tcPr>
          <w:p w14:paraId="2BF530CA" w14:textId="34C4A82B" w:rsidR="007049CF" w:rsidRPr="003A13C5" w:rsidRDefault="007049CF" w:rsidP="008F5E69">
            <w:pPr>
              <w:spacing w:before="60"/>
              <w:rPr>
                <w:rFonts w:ascii="Arial" w:hAnsi="Arial" w:cs="Arial"/>
                <w:sz w:val="16"/>
                <w:szCs w:val="16"/>
              </w:rPr>
            </w:pPr>
            <w:r w:rsidRPr="003A13C5">
              <w:rPr>
                <w:rFonts w:ascii="Arial" w:eastAsia="SimSun" w:hAnsi="Arial" w:cs="Arial"/>
                <w:sz w:val="16"/>
                <w:szCs w:val="16"/>
                <w:lang w:eastAsia="zh-CN"/>
              </w:rPr>
              <w:t>C6690</w:t>
            </w:r>
          </w:p>
        </w:tc>
        <w:tc>
          <w:tcPr>
            <w:tcW w:w="850" w:type="dxa"/>
            <w:shd w:val="clear" w:color="auto" w:fill="auto"/>
            <w:tcMar>
              <w:top w:w="28" w:type="dxa"/>
              <w:left w:w="28" w:type="dxa"/>
            </w:tcMar>
          </w:tcPr>
          <w:p w14:paraId="785D9211" w14:textId="77777777" w:rsidR="007049CF" w:rsidRPr="003A13C5" w:rsidRDefault="007049CF" w:rsidP="008F5E69">
            <w:pPr>
              <w:spacing w:before="60"/>
              <w:rPr>
                <w:rFonts w:ascii="Arial" w:hAnsi="Arial" w:cs="Arial"/>
                <w:sz w:val="16"/>
                <w:szCs w:val="16"/>
              </w:rPr>
            </w:pPr>
          </w:p>
        </w:tc>
        <w:tc>
          <w:tcPr>
            <w:tcW w:w="7655" w:type="dxa"/>
            <w:shd w:val="clear" w:color="auto" w:fill="auto"/>
            <w:tcMar>
              <w:top w:w="28" w:type="dxa"/>
              <w:left w:w="28" w:type="dxa"/>
            </w:tcMar>
          </w:tcPr>
          <w:p w14:paraId="38B98A77" w14:textId="5098AF42" w:rsidR="007049CF" w:rsidRPr="003A13C5" w:rsidRDefault="007049CF" w:rsidP="008F5E69">
            <w:pPr>
              <w:spacing w:before="60"/>
            </w:pPr>
            <w:r w:rsidRPr="003A13C5">
              <w:rPr>
                <w:rFonts w:ascii="Arial" w:eastAsia="SimSun" w:hAnsi="Arial" w:cs="Arial"/>
                <w:sz w:val="16"/>
                <w:szCs w:val="16"/>
                <w:lang w:eastAsia="zh-CN"/>
              </w:rPr>
              <w:t>Pulmonary arterial hypertension (PAH)</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Initial 1 (new patients)</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Patient must not have received prior PBS</w:t>
            </w:r>
            <w:r w:rsidRPr="003A13C5">
              <w:rPr>
                <w:rFonts w:ascii="Arial" w:eastAsia="SimSun" w:hAnsi="Arial" w:cs="Arial"/>
                <w:sz w:val="16"/>
                <w:szCs w:val="16"/>
                <w:lang w:eastAsia="zh-CN"/>
              </w:rPr>
              <w:noBreakHyphen/>
              <w:t>subsidised treatment with a pulmonary arterial hypertension (PAH) agent; AND</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Patient must have been assessed by a physician at a designated hospital; AND</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Patient must have WHO Functional Class III idiopathic pulmonary arterial hypertension (iPAH) or anorexigen</w:t>
            </w:r>
            <w:r w:rsidRPr="003A13C5">
              <w:rPr>
                <w:rFonts w:ascii="Arial" w:eastAsia="SimSun" w:hAnsi="Arial" w:cs="Arial"/>
                <w:sz w:val="16"/>
                <w:szCs w:val="16"/>
                <w:lang w:eastAsia="zh-CN"/>
              </w:rPr>
              <w:noBreakHyphen/>
              <w:t>induced PAH or hereditable PAH; OR</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lastRenderedPageBreak/>
              <w:t>Patient must have WHO Functional Class III pulmonary arterial hypertension secondary to connective tissue disease; AND</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Patient must have a mean right atrial pressure of 8 mmHg or less as measured by right heart catheterisation (RHC); OR</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Patient must have right ventricular function assessed by echocardiography (ECHO) where a RHC cannot be performed on clinical grounds; AND</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Patient must have failed to respond to 6 or more weeks of appropriate vasodilator treatment unless intolerance or a contraindication to such treatment exists; AND</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The treatment must be the sole PBS</w:t>
            </w:r>
            <w:r w:rsidRPr="003A13C5">
              <w:rPr>
                <w:rFonts w:ascii="Arial" w:eastAsia="SimSun" w:hAnsi="Arial" w:cs="Arial"/>
                <w:sz w:val="16"/>
                <w:szCs w:val="16"/>
                <w:lang w:eastAsia="zh-CN"/>
              </w:rPr>
              <w:noBreakHyphen/>
              <w:t>subsidised PAH agent for this condition.</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 xml:space="preserve">Applications for authorisation must be in writing and must include: (1) completed authority prescription forms sufficient for dose titration; and (2) a completed Pulmonary Arterial Hypertension Initial PBS Authority Application </w:t>
            </w:r>
            <w:r w:rsidRPr="003A13C5">
              <w:rPr>
                <w:rFonts w:ascii="Arial" w:eastAsia="SimSun" w:hAnsi="Arial" w:cs="Arial"/>
                <w:sz w:val="16"/>
                <w:szCs w:val="16"/>
                <w:lang w:eastAsia="zh-CN"/>
              </w:rPr>
              <w:noBreakHyphen/>
              <w:t xml:space="preserve"> Supporting Information form which includes results from the three tests below, where available: (i) RHC composite assessment; and (ii) ECHO composite assessment; and (iii) 6 Minute Walk Test (6MWT); and (3) a signed patient acknowledgement. Idiopathic pulmonary arterial hypertension, anorexigen</w:t>
            </w:r>
            <w:r w:rsidRPr="003A13C5">
              <w:rPr>
                <w:rFonts w:ascii="Arial" w:eastAsia="SimSun" w:hAnsi="Arial" w:cs="Arial"/>
                <w:sz w:val="16"/>
                <w:szCs w:val="16"/>
                <w:lang w:eastAsia="zh-CN"/>
              </w:rPr>
              <w:noBreakHyphen/>
              <w:t>induced pulmonary arterial hypertension, hereditable pulmonary arterial hypertension, drug</w:t>
            </w:r>
            <w:r w:rsidRPr="003A13C5">
              <w:rPr>
                <w:rFonts w:ascii="Arial" w:eastAsia="SimSun" w:hAnsi="Arial" w:cs="Arial"/>
                <w:sz w:val="16"/>
                <w:szCs w:val="16"/>
                <w:lang w:eastAsia="zh-CN"/>
              </w:rPr>
              <w:noBreakHyphen/>
              <w:t>induced pulmonary arterial hypertension, pulmonary arterial hypertension secondary to connective tissue disease including scleroderma, or pulmonary arterial hypertension associated with a congenital systemic</w:t>
            </w:r>
            <w:r w:rsidRPr="003A13C5">
              <w:rPr>
                <w:rFonts w:ascii="Arial" w:eastAsia="SimSun" w:hAnsi="Arial" w:cs="Arial"/>
                <w:sz w:val="16"/>
                <w:szCs w:val="16"/>
                <w:lang w:eastAsia="zh-CN"/>
              </w:rPr>
              <w:noBreakHyphen/>
              <w:t>to</w:t>
            </w:r>
            <w:r w:rsidRPr="003A13C5">
              <w:rPr>
                <w:rFonts w:ascii="Arial" w:eastAsia="SimSun" w:hAnsi="Arial" w:cs="Arial"/>
                <w:sz w:val="16"/>
                <w:szCs w:val="16"/>
                <w:lang w:eastAsia="zh-CN"/>
              </w:rPr>
              <w:noBreakHyphen/>
              <w:t>pulmonary shunt (including Eisenmenger's physiology) are defined as follows: (i) mean pulmonary artery pressure (mPAP) greater than 25 mmHg at rest and pulmonary artery wedge pressure (PAWP) less than 15 mmHg; or (ii) where a right heart catheter (RHC) cannot be performed on clinical grounds, right ventricular systolic pressure (RVSP), assessed by echocardiography (ECHO), greater than 40 mmHg, with normal left ventricular function.</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Test requirements to establish baseline for initiation of treatment are as follows:</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The first written application for PBS</w:t>
            </w:r>
            <w:r w:rsidRPr="003A13C5">
              <w:rPr>
                <w:rFonts w:ascii="Arial" w:eastAsia="SimSun" w:hAnsi="Arial" w:cs="Arial"/>
                <w:sz w:val="16"/>
                <w:szCs w:val="16"/>
                <w:lang w:eastAsia="zh-CN"/>
              </w:rPr>
              <w:noBreakHyphen/>
              <w:t>subsidised treatment with the first PAH agent should be accompanied by the results of a right heart catheter (RHC) composite assessment plus an echocardiograph (ECHO) composite assessment, plus a 6 minute walk test (6MWT) to establish the patient's baseline measurements.</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Where it is not possible to perform all 3 tests above on clinical grounds, the following list outlines the preferred test combination, in descending order, for the purposes of initiation of PBS</w:t>
            </w:r>
            <w:r w:rsidRPr="003A13C5">
              <w:rPr>
                <w:rFonts w:ascii="Arial" w:eastAsia="SimSun" w:hAnsi="Arial" w:cs="Arial"/>
                <w:sz w:val="16"/>
                <w:szCs w:val="16"/>
                <w:lang w:eastAsia="zh-CN"/>
              </w:rPr>
              <w:noBreakHyphen/>
              <w:t>subsidised treatment:</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(1) RHC plus ECHO composite assessments;</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(2) RHC composite assessment plus 6MWT;</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(3) RHC composite assessment only.</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In circumstances where a RHC cannot be performed on clinical grounds, applications may be submitted for consideration based on the results of the following test combinations, which are listed in descending order of preference:</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(1) ECHO composite assessment plus 6MWT;</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(2) ECHO composite assessment only.</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Where fewer than 3 tests are able to be performed on clinical grounds, a patient specific reason outlining why the particular test(s) could not be conducted must be provided with the authority application.</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The test results provided must not be more than 2 months old at the time of application.</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Details of prior vasodilator treatment, including the dose and duration of treatment, must be provided at the time of application. Where the patient has an adverse event to a vasodilator or where vasodilator treatment is contraindicated, details of the nature of the adverse event or contraindication according to the Therapeutic Goods Administration (TGA) approved Product Information must also be provided with the application.</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Response to prior vasodilator treatment is defined as follows:</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For patients with 2 or more baseline tests, response to treatment is defined as 2 or more tests demonstrating stability or improvement of disease, as assessed by a physician from a designated hospital.</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 xml:space="preserve">For patients with a RHC composite assessment alone at baseline, response to treatment is defined as a </w:t>
            </w:r>
            <w:r w:rsidRPr="003A13C5">
              <w:rPr>
                <w:rFonts w:ascii="Arial" w:eastAsia="SimSun" w:hAnsi="Arial" w:cs="Arial"/>
                <w:sz w:val="16"/>
                <w:szCs w:val="16"/>
                <w:lang w:eastAsia="zh-CN"/>
              </w:rPr>
              <w:lastRenderedPageBreak/>
              <w:t>RHC result demonstrating stability or improvement of disease, as assessed by a physician from a designated hospital.</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For patients with an ECHO composite assessment alone at baseline, response to treatment is defined as an ECHO result demonstrating stability or improvement of disease, as assessed by a physician from a designated hospital.</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For patients aged less than 18 years, response to treatment is defined as at least one of the baseline tests demonstrating stability or improvement of disease, as assessed by a physician from a designated hospital.</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Approvals for prescriptions for dose titration will provide sufficient quantity for dose titrations by 0.5 mg increments at 2</w:t>
            </w:r>
            <w:r w:rsidRPr="003A13C5">
              <w:rPr>
                <w:rFonts w:ascii="Arial" w:eastAsia="SimSun" w:hAnsi="Arial" w:cs="Arial"/>
                <w:sz w:val="16"/>
                <w:szCs w:val="16"/>
                <w:lang w:eastAsia="zh-CN"/>
              </w:rPr>
              <w:noBreakHyphen/>
              <w:t>week intervals to achieve up to a maximum of 2.5 mg three times daily based on the dosage recommendations for initiation of treatment in the TGA</w:t>
            </w:r>
            <w:r w:rsidRPr="003A13C5">
              <w:rPr>
                <w:rFonts w:ascii="Arial" w:eastAsia="SimSun" w:hAnsi="Arial" w:cs="Arial"/>
                <w:sz w:val="16"/>
                <w:szCs w:val="16"/>
                <w:lang w:eastAsia="zh-CN"/>
              </w:rPr>
              <w:noBreakHyphen/>
              <w:t>approved Product Information. No repeats will be authorised for these prescriptions.</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Approvals for subsequent authority prescription will be limited to 1 month of treatment, with the quantity approved based on the dosage recommendations in the TGA</w:t>
            </w:r>
            <w:r w:rsidRPr="003A13C5">
              <w:rPr>
                <w:rFonts w:ascii="Arial" w:eastAsia="SimSun" w:hAnsi="Arial" w:cs="Arial"/>
                <w:sz w:val="16"/>
                <w:szCs w:val="16"/>
                <w:lang w:eastAsia="zh-CN"/>
              </w:rPr>
              <w:noBreakHyphen/>
              <w:t>approved Product Information, and a maximum of 4 repeats.</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The assessment of the patient's response to the initial 6 month course of treatment should be made following the preceding 5 months of treatment, in order to allow sufficient time for a response to be demonstrated.</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Patients who fail to demonstrate a response to PBS</w:t>
            </w:r>
            <w:r w:rsidRPr="003A13C5">
              <w:rPr>
                <w:rFonts w:ascii="Arial" w:eastAsia="SimSun" w:hAnsi="Arial" w:cs="Arial"/>
                <w:sz w:val="16"/>
                <w:szCs w:val="16"/>
                <w:lang w:eastAsia="zh-CN"/>
              </w:rPr>
              <w:noBreakHyphen/>
              <w:t>subsidised treatment with this agent at the time where an assessment is required must cease PBS</w:t>
            </w:r>
            <w:r w:rsidRPr="003A13C5">
              <w:rPr>
                <w:rFonts w:ascii="Arial" w:eastAsia="SimSun" w:hAnsi="Arial" w:cs="Arial"/>
                <w:sz w:val="16"/>
                <w:szCs w:val="16"/>
                <w:lang w:eastAsia="zh-CN"/>
              </w:rPr>
              <w:noBreakHyphen/>
              <w:t>subsidised therapy with this agent.</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The term 'PAH agents' refers to bosentan monohydrate, iloprost trometamol, epoprostenol sodium, sildenafil citrate, ambrisentan, tadalafil, macitentan, and riociguat.</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PAH agents are not PBS</w:t>
            </w:r>
            <w:r w:rsidRPr="003A13C5">
              <w:rPr>
                <w:rFonts w:ascii="Arial" w:eastAsia="SimSun" w:hAnsi="Arial" w:cs="Arial"/>
                <w:sz w:val="16"/>
                <w:szCs w:val="16"/>
                <w:lang w:eastAsia="zh-CN"/>
              </w:rPr>
              <w:noBreakHyphen/>
              <w:t>subsidised for patients with pulmonary hypertension secondary to interstitial lung disease associated with connective tissue disease, where the total lung capacity is less than 70% of predicted.</w:t>
            </w:r>
          </w:p>
        </w:tc>
        <w:tc>
          <w:tcPr>
            <w:tcW w:w="2693" w:type="dxa"/>
            <w:shd w:val="clear" w:color="auto" w:fill="auto"/>
            <w:tcMar>
              <w:top w:w="28" w:type="dxa"/>
              <w:left w:w="28" w:type="dxa"/>
              <w:right w:w="57" w:type="dxa"/>
            </w:tcMar>
          </w:tcPr>
          <w:p w14:paraId="4101CD79" w14:textId="122E8A50" w:rsidR="007049CF" w:rsidRPr="003A13C5" w:rsidRDefault="007049CF" w:rsidP="008F5E69">
            <w:pPr>
              <w:spacing w:before="60"/>
              <w:rPr>
                <w:rFonts w:ascii="Arial" w:eastAsia="Arial" w:hAnsi="Arial" w:cs="Arial"/>
                <w:sz w:val="16"/>
                <w:szCs w:val="22"/>
                <w:lang w:eastAsia="zh-CN"/>
              </w:rPr>
            </w:pPr>
            <w:r w:rsidRPr="003A13C5">
              <w:rPr>
                <w:rFonts w:ascii="Arial" w:eastAsia="SimSun" w:hAnsi="Arial" w:cs="Arial"/>
                <w:sz w:val="16"/>
                <w:szCs w:val="16"/>
                <w:lang w:eastAsia="zh-CN"/>
              </w:rPr>
              <w:lastRenderedPageBreak/>
              <w:t>Compliance with Written Authority Required procedures</w:t>
            </w:r>
          </w:p>
        </w:tc>
      </w:tr>
      <w:tr w:rsidR="007049CF" w:rsidRPr="003A13C5" w14:paraId="49A19ECE" w14:textId="77777777" w:rsidTr="004A6516">
        <w:tc>
          <w:tcPr>
            <w:tcW w:w="1838" w:type="dxa"/>
            <w:shd w:val="clear" w:color="auto" w:fill="auto"/>
            <w:tcMar>
              <w:top w:w="28" w:type="dxa"/>
              <w:left w:w="28" w:type="dxa"/>
            </w:tcMar>
          </w:tcPr>
          <w:p w14:paraId="69CB404E" w14:textId="77777777" w:rsidR="007049CF" w:rsidRPr="003A13C5" w:rsidRDefault="007049CF" w:rsidP="007049CF">
            <w:pPr>
              <w:rPr>
                <w:rFonts w:ascii="Arial" w:hAnsi="Arial" w:cs="Arial"/>
                <w:sz w:val="16"/>
                <w:szCs w:val="16"/>
              </w:rPr>
            </w:pPr>
          </w:p>
        </w:tc>
        <w:tc>
          <w:tcPr>
            <w:tcW w:w="851" w:type="dxa"/>
            <w:shd w:val="clear" w:color="auto" w:fill="auto"/>
            <w:tcMar>
              <w:top w:w="28" w:type="dxa"/>
              <w:left w:w="28" w:type="dxa"/>
            </w:tcMar>
          </w:tcPr>
          <w:p w14:paraId="356EEC91" w14:textId="273706AE" w:rsidR="007049CF" w:rsidRPr="003A13C5" w:rsidRDefault="007049CF" w:rsidP="008F5E69">
            <w:pPr>
              <w:spacing w:before="60"/>
              <w:rPr>
                <w:rFonts w:ascii="Arial" w:hAnsi="Arial" w:cs="Arial"/>
                <w:sz w:val="16"/>
                <w:szCs w:val="16"/>
              </w:rPr>
            </w:pPr>
            <w:r w:rsidRPr="003A13C5">
              <w:rPr>
                <w:rFonts w:ascii="Arial" w:eastAsia="SimSun" w:hAnsi="Arial" w:cs="Arial"/>
                <w:sz w:val="16"/>
                <w:szCs w:val="16"/>
                <w:lang w:eastAsia="zh-CN"/>
              </w:rPr>
              <w:t>C6691</w:t>
            </w:r>
          </w:p>
        </w:tc>
        <w:tc>
          <w:tcPr>
            <w:tcW w:w="850" w:type="dxa"/>
            <w:shd w:val="clear" w:color="auto" w:fill="auto"/>
            <w:tcMar>
              <w:top w:w="28" w:type="dxa"/>
              <w:left w:w="28" w:type="dxa"/>
            </w:tcMar>
          </w:tcPr>
          <w:p w14:paraId="7B7656A8" w14:textId="77777777" w:rsidR="007049CF" w:rsidRPr="003A13C5" w:rsidRDefault="007049CF" w:rsidP="008F5E69">
            <w:pPr>
              <w:spacing w:before="60"/>
              <w:rPr>
                <w:rFonts w:ascii="Arial" w:hAnsi="Arial" w:cs="Arial"/>
                <w:sz w:val="16"/>
                <w:szCs w:val="16"/>
              </w:rPr>
            </w:pPr>
          </w:p>
        </w:tc>
        <w:tc>
          <w:tcPr>
            <w:tcW w:w="7655" w:type="dxa"/>
            <w:shd w:val="clear" w:color="auto" w:fill="auto"/>
            <w:tcMar>
              <w:top w:w="28" w:type="dxa"/>
              <w:left w:w="28" w:type="dxa"/>
            </w:tcMar>
          </w:tcPr>
          <w:p w14:paraId="05E75F06" w14:textId="79B9CCE1" w:rsidR="007049CF" w:rsidRPr="003A13C5" w:rsidRDefault="007049CF" w:rsidP="008F5E69">
            <w:pPr>
              <w:spacing w:before="60"/>
            </w:pPr>
            <w:r w:rsidRPr="003A13C5">
              <w:rPr>
                <w:rFonts w:ascii="Arial" w:eastAsia="SimSun" w:hAnsi="Arial" w:cs="Arial"/>
                <w:sz w:val="16"/>
                <w:szCs w:val="16"/>
                <w:lang w:eastAsia="zh-CN"/>
              </w:rPr>
              <w:t>Pulmonary arterial hypertension (PAH)</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Subsequent Continuing treatment</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Patient must have received a PBS</w:t>
            </w:r>
            <w:r w:rsidRPr="003A13C5">
              <w:rPr>
                <w:rFonts w:ascii="Arial" w:eastAsia="SimSun" w:hAnsi="Arial" w:cs="Arial"/>
                <w:sz w:val="16"/>
                <w:szCs w:val="16"/>
                <w:lang w:eastAsia="zh-CN"/>
              </w:rPr>
              <w:noBreakHyphen/>
              <w:t>subsidised treatment under First Continuing treatment with this agent for this condition; OR</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Patient must have previously received PBS</w:t>
            </w:r>
            <w:r w:rsidRPr="003A13C5">
              <w:rPr>
                <w:rFonts w:ascii="Arial" w:eastAsia="SimSun" w:hAnsi="Arial" w:cs="Arial"/>
                <w:sz w:val="16"/>
                <w:szCs w:val="16"/>
                <w:lang w:eastAsia="zh-CN"/>
              </w:rPr>
              <w:noBreakHyphen/>
              <w:t>subsidised treatment under this criteria with this agent for this condition; AND</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Patient must have been assessed by a physician at a designated hospital; AND</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The treatment must be the sole PBS</w:t>
            </w:r>
            <w:r w:rsidRPr="003A13C5">
              <w:rPr>
                <w:rFonts w:ascii="Arial" w:eastAsia="SimSun" w:hAnsi="Arial" w:cs="Arial"/>
                <w:sz w:val="16"/>
                <w:szCs w:val="16"/>
                <w:lang w:eastAsia="zh-CN"/>
              </w:rPr>
              <w:noBreakHyphen/>
              <w:t>subsidised PAH agent for this condition.</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The maximum quantity authorised will be limited to provide sufficient supply for 1 month of treatment, based on the dosage recommendations in the Therapeutic Goods Administration (TGA) approved Product Information.</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A maximum of 5 repeats will be authorised.</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An application for Subsequent Continuing treatment with a PAH agents should be made prior to the completion of the First Continuing treatment course to ensure continuity of treatment.</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PAH agents are not PBS</w:t>
            </w:r>
            <w:r w:rsidRPr="003A13C5">
              <w:rPr>
                <w:rFonts w:ascii="Arial" w:eastAsia="SimSun" w:hAnsi="Arial" w:cs="Arial"/>
                <w:sz w:val="16"/>
                <w:szCs w:val="16"/>
                <w:lang w:eastAsia="zh-CN"/>
              </w:rPr>
              <w:noBreakHyphen/>
              <w:t>subsidised for patients with pulmonary hypertension secondary to interstitial lung disease associated with connective tissue disease, where the total lung capacity is less than 70% of predicted.</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The term 'PAH agents' refers to bosentan monohydrate, iloprost trometamol, epoprostenol sodium, sildenafil citrate, ambrisentan, tadalafil, macitentan, and riociguat.</w:t>
            </w:r>
          </w:p>
        </w:tc>
        <w:tc>
          <w:tcPr>
            <w:tcW w:w="2693" w:type="dxa"/>
            <w:shd w:val="clear" w:color="auto" w:fill="auto"/>
            <w:tcMar>
              <w:top w:w="28" w:type="dxa"/>
              <w:left w:w="28" w:type="dxa"/>
              <w:right w:w="57" w:type="dxa"/>
            </w:tcMar>
          </w:tcPr>
          <w:p w14:paraId="1835238D" w14:textId="0CB6E29F" w:rsidR="007049CF" w:rsidRPr="003A13C5" w:rsidRDefault="007049CF" w:rsidP="008F5E69">
            <w:pPr>
              <w:spacing w:before="60"/>
              <w:rPr>
                <w:rFonts w:ascii="Arial" w:eastAsia="Arial" w:hAnsi="Arial" w:cs="Arial"/>
                <w:sz w:val="16"/>
                <w:szCs w:val="22"/>
                <w:lang w:eastAsia="zh-CN"/>
              </w:rPr>
            </w:pPr>
            <w:r w:rsidRPr="003A13C5">
              <w:rPr>
                <w:rFonts w:ascii="Arial" w:eastAsia="SimSun" w:hAnsi="Arial" w:cs="Arial"/>
                <w:sz w:val="16"/>
                <w:szCs w:val="16"/>
                <w:lang w:eastAsia="zh-CN"/>
              </w:rPr>
              <w:t>Compliance with Authority Required procedures</w:t>
            </w:r>
          </w:p>
        </w:tc>
      </w:tr>
      <w:tr w:rsidR="007049CF" w:rsidRPr="003A13C5" w14:paraId="6D18A8DC" w14:textId="77777777" w:rsidTr="004A6516">
        <w:tc>
          <w:tcPr>
            <w:tcW w:w="1838" w:type="dxa"/>
            <w:shd w:val="clear" w:color="auto" w:fill="auto"/>
            <w:tcMar>
              <w:top w:w="28" w:type="dxa"/>
              <w:left w:w="28" w:type="dxa"/>
            </w:tcMar>
          </w:tcPr>
          <w:p w14:paraId="2A319DA3" w14:textId="77777777" w:rsidR="007049CF" w:rsidRPr="003A13C5" w:rsidRDefault="007049CF" w:rsidP="007049CF">
            <w:pPr>
              <w:rPr>
                <w:rFonts w:ascii="Arial" w:hAnsi="Arial" w:cs="Arial"/>
                <w:sz w:val="16"/>
                <w:szCs w:val="16"/>
              </w:rPr>
            </w:pPr>
          </w:p>
        </w:tc>
        <w:tc>
          <w:tcPr>
            <w:tcW w:w="851" w:type="dxa"/>
            <w:shd w:val="clear" w:color="auto" w:fill="auto"/>
            <w:tcMar>
              <w:top w:w="28" w:type="dxa"/>
              <w:left w:w="28" w:type="dxa"/>
            </w:tcMar>
          </w:tcPr>
          <w:p w14:paraId="4C794231" w14:textId="5F20B70A" w:rsidR="007049CF" w:rsidRPr="003A13C5" w:rsidRDefault="007049CF" w:rsidP="008F5E69">
            <w:pPr>
              <w:spacing w:before="60"/>
              <w:rPr>
                <w:rFonts w:ascii="Arial" w:hAnsi="Arial" w:cs="Arial"/>
                <w:sz w:val="16"/>
                <w:szCs w:val="16"/>
              </w:rPr>
            </w:pPr>
            <w:r w:rsidRPr="003A13C5">
              <w:rPr>
                <w:rFonts w:ascii="Arial" w:eastAsia="SimSun" w:hAnsi="Arial" w:cs="Arial"/>
                <w:sz w:val="16"/>
                <w:szCs w:val="16"/>
                <w:lang w:eastAsia="zh-CN"/>
              </w:rPr>
              <w:t>C6708</w:t>
            </w:r>
          </w:p>
        </w:tc>
        <w:tc>
          <w:tcPr>
            <w:tcW w:w="850" w:type="dxa"/>
            <w:shd w:val="clear" w:color="auto" w:fill="auto"/>
            <w:tcMar>
              <w:top w:w="28" w:type="dxa"/>
              <w:left w:w="28" w:type="dxa"/>
            </w:tcMar>
          </w:tcPr>
          <w:p w14:paraId="62ED32AE" w14:textId="77777777" w:rsidR="007049CF" w:rsidRPr="003A13C5" w:rsidRDefault="007049CF" w:rsidP="008F5E69">
            <w:pPr>
              <w:spacing w:before="60"/>
              <w:rPr>
                <w:rFonts w:ascii="Arial" w:hAnsi="Arial" w:cs="Arial"/>
                <w:sz w:val="16"/>
                <w:szCs w:val="16"/>
              </w:rPr>
            </w:pPr>
          </w:p>
        </w:tc>
        <w:tc>
          <w:tcPr>
            <w:tcW w:w="7655" w:type="dxa"/>
            <w:shd w:val="clear" w:color="auto" w:fill="auto"/>
            <w:tcMar>
              <w:top w:w="28" w:type="dxa"/>
              <w:left w:w="28" w:type="dxa"/>
            </w:tcMar>
          </w:tcPr>
          <w:p w14:paraId="40BE3818" w14:textId="4785C290" w:rsidR="007049CF" w:rsidRPr="003A13C5" w:rsidRDefault="007049CF" w:rsidP="008F5E69">
            <w:pPr>
              <w:spacing w:before="60"/>
            </w:pPr>
            <w:r w:rsidRPr="003A13C5">
              <w:rPr>
                <w:rFonts w:ascii="Arial" w:eastAsia="SimSun" w:hAnsi="Arial" w:cs="Arial"/>
                <w:sz w:val="16"/>
                <w:szCs w:val="16"/>
                <w:lang w:eastAsia="zh-CN"/>
              </w:rPr>
              <w:t>Pulmonary arterial hypertension (PAH)</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First Continuing treatment</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Patient must have received a PBS</w:t>
            </w:r>
            <w:r w:rsidRPr="003A13C5">
              <w:rPr>
                <w:rFonts w:ascii="Arial" w:eastAsia="SimSun" w:hAnsi="Arial" w:cs="Arial"/>
                <w:sz w:val="16"/>
                <w:szCs w:val="16"/>
                <w:lang w:eastAsia="zh-CN"/>
              </w:rPr>
              <w:noBreakHyphen/>
              <w:t>subsidised initial course of treatment with this agent for this condition; AND</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 xml:space="preserve">Patient must have been assessed by a physician from a designated hospital to have achieved a response </w:t>
            </w:r>
            <w:r w:rsidRPr="003A13C5">
              <w:rPr>
                <w:rFonts w:ascii="Arial" w:eastAsia="SimSun" w:hAnsi="Arial" w:cs="Arial"/>
                <w:sz w:val="16"/>
                <w:szCs w:val="16"/>
                <w:lang w:eastAsia="zh-CN"/>
              </w:rPr>
              <w:lastRenderedPageBreak/>
              <w:t>to the PBS</w:t>
            </w:r>
            <w:r w:rsidRPr="003A13C5">
              <w:rPr>
                <w:rFonts w:ascii="Arial" w:eastAsia="SimSun" w:hAnsi="Arial" w:cs="Arial"/>
                <w:sz w:val="16"/>
                <w:szCs w:val="16"/>
                <w:lang w:eastAsia="zh-CN"/>
              </w:rPr>
              <w:noBreakHyphen/>
              <w:t>subsidised initial course of treatment; AND</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The treatment must be the sole PBS</w:t>
            </w:r>
            <w:r w:rsidRPr="003A13C5">
              <w:rPr>
                <w:rFonts w:ascii="Arial" w:eastAsia="SimSun" w:hAnsi="Arial" w:cs="Arial"/>
                <w:sz w:val="16"/>
                <w:szCs w:val="16"/>
                <w:lang w:eastAsia="zh-CN"/>
              </w:rPr>
              <w:noBreakHyphen/>
              <w:t>subsidised PAH agent for this condition.</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Applications for authorisation must be in writing and must include:</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(1) a completed authority prescription form; and</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 xml:space="preserve">(2) a completed Pulmonary Arterial Hypertension PBS Authority Application </w:t>
            </w:r>
            <w:r w:rsidRPr="003A13C5">
              <w:rPr>
                <w:rFonts w:ascii="Arial" w:eastAsia="SimSun" w:hAnsi="Arial" w:cs="Arial"/>
                <w:sz w:val="16"/>
                <w:szCs w:val="16"/>
                <w:lang w:eastAsia="zh-CN"/>
              </w:rPr>
              <w:noBreakHyphen/>
              <w:t xml:space="preserve"> Supporting Information form which includes results from the three tests below, where available:</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(i) RHC composite assessment; and</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(ii) ECHO composite assessment; and</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(iii) 6 Minute Walk Test (6MWT).</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Test requirements to establish response to treatment for continuation of treatment are as follows:</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The following list outlines the preferred test combination, in descending order, for the purposes of continuation of PBS</w:t>
            </w:r>
            <w:r w:rsidRPr="003A13C5">
              <w:rPr>
                <w:rFonts w:ascii="Arial" w:eastAsia="SimSun" w:hAnsi="Arial" w:cs="Arial"/>
                <w:sz w:val="16"/>
                <w:szCs w:val="16"/>
                <w:lang w:eastAsia="zh-CN"/>
              </w:rPr>
              <w:noBreakHyphen/>
              <w:t>subsidised treatment:</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(1) RHC plus ECHO composite assessments plus 6MWT;</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(2) RHC plus ECHO composite assessments;</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(3) RHC composite assessment plus 6MWT;</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(4) ECHO composite assessment plus 6MWT;</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(5) RHC composite assessment only;</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(6) ECHO composite assessment only.</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The results of the same tests as conducted at baseline should be provided with the written First Continuing treatment application, except for patients who were able to undergo all 3 tests at baseline, and whose subsequent ECHO and 6MWT results demonstrate disease stability or improvement, in which case RHC can be omitted. In all other patients, where the same test(s) conducted at baseline cannot be performed for assessment of response on clinical grounds, a patient specific reason why the test(s) could not be conducted must be provided with the application.</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The test results provided with the application for continuing treatment must be no more than 2 months old at the time of application.</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Response to a PAH agent is defined as follows:</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For patients with two or more baseline tests, response to treatment is defined as two or more tests demonstrating stability or improvement of disease, as assessed by a physician from a designated hospital.</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For patients with a RHC composite assessment alone at baseline, response to treatment is defined as a RHC result demonstrating stability or improvement of disease, as assessed by a physician from a designated hospital.</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For patients with an ECHO composite assessment alone at baseline, response to treatment is defined as an ECHO result demonstrating stability or improvement of disease, as assessed by a physician from a designated hospital.</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For patients aged less than 18 years, response to treatment is defined as at least one of the baseline tests demonstrating stability or improvement of disease, as assessed by a physician from a designated hospital.</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The maximum quantity authorised will be limited to provide sufficient supply for 1 month of treatment, based on the dosage recommendations in the Therapeutic Goods Administration (TGA) approved Product Information.</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A maximum of 5 repeats will be authorised.</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An application for First Continuing treatment with a PAH agent should be made two weeks prior to the completion of the Initial 6 month treatment course to ensure continuity for those patients who respond to treatment, as assessed by the treating physician.</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Patients who fail to demonstrate a response to PBS</w:t>
            </w:r>
            <w:r w:rsidRPr="003A13C5">
              <w:rPr>
                <w:rFonts w:ascii="Arial" w:eastAsia="SimSun" w:hAnsi="Arial" w:cs="Arial"/>
                <w:sz w:val="16"/>
                <w:szCs w:val="16"/>
                <w:lang w:eastAsia="zh-CN"/>
              </w:rPr>
              <w:noBreakHyphen/>
              <w:t>subsidised treatment with this agent at the time where an assessment is required must cease PBS</w:t>
            </w:r>
            <w:r w:rsidRPr="003A13C5">
              <w:rPr>
                <w:rFonts w:ascii="Arial" w:eastAsia="SimSun" w:hAnsi="Arial" w:cs="Arial"/>
                <w:sz w:val="16"/>
                <w:szCs w:val="16"/>
                <w:lang w:eastAsia="zh-CN"/>
              </w:rPr>
              <w:noBreakHyphen/>
              <w:t>subsidised therapy with this agent.</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The term 'PAH agents' refers to bosentan monohydrate, iloprost trometamol, epoprostenol sodium, sildenafil citrate, ambrisentan, tadalafil, macitentan, and riociguat.</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PAH agents are not PBS</w:t>
            </w:r>
            <w:r w:rsidRPr="003A13C5">
              <w:rPr>
                <w:rFonts w:ascii="Arial" w:eastAsia="SimSun" w:hAnsi="Arial" w:cs="Arial"/>
                <w:sz w:val="16"/>
                <w:szCs w:val="16"/>
                <w:lang w:eastAsia="zh-CN"/>
              </w:rPr>
              <w:noBreakHyphen/>
              <w:t xml:space="preserve">subsidised for patients with pulmonary hypertension secondary to interstitial lung </w:t>
            </w:r>
            <w:r w:rsidRPr="003A13C5">
              <w:rPr>
                <w:rFonts w:ascii="Arial" w:eastAsia="SimSun" w:hAnsi="Arial" w:cs="Arial"/>
                <w:sz w:val="16"/>
                <w:szCs w:val="16"/>
                <w:lang w:eastAsia="zh-CN"/>
              </w:rPr>
              <w:lastRenderedPageBreak/>
              <w:t>disease associated with connective tissue disease, where the total lung capacity is less than 70% of predicted.</w:t>
            </w:r>
          </w:p>
        </w:tc>
        <w:tc>
          <w:tcPr>
            <w:tcW w:w="2693" w:type="dxa"/>
            <w:shd w:val="clear" w:color="auto" w:fill="auto"/>
            <w:tcMar>
              <w:top w:w="28" w:type="dxa"/>
              <w:left w:w="28" w:type="dxa"/>
              <w:right w:w="57" w:type="dxa"/>
            </w:tcMar>
          </w:tcPr>
          <w:p w14:paraId="5C7AC65C" w14:textId="77D9534E" w:rsidR="007049CF" w:rsidRPr="003A13C5" w:rsidRDefault="007049CF" w:rsidP="008F5E69">
            <w:pPr>
              <w:spacing w:before="60"/>
              <w:rPr>
                <w:rFonts w:ascii="Arial" w:eastAsia="Arial" w:hAnsi="Arial" w:cs="Arial"/>
                <w:sz w:val="16"/>
                <w:szCs w:val="22"/>
                <w:lang w:eastAsia="zh-CN"/>
              </w:rPr>
            </w:pPr>
            <w:r w:rsidRPr="003A13C5">
              <w:rPr>
                <w:rFonts w:ascii="Arial" w:eastAsia="SimSun" w:hAnsi="Arial" w:cs="Arial"/>
                <w:sz w:val="16"/>
                <w:szCs w:val="16"/>
                <w:lang w:eastAsia="zh-CN"/>
              </w:rPr>
              <w:lastRenderedPageBreak/>
              <w:t>Compliance with Written Authority Required procedures</w:t>
            </w:r>
          </w:p>
        </w:tc>
      </w:tr>
      <w:tr w:rsidR="007049CF" w:rsidRPr="003A13C5" w14:paraId="634C0DCD" w14:textId="77777777" w:rsidTr="004A6516">
        <w:tc>
          <w:tcPr>
            <w:tcW w:w="1838" w:type="dxa"/>
            <w:shd w:val="clear" w:color="auto" w:fill="auto"/>
            <w:tcMar>
              <w:top w:w="28" w:type="dxa"/>
              <w:left w:w="28" w:type="dxa"/>
            </w:tcMar>
          </w:tcPr>
          <w:p w14:paraId="731C9656" w14:textId="77777777" w:rsidR="007049CF" w:rsidRPr="003A13C5" w:rsidRDefault="007049CF" w:rsidP="007049CF">
            <w:pPr>
              <w:rPr>
                <w:rFonts w:ascii="Arial" w:hAnsi="Arial" w:cs="Arial"/>
                <w:sz w:val="16"/>
                <w:szCs w:val="16"/>
              </w:rPr>
            </w:pPr>
          </w:p>
        </w:tc>
        <w:tc>
          <w:tcPr>
            <w:tcW w:w="851" w:type="dxa"/>
            <w:shd w:val="clear" w:color="auto" w:fill="auto"/>
            <w:tcMar>
              <w:top w:w="28" w:type="dxa"/>
              <w:left w:w="28" w:type="dxa"/>
            </w:tcMar>
          </w:tcPr>
          <w:p w14:paraId="2AC0486C" w14:textId="5F4C4128" w:rsidR="007049CF" w:rsidRPr="003A13C5" w:rsidRDefault="007049CF" w:rsidP="008F5E69">
            <w:pPr>
              <w:spacing w:before="60"/>
              <w:rPr>
                <w:rFonts w:ascii="Arial" w:hAnsi="Arial" w:cs="Arial"/>
                <w:sz w:val="16"/>
                <w:szCs w:val="16"/>
              </w:rPr>
            </w:pPr>
            <w:r w:rsidRPr="003A13C5">
              <w:rPr>
                <w:rFonts w:ascii="Arial" w:eastAsia="SimSun" w:hAnsi="Arial" w:cs="Arial"/>
                <w:sz w:val="16"/>
                <w:szCs w:val="16"/>
                <w:lang w:eastAsia="zh-CN"/>
              </w:rPr>
              <w:t>C6720</w:t>
            </w:r>
          </w:p>
        </w:tc>
        <w:tc>
          <w:tcPr>
            <w:tcW w:w="850" w:type="dxa"/>
            <w:shd w:val="clear" w:color="auto" w:fill="auto"/>
            <w:tcMar>
              <w:top w:w="28" w:type="dxa"/>
              <w:left w:w="28" w:type="dxa"/>
            </w:tcMar>
          </w:tcPr>
          <w:p w14:paraId="2DA70F5B" w14:textId="77777777" w:rsidR="007049CF" w:rsidRPr="003A13C5" w:rsidRDefault="007049CF" w:rsidP="008F5E69">
            <w:pPr>
              <w:spacing w:before="60"/>
              <w:rPr>
                <w:rFonts w:ascii="Arial" w:hAnsi="Arial" w:cs="Arial"/>
                <w:sz w:val="16"/>
                <w:szCs w:val="16"/>
              </w:rPr>
            </w:pPr>
          </w:p>
        </w:tc>
        <w:tc>
          <w:tcPr>
            <w:tcW w:w="7655" w:type="dxa"/>
            <w:shd w:val="clear" w:color="auto" w:fill="auto"/>
            <w:tcMar>
              <w:top w:w="28" w:type="dxa"/>
              <w:left w:w="28" w:type="dxa"/>
            </w:tcMar>
          </w:tcPr>
          <w:p w14:paraId="7D04F1C4" w14:textId="455C1E62" w:rsidR="007049CF" w:rsidRPr="003A13C5" w:rsidRDefault="007049CF" w:rsidP="008F5E69">
            <w:pPr>
              <w:spacing w:before="60"/>
            </w:pPr>
            <w:r w:rsidRPr="003A13C5">
              <w:rPr>
                <w:rFonts w:ascii="Arial" w:eastAsia="SimSun" w:hAnsi="Arial" w:cs="Arial"/>
                <w:sz w:val="16"/>
                <w:szCs w:val="16"/>
                <w:lang w:eastAsia="zh-CN"/>
              </w:rPr>
              <w:t>Pulmonary arterial hypertension (PAH)</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Initial 1 or Initial 2 (new patients) or Initial 3 (change or re</w:t>
            </w:r>
            <w:r w:rsidRPr="003A13C5">
              <w:rPr>
                <w:rFonts w:ascii="Arial" w:eastAsia="SimSun" w:hAnsi="Arial" w:cs="Arial"/>
                <w:sz w:val="16"/>
                <w:szCs w:val="16"/>
                <w:lang w:eastAsia="zh-CN"/>
              </w:rPr>
              <w:noBreakHyphen/>
              <w:t xml:space="preserve">commencement of therapy for all patients) or First Continuing treatment </w:t>
            </w:r>
            <w:r w:rsidRPr="003A13C5">
              <w:rPr>
                <w:rFonts w:ascii="Arial" w:eastAsia="SimSun" w:hAnsi="Arial" w:cs="Arial"/>
                <w:sz w:val="16"/>
                <w:szCs w:val="16"/>
                <w:lang w:eastAsia="zh-CN"/>
              </w:rPr>
              <w:noBreakHyphen/>
              <w:t xml:space="preserve"> Balance of supply</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Patient must have received insufficient therapy with this agent under the Initial 1 (new patients) restriction to complete a maximum of six months of treatment; OR</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Patient must have received insufficient therapy with this agent under the Initial 2 (new patients) restriction to complete a maximum of six months of treatment; OR</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Patient must have received insufficient therapy with this agent under the Initial 3 (change or re</w:t>
            </w:r>
            <w:r w:rsidRPr="003A13C5">
              <w:rPr>
                <w:rFonts w:ascii="Arial" w:eastAsia="SimSun" w:hAnsi="Arial" w:cs="Arial"/>
                <w:sz w:val="16"/>
                <w:szCs w:val="16"/>
                <w:lang w:eastAsia="zh-CN"/>
              </w:rPr>
              <w:noBreakHyphen/>
              <w:t>commencement of therapy for all patients) restriction to complete a maximum of six months of treatment; OR</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Patient must have received insufficient therapy with this agent under the First Continuing treatment restriction to complete a maximum of six months of treatment; AND</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The treatment must be the sole PBS</w:t>
            </w:r>
            <w:r w:rsidRPr="003A13C5">
              <w:rPr>
                <w:rFonts w:ascii="Arial" w:eastAsia="SimSun" w:hAnsi="Arial" w:cs="Arial"/>
                <w:sz w:val="16"/>
                <w:szCs w:val="16"/>
                <w:lang w:eastAsia="zh-CN"/>
              </w:rPr>
              <w:noBreakHyphen/>
              <w:t>subsidised PAH agent for this condition; AND</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The treatment must provide no more than the balance of up to six months treatment available under one of the above restrictions.</w:t>
            </w:r>
          </w:p>
        </w:tc>
        <w:tc>
          <w:tcPr>
            <w:tcW w:w="2693" w:type="dxa"/>
            <w:shd w:val="clear" w:color="auto" w:fill="auto"/>
            <w:tcMar>
              <w:top w:w="28" w:type="dxa"/>
              <w:left w:w="28" w:type="dxa"/>
              <w:right w:w="57" w:type="dxa"/>
            </w:tcMar>
          </w:tcPr>
          <w:p w14:paraId="41BBF8FE" w14:textId="55EC83B7" w:rsidR="007049CF" w:rsidRPr="003A13C5" w:rsidRDefault="007049CF" w:rsidP="008F5E69">
            <w:pPr>
              <w:spacing w:before="60"/>
              <w:rPr>
                <w:rFonts w:ascii="Arial" w:eastAsia="Arial" w:hAnsi="Arial" w:cs="Arial"/>
                <w:sz w:val="16"/>
                <w:szCs w:val="22"/>
                <w:lang w:eastAsia="zh-CN"/>
              </w:rPr>
            </w:pPr>
            <w:r w:rsidRPr="003A13C5">
              <w:rPr>
                <w:rFonts w:ascii="Arial" w:eastAsia="SimSun" w:hAnsi="Arial" w:cs="Arial"/>
                <w:sz w:val="16"/>
                <w:szCs w:val="16"/>
                <w:lang w:eastAsia="zh-CN"/>
              </w:rPr>
              <w:t>Compliance with Authority Required procedures</w:t>
            </w:r>
          </w:p>
        </w:tc>
      </w:tr>
      <w:tr w:rsidR="007049CF" w:rsidRPr="003A13C5" w14:paraId="1F51BC55" w14:textId="77777777" w:rsidTr="004A6516">
        <w:tc>
          <w:tcPr>
            <w:tcW w:w="1838" w:type="dxa"/>
            <w:shd w:val="clear" w:color="auto" w:fill="auto"/>
            <w:tcMar>
              <w:top w:w="28" w:type="dxa"/>
              <w:left w:w="28" w:type="dxa"/>
            </w:tcMar>
          </w:tcPr>
          <w:p w14:paraId="17BD77B4" w14:textId="77777777" w:rsidR="007049CF" w:rsidRPr="003A13C5" w:rsidRDefault="007049CF" w:rsidP="007049CF">
            <w:pPr>
              <w:rPr>
                <w:rFonts w:ascii="Arial" w:hAnsi="Arial" w:cs="Arial"/>
                <w:sz w:val="16"/>
                <w:szCs w:val="16"/>
              </w:rPr>
            </w:pPr>
          </w:p>
        </w:tc>
        <w:tc>
          <w:tcPr>
            <w:tcW w:w="851" w:type="dxa"/>
            <w:shd w:val="clear" w:color="auto" w:fill="auto"/>
            <w:tcMar>
              <w:top w:w="28" w:type="dxa"/>
              <w:left w:w="28" w:type="dxa"/>
            </w:tcMar>
          </w:tcPr>
          <w:p w14:paraId="5AA5EACA" w14:textId="6D85F2E5" w:rsidR="007049CF" w:rsidRPr="003A13C5" w:rsidRDefault="007049CF" w:rsidP="008F5E69">
            <w:pPr>
              <w:spacing w:before="60"/>
              <w:rPr>
                <w:rFonts w:ascii="Arial" w:hAnsi="Arial" w:cs="Arial"/>
                <w:sz w:val="16"/>
                <w:szCs w:val="16"/>
              </w:rPr>
            </w:pPr>
            <w:r w:rsidRPr="003A13C5">
              <w:rPr>
                <w:rFonts w:ascii="Arial" w:eastAsia="SimSun" w:hAnsi="Arial" w:cs="Arial"/>
                <w:sz w:val="16"/>
                <w:szCs w:val="16"/>
                <w:lang w:eastAsia="zh-CN"/>
              </w:rPr>
              <w:t>C6733</w:t>
            </w:r>
          </w:p>
        </w:tc>
        <w:tc>
          <w:tcPr>
            <w:tcW w:w="850" w:type="dxa"/>
            <w:shd w:val="clear" w:color="auto" w:fill="auto"/>
            <w:tcMar>
              <w:top w:w="28" w:type="dxa"/>
              <w:left w:w="28" w:type="dxa"/>
            </w:tcMar>
          </w:tcPr>
          <w:p w14:paraId="2A2D1C47" w14:textId="77777777" w:rsidR="007049CF" w:rsidRPr="003A13C5" w:rsidRDefault="007049CF" w:rsidP="008F5E69">
            <w:pPr>
              <w:spacing w:before="60"/>
              <w:rPr>
                <w:rFonts w:ascii="Arial" w:hAnsi="Arial" w:cs="Arial"/>
                <w:sz w:val="16"/>
                <w:szCs w:val="16"/>
              </w:rPr>
            </w:pPr>
          </w:p>
        </w:tc>
        <w:tc>
          <w:tcPr>
            <w:tcW w:w="7655" w:type="dxa"/>
            <w:shd w:val="clear" w:color="auto" w:fill="auto"/>
            <w:tcMar>
              <w:top w:w="28" w:type="dxa"/>
              <w:left w:w="28" w:type="dxa"/>
            </w:tcMar>
          </w:tcPr>
          <w:p w14:paraId="1FA2A1EB" w14:textId="6EDA0E26" w:rsidR="007049CF" w:rsidRPr="003A13C5" w:rsidRDefault="007049CF" w:rsidP="008F5E69">
            <w:pPr>
              <w:spacing w:before="60"/>
            </w:pPr>
            <w:r w:rsidRPr="003A13C5">
              <w:rPr>
                <w:rFonts w:ascii="Arial" w:eastAsia="SimSun" w:hAnsi="Arial" w:cs="Arial"/>
                <w:sz w:val="16"/>
                <w:szCs w:val="16"/>
                <w:lang w:eastAsia="zh-CN"/>
              </w:rPr>
              <w:t>Pulmonary arterial hypertension (PAH)</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Initial 2 (new patients)</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Patient must not have received prior PBS</w:t>
            </w:r>
            <w:r w:rsidRPr="003A13C5">
              <w:rPr>
                <w:rFonts w:ascii="Arial" w:eastAsia="SimSun" w:hAnsi="Arial" w:cs="Arial"/>
                <w:sz w:val="16"/>
                <w:szCs w:val="16"/>
                <w:lang w:eastAsia="zh-CN"/>
              </w:rPr>
              <w:noBreakHyphen/>
              <w:t>subsidised treatment with a pulmonary arterial hypertension (PAH) agent; AND</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Patient must have been assessed by a physician at a designated hospital; AND</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Patient must have WHO Functional Class III idiopathic pulmonary arterial hypertension (iPAH), or anorexigen</w:t>
            </w:r>
            <w:r w:rsidRPr="003A13C5">
              <w:rPr>
                <w:rFonts w:ascii="Arial" w:eastAsia="SimSun" w:hAnsi="Arial" w:cs="Arial"/>
                <w:sz w:val="16"/>
                <w:szCs w:val="16"/>
                <w:lang w:eastAsia="zh-CN"/>
              </w:rPr>
              <w:noBreakHyphen/>
              <w:t>induced PAH or hereditable PAH, and a mean right atrial pressure of greater than 8 mmHg, as measured by right heart catheterisation (RHC); OR</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Patient must have WHO Functional Class III idiopathic pulmonary arterial hypertension (iPAH), or anorexigen</w:t>
            </w:r>
            <w:r w:rsidRPr="003A13C5">
              <w:rPr>
                <w:rFonts w:ascii="Arial" w:eastAsia="SimSun" w:hAnsi="Arial" w:cs="Arial"/>
                <w:sz w:val="16"/>
                <w:szCs w:val="16"/>
                <w:lang w:eastAsia="zh-CN"/>
              </w:rPr>
              <w:noBreakHyphen/>
              <w:t>induced PAH or hereditable PAH, with right ventricular function assessed by echocardiography (ECHO) where a RHC cannot be performed on clinical grounds; OR</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Patient must have WHO Functional Class III pulmonary arterial hypertension secondary to connective tissue disease and a mean right atrial pressure greater than 8 mmHg, as measured by RHC; OR</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Patient must have WHO Functional Class III pulmonary arterial hypertension secondary to connective tissue disease with right ventricular function assessed by ECHO where a RHC cannot be performed on clinical grounds; OR</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Patient must have WHO Functional Class IV idiopathic pulmonary arterial hypertension (iPAH), or anorexigen</w:t>
            </w:r>
            <w:r w:rsidRPr="003A13C5">
              <w:rPr>
                <w:rFonts w:ascii="Arial" w:eastAsia="SimSun" w:hAnsi="Arial" w:cs="Arial"/>
                <w:sz w:val="16"/>
                <w:szCs w:val="16"/>
                <w:lang w:eastAsia="zh-CN"/>
              </w:rPr>
              <w:noBreakHyphen/>
              <w:t>induced PAH or hereditable PAH; OR</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Patient must have WHO Functional Class IV pulmonary arterial hypertension secondary to connective tissue disease; OR</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Patient must have WHO Functional Class III or IV pulmonary arterial hypertension associated with a congenital systemic</w:t>
            </w:r>
            <w:r w:rsidRPr="003A13C5">
              <w:rPr>
                <w:rFonts w:ascii="Arial" w:eastAsia="SimSun" w:hAnsi="Arial" w:cs="Arial"/>
                <w:sz w:val="16"/>
                <w:szCs w:val="16"/>
                <w:lang w:eastAsia="zh-CN"/>
              </w:rPr>
              <w:noBreakHyphen/>
              <w:t>to</w:t>
            </w:r>
            <w:r w:rsidRPr="003A13C5">
              <w:rPr>
                <w:rFonts w:ascii="Arial" w:eastAsia="SimSun" w:hAnsi="Arial" w:cs="Arial"/>
                <w:sz w:val="16"/>
                <w:szCs w:val="16"/>
                <w:lang w:eastAsia="zh-CN"/>
              </w:rPr>
              <w:noBreakHyphen/>
              <w:t>pulmonary shunt (including Eisenmenger's physiology); AND</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The treatment must be the sole PBS</w:t>
            </w:r>
            <w:r w:rsidRPr="003A13C5">
              <w:rPr>
                <w:rFonts w:ascii="Arial" w:eastAsia="SimSun" w:hAnsi="Arial" w:cs="Arial"/>
                <w:sz w:val="16"/>
                <w:szCs w:val="16"/>
                <w:lang w:eastAsia="zh-CN"/>
              </w:rPr>
              <w:noBreakHyphen/>
              <w:t>subsidised PAH agent for this condition.</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 xml:space="preserve">Applications for authorisation must be in writing and must include: (1) completed authority prescription forms sufficient for dose titration; and (2) a completed Pulmonary Arterial Hypertension Initial PBS Authority Application </w:t>
            </w:r>
            <w:r w:rsidRPr="003A13C5">
              <w:rPr>
                <w:rFonts w:ascii="Arial" w:eastAsia="SimSun" w:hAnsi="Arial" w:cs="Arial"/>
                <w:sz w:val="16"/>
                <w:szCs w:val="16"/>
                <w:lang w:eastAsia="zh-CN"/>
              </w:rPr>
              <w:noBreakHyphen/>
              <w:t xml:space="preserve"> Supporting Information form which includes results from the three tests below, where available: (i) RHC composite assessment; and (ii) ECHO composite assessment; and (iii) 6 Minute Walk Test (6MWT); and (3) a signed patient acknowledgement. Idiopathic pulmonary arterial hypertension, anorexigen</w:t>
            </w:r>
            <w:r w:rsidRPr="003A13C5">
              <w:rPr>
                <w:rFonts w:ascii="Arial" w:eastAsia="SimSun" w:hAnsi="Arial" w:cs="Arial"/>
                <w:sz w:val="16"/>
                <w:szCs w:val="16"/>
                <w:lang w:eastAsia="zh-CN"/>
              </w:rPr>
              <w:noBreakHyphen/>
              <w:t>induced pulmonary arterial hypertension, hereditable pulmonary arterial hypertension, drug</w:t>
            </w:r>
            <w:r w:rsidRPr="003A13C5">
              <w:rPr>
                <w:rFonts w:ascii="Arial" w:eastAsia="SimSun" w:hAnsi="Arial" w:cs="Arial"/>
                <w:sz w:val="16"/>
                <w:szCs w:val="16"/>
                <w:lang w:eastAsia="zh-CN"/>
              </w:rPr>
              <w:noBreakHyphen/>
              <w:t xml:space="preserve">induced pulmonary arterial hypertension, pulmonary arterial hypertension secondary to connective tissue disease including scleroderma, or pulmonary arterial hypertension associated with a congenital </w:t>
            </w:r>
            <w:r w:rsidRPr="003A13C5">
              <w:rPr>
                <w:rFonts w:ascii="Arial" w:eastAsia="SimSun" w:hAnsi="Arial" w:cs="Arial"/>
                <w:sz w:val="16"/>
                <w:szCs w:val="16"/>
                <w:lang w:eastAsia="zh-CN"/>
              </w:rPr>
              <w:lastRenderedPageBreak/>
              <w:t>systemic</w:t>
            </w:r>
            <w:r w:rsidRPr="003A13C5">
              <w:rPr>
                <w:rFonts w:ascii="Arial" w:eastAsia="SimSun" w:hAnsi="Arial" w:cs="Arial"/>
                <w:sz w:val="16"/>
                <w:szCs w:val="16"/>
                <w:lang w:eastAsia="zh-CN"/>
              </w:rPr>
              <w:noBreakHyphen/>
              <w:t>to</w:t>
            </w:r>
            <w:r w:rsidRPr="003A13C5">
              <w:rPr>
                <w:rFonts w:ascii="Arial" w:eastAsia="SimSun" w:hAnsi="Arial" w:cs="Arial"/>
                <w:sz w:val="16"/>
                <w:szCs w:val="16"/>
                <w:lang w:eastAsia="zh-CN"/>
              </w:rPr>
              <w:noBreakHyphen/>
              <w:t>pulmonary shunt (including Eisenmenger's physiology) are defined as follows: (i) mean pulmonary artery pressure (mPAP) greater than 25 mmHg at rest and pulmonary artery wedge pressure (PAWP) less than 15 mmHg; or (ii) where a right heart catheter (RHC) cannot be performed on clinical grounds, right ventricular systolic pressure (RVSP), assessed by echocardiography (ECHO), greater than 40 mmHg, with normal left ventricular function.</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Test requirements to establish baseline for initiation of treatment are as follows:</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The first written application for PBS</w:t>
            </w:r>
            <w:r w:rsidRPr="003A13C5">
              <w:rPr>
                <w:rFonts w:ascii="Arial" w:eastAsia="SimSun" w:hAnsi="Arial" w:cs="Arial"/>
                <w:sz w:val="16"/>
                <w:szCs w:val="16"/>
                <w:lang w:eastAsia="zh-CN"/>
              </w:rPr>
              <w:noBreakHyphen/>
              <w:t>subsidised treatment with the first PAH agent should be accompanied by the results of a right heart catheter (RHC) composite assessment plus an echocardiograph (ECHO) composite assessment, plus a 6 minute walk test (6MWT) to establish the patient's baseline measurements.</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Where it is not possible to perform all 3 tests above on clinical grounds, the following list outlines the preferred test combination, in descending order, for the purposes of initiation of PBS</w:t>
            </w:r>
            <w:r w:rsidRPr="003A13C5">
              <w:rPr>
                <w:rFonts w:ascii="Arial" w:eastAsia="SimSun" w:hAnsi="Arial" w:cs="Arial"/>
                <w:sz w:val="16"/>
                <w:szCs w:val="16"/>
                <w:lang w:eastAsia="zh-CN"/>
              </w:rPr>
              <w:noBreakHyphen/>
              <w:t>subsidised treatment:</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(1) RHC plus ECHO composite assessments;</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(2) RHC composite assessment plus 6MWT;</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(3) RHC composite assessment only.</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In circumstances where a RHC cannot be performed on clinical grounds, applications may be submitted for consideration based on the results of the following test combinations, which are listed in descending order of preference:</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(1) ECHO composite assessment plus 6MWT;</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(2) ECHO composite assessment only.</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Where fewer than 3 tests are able to be performed on clinical grounds, a patient specific reason outlining why the particular test(s) could not be conducted must be provided with the authority application.</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The test results provided must not be more than 2 months old at the time of application.</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Approvals for prescriptions for dose titration will provide sufficient quantity for dose titrations by 0.5 mg increments at 2</w:t>
            </w:r>
            <w:r w:rsidRPr="003A13C5">
              <w:rPr>
                <w:rFonts w:ascii="Arial" w:eastAsia="SimSun" w:hAnsi="Arial" w:cs="Arial"/>
                <w:sz w:val="16"/>
                <w:szCs w:val="16"/>
                <w:lang w:eastAsia="zh-CN"/>
              </w:rPr>
              <w:noBreakHyphen/>
              <w:t>week intervals to achieve up to a maximum of 2.5 mg three times daily based on the dosage recommendations for initiation of treatment in the TGA</w:t>
            </w:r>
            <w:r w:rsidRPr="003A13C5">
              <w:rPr>
                <w:rFonts w:ascii="Arial" w:eastAsia="SimSun" w:hAnsi="Arial" w:cs="Arial"/>
                <w:sz w:val="16"/>
                <w:szCs w:val="16"/>
                <w:lang w:eastAsia="zh-CN"/>
              </w:rPr>
              <w:noBreakHyphen/>
              <w:t>approved Product Information. No repeats will be authorised for these prescriptions.</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Approvals for subsequent authority prescription will be limited to 1 month of treatment, with the quantity approved based on the dosage recommendations in the TGA</w:t>
            </w:r>
            <w:r w:rsidRPr="003A13C5">
              <w:rPr>
                <w:rFonts w:ascii="Arial" w:eastAsia="SimSun" w:hAnsi="Arial" w:cs="Arial"/>
                <w:sz w:val="16"/>
                <w:szCs w:val="16"/>
                <w:lang w:eastAsia="zh-CN"/>
              </w:rPr>
              <w:noBreakHyphen/>
              <w:t>approved Product Information, and a maximum of 4 repeats.</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The term 'PAH agents' refers to bosentan monohydrate, iloprost trometamol, epoprostenol sodium, sildenafil citrate, ambrisentan, tadalafil, macitentan, and riociguat.</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The assessment of the patient's response to the initial 6 month course of treatment should be made following the preceding 5 months of treatment, in order to allow sufficient time for a response to be demonstrated.</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Patients who fail to demonstrate a response to PBS</w:t>
            </w:r>
            <w:r w:rsidRPr="003A13C5">
              <w:rPr>
                <w:rFonts w:ascii="Arial" w:eastAsia="SimSun" w:hAnsi="Arial" w:cs="Arial"/>
                <w:sz w:val="16"/>
                <w:szCs w:val="16"/>
                <w:lang w:eastAsia="zh-CN"/>
              </w:rPr>
              <w:noBreakHyphen/>
              <w:t>subsidised treatment with this agent at the time where an assessment is required must cease PBS</w:t>
            </w:r>
            <w:r w:rsidRPr="003A13C5">
              <w:rPr>
                <w:rFonts w:ascii="Arial" w:eastAsia="SimSun" w:hAnsi="Arial" w:cs="Arial"/>
                <w:sz w:val="16"/>
                <w:szCs w:val="16"/>
                <w:lang w:eastAsia="zh-CN"/>
              </w:rPr>
              <w:noBreakHyphen/>
              <w:t>subsidised therapy with this agent.</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PAH agents are not PBS</w:t>
            </w:r>
            <w:r w:rsidRPr="003A13C5">
              <w:rPr>
                <w:rFonts w:ascii="Arial" w:eastAsia="SimSun" w:hAnsi="Arial" w:cs="Arial"/>
                <w:sz w:val="16"/>
                <w:szCs w:val="16"/>
                <w:lang w:eastAsia="zh-CN"/>
              </w:rPr>
              <w:noBreakHyphen/>
              <w:t>subsidised for patients with pulmonary hypertension secondary to interstitial lung disease associated with connective tissue disease, where the total lung capacity is less than 70% of predicted.</w:t>
            </w:r>
          </w:p>
        </w:tc>
        <w:tc>
          <w:tcPr>
            <w:tcW w:w="2693" w:type="dxa"/>
            <w:shd w:val="clear" w:color="auto" w:fill="auto"/>
            <w:tcMar>
              <w:top w:w="28" w:type="dxa"/>
              <w:left w:w="28" w:type="dxa"/>
              <w:right w:w="57" w:type="dxa"/>
            </w:tcMar>
          </w:tcPr>
          <w:p w14:paraId="3D2A6AD8" w14:textId="0F35A4CE" w:rsidR="007049CF" w:rsidRPr="003A13C5" w:rsidRDefault="007049CF" w:rsidP="008F5E69">
            <w:pPr>
              <w:spacing w:before="60"/>
              <w:rPr>
                <w:rFonts w:ascii="Arial" w:eastAsia="Arial" w:hAnsi="Arial" w:cs="Arial"/>
                <w:sz w:val="16"/>
                <w:szCs w:val="22"/>
                <w:lang w:eastAsia="zh-CN"/>
              </w:rPr>
            </w:pPr>
            <w:r w:rsidRPr="003A13C5">
              <w:rPr>
                <w:rFonts w:ascii="Arial" w:eastAsia="SimSun" w:hAnsi="Arial" w:cs="Arial"/>
                <w:sz w:val="16"/>
                <w:szCs w:val="16"/>
                <w:lang w:eastAsia="zh-CN"/>
              </w:rPr>
              <w:lastRenderedPageBreak/>
              <w:t>Compliance with Written Authority Required procedures</w:t>
            </w:r>
          </w:p>
        </w:tc>
      </w:tr>
      <w:tr w:rsidR="007049CF" w:rsidRPr="003A13C5" w14:paraId="745D58B7" w14:textId="77777777" w:rsidTr="004A6516">
        <w:tc>
          <w:tcPr>
            <w:tcW w:w="1838" w:type="dxa"/>
            <w:shd w:val="clear" w:color="auto" w:fill="auto"/>
            <w:tcMar>
              <w:top w:w="28" w:type="dxa"/>
              <w:left w:w="28" w:type="dxa"/>
            </w:tcMar>
          </w:tcPr>
          <w:p w14:paraId="06E15562" w14:textId="77777777" w:rsidR="007049CF" w:rsidRPr="003A13C5" w:rsidRDefault="007049CF" w:rsidP="007049CF">
            <w:pPr>
              <w:rPr>
                <w:rFonts w:ascii="Arial" w:hAnsi="Arial" w:cs="Arial"/>
                <w:sz w:val="16"/>
                <w:szCs w:val="16"/>
              </w:rPr>
            </w:pPr>
          </w:p>
        </w:tc>
        <w:tc>
          <w:tcPr>
            <w:tcW w:w="851" w:type="dxa"/>
            <w:shd w:val="clear" w:color="auto" w:fill="auto"/>
            <w:tcMar>
              <w:top w:w="28" w:type="dxa"/>
              <w:left w:w="28" w:type="dxa"/>
            </w:tcMar>
          </w:tcPr>
          <w:p w14:paraId="0D9544D4" w14:textId="0C164AEB" w:rsidR="007049CF" w:rsidRPr="003A13C5" w:rsidRDefault="007049CF" w:rsidP="008F5E69">
            <w:pPr>
              <w:spacing w:before="60"/>
              <w:rPr>
                <w:rFonts w:ascii="Arial" w:hAnsi="Arial" w:cs="Arial"/>
                <w:sz w:val="16"/>
                <w:szCs w:val="16"/>
              </w:rPr>
            </w:pPr>
            <w:r w:rsidRPr="003A13C5">
              <w:rPr>
                <w:rFonts w:ascii="Arial" w:eastAsia="SimSun" w:hAnsi="Arial" w:cs="Arial"/>
                <w:sz w:val="16"/>
                <w:szCs w:val="16"/>
                <w:lang w:eastAsia="zh-CN"/>
              </w:rPr>
              <w:t>C6760</w:t>
            </w:r>
          </w:p>
        </w:tc>
        <w:tc>
          <w:tcPr>
            <w:tcW w:w="850" w:type="dxa"/>
            <w:shd w:val="clear" w:color="auto" w:fill="auto"/>
            <w:tcMar>
              <w:top w:w="28" w:type="dxa"/>
              <w:left w:w="28" w:type="dxa"/>
            </w:tcMar>
          </w:tcPr>
          <w:p w14:paraId="327E43A5" w14:textId="77777777" w:rsidR="007049CF" w:rsidRPr="003A13C5" w:rsidRDefault="007049CF" w:rsidP="008F5E69">
            <w:pPr>
              <w:spacing w:before="60"/>
              <w:rPr>
                <w:rFonts w:ascii="Arial" w:hAnsi="Arial" w:cs="Arial"/>
                <w:sz w:val="16"/>
                <w:szCs w:val="16"/>
              </w:rPr>
            </w:pPr>
          </w:p>
        </w:tc>
        <w:tc>
          <w:tcPr>
            <w:tcW w:w="7655" w:type="dxa"/>
            <w:shd w:val="clear" w:color="auto" w:fill="auto"/>
            <w:tcMar>
              <w:top w:w="28" w:type="dxa"/>
              <w:left w:w="28" w:type="dxa"/>
            </w:tcMar>
          </w:tcPr>
          <w:p w14:paraId="30F5E77C" w14:textId="08B9335C" w:rsidR="007049CF" w:rsidRPr="003A13C5" w:rsidRDefault="007049CF" w:rsidP="008F5E69">
            <w:pPr>
              <w:spacing w:before="60"/>
            </w:pPr>
            <w:r w:rsidRPr="003A13C5">
              <w:rPr>
                <w:rFonts w:ascii="Arial" w:eastAsia="SimSun" w:hAnsi="Arial" w:cs="Arial"/>
                <w:sz w:val="16"/>
                <w:szCs w:val="16"/>
                <w:lang w:eastAsia="zh-CN"/>
              </w:rPr>
              <w:t>Pulmonary arterial hypertension (PAH)</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Initial 3 (change or re</w:t>
            </w:r>
            <w:r w:rsidRPr="003A13C5">
              <w:rPr>
                <w:rFonts w:ascii="Arial" w:eastAsia="SimSun" w:hAnsi="Arial" w:cs="Arial"/>
                <w:sz w:val="16"/>
                <w:szCs w:val="16"/>
                <w:lang w:eastAsia="zh-CN"/>
              </w:rPr>
              <w:noBreakHyphen/>
              <w:t>commencement of therapy for all patients)</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Patient must have idiopathic pulmonary arterial hypertension (iPAH) or anorexigen</w:t>
            </w:r>
            <w:r w:rsidRPr="003A13C5">
              <w:rPr>
                <w:rFonts w:ascii="Arial" w:eastAsia="SimSun" w:hAnsi="Arial" w:cs="Arial"/>
                <w:sz w:val="16"/>
                <w:szCs w:val="16"/>
                <w:lang w:eastAsia="zh-CN"/>
              </w:rPr>
              <w:noBreakHyphen/>
              <w:t>induced PAH or hereditable PAH or PAH secondary to connective tissue disease or PAH associated with a congenital systemic</w:t>
            </w:r>
            <w:r w:rsidRPr="003A13C5">
              <w:rPr>
                <w:rFonts w:ascii="Arial" w:eastAsia="SimSun" w:hAnsi="Arial" w:cs="Arial"/>
                <w:sz w:val="16"/>
                <w:szCs w:val="16"/>
                <w:lang w:eastAsia="zh-CN"/>
              </w:rPr>
              <w:noBreakHyphen/>
              <w:t>to</w:t>
            </w:r>
            <w:r w:rsidRPr="003A13C5">
              <w:rPr>
                <w:rFonts w:ascii="Arial" w:eastAsia="SimSun" w:hAnsi="Arial" w:cs="Arial"/>
                <w:sz w:val="16"/>
                <w:szCs w:val="16"/>
                <w:lang w:eastAsia="zh-CN"/>
              </w:rPr>
              <w:noBreakHyphen/>
              <w:t>pulmonary shunt (including Eisenmenger's physiology) and must wish to re</w:t>
            </w:r>
            <w:r w:rsidRPr="003A13C5">
              <w:rPr>
                <w:rFonts w:ascii="Arial" w:eastAsia="SimSun" w:hAnsi="Arial" w:cs="Arial"/>
                <w:sz w:val="16"/>
                <w:szCs w:val="16"/>
                <w:lang w:eastAsia="zh-CN"/>
              </w:rPr>
              <w:noBreakHyphen/>
              <w:t>commence PBS</w:t>
            </w:r>
            <w:r w:rsidRPr="003A13C5">
              <w:rPr>
                <w:rFonts w:ascii="Arial" w:eastAsia="SimSun" w:hAnsi="Arial" w:cs="Arial"/>
                <w:sz w:val="16"/>
                <w:szCs w:val="16"/>
                <w:lang w:eastAsia="zh-CN"/>
              </w:rPr>
              <w:noBreakHyphen/>
              <w:t>subsidised therapy with this agent after a break in therapy and must have demonstrated a response to their most recent course of PBS</w:t>
            </w:r>
            <w:r w:rsidRPr="003A13C5">
              <w:rPr>
                <w:rFonts w:ascii="Arial" w:eastAsia="SimSun" w:hAnsi="Arial" w:cs="Arial"/>
                <w:sz w:val="16"/>
                <w:szCs w:val="16"/>
                <w:lang w:eastAsia="zh-CN"/>
              </w:rPr>
              <w:noBreakHyphen/>
              <w:t>subsidised treatment with this agent; OR</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Patient must have idiopathic pulmonary arterial hypertension (iPAH) or anorexigen</w:t>
            </w:r>
            <w:r w:rsidRPr="003A13C5">
              <w:rPr>
                <w:rFonts w:ascii="Arial" w:eastAsia="SimSun" w:hAnsi="Arial" w:cs="Arial"/>
                <w:sz w:val="16"/>
                <w:szCs w:val="16"/>
                <w:lang w:eastAsia="zh-CN"/>
              </w:rPr>
              <w:noBreakHyphen/>
              <w:t xml:space="preserve">induced PAH or </w:t>
            </w:r>
            <w:r w:rsidRPr="003A13C5">
              <w:rPr>
                <w:rFonts w:ascii="Arial" w:eastAsia="SimSun" w:hAnsi="Arial" w:cs="Arial"/>
                <w:sz w:val="16"/>
                <w:szCs w:val="16"/>
                <w:lang w:eastAsia="zh-CN"/>
              </w:rPr>
              <w:lastRenderedPageBreak/>
              <w:t>hereditable PAH or PAH secondary to connective tissue disease or PAH associated with a congenital systemic</w:t>
            </w:r>
            <w:r w:rsidRPr="003A13C5">
              <w:rPr>
                <w:rFonts w:ascii="Arial" w:eastAsia="SimSun" w:hAnsi="Arial" w:cs="Arial"/>
                <w:sz w:val="16"/>
                <w:szCs w:val="16"/>
                <w:lang w:eastAsia="zh-CN"/>
              </w:rPr>
              <w:noBreakHyphen/>
              <w:t>to</w:t>
            </w:r>
            <w:r w:rsidRPr="003A13C5">
              <w:rPr>
                <w:rFonts w:ascii="Arial" w:eastAsia="SimSun" w:hAnsi="Arial" w:cs="Arial"/>
                <w:sz w:val="16"/>
                <w:szCs w:val="16"/>
                <w:lang w:eastAsia="zh-CN"/>
              </w:rPr>
              <w:noBreakHyphen/>
              <w:t>pulmonary shunt (including Eisenmenger's physiology) and whose most recent course of PBS</w:t>
            </w:r>
            <w:r w:rsidRPr="003A13C5">
              <w:rPr>
                <w:rFonts w:ascii="Arial" w:eastAsia="SimSun" w:hAnsi="Arial" w:cs="Arial"/>
                <w:sz w:val="16"/>
                <w:szCs w:val="16"/>
                <w:lang w:eastAsia="zh-CN"/>
              </w:rPr>
              <w:noBreakHyphen/>
              <w:t>subsidised treatment was with a PAH agent other than this agent; AND</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The treatment must be the sole PBS</w:t>
            </w:r>
            <w:r w:rsidRPr="003A13C5">
              <w:rPr>
                <w:rFonts w:ascii="Arial" w:eastAsia="SimSun" w:hAnsi="Arial" w:cs="Arial"/>
                <w:sz w:val="16"/>
                <w:szCs w:val="16"/>
                <w:lang w:eastAsia="zh-CN"/>
              </w:rPr>
              <w:noBreakHyphen/>
              <w:t>subsidised PAH agent for this condition.</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 xml:space="preserve">Applications for authorisation must be in writing and must include: (1) completed authority prescription forms sufficient for dose titration; and (2) a completed Pulmonary Arterial Hypertension PBS Authority Application </w:t>
            </w:r>
            <w:r w:rsidRPr="003A13C5">
              <w:rPr>
                <w:rFonts w:ascii="Arial" w:eastAsia="SimSun" w:hAnsi="Arial" w:cs="Arial"/>
                <w:sz w:val="16"/>
                <w:szCs w:val="16"/>
                <w:lang w:eastAsia="zh-CN"/>
              </w:rPr>
              <w:noBreakHyphen/>
              <w:t xml:space="preserve"> Supporting Information form; and (3) the results of the patient's response to treatment with their last course of PBS</w:t>
            </w:r>
            <w:r w:rsidRPr="003A13C5">
              <w:rPr>
                <w:rFonts w:ascii="Arial" w:eastAsia="SimSun" w:hAnsi="Arial" w:cs="Arial"/>
                <w:sz w:val="16"/>
                <w:szCs w:val="16"/>
                <w:lang w:eastAsia="zh-CN"/>
              </w:rPr>
              <w:noBreakHyphen/>
              <w:t>subsidised PAH agent. Where fewer than 3 tests are able to be performed on clinical grounds, a patient specific reason outlining why the particular test(s) could not be conducted must be provided with the authority application. The test results provided must not be more than 2 months old at the time of application.</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Response to a PAH agent is defined as follows:</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For patients with two or more baseline tests, response to treatment is defined as two or more tests demonstrating stability or improvement of disease, as assessed by a physician from a designated hospital.</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For patients with a RHC composite assessment alone at baseline, response to treatment is defined as a RHC result demonstrating stability or improvement of disease, as assessed by a physician from a designated hospital.</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For patients with an ECHO composite assessment alone at baseline, response to treatment is defined as an ECHO result demonstrating stability or improvement of disease, as assessed by a physician from a designated hospital.</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For patients aged less than 18 years, response to treatment is defined as at least one of the baseline tests demonstrating stability or improvement of disease, as assessed by a physician from a designated hospital.</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Approvals for prescriptions for dose titration will provide sufficient quantity for dose titrations by 0.5 mg increments at 2</w:t>
            </w:r>
            <w:r w:rsidRPr="003A13C5">
              <w:rPr>
                <w:rFonts w:ascii="Arial" w:eastAsia="SimSun" w:hAnsi="Arial" w:cs="Arial"/>
                <w:sz w:val="16"/>
                <w:szCs w:val="16"/>
                <w:lang w:eastAsia="zh-CN"/>
              </w:rPr>
              <w:noBreakHyphen/>
              <w:t>week intervals to achieve up to a maximum of 2.5 mg three times daily based on the dosage recommendations for initiation of treatment in the TGA</w:t>
            </w:r>
            <w:r w:rsidRPr="003A13C5">
              <w:rPr>
                <w:rFonts w:ascii="Arial" w:eastAsia="SimSun" w:hAnsi="Arial" w:cs="Arial"/>
                <w:sz w:val="16"/>
                <w:szCs w:val="16"/>
                <w:lang w:eastAsia="zh-CN"/>
              </w:rPr>
              <w:noBreakHyphen/>
              <w:t>approved Product Information. No repeats will be authorised for these prescriptions.</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Approvals for subsequent authority prescription will be limited to 1 month of treatment, with the quantity approved based on the dosage recommendations in the TGA</w:t>
            </w:r>
            <w:r w:rsidRPr="003A13C5">
              <w:rPr>
                <w:rFonts w:ascii="Arial" w:eastAsia="SimSun" w:hAnsi="Arial" w:cs="Arial"/>
                <w:sz w:val="16"/>
                <w:szCs w:val="16"/>
                <w:lang w:eastAsia="zh-CN"/>
              </w:rPr>
              <w:noBreakHyphen/>
              <w:t>approved Product Information, and a maximum of 4 repeats.</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The assessment of the patient's response to the initial 6 month course of treatment should be made following the preceding 5 months of treatment, in order to allow sufficient time for a response to be demonstrated.</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Patients who fail to demonstrate a response to PBS</w:t>
            </w:r>
            <w:r w:rsidRPr="003A13C5">
              <w:rPr>
                <w:rFonts w:ascii="Arial" w:eastAsia="SimSun" w:hAnsi="Arial" w:cs="Arial"/>
                <w:sz w:val="16"/>
                <w:szCs w:val="16"/>
                <w:lang w:eastAsia="zh-CN"/>
              </w:rPr>
              <w:noBreakHyphen/>
              <w:t>subsidised treatment with this agent at the time where an assessment is required must cease PBS</w:t>
            </w:r>
            <w:r w:rsidRPr="003A13C5">
              <w:rPr>
                <w:rFonts w:ascii="Arial" w:eastAsia="SimSun" w:hAnsi="Arial" w:cs="Arial"/>
                <w:sz w:val="16"/>
                <w:szCs w:val="16"/>
                <w:lang w:eastAsia="zh-CN"/>
              </w:rPr>
              <w:noBreakHyphen/>
              <w:t>subsidised therapy with this agent.</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The term 'PAH agents' refers to bosentan monohydrate, iloprost trometamol, epoprostenol sodium, sildenafil citrate, ambrisentan, tadalafil, macitentan, and riociguat.</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PAH agents are not PBS</w:t>
            </w:r>
            <w:r w:rsidRPr="003A13C5">
              <w:rPr>
                <w:rFonts w:ascii="Arial" w:eastAsia="SimSun" w:hAnsi="Arial" w:cs="Arial"/>
                <w:sz w:val="16"/>
                <w:szCs w:val="16"/>
                <w:lang w:eastAsia="zh-CN"/>
              </w:rPr>
              <w:noBreakHyphen/>
              <w:t>subsidised for patients with pulmonary hypertension secondary to interstitial lung disease associated with connective tissue disease, where the total lung capacity is less than 70% of predicted.</w:t>
            </w:r>
            <w:r w:rsidR="007478B6" w:rsidRPr="003A13C5">
              <w:rPr>
                <w:rFonts w:ascii="Arial" w:eastAsia="SimSun" w:hAnsi="Arial" w:cs="Arial"/>
                <w:sz w:val="16"/>
                <w:szCs w:val="16"/>
                <w:lang w:eastAsia="zh-CN"/>
              </w:rPr>
              <w:br/>
            </w:r>
            <w:r w:rsidRPr="003A13C5">
              <w:rPr>
                <w:rFonts w:ascii="Arial" w:eastAsia="SimSun" w:hAnsi="Arial" w:cs="Arial"/>
                <w:sz w:val="16"/>
                <w:szCs w:val="16"/>
                <w:lang w:eastAsia="zh-CN"/>
              </w:rPr>
              <w:t>Swapping between PAH agents: Patients can access PAH agents through the PBS according to the relevant restrictions. Once these patients are approved initial treatment with 1 of these 8 drugs, they may swap between PAH agents at any time without having to re</w:t>
            </w:r>
            <w:r w:rsidRPr="003A13C5">
              <w:rPr>
                <w:rFonts w:ascii="Arial" w:eastAsia="SimSun" w:hAnsi="Arial" w:cs="Arial"/>
                <w:sz w:val="16"/>
                <w:szCs w:val="16"/>
                <w:lang w:eastAsia="zh-CN"/>
              </w:rPr>
              <w:noBreakHyphen/>
              <w:t>qualify for treatment with the alternate agent. This means that patients may commence treatment with the alternate agent, subject to that agent's restriction, irrespective of the severity of their disease at the time the application to swap therapy is submitted. It also means that no new baseline measurements will be necessary. New baselines may be submitted where the patient has failed to respond to their current treatment. Eligible patients may only swap between PAH agents if they have not failed prior PBS</w:t>
            </w:r>
            <w:r w:rsidRPr="003A13C5">
              <w:rPr>
                <w:rFonts w:ascii="Arial" w:eastAsia="SimSun" w:hAnsi="Arial" w:cs="Arial"/>
                <w:sz w:val="16"/>
                <w:szCs w:val="16"/>
                <w:lang w:eastAsia="zh-CN"/>
              </w:rPr>
              <w:noBreakHyphen/>
              <w:t xml:space="preserve">subsidised treatment with that agent. For eligible patients, applications to swap between the 8 PAH agents must be made under the relevant initial treatment restriction. Patients should be assessed for response to the treatment they are ceasing at the </w:t>
            </w:r>
            <w:r w:rsidRPr="003A13C5">
              <w:rPr>
                <w:rFonts w:ascii="Arial" w:eastAsia="SimSun" w:hAnsi="Arial" w:cs="Arial"/>
                <w:sz w:val="16"/>
                <w:szCs w:val="16"/>
                <w:lang w:eastAsia="zh-CN"/>
              </w:rPr>
              <w:lastRenderedPageBreak/>
              <w:t>time the application to swap therapy is being made. Patients who fail to demonstrate a response or for whom no assessment results are submitted with the application to swap therapy may not re</w:t>
            </w:r>
            <w:r w:rsidRPr="003A13C5">
              <w:rPr>
                <w:rFonts w:ascii="Arial" w:eastAsia="SimSun" w:hAnsi="Arial" w:cs="Arial"/>
                <w:sz w:val="16"/>
                <w:szCs w:val="16"/>
                <w:lang w:eastAsia="zh-CN"/>
              </w:rPr>
              <w:noBreakHyphen/>
              <w:t>commence PBS</w:t>
            </w:r>
            <w:r w:rsidRPr="003A13C5">
              <w:rPr>
                <w:rFonts w:ascii="Arial" w:eastAsia="SimSun" w:hAnsi="Arial" w:cs="Arial"/>
                <w:sz w:val="16"/>
                <w:szCs w:val="16"/>
                <w:lang w:eastAsia="zh-CN"/>
              </w:rPr>
              <w:noBreakHyphen/>
              <w:t>subsidised treatment with the drug they are ceasing.</w:t>
            </w:r>
          </w:p>
        </w:tc>
        <w:tc>
          <w:tcPr>
            <w:tcW w:w="2693" w:type="dxa"/>
            <w:shd w:val="clear" w:color="auto" w:fill="auto"/>
            <w:tcMar>
              <w:top w:w="28" w:type="dxa"/>
              <w:left w:w="28" w:type="dxa"/>
              <w:right w:w="57" w:type="dxa"/>
            </w:tcMar>
          </w:tcPr>
          <w:p w14:paraId="64BE5204" w14:textId="7B53BAC7" w:rsidR="007049CF" w:rsidRPr="003A13C5" w:rsidRDefault="007049CF" w:rsidP="008F5E69">
            <w:pPr>
              <w:spacing w:before="60"/>
              <w:rPr>
                <w:rFonts w:ascii="Arial" w:eastAsia="Arial" w:hAnsi="Arial" w:cs="Arial"/>
                <w:sz w:val="16"/>
                <w:szCs w:val="22"/>
                <w:lang w:eastAsia="zh-CN"/>
              </w:rPr>
            </w:pPr>
            <w:r w:rsidRPr="003A13C5">
              <w:rPr>
                <w:rFonts w:ascii="Arial" w:eastAsia="SimSun" w:hAnsi="Arial" w:cs="Arial"/>
                <w:sz w:val="16"/>
                <w:szCs w:val="16"/>
                <w:lang w:eastAsia="zh-CN"/>
              </w:rPr>
              <w:lastRenderedPageBreak/>
              <w:t>Compliance with Authority Required procedures</w:t>
            </w:r>
          </w:p>
        </w:tc>
      </w:tr>
    </w:tbl>
    <w:p w14:paraId="4F117432" w14:textId="44335755" w:rsidR="007049CF" w:rsidRPr="003A13C5" w:rsidRDefault="007049CF" w:rsidP="007049CF">
      <w:pPr>
        <w:pStyle w:val="Amendment3"/>
        <w:numPr>
          <w:ilvl w:val="2"/>
          <w:numId w:val="5"/>
        </w:numPr>
        <w:rPr>
          <w:i/>
        </w:rPr>
      </w:pPr>
      <w:r w:rsidRPr="003A13C5">
        <w:rPr>
          <w:i/>
        </w:rPr>
        <w:lastRenderedPageBreak/>
        <w:t>insert in numerical order after existing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38"/>
        <w:gridCol w:w="851"/>
        <w:gridCol w:w="850"/>
        <w:gridCol w:w="7655"/>
        <w:gridCol w:w="2693"/>
      </w:tblGrid>
      <w:tr w:rsidR="007049CF" w:rsidRPr="003A13C5" w14:paraId="38AC3A2C" w14:textId="77777777" w:rsidTr="004A6516">
        <w:tc>
          <w:tcPr>
            <w:tcW w:w="1838" w:type="dxa"/>
            <w:shd w:val="clear" w:color="auto" w:fill="auto"/>
            <w:tcMar>
              <w:top w:w="28" w:type="dxa"/>
              <w:left w:w="28" w:type="dxa"/>
            </w:tcMar>
          </w:tcPr>
          <w:p w14:paraId="6BA39181" w14:textId="77777777" w:rsidR="007049CF" w:rsidRPr="003A13C5" w:rsidRDefault="007049CF" w:rsidP="007049CF">
            <w:pPr>
              <w:rPr>
                <w:rFonts w:ascii="Arial" w:hAnsi="Arial" w:cs="Arial"/>
                <w:sz w:val="16"/>
                <w:szCs w:val="16"/>
              </w:rPr>
            </w:pPr>
          </w:p>
        </w:tc>
        <w:tc>
          <w:tcPr>
            <w:tcW w:w="851" w:type="dxa"/>
            <w:shd w:val="clear" w:color="auto" w:fill="auto"/>
            <w:tcMar>
              <w:top w:w="28" w:type="dxa"/>
              <w:left w:w="28" w:type="dxa"/>
            </w:tcMar>
          </w:tcPr>
          <w:p w14:paraId="7D11FEEA" w14:textId="08CDD277" w:rsidR="007049CF" w:rsidRPr="003A13C5" w:rsidRDefault="007049CF" w:rsidP="008F5E69">
            <w:pPr>
              <w:spacing w:before="60"/>
              <w:rPr>
                <w:rFonts w:ascii="Arial" w:hAnsi="Arial" w:cs="Arial"/>
                <w:sz w:val="16"/>
                <w:szCs w:val="16"/>
              </w:rPr>
            </w:pPr>
            <w:r w:rsidRPr="003A13C5">
              <w:rPr>
                <w:rFonts w:ascii="Arial" w:eastAsia="SimSun" w:hAnsi="Arial" w:cs="Arial"/>
                <w:sz w:val="16"/>
                <w:szCs w:val="16"/>
                <w:lang w:eastAsia="zh-CN"/>
              </w:rPr>
              <w:t>C10231</w:t>
            </w:r>
          </w:p>
        </w:tc>
        <w:tc>
          <w:tcPr>
            <w:tcW w:w="850" w:type="dxa"/>
            <w:shd w:val="clear" w:color="auto" w:fill="auto"/>
            <w:tcMar>
              <w:top w:w="28" w:type="dxa"/>
              <w:left w:w="28" w:type="dxa"/>
            </w:tcMar>
          </w:tcPr>
          <w:p w14:paraId="366D5D5B" w14:textId="77777777" w:rsidR="007049CF" w:rsidRPr="003A13C5" w:rsidRDefault="007049CF" w:rsidP="008F5E69">
            <w:pPr>
              <w:spacing w:before="60"/>
              <w:rPr>
                <w:rFonts w:ascii="Arial" w:hAnsi="Arial" w:cs="Arial"/>
                <w:sz w:val="16"/>
                <w:szCs w:val="16"/>
              </w:rPr>
            </w:pPr>
          </w:p>
        </w:tc>
        <w:tc>
          <w:tcPr>
            <w:tcW w:w="7655" w:type="dxa"/>
            <w:shd w:val="clear" w:color="auto" w:fill="auto"/>
            <w:tcMar>
              <w:top w:w="28" w:type="dxa"/>
              <w:left w:w="28" w:type="dxa"/>
            </w:tcMar>
          </w:tcPr>
          <w:p w14:paraId="1CA339C3" w14:textId="160C82AB" w:rsidR="007049CF" w:rsidRPr="003A13C5" w:rsidRDefault="007049CF" w:rsidP="008F5E69">
            <w:pPr>
              <w:spacing w:before="60"/>
              <w:rPr>
                <w:rFonts w:ascii="Arial" w:eastAsia="Arial" w:hAnsi="Arial" w:cs="Arial"/>
                <w:sz w:val="16"/>
                <w:szCs w:val="22"/>
                <w:lang w:eastAsia="zh-CN"/>
              </w:rPr>
            </w:pPr>
            <w:r w:rsidRPr="003A13C5">
              <w:rPr>
                <w:rFonts w:ascii="Arial" w:eastAsia="SimSun" w:hAnsi="Arial" w:cs="Arial"/>
                <w:sz w:val="16"/>
                <w:szCs w:val="16"/>
                <w:lang w:eastAsia="zh-CN"/>
              </w:rPr>
              <w:t>Pulmonary arterial hypertension (PAH)</w:t>
            </w:r>
            <w:r w:rsidRPr="003A13C5">
              <w:rPr>
                <w:rFonts w:ascii="Arial" w:eastAsia="SimSun" w:hAnsi="Arial" w:cs="Arial"/>
                <w:sz w:val="16"/>
                <w:szCs w:val="16"/>
                <w:lang w:eastAsia="zh-CN"/>
              </w:rPr>
              <w:br/>
              <w:t>Continuing treatment</w:t>
            </w:r>
            <w:r w:rsidRPr="003A13C5">
              <w:rPr>
                <w:rFonts w:ascii="Arial" w:eastAsia="SimSun" w:hAnsi="Arial" w:cs="Arial"/>
                <w:sz w:val="16"/>
                <w:szCs w:val="16"/>
                <w:lang w:eastAsia="zh-CN"/>
              </w:rPr>
              <w:br/>
              <w:t>Patient must have received their most recent course of PBS-subsidised treatment with this PAH agent for this condition; AND</w:t>
            </w:r>
            <w:r w:rsidRPr="003A13C5">
              <w:rPr>
                <w:rFonts w:ascii="Arial" w:eastAsia="SimSun" w:hAnsi="Arial" w:cs="Arial"/>
                <w:sz w:val="16"/>
                <w:szCs w:val="16"/>
                <w:lang w:eastAsia="zh-CN"/>
              </w:rPr>
              <w:br/>
              <w:t>The treatment must be the sole PBS-subsidised PAH agent for this condition.</w:t>
            </w:r>
            <w:r w:rsidRPr="003A13C5">
              <w:rPr>
                <w:rFonts w:ascii="Arial" w:eastAsia="SimSun" w:hAnsi="Arial" w:cs="Arial"/>
                <w:sz w:val="16"/>
                <w:szCs w:val="16"/>
                <w:lang w:eastAsia="zh-CN"/>
              </w:rPr>
              <w:br/>
              <w:t>The term 'PAH agents' refers to bosentan monohydrate, iloprost trometamol, epoprostenol sodium, sildenafil citrate, ambrisentan, tadalafil, macitentan, and riociguat.</w:t>
            </w:r>
            <w:r w:rsidRPr="003A13C5">
              <w:rPr>
                <w:rFonts w:ascii="Arial" w:eastAsia="SimSun" w:hAnsi="Arial" w:cs="Arial"/>
                <w:sz w:val="16"/>
                <w:szCs w:val="16"/>
                <w:lang w:eastAsia="zh-CN"/>
              </w:rPr>
              <w:br/>
              <w:t>PAH agents are not PBS-subsidised for patients with pulmonary hypertension secondary to interstitial lung disease associated with connective tissue disease, where the total lung capacity is less than 70% of predicted.</w:t>
            </w:r>
            <w:r w:rsidRPr="003A13C5">
              <w:rPr>
                <w:rFonts w:ascii="Arial" w:eastAsia="SimSun" w:hAnsi="Arial" w:cs="Arial"/>
                <w:sz w:val="16"/>
                <w:szCs w:val="16"/>
                <w:lang w:eastAsia="zh-CN"/>
              </w:rPr>
              <w:br/>
              <w:t>The maximum quantity authorised will be limited to provide sufficient supply for 1 month of treatment, based on the dosage recommendations in the TGA-approved Product Information.</w:t>
            </w:r>
            <w:r w:rsidRPr="003A13C5">
              <w:rPr>
                <w:rFonts w:ascii="Arial" w:eastAsia="SimSun" w:hAnsi="Arial" w:cs="Arial"/>
                <w:sz w:val="16"/>
                <w:szCs w:val="16"/>
                <w:lang w:eastAsia="zh-CN"/>
              </w:rPr>
              <w:br/>
              <w:t>A maximum of 5 repeats may be requested.</w:t>
            </w:r>
          </w:p>
        </w:tc>
        <w:tc>
          <w:tcPr>
            <w:tcW w:w="2693" w:type="dxa"/>
            <w:shd w:val="clear" w:color="auto" w:fill="auto"/>
            <w:tcMar>
              <w:top w:w="28" w:type="dxa"/>
              <w:left w:w="28" w:type="dxa"/>
              <w:right w:w="57" w:type="dxa"/>
            </w:tcMar>
          </w:tcPr>
          <w:p w14:paraId="3CEBAF2E" w14:textId="5955EDCE" w:rsidR="007049CF" w:rsidRPr="003A13C5" w:rsidRDefault="007049CF" w:rsidP="008F5E69">
            <w:pPr>
              <w:spacing w:before="60"/>
              <w:rPr>
                <w:rFonts w:ascii="Arial" w:eastAsia="Arial" w:hAnsi="Arial" w:cs="Arial"/>
                <w:sz w:val="16"/>
                <w:szCs w:val="22"/>
                <w:lang w:eastAsia="zh-CN"/>
              </w:rPr>
            </w:pPr>
            <w:r w:rsidRPr="003A13C5">
              <w:rPr>
                <w:rFonts w:ascii="Arial" w:eastAsia="SimSun" w:hAnsi="Arial" w:cs="Arial"/>
                <w:sz w:val="16"/>
                <w:szCs w:val="16"/>
                <w:lang w:eastAsia="zh-CN"/>
              </w:rPr>
              <w:t>Compliance with Authority Required procedures</w:t>
            </w:r>
          </w:p>
        </w:tc>
      </w:tr>
      <w:tr w:rsidR="007049CF" w:rsidRPr="003A13C5" w14:paraId="6FE05ED2" w14:textId="77777777" w:rsidTr="004A6516">
        <w:tc>
          <w:tcPr>
            <w:tcW w:w="1838" w:type="dxa"/>
            <w:shd w:val="clear" w:color="auto" w:fill="auto"/>
            <w:tcMar>
              <w:top w:w="28" w:type="dxa"/>
              <w:left w:w="28" w:type="dxa"/>
            </w:tcMar>
          </w:tcPr>
          <w:p w14:paraId="4240883F" w14:textId="77777777" w:rsidR="007049CF" w:rsidRPr="003A13C5" w:rsidRDefault="007049CF" w:rsidP="007049CF">
            <w:pPr>
              <w:rPr>
                <w:rFonts w:ascii="Arial" w:hAnsi="Arial" w:cs="Arial"/>
                <w:sz w:val="16"/>
                <w:szCs w:val="16"/>
              </w:rPr>
            </w:pPr>
          </w:p>
        </w:tc>
        <w:tc>
          <w:tcPr>
            <w:tcW w:w="851" w:type="dxa"/>
            <w:shd w:val="clear" w:color="auto" w:fill="auto"/>
            <w:tcMar>
              <w:top w:w="28" w:type="dxa"/>
              <w:left w:w="28" w:type="dxa"/>
            </w:tcMar>
          </w:tcPr>
          <w:p w14:paraId="40B79FB2" w14:textId="5090E1A2" w:rsidR="007049CF" w:rsidRPr="003A13C5" w:rsidRDefault="007049CF" w:rsidP="008F5E69">
            <w:pPr>
              <w:spacing w:before="60"/>
              <w:rPr>
                <w:rFonts w:ascii="Arial" w:hAnsi="Arial" w:cs="Arial"/>
                <w:sz w:val="16"/>
                <w:szCs w:val="16"/>
              </w:rPr>
            </w:pPr>
            <w:r w:rsidRPr="003A13C5">
              <w:rPr>
                <w:rFonts w:ascii="Arial" w:eastAsia="SimSun" w:hAnsi="Arial" w:cs="Arial"/>
                <w:sz w:val="16"/>
                <w:szCs w:val="16"/>
                <w:lang w:eastAsia="zh-CN"/>
              </w:rPr>
              <w:t>C10243</w:t>
            </w:r>
          </w:p>
        </w:tc>
        <w:tc>
          <w:tcPr>
            <w:tcW w:w="850" w:type="dxa"/>
            <w:shd w:val="clear" w:color="auto" w:fill="auto"/>
            <w:tcMar>
              <w:top w:w="28" w:type="dxa"/>
              <w:left w:w="28" w:type="dxa"/>
            </w:tcMar>
          </w:tcPr>
          <w:p w14:paraId="5F763C17" w14:textId="77777777" w:rsidR="007049CF" w:rsidRPr="003A13C5" w:rsidRDefault="007049CF" w:rsidP="008F5E69">
            <w:pPr>
              <w:spacing w:before="60"/>
              <w:rPr>
                <w:rFonts w:ascii="Arial" w:hAnsi="Arial" w:cs="Arial"/>
                <w:sz w:val="16"/>
                <w:szCs w:val="16"/>
              </w:rPr>
            </w:pPr>
          </w:p>
        </w:tc>
        <w:tc>
          <w:tcPr>
            <w:tcW w:w="7655" w:type="dxa"/>
            <w:shd w:val="clear" w:color="auto" w:fill="auto"/>
            <w:tcMar>
              <w:top w:w="28" w:type="dxa"/>
              <w:left w:w="28" w:type="dxa"/>
            </w:tcMar>
          </w:tcPr>
          <w:p w14:paraId="55EC22AF" w14:textId="0BD29AA2" w:rsidR="007049CF" w:rsidRPr="003A13C5" w:rsidRDefault="007049CF" w:rsidP="008F5E69">
            <w:pPr>
              <w:spacing w:before="60"/>
              <w:rPr>
                <w:rFonts w:ascii="Arial" w:eastAsia="Arial" w:hAnsi="Arial" w:cs="Arial"/>
                <w:sz w:val="16"/>
                <w:szCs w:val="16"/>
                <w:lang w:eastAsia="zh-CN"/>
              </w:rPr>
            </w:pPr>
            <w:r w:rsidRPr="003A13C5">
              <w:rPr>
                <w:rFonts w:ascii="Arial" w:eastAsia="SimSun" w:hAnsi="Arial" w:cs="Arial"/>
                <w:sz w:val="16"/>
                <w:szCs w:val="16"/>
                <w:lang w:eastAsia="zh-CN"/>
              </w:rPr>
              <w:t>Pulmonary arterial hypertension (PAH)</w:t>
            </w:r>
            <w:r w:rsidRPr="003A13C5">
              <w:rPr>
                <w:rFonts w:ascii="Arial" w:eastAsia="SimSun" w:hAnsi="Arial" w:cs="Arial"/>
                <w:sz w:val="16"/>
                <w:szCs w:val="16"/>
                <w:lang w:eastAsia="zh-CN"/>
              </w:rPr>
              <w:br/>
              <w:t>Initial 2 (change)</w:t>
            </w:r>
            <w:r w:rsidRPr="003A13C5">
              <w:rPr>
                <w:rFonts w:ascii="Arial" w:eastAsia="SimSun" w:hAnsi="Arial" w:cs="Arial"/>
                <w:sz w:val="16"/>
                <w:szCs w:val="16"/>
                <w:lang w:eastAsia="zh-CN"/>
              </w:rPr>
              <w:br/>
              <w:t>Patient must have documented WHO Functional Class III PAH or WHO Functional Class IV PAH; AND</w:t>
            </w:r>
            <w:r w:rsidRPr="003A13C5">
              <w:rPr>
                <w:rFonts w:ascii="Arial" w:eastAsia="SimSun" w:hAnsi="Arial" w:cs="Arial"/>
                <w:sz w:val="16"/>
                <w:szCs w:val="16"/>
                <w:lang w:eastAsia="zh-CN"/>
              </w:rPr>
              <w:br/>
              <w:t>Patient must have had their most recent course of PBS-subsidised treatment for this condition with a PAH agent other than this agent; AND</w:t>
            </w:r>
            <w:r w:rsidRPr="003A13C5">
              <w:rPr>
                <w:rFonts w:ascii="Arial" w:eastAsia="SimSun" w:hAnsi="Arial" w:cs="Arial"/>
                <w:sz w:val="16"/>
                <w:szCs w:val="16"/>
                <w:lang w:eastAsia="zh-CN"/>
              </w:rPr>
              <w:br/>
              <w:t>The treatment must be the sole PBS-subsidised PAH agent for this condition.</w:t>
            </w:r>
            <w:r w:rsidRPr="003A13C5">
              <w:rPr>
                <w:rFonts w:ascii="Arial" w:eastAsia="SimSun" w:hAnsi="Arial" w:cs="Arial"/>
                <w:sz w:val="16"/>
                <w:szCs w:val="16"/>
                <w:lang w:eastAsia="zh-CN"/>
              </w:rPr>
              <w:br/>
              <w:t>The term 'PAH agents' refers to bosentan monohydrate, iloprost trometamol, epoprostenol sodium, sildenafil citrate, ambrisentan, tadalafil, macitentan, and riociguat.</w:t>
            </w:r>
            <w:r w:rsidRPr="003A13C5">
              <w:rPr>
                <w:rFonts w:ascii="Arial" w:eastAsia="SimSun" w:hAnsi="Arial" w:cs="Arial"/>
                <w:sz w:val="16"/>
                <w:szCs w:val="16"/>
                <w:lang w:eastAsia="zh-CN"/>
              </w:rPr>
              <w:br/>
              <w:t>PAH agents are not PBS-subsidised for patients with pulmonary hypertension secondary to interstitial lung disease associated with connective tissue disease, where the total lung capacity is less than 70% of predicted.</w:t>
            </w:r>
            <w:r w:rsidRPr="003A13C5">
              <w:rPr>
                <w:rFonts w:ascii="Arial" w:eastAsia="SimSun" w:hAnsi="Arial" w:cs="Arial"/>
                <w:sz w:val="16"/>
                <w:szCs w:val="16"/>
                <w:lang w:eastAsia="zh-CN"/>
              </w:rPr>
              <w:br/>
              <w:t>Swapping between PAH agents: Patients can access PAH agents through the PBS according to the relevant restrictions. Once these patients are approved initial treatment (monotherapy) with 1 of these 8 drugs, they may swap between PAH agents at any time without having to re-qualify for treatment with the alternate agent. This means that patients may commence treatment with the alternate agent, subject to that agent's restriction, irrespective of the severity of their disease at the time the application to swap therapy is submitted.</w:t>
            </w:r>
            <w:r w:rsidRPr="003A13C5">
              <w:rPr>
                <w:rFonts w:ascii="Arial" w:eastAsia="SimSun" w:hAnsi="Arial" w:cs="Arial"/>
                <w:sz w:val="16"/>
                <w:szCs w:val="16"/>
                <w:lang w:eastAsia="zh-CN"/>
              </w:rPr>
              <w:br/>
              <w:t>Applications to swap between the 8 PAH agents must be made under the relevant initial treatment (monotherapy) restriction.</w:t>
            </w:r>
            <w:r w:rsidRPr="003A13C5">
              <w:rPr>
                <w:rFonts w:ascii="Arial" w:eastAsia="SimSun" w:hAnsi="Arial" w:cs="Arial"/>
                <w:sz w:val="16"/>
                <w:szCs w:val="16"/>
                <w:lang w:eastAsia="zh-CN"/>
              </w:rPr>
              <w:br/>
              <w:t>Approvals for prescriptions for dose titration will provide sufficient quantity for dose titrations by 0.5 mg increments at 2-week intervals to achieve up to a maximum of 2.5 mg three times daily based on the dosage recommendations for initiation of treatment in the TGA-approved Product Information. No repeats will be authorised for these prescriptions.</w:t>
            </w:r>
            <w:r w:rsidRPr="003A13C5">
              <w:rPr>
                <w:rFonts w:ascii="Arial" w:eastAsia="SimSun" w:hAnsi="Arial" w:cs="Arial"/>
                <w:sz w:val="16"/>
                <w:szCs w:val="16"/>
                <w:lang w:eastAsia="zh-CN"/>
              </w:rPr>
              <w:br/>
              <w:t>Approvals for subsequent authority prescription will be limited to 1 month of treatment, with the quantity approved based on the dosage recommendations in the TGA-approved Product Information, and a maximum of 4 repeats.</w:t>
            </w:r>
          </w:p>
        </w:tc>
        <w:tc>
          <w:tcPr>
            <w:tcW w:w="2693" w:type="dxa"/>
            <w:shd w:val="clear" w:color="auto" w:fill="auto"/>
            <w:tcMar>
              <w:top w:w="28" w:type="dxa"/>
              <w:left w:w="28" w:type="dxa"/>
              <w:right w:w="57" w:type="dxa"/>
            </w:tcMar>
          </w:tcPr>
          <w:p w14:paraId="5EFB75BB" w14:textId="034B7569" w:rsidR="007049CF" w:rsidRPr="003A13C5" w:rsidRDefault="007049CF" w:rsidP="008F5E69">
            <w:pPr>
              <w:spacing w:before="60"/>
              <w:rPr>
                <w:rFonts w:ascii="Arial" w:eastAsia="Arial" w:hAnsi="Arial" w:cs="Arial"/>
                <w:sz w:val="16"/>
                <w:szCs w:val="16"/>
                <w:lang w:eastAsia="zh-CN"/>
              </w:rPr>
            </w:pPr>
            <w:r w:rsidRPr="003A13C5">
              <w:rPr>
                <w:rFonts w:ascii="Arial" w:eastAsia="SimSun" w:hAnsi="Arial" w:cs="Arial"/>
                <w:sz w:val="16"/>
                <w:szCs w:val="16"/>
                <w:lang w:eastAsia="zh-CN"/>
              </w:rPr>
              <w:t>Compliance with Authority Required procedures</w:t>
            </w:r>
          </w:p>
        </w:tc>
      </w:tr>
      <w:tr w:rsidR="007049CF" w:rsidRPr="003A13C5" w14:paraId="2DB0AE1D" w14:textId="77777777" w:rsidTr="004A6516">
        <w:tc>
          <w:tcPr>
            <w:tcW w:w="1838" w:type="dxa"/>
            <w:shd w:val="clear" w:color="auto" w:fill="auto"/>
            <w:tcMar>
              <w:top w:w="28" w:type="dxa"/>
              <w:left w:w="28" w:type="dxa"/>
            </w:tcMar>
          </w:tcPr>
          <w:p w14:paraId="4AF02957" w14:textId="77777777" w:rsidR="007049CF" w:rsidRPr="003A13C5" w:rsidRDefault="007049CF" w:rsidP="007049CF">
            <w:pPr>
              <w:rPr>
                <w:rFonts w:ascii="Arial" w:hAnsi="Arial" w:cs="Arial"/>
                <w:sz w:val="16"/>
                <w:szCs w:val="16"/>
              </w:rPr>
            </w:pPr>
          </w:p>
        </w:tc>
        <w:tc>
          <w:tcPr>
            <w:tcW w:w="851" w:type="dxa"/>
            <w:shd w:val="clear" w:color="auto" w:fill="auto"/>
            <w:tcMar>
              <w:top w:w="28" w:type="dxa"/>
              <w:left w:w="28" w:type="dxa"/>
            </w:tcMar>
          </w:tcPr>
          <w:p w14:paraId="7A6ED9F9" w14:textId="455F7034" w:rsidR="007049CF" w:rsidRPr="003A13C5" w:rsidRDefault="007049CF" w:rsidP="008F5E69">
            <w:pPr>
              <w:spacing w:before="60"/>
              <w:rPr>
                <w:rFonts w:ascii="Arial" w:hAnsi="Arial" w:cs="Arial"/>
                <w:sz w:val="16"/>
                <w:szCs w:val="16"/>
              </w:rPr>
            </w:pPr>
            <w:r w:rsidRPr="003A13C5">
              <w:rPr>
                <w:rFonts w:ascii="Arial" w:eastAsia="SimSun" w:hAnsi="Arial" w:cs="Arial"/>
                <w:sz w:val="16"/>
                <w:szCs w:val="16"/>
                <w:lang w:eastAsia="zh-CN"/>
              </w:rPr>
              <w:t>C10245</w:t>
            </w:r>
          </w:p>
        </w:tc>
        <w:tc>
          <w:tcPr>
            <w:tcW w:w="850" w:type="dxa"/>
            <w:shd w:val="clear" w:color="auto" w:fill="auto"/>
            <w:tcMar>
              <w:top w:w="28" w:type="dxa"/>
              <w:left w:w="28" w:type="dxa"/>
            </w:tcMar>
          </w:tcPr>
          <w:p w14:paraId="09AD30D4" w14:textId="77777777" w:rsidR="007049CF" w:rsidRPr="003A13C5" w:rsidRDefault="007049CF" w:rsidP="008F5E69">
            <w:pPr>
              <w:spacing w:before="60"/>
              <w:rPr>
                <w:rFonts w:ascii="Arial" w:hAnsi="Arial" w:cs="Arial"/>
                <w:sz w:val="16"/>
                <w:szCs w:val="16"/>
              </w:rPr>
            </w:pPr>
          </w:p>
        </w:tc>
        <w:tc>
          <w:tcPr>
            <w:tcW w:w="7655" w:type="dxa"/>
            <w:shd w:val="clear" w:color="auto" w:fill="auto"/>
            <w:tcMar>
              <w:top w:w="28" w:type="dxa"/>
              <w:left w:w="28" w:type="dxa"/>
            </w:tcMar>
          </w:tcPr>
          <w:p w14:paraId="5436E2CC" w14:textId="68C5DA3E" w:rsidR="007049CF" w:rsidRPr="003A13C5" w:rsidRDefault="007049CF" w:rsidP="008F5E69">
            <w:pPr>
              <w:spacing w:before="60"/>
              <w:rPr>
                <w:rFonts w:ascii="Arial" w:eastAsia="Arial" w:hAnsi="Arial" w:cs="Arial"/>
                <w:sz w:val="16"/>
                <w:szCs w:val="16"/>
                <w:lang w:eastAsia="zh-CN"/>
              </w:rPr>
            </w:pPr>
            <w:r w:rsidRPr="003A13C5">
              <w:rPr>
                <w:rFonts w:ascii="Arial" w:eastAsia="SimSun" w:hAnsi="Arial" w:cs="Arial"/>
                <w:sz w:val="16"/>
                <w:szCs w:val="16"/>
                <w:lang w:eastAsia="zh-CN"/>
              </w:rPr>
              <w:t>Pulmonary arterial hypertension (PAH)</w:t>
            </w:r>
            <w:r w:rsidRPr="003A13C5">
              <w:rPr>
                <w:rFonts w:ascii="Arial" w:eastAsia="SimSun" w:hAnsi="Arial" w:cs="Arial"/>
                <w:sz w:val="16"/>
                <w:szCs w:val="16"/>
                <w:lang w:eastAsia="zh-CN"/>
              </w:rPr>
              <w:br/>
              <w:t>Initial 1 (new patients)</w:t>
            </w:r>
            <w:r w:rsidRPr="003A13C5">
              <w:rPr>
                <w:rFonts w:ascii="Arial" w:eastAsia="SimSun" w:hAnsi="Arial" w:cs="Arial"/>
                <w:sz w:val="16"/>
                <w:szCs w:val="16"/>
                <w:lang w:eastAsia="zh-CN"/>
              </w:rPr>
              <w:br/>
              <w:t xml:space="preserve">Patient must not have received prior PBS-subsidised treatment with a pulmonary arterial hypertension </w:t>
            </w:r>
            <w:r w:rsidRPr="003A13C5">
              <w:rPr>
                <w:rFonts w:ascii="Arial" w:eastAsia="SimSun" w:hAnsi="Arial" w:cs="Arial"/>
                <w:sz w:val="16"/>
                <w:szCs w:val="16"/>
                <w:lang w:eastAsia="zh-CN"/>
              </w:rPr>
              <w:lastRenderedPageBreak/>
              <w:t>(PAH) agent; AND</w:t>
            </w:r>
            <w:r w:rsidRPr="003A13C5">
              <w:rPr>
                <w:rFonts w:ascii="Arial" w:eastAsia="SimSun" w:hAnsi="Arial" w:cs="Arial"/>
                <w:sz w:val="16"/>
                <w:szCs w:val="16"/>
                <w:lang w:eastAsia="zh-CN"/>
              </w:rPr>
              <w:br/>
              <w:t>Patient must have been assessed by a physician with expertise in the management of PAH; AND</w:t>
            </w:r>
            <w:r w:rsidRPr="003A13C5">
              <w:rPr>
                <w:rFonts w:ascii="Arial" w:eastAsia="SimSun" w:hAnsi="Arial" w:cs="Arial"/>
                <w:sz w:val="16"/>
                <w:szCs w:val="16"/>
                <w:lang w:eastAsia="zh-CN"/>
              </w:rPr>
              <w:br/>
              <w:t>Patient must have WHO Functional Class III PAH or WHO Functional Class IV PAH; AND</w:t>
            </w:r>
            <w:r w:rsidRPr="003A13C5">
              <w:rPr>
                <w:rFonts w:ascii="Arial" w:eastAsia="SimSun" w:hAnsi="Arial" w:cs="Arial"/>
                <w:sz w:val="16"/>
                <w:szCs w:val="16"/>
                <w:lang w:eastAsia="zh-CN"/>
              </w:rPr>
              <w:br/>
              <w:t>The treatment must be the sole PBS-subsidised PAH agent for this condition.</w:t>
            </w:r>
            <w:r w:rsidRPr="003A13C5">
              <w:rPr>
                <w:rFonts w:ascii="Arial" w:eastAsia="SimSun" w:hAnsi="Arial" w:cs="Arial"/>
                <w:sz w:val="16"/>
                <w:szCs w:val="16"/>
                <w:lang w:eastAsia="zh-CN"/>
              </w:rPr>
              <w:br/>
              <w:t>The term 'PAH agents' refers to bosentan monohydrate, iloprost trometamol, epoprostenol sodium, sildenafil citrate, ambrisentan, tadalafil, macitentan, and riociguat.</w:t>
            </w:r>
            <w:r w:rsidRPr="003A13C5">
              <w:rPr>
                <w:rFonts w:ascii="Arial" w:eastAsia="SimSun" w:hAnsi="Arial" w:cs="Arial"/>
                <w:sz w:val="16"/>
                <w:szCs w:val="16"/>
                <w:lang w:eastAsia="zh-CN"/>
              </w:rPr>
              <w:br/>
              <w:t>PAH agents are not PBS-subsidised for patients with pulmonary hypertension secondary to interstitial lung disease associated with connective tissue disease, where the total lung capacity is less than 70% of predicted.</w:t>
            </w:r>
            <w:r w:rsidRPr="003A13C5">
              <w:rPr>
                <w:rFonts w:ascii="Arial" w:eastAsia="SimSun" w:hAnsi="Arial" w:cs="Arial"/>
                <w:sz w:val="16"/>
                <w:szCs w:val="16"/>
                <w:lang w:eastAsia="zh-CN"/>
              </w:rPr>
              <w:br/>
              <w:t>PAH (WHO Group 1 pulmonary hypertension) is defined as follows:</w:t>
            </w:r>
            <w:r w:rsidRPr="003A13C5">
              <w:rPr>
                <w:rFonts w:ascii="Arial" w:eastAsia="SimSun" w:hAnsi="Arial" w:cs="Arial"/>
                <w:sz w:val="16"/>
                <w:szCs w:val="16"/>
                <w:lang w:eastAsia="zh-CN"/>
              </w:rPr>
              <w:br/>
              <w:t>(i) mean pulmonary artery pressure (mPAP) greater than or equal to 25 mmHg at rest and pulmonary artery wedge pressure (PAWP) less than or equal to 15 mmHg; or</w:t>
            </w:r>
            <w:r w:rsidRPr="003A13C5">
              <w:rPr>
                <w:rFonts w:ascii="Arial" w:eastAsia="SimSun" w:hAnsi="Arial" w:cs="Arial"/>
                <w:sz w:val="16"/>
                <w:szCs w:val="16"/>
                <w:lang w:eastAsia="zh-CN"/>
              </w:rPr>
              <w:br/>
              <w:t>(ii) where a right heart catheter (RHC) cannot be performed on clinical grounds, right ventricular systolic pressure (RVSP), assessed by echocardiography (ECHO), greater than 40 mmHg, with normal left ventricular function.</w:t>
            </w:r>
            <w:r w:rsidRPr="003A13C5">
              <w:rPr>
                <w:rFonts w:ascii="Arial" w:eastAsia="SimSun" w:hAnsi="Arial" w:cs="Arial"/>
                <w:sz w:val="16"/>
                <w:szCs w:val="16"/>
                <w:lang w:eastAsia="zh-CN"/>
              </w:rPr>
              <w:br/>
              <w:t>Applications for authorisation must be in writing and must include:</w:t>
            </w:r>
            <w:r w:rsidRPr="003A13C5">
              <w:rPr>
                <w:rFonts w:ascii="Arial" w:eastAsia="SimSun" w:hAnsi="Arial" w:cs="Arial"/>
                <w:sz w:val="16"/>
                <w:szCs w:val="16"/>
                <w:lang w:eastAsia="zh-CN"/>
              </w:rPr>
              <w:br/>
              <w:t>(1) a completed authority prescription form; and</w:t>
            </w:r>
            <w:r w:rsidRPr="003A13C5">
              <w:rPr>
                <w:rFonts w:ascii="Arial" w:eastAsia="SimSun" w:hAnsi="Arial" w:cs="Arial"/>
                <w:sz w:val="16"/>
                <w:szCs w:val="16"/>
                <w:lang w:eastAsia="zh-CN"/>
              </w:rPr>
              <w:br/>
              <w:t>(2) a completed Pulmonary Arterial Hypertension PBS Authority Application - Supporting Information form which includes results from the three tests below, where available:</w:t>
            </w:r>
            <w:r w:rsidRPr="003A13C5">
              <w:rPr>
                <w:rFonts w:ascii="Arial" w:eastAsia="SimSun" w:hAnsi="Arial" w:cs="Arial"/>
                <w:sz w:val="16"/>
                <w:szCs w:val="16"/>
                <w:lang w:eastAsia="zh-CN"/>
              </w:rPr>
              <w:br/>
              <w:t>(i) RHC composite assessment; and</w:t>
            </w:r>
            <w:r w:rsidRPr="003A13C5">
              <w:rPr>
                <w:rFonts w:ascii="Arial" w:eastAsia="SimSun" w:hAnsi="Arial" w:cs="Arial"/>
                <w:sz w:val="16"/>
                <w:szCs w:val="16"/>
                <w:lang w:eastAsia="zh-CN"/>
              </w:rPr>
              <w:br/>
              <w:t>(ii) ECHO composite assessment; and</w:t>
            </w:r>
            <w:r w:rsidRPr="003A13C5">
              <w:rPr>
                <w:rFonts w:ascii="Arial" w:eastAsia="SimSun" w:hAnsi="Arial" w:cs="Arial"/>
                <w:sz w:val="16"/>
                <w:szCs w:val="16"/>
                <w:lang w:eastAsia="zh-CN"/>
              </w:rPr>
              <w:br/>
              <w:t>(iii) 6 Minute Walk Test (6MWT).</w:t>
            </w:r>
            <w:r w:rsidRPr="003A13C5">
              <w:rPr>
                <w:rFonts w:ascii="Arial" w:eastAsia="SimSun" w:hAnsi="Arial" w:cs="Arial"/>
                <w:sz w:val="16"/>
                <w:szCs w:val="16"/>
                <w:lang w:eastAsia="zh-CN"/>
              </w:rPr>
              <w:br/>
              <w:t>Where it is not possible to perform all 3 tests on clinical grounds, the following list outlines the preferred test combination, in descending order, for the purposes of initiation of PBS-subsidised treatment:</w:t>
            </w:r>
            <w:r w:rsidRPr="003A13C5">
              <w:rPr>
                <w:rFonts w:ascii="Arial" w:eastAsia="SimSun" w:hAnsi="Arial" w:cs="Arial"/>
                <w:sz w:val="16"/>
                <w:szCs w:val="16"/>
                <w:lang w:eastAsia="zh-CN"/>
              </w:rPr>
              <w:br/>
              <w:t>(1) RHC plus ECHO composite assessments;</w:t>
            </w:r>
            <w:r w:rsidRPr="003A13C5">
              <w:rPr>
                <w:rFonts w:ascii="Arial" w:eastAsia="SimSun" w:hAnsi="Arial" w:cs="Arial"/>
                <w:sz w:val="16"/>
                <w:szCs w:val="16"/>
                <w:lang w:eastAsia="zh-CN"/>
              </w:rPr>
              <w:br/>
              <w:t>(2) RHC composite assessment plus 6MWT;</w:t>
            </w:r>
            <w:r w:rsidRPr="003A13C5">
              <w:rPr>
                <w:rFonts w:ascii="Arial" w:eastAsia="SimSun" w:hAnsi="Arial" w:cs="Arial"/>
                <w:sz w:val="16"/>
                <w:szCs w:val="16"/>
                <w:lang w:eastAsia="zh-CN"/>
              </w:rPr>
              <w:br/>
              <w:t>(3) RHC composite assessment only.</w:t>
            </w:r>
            <w:r w:rsidRPr="003A13C5">
              <w:rPr>
                <w:rFonts w:ascii="Arial" w:eastAsia="SimSun" w:hAnsi="Arial" w:cs="Arial"/>
                <w:sz w:val="16"/>
                <w:szCs w:val="16"/>
                <w:lang w:eastAsia="zh-CN"/>
              </w:rPr>
              <w:br/>
              <w:t>In circumstances where a RHC cannot be performed on clinical grounds, applications may be submitted for consideration based on the results of the following test combinations, which are listed in descending order of preference:</w:t>
            </w:r>
            <w:r w:rsidRPr="003A13C5">
              <w:rPr>
                <w:rFonts w:ascii="Arial" w:eastAsia="SimSun" w:hAnsi="Arial" w:cs="Arial"/>
                <w:sz w:val="16"/>
                <w:szCs w:val="16"/>
                <w:lang w:eastAsia="zh-CN"/>
              </w:rPr>
              <w:br/>
              <w:t>(1) ECHO composite assessment plus 6MWT;</w:t>
            </w:r>
            <w:r w:rsidRPr="003A13C5">
              <w:rPr>
                <w:rFonts w:ascii="Arial" w:eastAsia="SimSun" w:hAnsi="Arial" w:cs="Arial"/>
                <w:sz w:val="16"/>
                <w:szCs w:val="16"/>
                <w:lang w:eastAsia="zh-CN"/>
              </w:rPr>
              <w:br/>
              <w:t>(2) ECHO composite assessment only.</w:t>
            </w:r>
            <w:r w:rsidRPr="003A13C5">
              <w:rPr>
                <w:rFonts w:ascii="Arial" w:eastAsia="SimSun" w:hAnsi="Arial" w:cs="Arial"/>
                <w:sz w:val="16"/>
                <w:szCs w:val="16"/>
                <w:lang w:eastAsia="zh-CN"/>
              </w:rPr>
              <w:br/>
              <w:t>Where fewer than 3 tests are able to be performed on clinical grounds, a patient specific reason outlining why the particular test(s) could not be conducted must be provided with the authority application.</w:t>
            </w:r>
            <w:r w:rsidRPr="003A13C5">
              <w:rPr>
                <w:rFonts w:ascii="Arial" w:eastAsia="SimSun" w:hAnsi="Arial" w:cs="Arial"/>
                <w:sz w:val="16"/>
                <w:szCs w:val="16"/>
                <w:lang w:eastAsia="zh-CN"/>
              </w:rPr>
              <w:br/>
              <w:t>Where a RHC cannot be performed on clinical grounds, confirmation of the reason(s) must be provided with the authority application by a second PAH physician or cardiologist with expertise in the management of PAH.</w:t>
            </w:r>
            <w:r w:rsidRPr="003A13C5">
              <w:rPr>
                <w:rFonts w:ascii="Arial" w:eastAsia="SimSun" w:hAnsi="Arial" w:cs="Arial"/>
                <w:sz w:val="16"/>
                <w:szCs w:val="16"/>
                <w:lang w:eastAsia="zh-CN"/>
              </w:rPr>
              <w:br/>
              <w:t>The test results provided must not be more than 2 months old at the time of application.</w:t>
            </w:r>
            <w:r w:rsidRPr="003A13C5">
              <w:rPr>
                <w:rFonts w:ascii="Arial" w:eastAsia="SimSun" w:hAnsi="Arial" w:cs="Arial"/>
                <w:sz w:val="16"/>
                <w:szCs w:val="16"/>
                <w:lang w:eastAsia="zh-CN"/>
              </w:rPr>
              <w:br/>
              <w:t>Approvals for prescriptions for dose titration will provide sufficient quantity for dose titrations by 0.5 mg increments at 2-week intervals to achieve up to a maximum of 2.5 mg three times daily based on the dosage recommendations for initiation of treatment in the TGA-approved Product Information. No repeats will be authorised for these prescriptions.</w:t>
            </w:r>
            <w:r w:rsidRPr="003A13C5">
              <w:rPr>
                <w:rFonts w:ascii="Arial" w:eastAsia="SimSun" w:hAnsi="Arial" w:cs="Arial"/>
                <w:sz w:val="16"/>
                <w:szCs w:val="16"/>
                <w:lang w:eastAsia="zh-CN"/>
              </w:rPr>
              <w:br/>
              <w:t>Approvals for subsequent authority prescription will be limited to 1 month of treatment, with the quantity approved based on the dosage recommendations in the TGA-approved Product Information, and a maximum of 4 repeats.</w:t>
            </w:r>
          </w:p>
        </w:tc>
        <w:tc>
          <w:tcPr>
            <w:tcW w:w="2693" w:type="dxa"/>
            <w:shd w:val="clear" w:color="auto" w:fill="auto"/>
            <w:tcMar>
              <w:top w:w="28" w:type="dxa"/>
              <w:left w:w="28" w:type="dxa"/>
              <w:right w:w="57" w:type="dxa"/>
            </w:tcMar>
          </w:tcPr>
          <w:p w14:paraId="58A78546" w14:textId="4BB8AA60" w:rsidR="007049CF" w:rsidRPr="003A13C5" w:rsidRDefault="007049CF" w:rsidP="008F5E69">
            <w:pPr>
              <w:spacing w:before="60"/>
              <w:rPr>
                <w:rFonts w:ascii="Arial" w:eastAsia="Arial" w:hAnsi="Arial" w:cs="Arial"/>
                <w:sz w:val="16"/>
                <w:szCs w:val="16"/>
                <w:lang w:eastAsia="zh-CN"/>
              </w:rPr>
            </w:pPr>
            <w:r w:rsidRPr="003A13C5">
              <w:rPr>
                <w:rFonts w:ascii="Arial" w:eastAsia="SimSun" w:hAnsi="Arial" w:cs="Arial"/>
                <w:sz w:val="16"/>
                <w:szCs w:val="16"/>
                <w:lang w:eastAsia="zh-CN"/>
              </w:rPr>
              <w:lastRenderedPageBreak/>
              <w:t>Compliance with Written Authority Required procedures</w:t>
            </w:r>
          </w:p>
        </w:tc>
      </w:tr>
    </w:tbl>
    <w:p w14:paraId="7884B05E" w14:textId="77777777" w:rsidR="007478B6" w:rsidRPr="003A13C5" w:rsidRDefault="007478B6">
      <w:pPr>
        <w:rPr>
          <w:rFonts w:ascii="Arial" w:hAnsi="Arial" w:cs="Arial"/>
          <w:b/>
          <w:bCs/>
          <w:sz w:val="20"/>
        </w:rPr>
      </w:pPr>
      <w:r w:rsidRPr="003A13C5">
        <w:rPr>
          <w:rFonts w:ascii="Arial" w:hAnsi="Arial" w:cs="Arial"/>
          <w:b/>
          <w:bCs/>
          <w:sz w:val="20"/>
        </w:rPr>
        <w:br w:type="page"/>
      </w:r>
    </w:p>
    <w:p w14:paraId="2FC3A709" w14:textId="61C25D5D" w:rsidR="007049CF" w:rsidRPr="003A13C5" w:rsidRDefault="007049CF" w:rsidP="007049CF">
      <w:pPr>
        <w:widowControl w:val="0"/>
        <w:numPr>
          <w:ilvl w:val="0"/>
          <w:numId w:val="5"/>
        </w:numPr>
        <w:tabs>
          <w:tab w:val="clear" w:pos="794"/>
        </w:tabs>
        <w:spacing w:before="120"/>
        <w:ind w:left="567" w:hanging="567"/>
        <w:outlineLvl w:val="1"/>
        <w:rPr>
          <w:rFonts w:ascii="Arial" w:hAnsi="Arial" w:cs="Arial"/>
          <w:b/>
          <w:bCs/>
          <w:sz w:val="20"/>
        </w:rPr>
      </w:pPr>
      <w:r w:rsidRPr="003A13C5">
        <w:rPr>
          <w:rFonts w:ascii="Arial" w:hAnsi="Arial" w:cs="Arial"/>
          <w:b/>
          <w:bCs/>
          <w:sz w:val="20"/>
        </w:rPr>
        <w:lastRenderedPageBreak/>
        <w:t>Schedule 3, entry for Sildenafil</w:t>
      </w:r>
    </w:p>
    <w:p w14:paraId="7FEBC514" w14:textId="477AB18D" w:rsidR="007049CF" w:rsidRPr="003A13C5" w:rsidRDefault="007049CF" w:rsidP="007049CF">
      <w:pPr>
        <w:pStyle w:val="Amendment3"/>
        <w:numPr>
          <w:ilvl w:val="0"/>
          <w:numId w:val="0"/>
        </w:numPr>
        <w:ind w:firstLine="567"/>
        <w:outlineLvl w:val="1"/>
        <w:rPr>
          <w:rFonts w:ascii="Arial" w:hAnsi="Arial" w:cs="Arial"/>
          <w:b/>
          <w:bCs/>
          <w:sz w:val="16"/>
        </w:rPr>
      </w:pPr>
      <w:r w:rsidRPr="003A13C5">
        <w:rPr>
          <w:i/>
        </w:rPr>
        <w:t>substitute:</w:t>
      </w:r>
    </w:p>
    <w:tbl>
      <w:tblPr>
        <w:tblW w:w="13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38"/>
        <w:gridCol w:w="851"/>
        <w:gridCol w:w="851"/>
        <w:gridCol w:w="7655"/>
        <w:gridCol w:w="2693"/>
      </w:tblGrid>
      <w:tr w:rsidR="009B0184" w:rsidRPr="003A13C5" w14:paraId="75F64726" w14:textId="77777777" w:rsidTr="009B0184">
        <w:tc>
          <w:tcPr>
            <w:tcW w:w="1838" w:type="dxa"/>
            <w:shd w:val="clear" w:color="auto" w:fill="auto"/>
            <w:tcMar>
              <w:top w:w="28" w:type="dxa"/>
              <w:left w:w="28" w:type="dxa"/>
            </w:tcMar>
          </w:tcPr>
          <w:p w14:paraId="3EF798BC" w14:textId="51B82723" w:rsidR="009B0184" w:rsidRPr="003A13C5" w:rsidRDefault="009B0184" w:rsidP="008F5E69">
            <w:pPr>
              <w:spacing w:before="60"/>
              <w:rPr>
                <w:rFonts w:ascii="Arial" w:hAnsi="Arial" w:cs="Arial"/>
                <w:sz w:val="16"/>
                <w:szCs w:val="16"/>
              </w:rPr>
            </w:pPr>
            <w:r w:rsidRPr="003A13C5">
              <w:rPr>
                <w:rFonts w:ascii="Arial" w:eastAsia="SimSun" w:hAnsi="Arial" w:cs="Arial"/>
                <w:sz w:val="16"/>
                <w:szCs w:val="16"/>
                <w:lang w:eastAsia="zh-CN"/>
              </w:rPr>
              <w:t>Sildenafil</w:t>
            </w:r>
          </w:p>
        </w:tc>
        <w:tc>
          <w:tcPr>
            <w:tcW w:w="851" w:type="dxa"/>
          </w:tcPr>
          <w:p w14:paraId="49349379" w14:textId="53263224" w:rsidR="009B0184" w:rsidRPr="003A13C5" w:rsidRDefault="009B0184" w:rsidP="008F5E69">
            <w:pPr>
              <w:spacing w:before="60"/>
              <w:rPr>
                <w:rFonts w:ascii="Arial" w:eastAsia="SimSun" w:hAnsi="Arial" w:cs="Arial"/>
                <w:sz w:val="16"/>
                <w:szCs w:val="16"/>
                <w:lang w:eastAsia="zh-CN"/>
              </w:rPr>
            </w:pPr>
            <w:r w:rsidRPr="003A13C5">
              <w:rPr>
                <w:rFonts w:ascii="Arial" w:eastAsia="SimSun" w:hAnsi="Arial" w:cs="Arial"/>
                <w:sz w:val="16"/>
                <w:szCs w:val="16"/>
                <w:lang w:eastAsia="zh-CN"/>
              </w:rPr>
              <w:t>C10228</w:t>
            </w:r>
          </w:p>
        </w:tc>
        <w:tc>
          <w:tcPr>
            <w:tcW w:w="851" w:type="dxa"/>
            <w:shd w:val="clear" w:color="auto" w:fill="auto"/>
            <w:tcMar>
              <w:top w:w="28" w:type="dxa"/>
              <w:left w:w="28" w:type="dxa"/>
            </w:tcMar>
          </w:tcPr>
          <w:p w14:paraId="3BAB42C8" w14:textId="00E7AEB6" w:rsidR="009B0184" w:rsidRPr="003A13C5" w:rsidRDefault="009B0184" w:rsidP="008F5E69">
            <w:pPr>
              <w:spacing w:before="60"/>
              <w:rPr>
                <w:rFonts w:ascii="Arial" w:hAnsi="Arial" w:cs="Arial"/>
                <w:sz w:val="16"/>
                <w:szCs w:val="16"/>
              </w:rPr>
            </w:pPr>
          </w:p>
        </w:tc>
        <w:tc>
          <w:tcPr>
            <w:tcW w:w="7655" w:type="dxa"/>
            <w:shd w:val="clear" w:color="auto" w:fill="auto"/>
            <w:tcMar>
              <w:top w:w="28" w:type="dxa"/>
              <w:left w:w="28" w:type="dxa"/>
            </w:tcMar>
          </w:tcPr>
          <w:p w14:paraId="5C52D293" w14:textId="3685D2E4" w:rsidR="009B0184" w:rsidRPr="003A13C5" w:rsidRDefault="009B0184" w:rsidP="008F5E69">
            <w:pPr>
              <w:spacing w:before="60"/>
              <w:rPr>
                <w:rFonts w:ascii="Arial" w:hAnsi="Arial" w:cs="Arial"/>
                <w:sz w:val="16"/>
                <w:szCs w:val="16"/>
              </w:rPr>
            </w:pPr>
            <w:r w:rsidRPr="003A13C5">
              <w:rPr>
                <w:rFonts w:ascii="Arial" w:eastAsia="SimSun" w:hAnsi="Arial" w:cs="Arial"/>
                <w:sz w:val="16"/>
                <w:szCs w:val="16"/>
                <w:lang w:eastAsia="zh-CN"/>
              </w:rPr>
              <w:t>Pulmonary arterial hypertension (PAH)</w:t>
            </w:r>
            <w:r w:rsidRPr="003A13C5">
              <w:rPr>
                <w:rFonts w:ascii="Arial" w:eastAsia="SimSun" w:hAnsi="Arial" w:cs="Arial"/>
                <w:sz w:val="16"/>
                <w:szCs w:val="16"/>
                <w:lang w:eastAsia="zh-CN"/>
              </w:rPr>
              <w:br/>
              <w:t>Continuing treatment</w:t>
            </w:r>
            <w:r w:rsidRPr="003A13C5">
              <w:rPr>
                <w:rFonts w:ascii="Arial" w:eastAsia="SimSun" w:hAnsi="Arial" w:cs="Arial"/>
                <w:sz w:val="16"/>
                <w:szCs w:val="16"/>
                <w:lang w:eastAsia="zh-CN"/>
              </w:rPr>
              <w:br/>
              <w:t>Patient must have received their most recent course of PBS-subsidised treatment with this PAH agent for this condition; AND</w:t>
            </w:r>
            <w:r w:rsidRPr="003A13C5">
              <w:rPr>
                <w:rFonts w:ascii="Arial" w:eastAsia="SimSun" w:hAnsi="Arial" w:cs="Arial"/>
                <w:sz w:val="16"/>
                <w:szCs w:val="16"/>
                <w:lang w:eastAsia="zh-CN"/>
              </w:rPr>
              <w:br/>
              <w:t>The treatment must be the sole PBS-subsidised PAH agent for this condition.</w:t>
            </w:r>
            <w:r w:rsidRPr="003A13C5">
              <w:rPr>
                <w:rFonts w:ascii="Arial" w:eastAsia="SimSun" w:hAnsi="Arial" w:cs="Arial"/>
                <w:sz w:val="16"/>
                <w:szCs w:val="16"/>
                <w:lang w:eastAsia="zh-CN"/>
              </w:rPr>
              <w:br/>
              <w:t>The term 'PAH agents' refers to bosentan monohydrate, iloprost trometamol, epoprostenol sodium, sildenafil citrate, ambrisentan, tadalafil, macitentan, and riociguat.</w:t>
            </w:r>
            <w:r w:rsidRPr="003A13C5">
              <w:rPr>
                <w:rFonts w:ascii="Arial" w:eastAsia="SimSun" w:hAnsi="Arial" w:cs="Arial"/>
                <w:sz w:val="16"/>
                <w:szCs w:val="16"/>
                <w:lang w:eastAsia="zh-CN"/>
              </w:rPr>
              <w:br/>
              <w:t>PAH agents are not PBS-subsidised for patients with pulmonary hypertension secondary to interstitial lung disease associated with connective tissue disease, where the total lung capacity is less than 70% of predicted.</w:t>
            </w:r>
            <w:r w:rsidRPr="003A13C5">
              <w:rPr>
                <w:rFonts w:ascii="Arial" w:eastAsia="SimSun" w:hAnsi="Arial" w:cs="Arial"/>
                <w:sz w:val="16"/>
                <w:szCs w:val="16"/>
                <w:lang w:eastAsia="zh-CN"/>
              </w:rPr>
              <w:br/>
              <w:t>The maximum quantity authorised will be limited to provide sufficient supply for 1 month of treatment, based on the dosage recommendations in the TGA-approved Product Information.</w:t>
            </w:r>
            <w:r w:rsidRPr="003A13C5">
              <w:rPr>
                <w:rFonts w:ascii="Arial" w:eastAsia="SimSun" w:hAnsi="Arial" w:cs="Arial"/>
                <w:sz w:val="16"/>
                <w:szCs w:val="16"/>
                <w:lang w:eastAsia="zh-CN"/>
              </w:rPr>
              <w:br/>
              <w:t>A maximum of 5 repeats may be requested.</w:t>
            </w:r>
          </w:p>
        </w:tc>
        <w:tc>
          <w:tcPr>
            <w:tcW w:w="2693" w:type="dxa"/>
            <w:shd w:val="clear" w:color="auto" w:fill="auto"/>
            <w:tcMar>
              <w:top w:w="28" w:type="dxa"/>
              <w:left w:w="28" w:type="dxa"/>
              <w:right w:w="57" w:type="dxa"/>
            </w:tcMar>
          </w:tcPr>
          <w:p w14:paraId="706536DA" w14:textId="7005A636" w:rsidR="009B0184" w:rsidRPr="003A13C5" w:rsidRDefault="009B0184" w:rsidP="008F5E69">
            <w:pPr>
              <w:spacing w:before="60"/>
              <w:rPr>
                <w:rFonts w:ascii="Arial" w:eastAsia="Arial" w:hAnsi="Arial" w:cs="Arial"/>
                <w:sz w:val="16"/>
                <w:szCs w:val="16"/>
                <w:lang w:eastAsia="zh-CN"/>
              </w:rPr>
            </w:pPr>
            <w:r w:rsidRPr="003A13C5">
              <w:rPr>
                <w:rFonts w:ascii="Arial" w:eastAsia="SimSun" w:hAnsi="Arial" w:cs="Arial"/>
                <w:sz w:val="16"/>
                <w:szCs w:val="16"/>
                <w:lang w:eastAsia="zh-CN"/>
              </w:rPr>
              <w:t>Compliance with Authority Required procedures</w:t>
            </w:r>
          </w:p>
        </w:tc>
      </w:tr>
      <w:tr w:rsidR="009B0184" w:rsidRPr="003A13C5" w14:paraId="4920E7BE" w14:textId="77777777" w:rsidTr="009B0184">
        <w:tc>
          <w:tcPr>
            <w:tcW w:w="1838" w:type="dxa"/>
            <w:shd w:val="clear" w:color="auto" w:fill="auto"/>
            <w:tcMar>
              <w:top w:w="28" w:type="dxa"/>
              <w:left w:w="28" w:type="dxa"/>
            </w:tcMar>
          </w:tcPr>
          <w:p w14:paraId="36CC913E" w14:textId="77777777" w:rsidR="009B0184" w:rsidRPr="003A13C5" w:rsidRDefault="009B0184" w:rsidP="008F5E69">
            <w:pPr>
              <w:spacing w:before="60"/>
              <w:rPr>
                <w:rFonts w:ascii="Arial" w:hAnsi="Arial" w:cs="Arial"/>
                <w:sz w:val="16"/>
                <w:szCs w:val="16"/>
              </w:rPr>
            </w:pPr>
          </w:p>
        </w:tc>
        <w:tc>
          <w:tcPr>
            <w:tcW w:w="851" w:type="dxa"/>
          </w:tcPr>
          <w:p w14:paraId="05BF4652" w14:textId="4D97BF62" w:rsidR="009B0184" w:rsidRPr="003A13C5" w:rsidRDefault="009B0184" w:rsidP="008F5E69">
            <w:pPr>
              <w:spacing w:before="60"/>
              <w:rPr>
                <w:rFonts w:ascii="Arial" w:eastAsia="SimSun" w:hAnsi="Arial" w:cs="Arial"/>
                <w:sz w:val="16"/>
                <w:szCs w:val="16"/>
                <w:lang w:eastAsia="zh-CN"/>
              </w:rPr>
            </w:pPr>
            <w:r w:rsidRPr="003A13C5">
              <w:rPr>
                <w:rFonts w:ascii="Arial" w:eastAsia="SimSun" w:hAnsi="Arial" w:cs="Arial"/>
                <w:sz w:val="16"/>
                <w:szCs w:val="16"/>
                <w:lang w:eastAsia="zh-CN"/>
              </w:rPr>
              <w:t>C10234</w:t>
            </w:r>
          </w:p>
        </w:tc>
        <w:tc>
          <w:tcPr>
            <w:tcW w:w="851" w:type="dxa"/>
            <w:shd w:val="clear" w:color="auto" w:fill="auto"/>
            <w:tcMar>
              <w:top w:w="28" w:type="dxa"/>
              <w:left w:w="28" w:type="dxa"/>
            </w:tcMar>
          </w:tcPr>
          <w:p w14:paraId="60ECC4D9" w14:textId="66CB744E" w:rsidR="009B0184" w:rsidRPr="003A13C5" w:rsidRDefault="009B0184" w:rsidP="008F5E69">
            <w:pPr>
              <w:spacing w:before="60"/>
              <w:rPr>
                <w:rFonts w:ascii="Arial" w:hAnsi="Arial" w:cs="Arial"/>
                <w:sz w:val="16"/>
                <w:szCs w:val="16"/>
              </w:rPr>
            </w:pPr>
          </w:p>
        </w:tc>
        <w:tc>
          <w:tcPr>
            <w:tcW w:w="7655" w:type="dxa"/>
            <w:shd w:val="clear" w:color="auto" w:fill="auto"/>
            <w:tcMar>
              <w:top w:w="28" w:type="dxa"/>
              <w:left w:w="28" w:type="dxa"/>
            </w:tcMar>
          </w:tcPr>
          <w:p w14:paraId="5BCA8427" w14:textId="2A7C47F4" w:rsidR="009B0184" w:rsidRPr="003A13C5" w:rsidRDefault="009B0184" w:rsidP="008F5E69">
            <w:pPr>
              <w:spacing w:before="60"/>
              <w:rPr>
                <w:rFonts w:ascii="Arial" w:hAnsi="Arial" w:cs="Arial"/>
                <w:sz w:val="16"/>
                <w:szCs w:val="16"/>
              </w:rPr>
            </w:pPr>
            <w:r w:rsidRPr="003A13C5">
              <w:rPr>
                <w:rFonts w:ascii="Arial" w:eastAsia="SimSun" w:hAnsi="Arial" w:cs="Arial"/>
                <w:sz w:val="16"/>
                <w:szCs w:val="16"/>
                <w:lang w:eastAsia="zh-CN"/>
              </w:rPr>
              <w:t>Pulmonary arterial hypertension (PAH)</w:t>
            </w:r>
            <w:r w:rsidRPr="003A13C5">
              <w:rPr>
                <w:rFonts w:ascii="Arial" w:eastAsia="SimSun" w:hAnsi="Arial" w:cs="Arial"/>
                <w:sz w:val="16"/>
                <w:szCs w:val="16"/>
                <w:lang w:eastAsia="zh-CN"/>
              </w:rPr>
              <w:br/>
              <w:t>Initial 2 (change)</w:t>
            </w:r>
            <w:r w:rsidRPr="003A13C5">
              <w:rPr>
                <w:rFonts w:ascii="Arial" w:eastAsia="SimSun" w:hAnsi="Arial" w:cs="Arial"/>
                <w:sz w:val="16"/>
                <w:szCs w:val="16"/>
                <w:lang w:eastAsia="zh-CN"/>
              </w:rPr>
              <w:br/>
              <w:t>Patient must have documented WHO Functional Class II PAH, or WHO Functional Class III PAH; AND</w:t>
            </w:r>
            <w:r w:rsidRPr="003A13C5">
              <w:rPr>
                <w:rFonts w:ascii="Arial" w:eastAsia="SimSun" w:hAnsi="Arial" w:cs="Arial"/>
                <w:sz w:val="16"/>
                <w:szCs w:val="16"/>
                <w:lang w:eastAsia="zh-CN"/>
              </w:rPr>
              <w:br/>
              <w:t>Patient must have had their most recent course of PBS-subsidised treatment for this condition with a PAH agent other than this agent; AND</w:t>
            </w:r>
            <w:r w:rsidRPr="003A13C5">
              <w:rPr>
                <w:rFonts w:ascii="Arial" w:eastAsia="SimSun" w:hAnsi="Arial" w:cs="Arial"/>
                <w:sz w:val="16"/>
                <w:szCs w:val="16"/>
                <w:lang w:eastAsia="zh-CN"/>
              </w:rPr>
              <w:br/>
              <w:t>The treatment must be the sole PBS-subsidised PAH agent for this condition.</w:t>
            </w:r>
            <w:r w:rsidRPr="003A13C5">
              <w:rPr>
                <w:rFonts w:ascii="Arial" w:eastAsia="SimSun" w:hAnsi="Arial" w:cs="Arial"/>
                <w:sz w:val="16"/>
                <w:szCs w:val="16"/>
                <w:lang w:eastAsia="zh-CN"/>
              </w:rPr>
              <w:br/>
              <w:t>The term 'PAH agents' refers to bosentan monohydrate, iloprost trometamol, epoprostenol sodium, sildenafil citrate, ambrisentan, tadalafil, macitentan, and riociguat.</w:t>
            </w:r>
            <w:r w:rsidRPr="003A13C5">
              <w:rPr>
                <w:rFonts w:ascii="Arial" w:eastAsia="SimSun" w:hAnsi="Arial" w:cs="Arial"/>
                <w:sz w:val="16"/>
                <w:szCs w:val="16"/>
                <w:lang w:eastAsia="zh-CN"/>
              </w:rPr>
              <w:br/>
              <w:t>PAH agents are not PBS-subsidised for patients with pulmonary hypertension secondary to interstitial lung disease associated with connective tissue disease, where the total lung capacity is less than 70% of predicted.</w:t>
            </w:r>
            <w:r w:rsidRPr="003A13C5">
              <w:rPr>
                <w:rFonts w:ascii="Arial" w:eastAsia="SimSun" w:hAnsi="Arial" w:cs="Arial"/>
                <w:sz w:val="16"/>
                <w:szCs w:val="16"/>
                <w:lang w:eastAsia="zh-CN"/>
              </w:rPr>
              <w:br/>
              <w:t>Swapping between PAH agents: Patients can access PAH agents through the PBS according to the relevant restrictions. Once these patients are approved initial treatment (monotherapy) with 1 of these 8 drugs, they may swap between PAH agents at any time without having to re-qualify for treatment with the alternate agent. This means that patients may commence treatment with the alternate agent, subject to that agent's restriction, irrespective of the severity of their disease at the time the application to swap therapy is submitted.</w:t>
            </w:r>
            <w:r w:rsidRPr="003A13C5">
              <w:rPr>
                <w:rFonts w:ascii="Arial" w:eastAsia="SimSun" w:hAnsi="Arial" w:cs="Arial"/>
                <w:sz w:val="16"/>
                <w:szCs w:val="16"/>
                <w:lang w:eastAsia="zh-CN"/>
              </w:rPr>
              <w:br/>
              <w:t>Applications to swap between the 8 PAH agents must be made under the relevant initial treatment (monotherapy) restriction.</w:t>
            </w:r>
            <w:r w:rsidRPr="003A13C5">
              <w:rPr>
                <w:rFonts w:ascii="Arial" w:eastAsia="SimSun" w:hAnsi="Arial" w:cs="Arial"/>
                <w:sz w:val="16"/>
                <w:szCs w:val="16"/>
                <w:lang w:eastAsia="zh-CN"/>
              </w:rPr>
              <w:br/>
              <w:t>The maximum quantity authorised will be limited to provide sufficient supply for 1 month of treatment, based on the dosage recommendations in the TGA-approved Product Information.</w:t>
            </w:r>
            <w:r w:rsidRPr="003A13C5">
              <w:rPr>
                <w:rFonts w:ascii="Arial" w:eastAsia="SimSun" w:hAnsi="Arial" w:cs="Arial"/>
                <w:sz w:val="16"/>
                <w:szCs w:val="16"/>
                <w:lang w:eastAsia="zh-CN"/>
              </w:rPr>
              <w:br/>
              <w:t>A maximum of 5 repeats may be requested.</w:t>
            </w:r>
          </w:p>
        </w:tc>
        <w:tc>
          <w:tcPr>
            <w:tcW w:w="2693" w:type="dxa"/>
            <w:shd w:val="clear" w:color="auto" w:fill="auto"/>
            <w:tcMar>
              <w:top w:w="28" w:type="dxa"/>
              <w:left w:w="28" w:type="dxa"/>
              <w:right w:w="57" w:type="dxa"/>
            </w:tcMar>
          </w:tcPr>
          <w:p w14:paraId="033CA8B5" w14:textId="348EABBD" w:rsidR="009B0184" w:rsidRPr="003A13C5" w:rsidRDefault="009B0184" w:rsidP="008F5E69">
            <w:pPr>
              <w:spacing w:before="60"/>
              <w:rPr>
                <w:rFonts w:ascii="Arial" w:eastAsia="Arial" w:hAnsi="Arial" w:cs="Arial"/>
                <w:sz w:val="16"/>
                <w:szCs w:val="16"/>
                <w:lang w:eastAsia="zh-CN"/>
              </w:rPr>
            </w:pPr>
            <w:r w:rsidRPr="003A13C5">
              <w:rPr>
                <w:rFonts w:ascii="Arial" w:eastAsia="SimSun" w:hAnsi="Arial" w:cs="Arial"/>
                <w:sz w:val="16"/>
                <w:szCs w:val="16"/>
                <w:lang w:eastAsia="zh-CN"/>
              </w:rPr>
              <w:t>Compliance with Authority Required procedures</w:t>
            </w:r>
          </w:p>
        </w:tc>
      </w:tr>
      <w:tr w:rsidR="009B0184" w:rsidRPr="003A13C5" w14:paraId="57A8E0AC" w14:textId="77777777" w:rsidTr="009B0184">
        <w:tc>
          <w:tcPr>
            <w:tcW w:w="1838" w:type="dxa"/>
            <w:shd w:val="clear" w:color="auto" w:fill="auto"/>
            <w:tcMar>
              <w:top w:w="28" w:type="dxa"/>
              <w:left w:w="28" w:type="dxa"/>
            </w:tcMar>
          </w:tcPr>
          <w:p w14:paraId="69DE4E41" w14:textId="77777777" w:rsidR="009B0184" w:rsidRPr="003A13C5" w:rsidRDefault="009B0184" w:rsidP="008F5E69">
            <w:pPr>
              <w:spacing w:before="60"/>
              <w:rPr>
                <w:rFonts w:ascii="Arial" w:hAnsi="Arial" w:cs="Arial"/>
                <w:sz w:val="16"/>
                <w:szCs w:val="16"/>
              </w:rPr>
            </w:pPr>
          </w:p>
        </w:tc>
        <w:tc>
          <w:tcPr>
            <w:tcW w:w="851" w:type="dxa"/>
          </w:tcPr>
          <w:p w14:paraId="1D07E7B4" w14:textId="5195E566" w:rsidR="009B0184" w:rsidRPr="003A13C5" w:rsidRDefault="009B0184" w:rsidP="008F5E69">
            <w:pPr>
              <w:spacing w:before="60"/>
              <w:rPr>
                <w:rFonts w:ascii="Arial" w:eastAsia="SimSun" w:hAnsi="Arial" w:cs="Arial"/>
                <w:sz w:val="16"/>
                <w:szCs w:val="16"/>
                <w:lang w:eastAsia="zh-CN"/>
              </w:rPr>
            </w:pPr>
            <w:r w:rsidRPr="003A13C5">
              <w:rPr>
                <w:rFonts w:ascii="Arial" w:eastAsia="SimSun" w:hAnsi="Arial" w:cs="Arial"/>
                <w:sz w:val="16"/>
                <w:szCs w:val="16"/>
                <w:lang w:eastAsia="zh-CN"/>
              </w:rPr>
              <w:t>C10304</w:t>
            </w:r>
          </w:p>
        </w:tc>
        <w:tc>
          <w:tcPr>
            <w:tcW w:w="851" w:type="dxa"/>
            <w:shd w:val="clear" w:color="auto" w:fill="auto"/>
            <w:tcMar>
              <w:top w:w="28" w:type="dxa"/>
              <w:left w:w="28" w:type="dxa"/>
            </w:tcMar>
          </w:tcPr>
          <w:p w14:paraId="106D1518" w14:textId="2639D271" w:rsidR="009B0184" w:rsidRPr="003A13C5" w:rsidRDefault="009B0184" w:rsidP="008F5E69">
            <w:pPr>
              <w:spacing w:before="60"/>
              <w:rPr>
                <w:rFonts w:ascii="Arial" w:hAnsi="Arial" w:cs="Arial"/>
                <w:sz w:val="16"/>
                <w:szCs w:val="16"/>
              </w:rPr>
            </w:pPr>
          </w:p>
        </w:tc>
        <w:tc>
          <w:tcPr>
            <w:tcW w:w="7655" w:type="dxa"/>
            <w:shd w:val="clear" w:color="auto" w:fill="auto"/>
            <w:tcMar>
              <w:top w:w="28" w:type="dxa"/>
              <w:left w:w="28" w:type="dxa"/>
            </w:tcMar>
          </w:tcPr>
          <w:p w14:paraId="73B6711C" w14:textId="335006D9" w:rsidR="009B0184" w:rsidRPr="003A13C5" w:rsidRDefault="009B0184" w:rsidP="008F5E69">
            <w:pPr>
              <w:spacing w:before="60"/>
              <w:rPr>
                <w:rFonts w:ascii="Arial" w:hAnsi="Arial" w:cs="Arial"/>
                <w:sz w:val="16"/>
                <w:szCs w:val="16"/>
              </w:rPr>
            </w:pPr>
            <w:r w:rsidRPr="003A13C5">
              <w:rPr>
                <w:rFonts w:ascii="Arial" w:eastAsia="SimSun" w:hAnsi="Arial" w:cs="Arial"/>
                <w:sz w:val="16"/>
                <w:szCs w:val="16"/>
                <w:lang w:eastAsia="zh-CN"/>
              </w:rPr>
              <w:t>Pulmonary arterial hypertension (PAH)</w:t>
            </w:r>
            <w:r w:rsidRPr="003A13C5">
              <w:rPr>
                <w:rFonts w:ascii="Arial" w:eastAsia="SimSun" w:hAnsi="Arial" w:cs="Arial"/>
                <w:sz w:val="16"/>
                <w:szCs w:val="16"/>
                <w:lang w:eastAsia="zh-CN"/>
              </w:rPr>
              <w:br/>
              <w:t>Initial 1 (new patients)</w:t>
            </w:r>
            <w:r w:rsidRPr="003A13C5">
              <w:rPr>
                <w:rFonts w:ascii="Arial" w:eastAsia="SimSun" w:hAnsi="Arial" w:cs="Arial"/>
                <w:sz w:val="16"/>
                <w:szCs w:val="16"/>
                <w:lang w:eastAsia="zh-CN"/>
              </w:rPr>
              <w:br/>
              <w:t>Patient must not have received prior PBS-subsidised treatment with a pulmonary arterial hypertension (PAH) agent; AND</w:t>
            </w:r>
            <w:r w:rsidRPr="003A13C5">
              <w:rPr>
                <w:rFonts w:ascii="Arial" w:eastAsia="SimSun" w:hAnsi="Arial" w:cs="Arial"/>
                <w:sz w:val="16"/>
                <w:szCs w:val="16"/>
                <w:lang w:eastAsia="zh-CN"/>
              </w:rPr>
              <w:br/>
              <w:t>Patient must have been assessed by a physician with expertise in the management of PAH; AND</w:t>
            </w:r>
            <w:r w:rsidRPr="003A13C5">
              <w:rPr>
                <w:rFonts w:ascii="Arial" w:eastAsia="SimSun" w:hAnsi="Arial" w:cs="Arial"/>
                <w:sz w:val="16"/>
                <w:szCs w:val="16"/>
                <w:lang w:eastAsia="zh-CN"/>
              </w:rPr>
              <w:br/>
              <w:t>Patient must have WHO Functional Class II PAH, or WHO Functional Class III PAH; AND</w:t>
            </w:r>
            <w:r w:rsidRPr="003A13C5">
              <w:rPr>
                <w:rFonts w:ascii="Arial" w:eastAsia="SimSun" w:hAnsi="Arial" w:cs="Arial"/>
                <w:sz w:val="16"/>
                <w:szCs w:val="16"/>
                <w:lang w:eastAsia="zh-CN"/>
              </w:rPr>
              <w:br/>
              <w:t>The treatment must be the sole PBS-subsidised PAH agent for this condition.</w:t>
            </w:r>
            <w:r w:rsidRPr="003A13C5">
              <w:rPr>
                <w:rFonts w:ascii="Arial" w:eastAsia="SimSun" w:hAnsi="Arial" w:cs="Arial"/>
                <w:sz w:val="16"/>
                <w:szCs w:val="16"/>
                <w:lang w:eastAsia="zh-CN"/>
              </w:rPr>
              <w:br/>
              <w:t>The term 'PAH agents' refers to bosentan monohydrate, iloprost trometamol, epoprostenol sodium, sildenafil citrate, ambrisentan, tadalafil, macitentan, and riociguat.</w:t>
            </w:r>
            <w:r w:rsidRPr="003A13C5">
              <w:rPr>
                <w:rFonts w:ascii="Arial" w:eastAsia="SimSun" w:hAnsi="Arial" w:cs="Arial"/>
                <w:sz w:val="16"/>
                <w:szCs w:val="16"/>
                <w:lang w:eastAsia="zh-CN"/>
              </w:rPr>
              <w:br/>
            </w:r>
            <w:r w:rsidRPr="003A13C5">
              <w:rPr>
                <w:rFonts w:ascii="Arial" w:eastAsia="SimSun" w:hAnsi="Arial" w:cs="Arial"/>
                <w:sz w:val="16"/>
                <w:szCs w:val="16"/>
                <w:lang w:eastAsia="zh-CN"/>
              </w:rPr>
              <w:lastRenderedPageBreak/>
              <w:t>PAH agents are not PBS-subsidised for patients with pulmonary hypertension secondary to interstitial lung disease associated with connective tissue disease, where the total lung capacity is less than 70% of predicted.</w:t>
            </w:r>
            <w:r w:rsidRPr="003A13C5">
              <w:rPr>
                <w:rFonts w:ascii="Arial" w:eastAsia="SimSun" w:hAnsi="Arial" w:cs="Arial"/>
                <w:sz w:val="16"/>
                <w:szCs w:val="16"/>
                <w:lang w:eastAsia="zh-CN"/>
              </w:rPr>
              <w:br/>
              <w:t>PAH (WHO Group 1 pulmonary hypertension) is defined as follows:</w:t>
            </w:r>
            <w:r w:rsidRPr="003A13C5">
              <w:rPr>
                <w:rFonts w:ascii="Arial" w:eastAsia="SimSun" w:hAnsi="Arial" w:cs="Arial"/>
                <w:sz w:val="16"/>
                <w:szCs w:val="16"/>
                <w:lang w:eastAsia="zh-CN"/>
              </w:rPr>
              <w:br/>
              <w:t>(i) mean pulmonary artery pressure (mPAP) greater than or equal to 25 mmHg at rest and pulmonary artery wedge pressure (PAWP) less than or equal to 15 mmHg; or</w:t>
            </w:r>
            <w:r w:rsidRPr="003A13C5">
              <w:rPr>
                <w:rFonts w:ascii="Arial" w:eastAsia="SimSun" w:hAnsi="Arial" w:cs="Arial"/>
                <w:sz w:val="16"/>
                <w:szCs w:val="16"/>
                <w:lang w:eastAsia="zh-CN"/>
              </w:rPr>
              <w:br/>
              <w:t>(ii) where a right heart catheter (RHC) cannot be performed on clinical grounds, right ventricular systolic pressure (RVSP), assessed by echocardiography (ECHO), greater than 40 mmHg, with normal left ventricular function.</w:t>
            </w:r>
            <w:r w:rsidRPr="003A13C5">
              <w:rPr>
                <w:rFonts w:ascii="Arial" w:eastAsia="SimSun" w:hAnsi="Arial" w:cs="Arial"/>
                <w:sz w:val="16"/>
                <w:szCs w:val="16"/>
                <w:lang w:eastAsia="zh-CN"/>
              </w:rPr>
              <w:br/>
              <w:t>Applications for authorisation must be in writing and must include:</w:t>
            </w:r>
            <w:r w:rsidRPr="003A13C5">
              <w:rPr>
                <w:rFonts w:ascii="Arial" w:eastAsia="SimSun" w:hAnsi="Arial" w:cs="Arial"/>
                <w:sz w:val="16"/>
                <w:szCs w:val="16"/>
                <w:lang w:eastAsia="zh-CN"/>
              </w:rPr>
              <w:br/>
              <w:t>(1) a completed authority prescription form; and</w:t>
            </w:r>
            <w:r w:rsidRPr="003A13C5">
              <w:rPr>
                <w:rFonts w:ascii="Arial" w:eastAsia="SimSun" w:hAnsi="Arial" w:cs="Arial"/>
                <w:sz w:val="16"/>
                <w:szCs w:val="16"/>
                <w:lang w:eastAsia="zh-CN"/>
              </w:rPr>
              <w:br/>
              <w:t>(2) a completed Pulmonary Arterial Hypertension PBS Authority Application - Supporting Information form which includes results from the three tests below, where available:</w:t>
            </w:r>
            <w:r w:rsidRPr="003A13C5">
              <w:rPr>
                <w:rFonts w:ascii="Arial" w:eastAsia="SimSun" w:hAnsi="Arial" w:cs="Arial"/>
                <w:sz w:val="16"/>
                <w:szCs w:val="16"/>
                <w:lang w:eastAsia="zh-CN"/>
              </w:rPr>
              <w:br/>
              <w:t>(i) RHC composite assessment; and</w:t>
            </w:r>
            <w:r w:rsidRPr="003A13C5">
              <w:rPr>
                <w:rFonts w:ascii="Arial" w:eastAsia="SimSun" w:hAnsi="Arial" w:cs="Arial"/>
                <w:sz w:val="16"/>
                <w:szCs w:val="16"/>
                <w:lang w:eastAsia="zh-CN"/>
              </w:rPr>
              <w:br/>
              <w:t>(ii) ECHO composite assessment; and</w:t>
            </w:r>
            <w:r w:rsidRPr="003A13C5">
              <w:rPr>
                <w:rFonts w:ascii="Arial" w:eastAsia="SimSun" w:hAnsi="Arial" w:cs="Arial"/>
                <w:sz w:val="16"/>
                <w:szCs w:val="16"/>
                <w:lang w:eastAsia="zh-CN"/>
              </w:rPr>
              <w:br/>
              <w:t>(iii) 6 Minute Walk Test (6MWT).</w:t>
            </w:r>
            <w:r w:rsidRPr="003A13C5">
              <w:rPr>
                <w:rFonts w:ascii="Arial" w:eastAsia="SimSun" w:hAnsi="Arial" w:cs="Arial"/>
                <w:sz w:val="16"/>
                <w:szCs w:val="16"/>
                <w:lang w:eastAsia="zh-CN"/>
              </w:rPr>
              <w:br/>
              <w:t>Where it is not possible to perform all 3 tests on clinical grounds, the following list outlines the preferred test combination, in descending order, for the purposes of initiation of PBS-subsidised treatment:</w:t>
            </w:r>
            <w:r w:rsidRPr="003A13C5">
              <w:rPr>
                <w:rFonts w:ascii="Arial" w:eastAsia="SimSun" w:hAnsi="Arial" w:cs="Arial"/>
                <w:sz w:val="16"/>
                <w:szCs w:val="16"/>
                <w:lang w:eastAsia="zh-CN"/>
              </w:rPr>
              <w:br/>
              <w:t>(1) RHC plus ECHO composite assessments;</w:t>
            </w:r>
            <w:r w:rsidRPr="003A13C5">
              <w:rPr>
                <w:rFonts w:ascii="Arial" w:eastAsia="SimSun" w:hAnsi="Arial" w:cs="Arial"/>
                <w:sz w:val="16"/>
                <w:szCs w:val="16"/>
                <w:lang w:eastAsia="zh-CN"/>
              </w:rPr>
              <w:br/>
              <w:t>(2) RHC composite assessment plus 6MWT;</w:t>
            </w:r>
            <w:r w:rsidRPr="003A13C5">
              <w:rPr>
                <w:rFonts w:ascii="Arial" w:eastAsia="SimSun" w:hAnsi="Arial" w:cs="Arial"/>
                <w:sz w:val="16"/>
                <w:szCs w:val="16"/>
                <w:lang w:eastAsia="zh-CN"/>
              </w:rPr>
              <w:br/>
              <w:t>(3) RHC composite assessment only.</w:t>
            </w:r>
            <w:r w:rsidRPr="003A13C5">
              <w:rPr>
                <w:rFonts w:ascii="Arial" w:eastAsia="SimSun" w:hAnsi="Arial" w:cs="Arial"/>
                <w:sz w:val="16"/>
                <w:szCs w:val="16"/>
                <w:lang w:eastAsia="zh-CN"/>
              </w:rPr>
              <w:br/>
              <w:t>In circumstances where a RHC cannot be performed on clinical grounds, applications may be submitted for consideration based on the results of the following test combinations, which are listed in descending order of preference:</w:t>
            </w:r>
            <w:r w:rsidRPr="003A13C5">
              <w:rPr>
                <w:rFonts w:ascii="Arial" w:eastAsia="SimSun" w:hAnsi="Arial" w:cs="Arial"/>
                <w:sz w:val="16"/>
                <w:szCs w:val="16"/>
                <w:lang w:eastAsia="zh-CN"/>
              </w:rPr>
              <w:br/>
              <w:t>(1) ECHO composite assessment plus 6MWT;</w:t>
            </w:r>
            <w:r w:rsidRPr="003A13C5">
              <w:rPr>
                <w:rFonts w:ascii="Arial" w:eastAsia="SimSun" w:hAnsi="Arial" w:cs="Arial"/>
                <w:sz w:val="16"/>
                <w:szCs w:val="16"/>
                <w:lang w:eastAsia="zh-CN"/>
              </w:rPr>
              <w:br/>
              <w:t>(2) ECHO composite assessment only.</w:t>
            </w:r>
            <w:r w:rsidRPr="003A13C5">
              <w:rPr>
                <w:rFonts w:ascii="Arial" w:eastAsia="SimSun" w:hAnsi="Arial" w:cs="Arial"/>
                <w:sz w:val="16"/>
                <w:szCs w:val="16"/>
                <w:lang w:eastAsia="zh-CN"/>
              </w:rPr>
              <w:br/>
              <w:t>Where fewer than 3 tests are able to be performed on clinical grounds, a patient specific reason outlining why the particular test(s) could not be conducted must be provided with the authority application.</w:t>
            </w:r>
            <w:r w:rsidRPr="003A13C5">
              <w:rPr>
                <w:rFonts w:ascii="Arial" w:eastAsia="SimSun" w:hAnsi="Arial" w:cs="Arial"/>
                <w:sz w:val="16"/>
                <w:szCs w:val="16"/>
                <w:lang w:eastAsia="zh-CN"/>
              </w:rPr>
              <w:br/>
              <w:t>Where a RHC cannot be performed on clinical grounds, confirmation of the reason(s) must be provided with the authority application by a second PAH physician or cardiologist with expertise in the management of PAH.</w:t>
            </w:r>
            <w:r w:rsidRPr="003A13C5">
              <w:rPr>
                <w:rFonts w:ascii="Arial" w:eastAsia="SimSun" w:hAnsi="Arial" w:cs="Arial"/>
                <w:sz w:val="16"/>
                <w:szCs w:val="16"/>
                <w:lang w:eastAsia="zh-CN"/>
              </w:rPr>
              <w:br/>
              <w:t>The test results provided must not be more than 2 months old at the time of application.</w:t>
            </w:r>
            <w:r w:rsidRPr="003A13C5">
              <w:rPr>
                <w:rFonts w:ascii="Arial" w:eastAsia="SimSun" w:hAnsi="Arial" w:cs="Arial"/>
                <w:sz w:val="16"/>
                <w:szCs w:val="16"/>
                <w:lang w:eastAsia="zh-CN"/>
              </w:rPr>
              <w:br/>
              <w:t>The maximum quantity authorised will be limited to provide sufficient supply for 1 month of treatment, based on the dosage recommendations in the TGA-approved Product Information.</w:t>
            </w:r>
            <w:r w:rsidRPr="003A13C5">
              <w:rPr>
                <w:rFonts w:ascii="Arial" w:eastAsia="SimSun" w:hAnsi="Arial" w:cs="Arial"/>
                <w:sz w:val="16"/>
                <w:szCs w:val="16"/>
                <w:lang w:eastAsia="zh-CN"/>
              </w:rPr>
              <w:br/>
              <w:t>A maximum of 5 repeats may be requested.</w:t>
            </w:r>
          </w:p>
        </w:tc>
        <w:tc>
          <w:tcPr>
            <w:tcW w:w="2693" w:type="dxa"/>
            <w:shd w:val="clear" w:color="auto" w:fill="auto"/>
            <w:tcMar>
              <w:top w:w="28" w:type="dxa"/>
              <w:left w:w="28" w:type="dxa"/>
              <w:right w:w="57" w:type="dxa"/>
            </w:tcMar>
          </w:tcPr>
          <w:p w14:paraId="391E3A21" w14:textId="7B66F42A" w:rsidR="009B0184" w:rsidRPr="003A13C5" w:rsidRDefault="009B0184" w:rsidP="008F5E69">
            <w:pPr>
              <w:spacing w:before="60"/>
              <w:rPr>
                <w:rFonts w:ascii="Arial" w:eastAsia="Arial" w:hAnsi="Arial" w:cs="Arial"/>
                <w:sz w:val="16"/>
                <w:szCs w:val="16"/>
                <w:lang w:eastAsia="zh-CN"/>
              </w:rPr>
            </w:pPr>
            <w:r w:rsidRPr="003A13C5">
              <w:rPr>
                <w:rFonts w:ascii="Arial" w:eastAsia="SimSun" w:hAnsi="Arial" w:cs="Arial"/>
                <w:sz w:val="16"/>
                <w:szCs w:val="16"/>
                <w:lang w:eastAsia="zh-CN"/>
              </w:rPr>
              <w:lastRenderedPageBreak/>
              <w:t>Compliance with Written Authority Required procedures</w:t>
            </w:r>
          </w:p>
        </w:tc>
      </w:tr>
    </w:tbl>
    <w:p w14:paraId="077BCAE9" w14:textId="7BCD5BE9" w:rsidR="004A6516" w:rsidRPr="003A13C5" w:rsidRDefault="004A6516" w:rsidP="004A6516">
      <w:pPr>
        <w:widowControl w:val="0"/>
        <w:numPr>
          <w:ilvl w:val="0"/>
          <w:numId w:val="5"/>
        </w:numPr>
        <w:tabs>
          <w:tab w:val="clear" w:pos="794"/>
        </w:tabs>
        <w:spacing w:before="120"/>
        <w:ind w:left="567" w:hanging="567"/>
        <w:outlineLvl w:val="1"/>
        <w:rPr>
          <w:rFonts w:ascii="Arial" w:hAnsi="Arial" w:cs="Arial"/>
          <w:b/>
          <w:bCs/>
          <w:sz w:val="20"/>
        </w:rPr>
      </w:pPr>
      <w:r w:rsidRPr="003A13C5">
        <w:rPr>
          <w:rFonts w:ascii="Arial" w:hAnsi="Arial" w:cs="Arial"/>
          <w:b/>
          <w:bCs/>
          <w:sz w:val="20"/>
        </w:rPr>
        <w:t>Schedule 3, entry for Tadalafil</w:t>
      </w:r>
    </w:p>
    <w:p w14:paraId="3323F46F" w14:textId="77777777" w:rsidR="004A6516" w:rsidRPr="003A13C5" w:rsidRDefault="004A6516" w:rsidP="004A6516">
      <w:pPr>
        <w:pStyle w:val="Amendment3"/>
        <w:numPr>
          <w:ilvl w:val="0"/>
          <w:numId w:val="0"/>
        </w:numPr>
        <w:ind w:firstLine="567"/>
        <w:outlineLvl w:val="1"/>
        <w:rPr>
          <w:rFonts w:ascii="Arial" w:hAnsi="Arial" w:cs="Arial"/>
          <w:b/>
          <w:bCs/>
          <w:sz w:val="16"/>
        </w:rPr>
      </w:pPr>
      <w:r w:rsidRPr="003A13C5">
        <w:rPr>
          <w:i/>
        </w:rPr>
        <w:t>substitute:</w:t>
      </w:r>
    </w:p>
    <w:tbl>
      <w:tblPr>
        <w:tblW w:w="13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38"/>
        <w:gridCol w:w="851"/>
        <w:gridCol w:w="851"/>
        <w:gridCol w:w="7655"/>
        <w:gridCol w:w="2693"/>
      </w:tblGrid>
      <w:tr w:rsidR="009B0184" w:rsidRPr="003A13C5" w14:paraId="3F508DA5" w14:textId="77777777" w:rsidTr="009B0184">
        <w:tc>
          <w:tcPr>
            <w:tcW w:w="1838" w:type="dxa"/>
            <w:shd w:val="clear" w:color="auto" w:fill="auto"/>
            <w:tcMar>
              <w:top w:w="28" w:type="dxa"/>
              <w:left w:w="28" w:type="dxa"/>
            </w:tcMar>
          </w:tcPr>
          <w:p w14:paraId="2F4C7E56" w14:textId="56D5007E" w:rsidR="009B0184" w:rsidRPr="003A13C5" w:rsidRDefault="009B0184" w:rsidP="008F5E69">
            <w:pPr>
              <w:spacing w:before="60"/>
              <w:rPr>
                <w:rFonts w:ascii="Arial" w:eastAsia="SimSun" w:hAnsi="Arial" w:cs="Arial"/>
                <w:sz w:val="16"/>
                <w:szCs w:val="16"/>
                <w:lang w:eastAsia="zh-CN"/>
              </w:rPr>
            </w:pPr>
            <w:r w:rsidRPr="003A13C5">
              <w:rPr>
                <w:rFonts w:ascii="Arial" w:eastAsia="SimSun" w:hAnsi="Arial" w:cs="Arial"/>
                <w:sz w:val="16"/>
                <w:szCs w:val="16"/>
                <w:lang w:eastAsia="zh-CN"/>
              </w:rPr>
              <w:t>Tadalafil</w:t>
            </w:r>
          </w:p>
        </w:tc>
        <w:tc>
          <w:tcPr>
            <w:tcW w:w="851" w:type="dxa"/>
          </w:tcPr>
          <w:p w14:paraId="24976E1A" w14:textId="1A4B6F69" w:rsidR="009B0184" w:rsidRPr="003A13C5" w:rsidRDefault="009B0184" w:rsidP="008F5E69">
            <w:pPr>
              <w:spacing w:before="60"/>
              <w:rPr>
                <w:rFonts w:ascii="Arial" w:eastAsia="Arial" w:hAnsi="Arial" w:cs="Arial"/>
                <w:sz w:val="16"/>
                <w:szCs w:val="22"/>
                <w:lang w:eastAsia="zh-CN"/>
              </w:rPr>
            </w:pPr>
            <w:r w:rsidRPr="003A13C5">
              <w:rPr>
                <w:rFonts w:ascii="Arial" w:eastAsia="Arial" w:hAnsi="Arial" w:cs="Arial"/>
                <w:sz w:val="16"/>
                <w:szCs w:val="22"/>
                <w:lang w:eastAsia="zh-CN"/>
              </w:rPr>
              <w:t>C10228</w:t>
            </w:r>
          </w:p>
        </w:tc>
        <w:tc>
          <w:tcPr>
            <w:tcW w:w="851" w:type="dxa"/>
            <w:shd w:val="clear" w:color="auto" w:fill="auto"/>
            <w:tcMar>
              <w:top w:w="28" w:type="dxa"/>
              <w:left w:w="28" w:type="dxa"/>
            </w:tcMar>
          </w:tcPr>
          <w:p w14:paraId="6067B283" w14:textId="77777777" w:rsidR="009B0184" w:rsidRPr="003A13C5" w:rsidRDefault="009B0184" w:rsidP="008F5E69">
            <w:pPr>
              <w:spacing w:before="60"/>
              <w:rPr>
                <w:rFonts w:ascii="Arial" w:hAnsi="Arial" w:cs="Arial"/>
                <w:sz w:val="16"/>
                <w:szCs w:val="16"/>
              </w:rPr>
            </w:pPr>
          </w:p>
        </w:tc>
        <w:tc>
          <w:tcPr>
            <w:tcW w:w="7655" w:type="dxa"/>
            <w:shd w:val="clear" w:color="auto" w:fill="auto"/>
            <w:tcMar>
              <w:top w:w="28" w:type="dxa"/>
              <w:left w:w="28" w:type="dxa"/>
            </w:tcMar>
          </w:tcPr>
          <w:p w14:paraId="56627A3C" w14:textId="75669F9E" w:rsidR="009B0184" w:rsidRPr="003A13C5" w:rsidRDefault="009B0184" w:rsidP="008F5E69">
            <w:pPr>
              <w:spacing w:before="60"/>
              <w:rPr>
                <w:rFonts w:ascii="Arial" w:eastAsia="SimSun" w:hAnsi="Arial" w:cs="Arial"/>
                <w:sz w:val="16"/>
                <w:szCs w:val="16"/>
                <w:lang w:eastAsia="zh-CN"/>
              </w:rPr>
            </w:pPr>
            <w:r w:rsidRPr="003A13C5">
              <w:rPr>
                <w:rFonts w:ascii="Arial" w:eastAsia="SimSun" w:hAnsi="Arial" w:cs="Arial"/>
                <w:sz w:val="16"/>
                <w:szCs w:val="16"/>
                <w:lang w:eastAsia="zh-CN"/>
              </w:rPr>
              <w:t>Pulmonary arterial hypertension (PAH)</w:t>
            </w:r>
            <w:r w:rsidRPr="003A13C5">
              <w:rPr>
                <w:rFonts w:ascii="Arial" w:eastAsia="SimSun" w:hAnsi="Arial" w:cs="Arial"/>
                <w:sz w:val="16"/>
                <w:szCs w:val="16"/>
                <w:lang w:eastAsia="zh-CN"/>
              </w:rPr>
              <w:br/>
              <w:t>Continuing treatment</w:t>
            </w:r>
            <w:r w:rsidRPr="003A13C5">
              <w:rPr>
                <w:rFonts w:ascii="Arial" w:eastAsia="SimSun" w:hAnsi="Arial" w:cs="Arial"/>
                <w:sz w:val="16"/>
                <w:szCs w:val="16"/>
                <w:lang w:eastAsia="zh-CN"/>
              </w:rPr>
              <w:br/>
              <w:t>Patient must have received their most recent course of PBS-subsidised treatment with this PAH agent for this condition; AND</w:t>
            </w:r>
            <w:r w:rsidRPr="003A13C5">
              <w:rPr>
                <w:rFonts w:ascii="Arial" w:eastAsia="SimSun" w:hAnsi="Arial" w:cs="Arial"/>
                <w:sz w:val="16"/>
                <w:szCs w:val="16"/>
                <w:lang w:eastAsia="zh-CN"/>
              </w:rPr>
              <w:br/>
              <w:t>The treatment must be the sole PBS-subsidised PAH agent for this condition.</w:t>
            </w:r>
            <w:r w:rsidRPr="003A13C5">
              <w:rPr>
                <w:rFonts w:ascii="Arial" w:eastAsia="SimSun" w:hAnsi="Arial" w:cs="Arial"/>
                <w:sz w:val="16"/>
                <w:szCs w:val="16"/>
                <w:lang w:eastAsia="zh-CN"/>
              </w:rPr>
              <w:br/>
              <w:t>The term 'PAH agents' refers to bosentan monohydrate, iloprost trometamol, epoprostenol sodium, sildenafil citrate, ambrisentan, tadalafil, macitentan, and riociguat.</w:t>
            </w:r>
            <w:r w:rsidRPr="003A13C5">
              <w:rPr>
                <w:rFonts w:ascii="Arial" w:eastAsia="SimSun" w:hAnsi="Arial" w:cs="Arial"/>
                <w:sz w:val="16"/>
                <w:szCs w:val="16"/>
                <w:lang w:eastAsia="zh-CN"/>
              </w:rPr>
              <w:br/>
              <w:t xml:space="preserve">PAH agents are not PBS-subsidised for patients with pulmonary hypertension secondary to interstitial lung disease associated with connective tissue disease, where the total lung capacity is less than 70% of </w:t>
            </w:r>
            <w:r w:rsidRPr="003A13C5">
              <w:rPr>
                <w:rFonts w:ascii="Arial" w:eastAsia="SimSun" w:hAnsi="Arial" w:cs="Arial"/>
                <w:sz w:val="16"/>
                <w:szCs w:val="16"/>
                <w:lang w:eastAsia="zh-CN"/>
              </w:rPr>
              <w:lastRenderedPageBreak/>
              <w:t>predicted.</w:t>
            </w:r>
            <w:r w:rsidRPr="003A13C5">
              <w:rPr>
                <w:rFonts w:ascii="Arial" w:eastAsia="SimSun" w:hAnsi="Arial" w:cs="Arial"/>
                <w:sz w:val="16"/>
                <w:szCs w:val="16"/>
                <w:lang w:eastAsia="zh-CN"/>
              </w:rPr>
              <w:br/>
              <w:t>The maximum quantity authorised will be limited to provide sufficient supply for 1 month of treatment, based on the dosage recommendations in the TGA-approved Product Information.</w:t>
            </w:r>
            <w:r w:rsidRPr="003A13C5">
              <w:rPr>
                <w:rFonts w:ascii="Arial" w:eastAsia="SimSun" w:hAnsi="Arial" w:cs="Arial"/>
                <w:sz w:val="16"/>
                <w:szCs w:val="16"/>
                <w:lang w:eastAsia="zh-CN"/>
              </w:rPr>
              <w:br/>
              <w:t>A maximum of 5 repeats may be requested.</w:t>
            </w:r>
          </w:p>
        </w:tc>
        <w:tc>
          <w:tcPr>
            <w:tcW w:w="2693" w:type="dxa"/>
            <w:shd w:val="clear" w:color="auto" w:fill="auto"/>
            <w:tcMar>
              <w:top w:w="28" w:type="dxa"/>
              <w:left w:w="28" w:type="dxa"/>
              <w:right w:w="57" w:type="dxa"/>
            </w:tcMar>
          </w:tcPr>
          <w:p w14:paraId="1AF83687" w14:textId="10A75E89" w:rsidR="009B0184" w:rsidRPr="003A13C5" w:rsidRDefault="009B0184" w:rsidP="008F5E69">
            <w:pPr>
              <w:spacing w:before="60"/>
              <w:rPr>
                <w:rFonts w:ascii="Arial" w:eastAsia="SimSun" w:hAnsi="Arial" w:cs="Arial"/>
                <w:sz w:val="16"/>
                <w:szCs w:val="16"/>
                <w:lang w:eastAsia="zh-CN"/>
              </w:rPr>
            </w:pPr>
            <w:r w:rsidRPr="003A13C5">
              <w:rPr>
                <w:rFonts w:ascii="Arial" w:eastAsia="SimSun" w:hAnsi="Arial" w:cs="Arial"/>
                <w:sz w:val="16"/>
                <w:szCs w:val="16"/>
                <w:lang w:eastAsia="zh-CN"/>
              </w:rPr>
              <w:lastRenderedPageBreak/>
              <w:t>Compliance with Authority Required procedures</w:t>
            </w:r>
          </w:p>
        </w:tc>
      </w:tr>
      <w:tr w:rsidR="009B0184" w:rsidRPr="003A13C5" w14:paraId="15789F7E" w14:textId="77777777" w:rsidTr="009B0184">
        <w:tc>
          <w:tcPr>
            <w:tcW w:w="1838" w:type="dxa"/>
            <w:shd w:val="clear" w:color="auto" w:fill="auto"/>
            <w:tcMar>
              <w:top w:w="28" w:type="dxa"/>
              <w:left w:w="28" w:type="dxa"/>
            </w:tcMar>
          </w:tcPr>
          <w:p w14:paraId="0ABEB909" w14:textId="77777777" w:rsidR="009B0184" w:rsidRPr="003A13C5" w:rsidRDefault="009B0184" w:rsidP="008F5E69">
            <w:pPr>
              <w:spacing w:before="60"/>
              <w:rPr>
                <w:rFonts w:ascii="Arial" w:eastAsia="SimSun" w:hAnsi="Arial" w:cs="Arial"/>
                <w:sz w:val="16"/>
                <w:szCs w:val="16"/>
                <w:lang w:eastAsia="zh-CN"/>
              </w:rPr>
            </w:pPr>
          </w:p>
        </w:tc>
        <w:tc>
          <w:tcPr>
            <w:tcW w:w="851" w:type="dxa"/>
          </w:tcPr>
          <w:p w14:paraId="51CD439E" w14:textId="12429716" w:rsidR="009B0184" w:rsidRPr="003A13C5" w:rsidRDefault="009B0184" w:rsidP="008F5E69">
            <w:pPr>
              <w:spacing w:before="60"/>
              <w:rPr>
                <w:rFonts w:ascii="Arial" w:eastAsia="Arial" w:hAnsi="Arial" w:cs="Arial"/>
                <w:sz w:val="16"/>
                <w:szCs w:val="22"/>
                <w:lang w:eastAsia="zh-CN"/>
              </w:rPr>
            </w:pPr>
            <w:r w:rsidRPr="003A13C5">
              <w:rPr>
                <w:rFonts w:ascii="Arial" w:eastAsia="Arial" w:hAnsi="Arial" w:cs="Arial"/>
                <w:sz w:val="16"/>
                <w:szCs w:val="22"/>
                <w:lang w:eastAsia="zh-CN"/>
              </w:rPr>
              <w:t>C10234</w:t>
            </w:r>
          </w:p>
        </w:tc>
        <w:tc>
          <w:tcPr>
            <w:tcW w:w="851" w:type="dxa"/>
            <w:shd w:val="clear" w:color="auto" w:fill="auto"/>
            <w:tcMar>
              <w:top w:w="28" w:type="dxa"/>
              <w:left w:w="28" w:type="dxa"/>
            </w:tcMar>
          </w:tcPr>
          <w:p w14:paraId="4AA7EAD3" w14:textId="77777777" w:rsidR="009B0184" w:rsidRPr="003A13C5" w:rsidRDefault="009B0184" w:rsidP="008F5E69">
            <w:pPr>
              <w:spacing w:before="60"/>
              <w:rPr>
                <w:rFonts w:ascii="Arial" w:hAnsi="Arial" w:cs="Arial"/>
                <w:sz w:val="16"/>
                <w:szCs w:val="16"/>
              </w:rPr>
            </w:pPr>
          </w:p>
        </w:tc>
        <w:tc>
          <w:tcPr>
            <w:tcW w:w="7655" w:type="dxa"/>
            <w:shd w:val="clear" w:color="auto" w:fill="auto"/>
            <w:tcMar>
              <w:top w:w="28" w:type="dxa"/>
              <w:left w:w="28" w:type="dxa"/>
            </w:tcMar>
          </w:tcPr>
          <w:p w14:paraId="416D9166" w14:textId="69633EFD" w:rsidR="009B0184" w:rsidRPr="003A13C5" w:rsidRDefault="009B0184" w:rsidP="008F5E69">
            <w:pPr>
              <w:spacing w:before="60"/>
              <w:rPr>
                <w:rFonts w:ascii="Arial" w:eastAsia="SimSun" w:hAnsi="Arial" w:cs="Arial"/>
                <w:sz w:val="16"/>
                <w:szCs w:val="16"/>
                <w:lang w:eastAsia="zh-CN"/>
              </w:rPr>
            </w:pPr>
            <w:r w:rsidRPr="003A13C5">
              <w:rPr>
                <w:rFonts w:ascii="Arial" w:eastAsia="SimSun" w:hAnsi="Arial" w:cs="Arial"/>
                <w:sz w:val="16"/>
                <w:szCs w:val="16"/>
                <w:lang w:eastAsia="zh-CN"/>
              </w:rPr>
              <w:t>Pulmonary arterial hypertension (PAH)</w:t>
            </w:r>
            <w:r w:rsidRPr="003A13C5">
              <w:rPr>
                <w:rFonts w:ascii="Arial" w:eastAsia="SimSun" w:hAnsi="Arial" w:cs="Arial"/>
                <w:sz w:val="16"/>
                <w:szCs w:val="16"/>
                <w:lang w:eastAsia="zh-CN"/>
              </w:rPr>
              <w:br/>
              <w:t>Initial 2 (change)</w:t>
            </w:r>
            <w:r w:rsidRPr="003A13C5">
              <w:rPr>
                <w:rFonts w:ascii="Arial" w:eastAsia="SimSun" w:hAnsi="Arial" w:cs="Arial"/>
                <w:sz w:val="16"/>
                <w:szCs w:val="16"/>
                <w:lang w:eastAsia="zh-CN"/>
              </w:rPr>
              <w:br/>
              <w:t>Patient must have documented WHO Functional Class II PAH, or WHO Functional Class III PAH; AND</w:t>
            </w:r>
            <w:r w:rsidRPr="003A13C5">
              <w:rPr>
                <w:rFonts w:ascii="Arial" w:eastAsia="SimSun" w:hAnsi="Arial" w:cs="Arial"/>
                <w:sz w:val="16"/>
                <w:szCs w:val="16"/>
                <w:lang w:eastAsia="zh-CN"/>
              </w:rPr>
              <w:br/>
              <w:t>Patient must have had their most recent course of PBS-subsidised treatment for this condition with a PAH agent other than this agent; AND</w:t>
            </w:r>
            <w:r w:rsidRPr="003A13C5">
              <w:rPr>
                <w:rFonts w:ascii="Arial" w:eastAsia="SimSun" w:hAnsi="Arial" w:cs="Arial"/>
                <w:sz w:val="16"/>
                <w:szCs w:val="16"/>
                <w:lang w:eastAsia="zh-CN"/>
              </w:rPr>
              <w:br/>
              <w:t>The treatment must be the sole PBS-subsidised PAH agent for this condition.</w:t>
            </w:r>
            <w:r w:rsidRPr="003A13C5">
              <w:rPr>
                <w:rFonts w:ascii="Arial" w:eastAsia="SimSun" w:hAnsi="Arial" w:cs="Arial"/>
                <w:sz w:val="16"/>
                <w:szCs w:val="16"/>
                <w:lang w:eastAsia="zh-CN"/>
              </w:rPr>
              <w:br/>
              <w:t>The term 'PAH agents' refers to bosentan monohydrate, iloprost trometamol, epoprostenol sodium, sildenafil citrate, ambrisentan, tadalafil, macitentan, and riociguat.</w:t>
            </w:r>
            <w:r w:rsidRPr="003A13C5">
              <w:rPr>
                <w:rFonts w:ascii="Arial" w:eastAsia="SimSun" w:hAnsi="Arial" w:cs="Arial"/>
                <w:sz w:val="16"/>
                <w:szCs w:val="16"/>
                <w:lang w:eastAsia="zh-CN"/>
              </w:rPr>
              <w:br/>
              <w:t>PAH agents are not PBS-subsidised for patients with pulmonary hypertension secondary to interstitial lung disease associated with connective tissue disease, where the total lung capacity is less than 70% of predicted.</w:t>
            </w:r>
            <w:r w:rsidRPr="003A13C5">
              <w:rPr>
                <w:rFonts w:ascii="Arial" w:eastAsia="SimSun" w:hAnsi="Arial" w:cs="Arial"/>
                <w:sz w:val="16"/>
                <w:szCs w:val="16"/>
                <w:lang w:eastAsia="zh-CN"/>
              </w:rPr>
              <w:br/>
              <w:t>Swapping between PAH agents: Patients can access PAH agents through the PBS according to the relevant restrictions. Once these patients are approved initial treatment (monotherapy) with 1 of these 8 drugs, they may swap between PAH agents at any time without having to re-qualify for treatment with the alternate agent. This means that patients may commence treatment with the alternate agent, subject to that agent's restriction, irrespective of the severity of their disease at the time the application to swap therapy is submitted.</w:t>
            </w:r>
            <w:r w:rsidRPr="003A13C5">
              <w:rPr>
                <w:rFonts w:ascii="Arial" w:eastAsia="SimSun" w:hAnsi="Arial" w:cs="Arial"/>
                <w:sz w:val="16"/>
                <w:szCs w:val="16"/>
                <w:lang w:eastAsia="zh-CN"/>
              </w:rPr>
              <w:br/>
              <w:t>Applications to swap between the 8 PAH agents must be made under the relevant initial treatment (monotherapy) restriction.</w:t>
            </w:r>
            <w:r w:rsidRPr="003A13C5">
              <w:rPr>
                <w:rFonts w:ascii="Arial" w:eastAsia="SimSun" w:hAnsi="Arial" w:cs="Arial"/>
                <w:sz w:val="16"/>
                <w:szCs w:val="16"/>
                <w:lang w:eastAsia="zh-CN"/>
              </w:rPr>
              <w:br/>
              <w:t>The maximum quantity authorised will be limited to provide sufficient supply for 1 month of treatment, based on the dosage recommendations in the TGA-approved Product Information.</w:t>
            </w:r>
            <w:r w:rsidRPr="003A13C5">
              <w:rPr>
                <w:rFonts w:ascii="Arial" w:eastAsia="SimSun" w:hAnsi="Arial" w:cs="Arial"/>
                <w:sz w:val="16"/>
                <w:szCs w:val="16"/>
                <w:lang w:eastAsia="zh-CN"/>
              </w:rPr>
              <w:br/>
              <w:t>A maximum of 5 repeats may be requested.</w:t>
            </w:r>
          </w:p>
        </w:tc>
        <w:tc>
          <w:tcPr>
            <w:tcW w:w="2693" w:type="dxa"/>
            <w:shd w:val="clear" w:color="auto" w:fill="auto"/>
            <w:tcMar>
              <w:top w:w="28" w:type="dxa"/>
              <w:left w:w="28" w:type="dxa"/>
              <w:right w:w="57" w:type="dxa"/>
            </w:tcMar>
          </w:tcPr>
          <w:p w14:paraId="236FDCDC" w14:textId="682AA9C2" w:rsidR="009B0184" w:rsidRPr="003A13C5" w:rsidRDefault="009B0184" w:rsidP="008F5E69">
            <w:pPr>
              <w:spacing w:before="60"/>
              <w:rPr>
                <w:rFonts w:ascii="Arial" w:eastAsia="SimSun" w:hAnsi="Arial" w:cs="Arial"/>
                <w:sz w:val="16"/>
                <w:szCs w:val="16"/>
                <w:lang w:eastAsia="zh-CN"/>
              </w:rPr>
            </w:pPr>
            <w:r w:rsidRPr="003A13C5">
              <w:rPr>
                <w:rFonts w:ascii="Arial" w:eastAsia="SimSun" w:hAnsi="Arial" w:cs="Arial"/>
                <w:sz w:val="16"/>
                <w:szCs w:val="16"/>
                <w:lang w:eastAsia="zh-CN"/>
              </w:rPr>
              <w:t>Compliance with Authority Required procedures</w:t>
            </w:r>
          </w:p>
        </w:tc>
      </w:tr>
      <w:tr w:rsidR="009B0184" w:rsidRPr="003A13C5" w14:paraId="72982D4E" w14:textId="77777777" w:rsidTr="009B0184">
        <w:tc>
          <w:tcPr>
            <w:tcW w:w="1838" w:type="dxa"/>
            <w:shd w:val="clear" w:color="auto" w:fill="auto"/>
            <w:tcMar>
              <w:top w:w="28" w:type="dxa"/>
              <w:left w:w="28" w:type="dxa"/>
            </w:tcMar>
          </w:tcPr>
          <w:p w14:paraId="05650B1D" w14:textId="5F518E82" w:rsidR="009B0184" w:rsidRPr="003A13C5" w:rsidRDefault="009B0184" w:rsidP="008F5E69">
            <w:pPr>
              <w:spacing w:before="60"/>
              <w:rPr>
                <w:rFonts w:ascii="Arial" w:hAnsi="Arial" w:cs="Arial"/>
                <w:sz w:val="16"/>
                <w:szCs w:val="16"/>
              </w:rPr>
            </w:pPr>
          </w:p>
        </w:tc>
        <w:tc>
          <w:tcPr>
            <w:tcW w:w="851" w:type="dxa"/>
          </w:tcPr>
          <w:p w14:paraId="10680146" w14:textId="1EF72C3D" w:rsidR="009B0184" w:rsidRPr="003A13C5" w:rsidRDefault="009B0184" w:rsidP="008F5E69">
            <w:pPr>
              <w:spacing w:before="60"/>
              <w:rPr>
                <w:rFonts w:ascii="Arial" w:eastAsia="SimSun" w:hAnsi="Arial" w:cs="Arial"/>
                <w:sz w:val="16"/>
                <w:szCs w:val="16"/>
                <w:lang w:eastAsia="zh-CN"/>
              </w:rPr>
            </w:pPr>
            <w:r w:rsidRPr="003A13C5">
              <w:rPr>
                <w:rFonts w:ascii="Arial" w:eastAsia="Arial" w:hAnsi="Arial" w:cs="Arial"/>
                <w:sz w:val="16"/>
                <w:szCs w:val="22"/>
                <w:lang w:eastAsia="zh-CN"/>
              </w:rPr>
              <w:t>C10304</w:t>
            </w:r>
          </w:p>
        </w:tc>
        <w:tc>
          <w:tcPr>
            <w:tcW w:w="851" w:type="dxa"/>
            <w:shd w:val="clear" w:color="auto" w:fill="auto"/>
            <w:tcMar>
              <w:top w:w="28" w:type="dxa"/>
              <w:left w:w="28" w:type="dxa"/>
            </w:tcMar>
          </w:tcPr>
          <w:p w14:paraId="01059494" w14:textId="02DDB9BA" w:rsidR="009B0184" w:rsidRPr="003A13C5" w:rsidRDefault="009B0184" w:rsidP="008F5E69">
            <w:pPr>
              <w:spacing w:before="60"/>
              <w:rPr>
                <w:rFonts w:ascii="Arial" w:hAnsi="Arial" w:cs="Arial"/>
                <w:sz w:val="16"/>
                <w:szCs w:val="16"/>
              </w:rPr>
            </w:pPr>
          </w:p>
        </w:tc>
        <w:tc>
          <w:tcPr>
            <w:tcW w:w="7655" w:type="dxa"/>
            <w:shd w:val="clear" w:color="auto" w:fill="auto"/>
            <w:tcMar>
              <w:top w:w="28" w:type="dxa"/>
              <w:left w:w="28" w:type="dxa"/>
            </w:tcMar>
          </w:tcPr>
          <w:p w14:paraId="7B88104C" w14:textId="3720E5A7" w:rsidR="009B0184" w:rsidRPr="003A13C5" w:rsidRDefault="009B0184" w:rsidP="008F5E69">
            <w:pPr>
              <w:spacing w:before="60"/>
              <w:rPr>
                <w:rFonts w:ascii="Arial" w:hAnsi="Arial" w:cs="Arial"/>
                <w:sz w:val="16"/>
                <w:szCs w:val="16"/>
              </w:rPr>
            </w:pPr>
            <w:r w:rsidRPr="003A13C5">
              <w:rPr>
                <w:rFonts w:ascii="Arial" w:eastAsia="SimSun" w:hAnsi="Arial" w:cs="Arial"/>
                <w:sz w:val="16"/>
                <w:szCs w:val="16"/>
                <w:lang w:eastAsia="zh-CN"/>
              </w:rPr>
              <w:t>Pulmonary arterial hypertension (PAH)</w:t>
            </w:r>
            <w:r w:rsidRPr="003A13C5">
              <w:rPr>
                <w:rFonts w:ascii="Arial" w:eastAsia="SimSun" w:hAnsi="Arial" w:cs="Arial"/>
                <w:sz w:val="16"/>
                <w:szCs w:val="16"/>
                <w:lang w:eastAsia="zh-CN"/>
              </w:rPr>
              <w:br/>
              <w:t>Initial 1 (new patients)</w:t>
            </w:r>
            <w:r w:rsidRPr="003A13C5">
              <w:rPr>
                <w:rFonts w:ascii="Arial" w:eastAsia="SimSun" w:hAnsi="Arial" w:cs="Arial"/>
                <w:sz w:val="16"/>
                <w:szCs w:val="16"/>
                <w:lang w:eastAsia="zh-CN"/>
              </w:rPr>
              <w:br/>
              <w:t>Patient must not have received prior PBS-subsidised treatment with a pulmonary arterial hypertension (PAH) agent; AND</w:t>
            </w:r>
            <w:r w:rsidRPr="003A13C5">
              <w:rPr>
                <w:rFonts w:ascii="Arial" w:eastAsia="SimSun" w:hAnsi="Arial" w:cs="Arial"/>
                <w:sz w:val="16"/>
                <w:szCs w:val="16"/>
                <w:lang w:eastAsia="zh-CN"/>
              </w:rPr>
              <w:br/>
              <w:t>Patient must have been assessed by a physician with expertise in the management of PAH; AND</w:t>
            </w:r>
            <w:r w:rsidRPr="003A13C5">
              <w:rPr>
                <w:rFonts w:ascii="Arial" w:eastAsia="SimSun" w:hAnsi="Arial" w:cs="Arial"/>
                <w:sz w:val="16"/>
                <w:szCs w:val="16"/>
                <w:lang w:eastAsia="zh-CN"/>
              </w:rPr>
              <w:br/>
              <w:t>Patient must have WHO Functional Class II PAH, or WHO Functional Class III PAH; AND</w:t>
            </w:r>
            <w:r w:rsidRPr="003A13C5">
              <w:rPr>
                <w:rFonts w:ascii="Arial" w:eastAsia="SimSun" w:hAnsi="Arial" w:cs="Arial"/>
                <w:sz w:val="16"/>
                <w:szCs w:val="16"/>
                <w:lang w:eastAsia="zh-CN"/>
              </w:rPr>
              <w:br/>
              <w:t>The treatment must be the sole PBS-subsidised PAH agent for this condition.</w:t>
            </w:r>
            <w:r w:rsidRPr="003A13C5">
              <w:rPr>
                <w:rFonts w:ascii="Arial" w:eastAsia="SimSun" w:hAnsi="Arial" w:cs="Arial"/>
                <w:sz w:val="16"/>
                <w:szCs w:val="16"/>
                <w:lang w:eastAsia="zh-CN"/>
              </w:rPr>
              <w:br/>
              <w:t>The term 'PAH agents' refers to bosentan monohydrate, iloprost trometamol, epoprostenol sodium, sildenafil citrate, ambrisentan, tadalafil, macitentan, and riociguat.</w:t>
            </w:r>
            <w:r w:rsidRPr="003A13C5">
              <w:rPr>
                <w:rFonts w:ascii="Arial" w:eastAsia="SimSun" w:hAnsi="Arial" w:cs="Arial"/>
                <w:sz w:val="16"/>
                <w:szCs w:val="16"/>
                <w:lang w:eastAsia="zh-CN"/>
              </w:rPr>
              <w:br/>
              <w:t>PAH agents are not PBS-subsidised for patients with pulmonary hypertension secondary to interstitial lung disease associated with connective tissue disease, where the total lung capacity is less than 70% of predicted.</w:t>
            </w:r>
            <w:r w:rsidRPr="003A13C5">
              <w:rPr>
                <w:rFonts w:ascii="Arial" w:eastAsia="SimSun" w:hAnsi="Arial" w:cs="Arial"/>
                <w:sz w:val="16"/>
                <w:szCs w:val="16"/>
                <w:lang w:eastAsia="zh-CN"/>
              </w:rPr>
              <w:br/>
              <w:t>PAH (WHO Group 1 pulmonary hypertension) is defined as follows:</w:t>
            </w:r>
            <w:r w:rsidRPr="003A13C5">
              <w:rPr>
                <w:rFonts w:ascii="Arial" w:eastAsia="SimSun" w:hAnsi="Arial" w:cs="Arial"/>
                <w:sz w:val="16"/>
                <w:szCs w:val="16"/>
                <w:lang w:eastAsia="zh-CN"/>
              </w:rPr>
              <w:br/>
              <w:t>(i) mean pulmonary artery pressure (mPAP) greater than or equal to 25 mmHg at rest and pulmonary artery wedge pressure (PAWP) less than or equal to 15 mmHg; or</w:t>
            </w:r>
            <w:r w:rsidRPr="003A13C5">
              <w:rPr>
                <w:rFonts w:ascii="Arial" w:eastAsia="SimSun" w:hAnsi="Arial" w:cs="Arial"/>
                <w:sz w:val="16"/>
                <w:szCs w:val="16"/>
                <w:lang w:eastAsia="zh-CN"/>
              </w:rPr>
              <w:br/>
              <w:t>(ii) where a right heart catheter (RHC) cannot be performed on clinical grounds, right ventricular systolic pressure (RVSP), assessed by echocardiography (ECHO), greater than 40 mmHg, with normal left ventricular function.</w:t>
            </w:r>
            <w:r w:rsidRPr="003A13C5">
              <w:rPr>
                <w:rFonts w:ascii="Arial" w:eastAsia="SimSun" w:hAnsi="Arial" w:cs="Arial"/>
                <w:sz w:val="16"/>
                <w:szCs w:val="16"/>
                <w:lang w:eastAsia="zh-CN"/>
              </w:rPr>
              <w:br/>
              <w:t>Applications for authorisation must be in writing and must include:</w:t>
            </w:r>
            <w:r w:rsidRPr="003A13C5">
              <w:rPr>
                <w:rFonts w:ascii="Arial" w:eastAsia="SimSun" w:hAnsi="Arial" w:cs="Arial"/>
                <w:sz w:val="16"/>
                <w:szCs w:val="16"/>
                <w:lang w:eastAsia="zh-CN"/>
              </w:rPr>
              <w:br/>
              <w:t>(1) a completed authority prescription form; and</w:t>
            </w:r>
            <w:r w:rsidRPr="003A13C5">
              <w:rPr>
                <w:rFonts w:ascii="Arial" w:eastAsia="SimSun" w:hAnsi="Arial" w:cs="Arial"/>
                <w:sz w:val="16"/>
                <w:szCs w:val="16"/>
                <w:lang w:eastAsia="zh-CN"/>
              </w:rPr>
              <w:br/>
              <w:t>(2) a completed Pulmonary Arterial Hypertension PBS Authority Application - Supporting Information form which includes results from the three tests below, where available:</w:t>
            </w:r>
            <w:r w:rsidRPr="003A13C5">
              <w:rPr>
                <w:rFonts w:ascii="Arial" w:eastAsia="SimSun" w:hAnsi="Arial" w:cs="Arial"/>
                <w:sz w:val="16"/>
                <w:szCs w:val="16"/>
                <w:lang w:eastAsia="zh-CN"/>
              </w:rPr>
              <w:br/>
            </w:r>
            <w:r w:rsidRPr="003A13C5">
              <w:rPr>
                <w:rFonts w:ascii="Arial" w:eastAsia="SimSun" w:hAnsi="Arial" w:cs="Arial"/>
                <w:sz w:val="16"/>
                <w:szCs w:val="16"/>
                <w:lang w:eastAsia="zh-CN"/>
              </w:rPr>
              <w:lastRenderedPageBreak/>
              <w:t>(i) RHC composite assessment; and</w:t>
            </w:r>
            <w:r w:rsidRPr="003A13C5">
              <w:rPr>
                <w:rFonts w:ascii="Arial" w:eastAsia="SimSun" w:hAnsi="Arial" w:cs="Arial"/>
                <w:sz w:val="16"/>
                <w:szCs w:val="16"/>
                <w:lang w:eastAsia="zh-CN"/>
              </w:rPr>
              <w:br/>
              <w:t>(ii) ECHO composite assessment; and</w:t>
            </w:r>
            <w:r w:rsidRPr="003A13C5">
              <w:rPr>
                <w:rFonts w:ascii="Arial" w:eastAsia="SimSun" w:hAnsi="Arial" w:cs="Arial"/>
                <w:sz w:val="16"/>
                <w:szCs w:val="16"/>
                <w:lang w:eastAsia="zh-CN"/>
              </w:rPr>
              <w:br/>
              <w:t>(iii) 6 Minute Walk Test (6MWT).</w:t>
            </w:r>
            <w:r w:rsidRPr="003A13C5">
              <w:rPr>
                <w:rFonts w:ascii="Arial" w:eastAsia="SimSun" w:hAnsi="Arial" w:cs="Arial"/>
                <w:sz w:val="16"/>
                <w:szCs w:val="16"/>
                <w:lang w:eastAsia="zh-CN"/>
              </w:rPr>
              <w:br/>
              <w:t>Where it is not possible to perform all 3 tests on clinical grounds, the following list outlines the preferred test combination, in descending order, for the purposes of initiation of PBS-subsidised treatment:</w:t>
            </w:r>
            <w:r w:rsidRPr="003A13C5">
              <w:rPr>
                <w:rFonts w:ascii="Arial" w:eastAsia="SimSun" w:hAnsi="Arial" w:cs="Arial"/>
                <w:sz w:val="16"/>
                <w:szCs w:val="16"/>
                <w:lang w:eastAsia="zh-CN"/>
              </w:rPr>
              <w:br/>
              <w:t>(1) RHC plus ECHO composite assessments;</w:t>
            </w:r>
            <w:r w:rsidRPr="003A13C5">
              <w:rPr>
                <w:rFonts w:ascii="Arial" w:eastAsia="SimSun" w:hAnsi="Arial" w:cs="Arial"/>
                <w:sz w:val="16"/>
                <w:szCs w:val="16"/>
                <w:lang w:eastAsia="zh-CN"/>
              </w:rPr>
              <w:br/>
              <w:t>(2) RHC composite assessment plus 6MWT;</w:t>
            </w:r>
            <w:r w:rsidRPr="003A13C5">
              <w:rPr>
                <w:rFonts w:ascii="Arial" w:eastAsia="SimSun" w:hAnsi="Arial" w:cs="Arial"/>
                <w:sz w:val="16"/>
                <w:szCs w:val="16"/>
                <w:lang w:eastAsia="zh-CN"/>
              </w:rPr>
              <w:br/>
              <w:t>(3) RHC composite assessment only.</w:t>
            </w:r>
            <w:r w:rsidRPr="003A13C5">
              <w:rPr>
                <w:rFonts w:ascii="Arial" w:eastAsia="SimSun" w:hAnsi="Arial" w:cs="Arial"/>
                <w:sz w:val="16"/>
                <w:szCs w:val="16"/>
                <w:lang w:eastAsia="zh-CN"/>
              </w:rPr>
              <w:br/>
              <w:t>In circumstances where a RHC cannot be performed on clinical grounds, applications may be submitted for consideration based on the results of the following test combinations, which are listed in descending order of preference:</w:t>
            </w:r>
            <w:r w:rsidRPr="003A13C5">
              <w:rPr>
                <w:rFonts w:ascii="Arial" w:eastAsia="SimSun" w:hAnsi="Arial" w:cs="Arial"/>
                <w:sz w:val="16"/>
                <w:szCs w:val="16"/>
                <w:lang w:eastAsia="zh-CN"/>
              </w:rPr>
              <w:br/>
              <w:t>(1) ECHO composite assessment plus 6MWT;</w:t>
            </w:r>
            <w:r w:rsidRPr="003A13C5">
              <w:rPr>
                <w:rFonts w:ascii="Arial" w:eastAsia="SimSun" w:hAnsi="Arial" w:cs="Arial"/>
                <w:sz w:val="16"/>
                <w:szCs w:val="16"/>
                <w:lang w:eastAsia="zh-CN"/>
              </w:rPr>
              <w:br/>
              <w:t>(2) ECHO composite assessment only.</w:t>
            </w:r>
            <w:r w:rsidRPr="003A13C5">
              <w:rPr>
                <w:rFonts w:ascii="Arial" w:eastAsia="SimSun" w:hAnsi="Arial" w:cs="Arial"/>
                <w:sz w:val="16"/>
                <w:szCs w:val="16"/>
                <w:lang w:eastAsia="zh-CN"/>
              </w:rPr>
              <w:br/>
              <w:t>Where fewer than 3 tests are able to be performed on clinical grounds, a patient specific reason outlining why the particular test(s) could not be conducted must be provided with the authority application.</w:t>
            </w:r>
            <w:r w:rsidRPr="003A13C5">
              <w:rPr>
                <w:rFonts w:ascii="Arial" w:eastAsia="SimSun" w:hAnsi="Arial" w:cs="Arial"/>
                <w:sz w:val="16"/>
                <w:szCs w:val="16"/>
                <w:lang w:eastAsia="zh-CN"/>
              </w:rPr>
              <w:br/>
              <w:t>Where a RHC cannot be performed on clinical grounds, confirmation of the reason(s) must be provided with the authority application by a second PAH physician or cardiologist with expertise in the management of PAH.</w:t>
            </w:r>
            <w:r w:rsidRPr="003A13C5">
              <w:rPr>
                <w:rFonts w:ascii="Arial" w:eastAsia="SimSun" w:hAnsi="Arial" w:cs="Arial"/>
                <w:sz w:val="16"/>
                <w:szCs w:val="16"/>
                <w:lang w:eastAsia="zh-CN"/>
              </w:rPr>
              <w:br/>
              <w:t>The test results provided must not be more than 2 months old at the time of application.</w:t>
            </w:r>
            <w:r w:rsidRPr="003A13C5">
              <w:rPr>
                <w:rFonts w:ascii="Arial" w:eastAsia="SimSun" w:hAnsi="Arial" w:cs="Arial"/>
                <w:sz w:val="16"/>
                <w:szCs w:val="16"/>
                <w:lang w:eastAsia="zh-CN"/>
              </w:rPr>
              <w:br/>
              <w:t>The maximum quantity authorised will be limited to provide sufficient supply for 1 month of treatment, based on the dosage recommendations in the TGA-approved Product Information.</w:t>
            </w:r>
            <w:r w:rsidRPr="003A13C5">
              <w:rPr>
                <w:rFonts w:ascii="Arial" w:eastAsia="SimSun" w:hAnsi="Arial" w:cs="Arial"/>
                <w:sz w:val="16"/>
                <w:szCs w:val="16"/>
                <w:lang w:eastAsia="zh-CN"/>
              </w:rPr>
              <w:br/>
              <w:t>A maximum of 5 repeats may be requested.</w:t>
            </w:r>
          </w:p>
        </w:tc>
        <w:tc>
          <w:tcPr>
            <w:tcW w:w="2693" w:type="dxa"/>
            <w:shd w:val="clear" w:color="auto" w:fill="auto"/>
            <w:tcMar>
              <w:top w:w="28" w:type="dxa"/>
              <w:left w:w="28" w:type="dxa"/>
              <w:right w:w="57" w:type="dxa"/>
            </w:tcMar>
          </w:tcPr>
          <w:p w14:paraId="2DE62EA5" w14:textId="1F8FB551" w:rsidR="009B0184" w:rsidRPr="003A13C5" w:rsidRDefault="009B0184" w:rsidP="008F5E69">
            <w:pPr>
              <w:spacing w:before="60"/>
              <w:rPr>
                <w:rFonts w:ascii="Arial" w:eastAsia="Arial" w:hAnsi="Arial" w:cs="Arial"/>
                <w:sz w:val="16"/>
                <w:szCs w:val="16"/>
                <w:lang w:eastAsia="zh-CN"/>
              </w:rPr>
            </w:pPr>
            <w:r w:rsidRPr="003A13C5">
              <w:rPr>
                <w:rFonts w:ascii="Arial" w:eastAsia="SimSun" w:hAnsi="Arial" w:cs="Arial"/>
                <w:sz w:val="16"/>
                <w:szCs w:val="16"/>
                <w:lang w:eastAsia="zh-CN"/>
              </w:rPr>
              <w:lastRenderedPageBreak/>
              <w:t>Compliance with Written Authority Required procedures</w:t>
            </w:r>
          </w:p>
        </w:tc>
      </w:tr>
    </w:tbl>
    <w:p w14:paraId="54789F62" w14:textId="0FBCA39B" w:rsidR="009B0184" w:rsidRPr="003A13C5" w:rsidRDefault="009B0184" w:rsidP="009B0184">
      <w:pPr>
        <w:widowControl w:val="0"/>
        <w:numPr>
          <w:ilvl w:val="0"/>
          <w:numId w:val="5"/>
        </w:numPr>
        <w:tabs>
          <w:tab w:val="clear" w:pos="794"/>
        </w:tabs>
        <w:spacing w:before="120"/>
        <w:ind w:left="567" w:hanging="567"/>
        <w:outlineLvl w:val="1"/>
        <w:rPr>
          <w:rFonts w:ascii="Arial" w:hAnsi="Arial" w:cs="Arial"/>
          <w:b/>
          <w:bCs/>
          <w:sz w:val="20"/>
        </w:rPr>
      </w:pPr>
      <w:r w:rsidRPr="003A13C5">
        <w:rPr>
          <w:rFonts w:ascii="Arial" w:hAnsi="Arial" w:cs="Arial"/>
          <w:b/>
          <w:bCs/>
          <w:sz w:val="20"/>
        </w:rPr>
        <w:t>Schedule 3, entry for Tenofovir</w:t>
      </w:r>
    </w:p>
    <w:p w14:paraId="4AEA974D" w14:textId="21A53587" w:rsidR="009B0184" w:rsidRPr="003A13C5" w:rsidRDefault="009B0184" w:rsidP="009B0184">
      <w:pPr>
        <w:pStyle w:val="Amendment3"/>
        <w:numPr>
          <w:ilvl w:val="2"/>
          <w:numId w:val="5"/>
        </w:numPr>
        <w:tabs>
          <w:tab w:val="clear" w:pos="1474"/>
        </w:tabs>
        <w:ind w:left="1134"/>
        <w:outlineLvl w:val="1"/>
        <w:rPr>
          <w:i/>
          <w:iCs w:val="0"/>
        </w:rPr>
      </w:pPr>
      <w:r w:rsidRPr="003A13C5">
        <w:rPr>
          <w:i/>
          <w:iCs w:val="0"/>
        </w:rPr>
        <w:t xml:space="preserve">insert in the column headed “Purposes Code” for the circumstance code “C6980”: </w:t>
      </w:r>
      <w:r w:rsidRPr="003A13C5">
        <w:rPr>
          <w:rFonts w:ascii="Arial" w:hAnsi="Arial" w:cs="Arial"/>
          <w:b/>
          <w:iCs w:val="0"/>
        </w:rPr>
        <w:t>P6980</w:t>
      </w:r>
    </w:p>
    <w:p w14:paraId="510F5EA9" w14:textId="1777CEF4" w:rsidR="009B0184" w:rsidRPr="003A13C5" w:rsidRDefault="009B0184" w:rsidP="009B0184">
      <w:pPr>
        <w:pStyle w:val="Amendment3"/>
        <w:numPr>
          <w:ilvl w:val="2"/>
          <w:numId w:val="5"/>
        </w:numPr>
        <w:tabs>
          <w:tab w:val="clear" w:pos="1474"/>
        </w:tabs>
        <w:ind w:left="1134"/>
        <w:outlineLvl w:val="1"/>
        <w:rPr>
          <w:i/>
          <w:iCs w:val="0"/>
        </w:rPr>
      </w:pPr>
      <w:r w:rsidRPr="003A13C5">
        <w:rPr>
          <w:i/>
          <w:iCs w:val="0"/>
        </w:rPr>
        <w:t xml:space="preserve">insert in the column headed “Purposes Code” for the circumstance code “C6982”: </w:t>
      </w:r>
      <w:r w:rsidRPr="003A13C5">
        <w:rPr>
          <w:rFonts w:ascii="Arial" w:hAnsi="Arial" w:cs="Arial"/>
          <w:b/>
          <w:iCs w:val="0"/>
        </w:rPr>
        <w:t>P6982</w:t>
      </w:r>
    </w:p>
    <w:p w14:paraId="5FCB61F1" w14:textId="3EB24359" w:rsidR="009B0184" w:rsidRPr="003A13C5" w:rsidRDefault="009B0184" w:rsidP="009B0184">
      <w:pPr>
        <w:pStyle w:val="Amendment3"/>
        <w:numPr>
          <w:ilvl w:val="2"/>
          <w:numId w:val="5"/>
        </w:numPr>
        <w:tabs>
          <w:tab w:val="clear" w:pos="1474"/>
        </w:tabs>
        <w:ind w:left="1134"/>
        <w:outlineLvl w:val="1"/>
        <w:rPr>
          <w:i/>
          <w:iCs w:val="0"/>
        </w:rPr>
      </w:pPr>
      <w:r w:rsidRPr="003A13C5">
        <w:rPr>
          <w:i/>
          <w:iCs w:val="0"/>
        </w:rPr>
        <w:t xml:space="preserve">insert in the column headed “Purposes Code” for the circumstance code “C6983”: </w:t>
      </w:r>
      <w:r w:rsidRPr="003A13C5">
        <w:rPr>
          <w:rFonts w:ascii="Arial" w:hAnsi="Arial" w:cs="Arial"/>
          <w:b/>
          <w:iCs w:val="0"/>
        </w:rPr>
        <w:t>P6983</w:t>
      </w:r>
    </w:p>
    <w:p w14:paraId="5AAD4926" w14:textId="352EBC3B" w:rsidR="009B0184" w:rsidRPr="003A13C5" w:rsidRDefault="009B0184" w:rsidP="009B0184">
      <w:pPr>
        <w:pStyle w:val="Amendment3"/>
        <w:numPr>
          <w:ilvl w:val="2"/>
          <w:numId w:val="5"/>
        </w:numPr>
        <w:tabs>
          <w:tab w:val="clear" w:pos="1474"/>
        </w:tabs>
        <w:ind w:left="1134"/>
        <w:outlineLvl w:val="1"/>
        <w:rPr>
          <w:i/>
          <w:iCs w:val="0"/>
        </w:rPr>
      </w:pPr>
      <w:r w:rsidRPr="003A13C5">
        <w:rPr>
          <w:i/>
          <w:iCs w:val="0"/>
        </w:rPr>
        <w:t xml:space="preserve">insert in the column headed “Purposes Code” for the circumstance code “C6984”: </w:t>
      </w:r>
      <w:r w:rsidRPr="003A13C5">
        <w:rPr>
          <w:rFonts w:ascii="Arial" w:hAnsi="Arial" w:cs="Arial"/>
          <w:b/>
          <w:iCs w:val="0"/>
        </w:rPr>
        <w:t>P6984</w:t>
      </w:r>
    </w:p>
    <w:p w14:paraId="5EC39183" w14:textId="24E4DA73" w:rsidR="009B0184" w:rsidRPr="003A13C5" w:rsidRDefault="009B0184" w:rsidP="009B0184">
      <w:pPr>
        <w:pStyle w:val="Amendment3"/>
        <w:numPr>
          <w:ilvl w:val="2"/>
          <w:numId w:val="5"/>
        </w:numPr>
        <w:tabs>
          <w:tab w:val="clear" w:pos="1474"/>
        </w:tabs>
        <w:ind w:left="1134"/>
        <w:outlineLvl w:val="1"/>
        <w:rPr>
          <w:i/>
          <w:iCs w:val="0"/>
        </w:rPr>
      </w:pPr>
      <w:r w:rsidRPr="003A13C5">
        <w:rPr>
          <w:i/>
          <w:iCs w:val="0"/>
        </w:rPr>
        <w:t xml:space="preserve">insert in the column headed “Purposes Code” for the circumstance code “C6992”: </w:t>
      </w:r>
      <w:r w:rsidRPr="003A13C5">
        <w:rPr>
          <w:rFonts w:ascii="Arial" w:hAnsi="Arial" w:cs="Arial"/>
          <w:b/>
          <w:iCs w:val="0"/>
        </w:rPr>
        <w:t>P6992</w:t>
      </w:r>
    </w:p>
    <w:p w14:paraId="79B6A388" w14:textId="77777777" w:rsidR="009B0184" w:rsidRPr="003A13C5" w:rsidRDefault="009B0184" w:rsidP="009B0184">
      <w:pPr>
        <w:pStyle w:val="Amendment3"/>
        <w:numPr>
          <w:ilvl w:val="2"/>
          <w:numId w:val="5"/>
        </w:numPr>
        <w:tabs>
          <w:tab w:val="clear" w:pos="1474"/>
        </w:tabs>
        <w:ind w:left="1134"/>
        <w:outlineLvl w:val="1"/>
        <w:rPr>
          <w:i/>
          <w:iCs w:val="0"/>
        </w:rPr>
      </w:pPr>
      <w:r w:rsidRPr="003A13C5">
        <w:rPr>
          <w:i/>
          <w:iCs w:val="0"/>
        </w:rPr>
        <w:t xml:space="preserve">insert in the column headed “Purposes Code” for the circumstance code “C6998”: </w:t>
      </w:r>
      <w:r w:rsidRPr="003A13C5">
        <w:rPr>
          <w:rFonts w:ascii="Arial" w:hAnsi="Arial" w:cs="Arial"/>
          <w:b/>
          <w:iCs w:val="0"/>
        </w:rPr>
        <w:t>P6998</w:t>
      </w:r>
    </w:p>
    <w:p w14:paraId="28F2D4A7" w14:textId="3ED4831C" w:rsidR="009B0184" w:rsidRPr="003A13C5" w:rsidRDefault="009B0184" w:rsidP="009B0184">
      <w:pPr>
        <w:pStyle w:val="Amendment3"/>
        <w:numPr>
          <w:ilvl w:val="2"/>
          <w:numId w:val="5"/>
        </w:numPr>
        <w:tabs>
          <w:tab w:val="clear" w:pos="1474"/>
        </w:tabs>
        <w:ind w:left="1134"/>
        <w:outlineLvl w:val="1"/>
        <w:rPr>
          <w:i/>
          <w:iCs w:val="0"/>
        </w:rPr>
      </w:pPr>
      <w:r w:rsidRPr="003A13C5">
        <w:rPr>
          <w:i/>
        </w:rPr>
        <w:t>insert in numerical order after existing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38"/>
        <w:gridCol w:w="851"/>
        <w:gridCol w:w="850"/>
        <w:gridCol w:w="7655"/>
        <w:gridCol w:w="2693"/>
      </w:tblGrid>
      <w:tr w:rsidR="009B0184" w:rsidRPr="00EF422C" w14:paraId="378E288F" w14:textId="77777777" w:rsidTr="00F67D43">
        <w:tc>
          <w:tcPr>
            <w:tcW w:w="1838" w:type="dxa"/>
            <w:shd w:val="clear" w:color="auto" w:fill="auto"/>
            <w:tcMar>
              <w:top w:w="28" w:type="dxa"/>
              <w:left w:w="28" w:type="dxa"/>
            </w:tcMar>
          </w:tcPr>
          <w:p w14:paraId="06D4D1EE" w14:textId="77777777" w:rsidR="009B0184" w:rsidRPr="003A13C5" w:rsidRDefault="009B0184" w:rsidP="009B0184">
            <w:pPr>
              <w:rPr>
                <w:rFonts w:ascii="Arial" w:hAnsi="Arial" w:cs="Arial"/>
                <w:sz w:val="16"/>
                <w:szCs w:val="16"/>
              </w:rPr>
            </w:pPr>
          </w:p>
        </w:tc>
        <w:tc>
          <w:tcPr>
            <w:tcW w:w="851" w:type="dxa"/>
            <w:shd w:val="clear" w:color="auto" w:fill="auto"/>
            <w:tcMar>
              <w:top w:w="28" w:type="dxa"/>
              <w:left w:w="28" w:type="dxa"/>
            </w:tcMar>
          </w:tcPr>
          <w:p w14:paraId="2D8640F9" w14:textId="1BDD5AFC" w:rsidR="009B0184" w:rsidRPr="003A13C5" w:rsidRDefault="009B0184" w:rsidP="008F5E69">
            <w:pPr>
              <w:spacing w:before="60"/>
              <w:rPr>
                <w:rFonts w:ascii="Arial" w:hAnsi="Arial" w:cs="Arial"/>
                <w:sz w:val="16"/>
                <w:szCs w:val="16"/>
              </w:rPr>
            </w:pPr>
            <w:r w:rsidRPr="003A13C5">
              <w:rPr>
                <w:rFonts w:ascii="Arial" w:hAnsi="Arial" w:cs="Arial"/>
                <w:sz w:val="16"/>
              </w:rPr>
              <w:t>C10362</w:t>
            </w:r>
          </w:p>
        </w:tc>
        <w:tc>
          <w:tcPr>
            <w:tcW w:w="850" w:type="dxa"/>
            <w:shd w:val="clear" w:color="auto" w:fill="auto"/>
            <w:tcMar>
              <w:top w:w="28" w:type="dxa"/>
              <w:left w:w="28" w:type="dxa"/>
            </w:tcMar>
          </w:tcPr>
          <w:p w14:paraId="12775C10" w14:textId="15F842BA" w:rsidR="009B0184" w:rsidRPr="003A13C5" w:rsidRDefault="009B0184" w:rsidP="008F5E69">
            <w:pPr>
              <w:spacing w:before="60"/>
              <w:rPr>
                <w:rFonts w:ascii="Arial" w:hAnsi="Arial" w:cs="Arial"/>
                <w:sz w:val="16"/>
                <w:szCs w:val="16"/>
              </w:rPr>
            </w:pPr>
            <w:r w:rsidRPr="003A13C5">
              <w:rPr>
                <w:rFonts w:ascii="Arial" w:hAnsi="Arial" w:cs="Arial"/>
                <w:sz w:val="16"/>
              </w:rPr>
              <w:t>P10362</w:t>
            </w:r>
          </w:p>
        </w:tc>
        <w:tc>
          <w:tcPr>
            <w:tcW w:w="7655" w:type="dxa"/>
            <w:shd w:val="clear" w:color="auto" w:fill="auto"/>
            <w:tcMar>
              <w:top w:w="28" w:type="dxa"/>
              <w:left w:w="28" w:type="dxa"/>
            </w:tcMar>
          </w:tcPr>
          <w:p w14:paraId="08138FDB" w14:textId="5D4C5D87" w:rsidR="009B0184" w:rsidRPr="003A13C5" w:rsidRDefault="009B0184" w:rsidP="008F5E69">
            <w:pPr>
              <w:pStyle w:val="mps3-data"/>
            </w:pPr>
            <w:r w:rsidRPr="003A13C5">
              <w:rPr>
                <w:szCs w:val="16"/>
              </w:rPr>
              <w:t>Chronic hepatitis B infection</w:t>
            </w:r>
            <w:r w:rsidRPr="003A13C5">
              <w:rPr>
                <w:szCs w:val="16"/>
              </w:rPr>
              <w:br/>
              <w:t>Patient must be in the third trimester of pregnancy; AND</w:t>
            </w:r>
            <w:r w:rsidRPr="003A13C5">
              <w:rPr>
                <w:szCs w:val="16"/>
              </w:rPr>
              <w:br/>
              <w:t>Patient must have elevated HBV DNA levels greater than 200,000 IU/mL (1,000,000 copies/mL), in conjunction with documented hepatitis B infection.</w:t>
            </w:r>
          </w:p>
        </w:tc>
        <w:tc>
          <w:tcPr>
            <w:tcW w:w="2693" w:type="dxa"/>
            <w:shd w:val="clear" w:color="auto" w:fill="auto"/>
            <w:tcMar>
              <w:top w:w="28" w:type="dxa"/>
              <w:left w:w="28" w:type="dxa"/>
              <w:right w:w="57" w:type="dxa"/>
            </w:tcMar>
          </w:tcPr>
          <w:p w14:paraId="71828751" w14:textId="528BCBE8" w:rsidR="009B0184" w:rsidRPr="009B0184" w:rsidRDefault="009B0184" w:rsidP="008F5E69">
            <w:pPr>
              <w:spacing w:before="60"/>
              <w:rPr>
                <w:rFonts w:ascii="Arial" w:eastAsia="Arial" w:hAnsi="Arial" w:cs="Arial"/>
                <w:sz w:val="16"/>
                <w:szCs w:val="22"/>
                <w:lang w:eastAsia="zh-CN"/>
              </w:rPr>
            </w:pPr>
            <w:r w:rsidRPr="003A13C5">
              <w:rPr>
                <w:rFonts w:ascii="Arial" w:eastAsia="Arial" w:hAnsi="Arial" w:cs="Arial"/>
                <w:sz w:val="16"/>
                <w:szCs w:val="16"/>
                <w:lang w:eastAsia="zh-CN"/>
              </w:rPr>
              <w:t>Compliance with Authority Required procedures - Streamlined Authority Code 10362</w:t>
            </w:r>
          </w:p>
        </w:tc>
      </w:tr>
    </w:tbl>
    <w:p w14:paraId="58B2C1F5" w14:textId="157A8A48" w:rsidR="00D526E5" w:rsidRDefault="00D526E5" w:rsidP="009B0184">
      <w:pPr>
        <w:widowControl w:val="0"/>
        <w:spacing w:before="120"/>
        <w:outlineLvl w:val="1"/>
        <w:rPr>
          <w:rFonts w:ascii="Arial" w:hAnsi="Arial" w:cs="Arial"/>
          <w:b/>
          <w:bCs/>
          <w:sz w:val="20"/>
          <w:szCs w:val="20"/>
          <w:lang w:eastAsia="en-AU"/>
        </w:rPr>
      </w:pPr>
    </w:p>
    <w:sectPr w:rsidR="00D526E5" w:rsidSect="005845E7">
      <w:footerReference w:type="default" r:id="rId11"/>
      <w:pgSz w:w="16838" w:h="11906" w:orient="landscape" w:code="9"/>
      <w:pgMar w:top="1276" w:right="1134" w:bottom="1134" w:left="1134"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F38E2" w14:textId="77777777" w:rsidR="008F5E69" w:rsidRDefault="008F5E69">
      <w:r>
        <w:separator/>
      </w:r>
    </w:p>
  </w:endnote>
  <w:endnote w:type="continuationSeparator" w:id="0">
    <w:p w14:paraId="7E33D117" w14:textId="77777777" w:rsidR="008F5E69" w:rsidRDefault="008F5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DC7E9" w14:textId="67DAADC7" w:rsidR="008F5E69" w:rsidRDefault="008F5E69" w:rsidP="00C20712">
    <w:pPr>
      <w:pStyle w:val="Footer"/>
      <w:tabs>
        <w:tab w:val="clear" w:pos="3600"/>
        <w:tab w:val="center" w:pos="4536"/>
        <w:tab w:val="left" w:pos="7513"/>
      </w:tabs>
      <w:ind w:right="360"/>
      <w:jc w:val="left"/>
      <w:rPr>
        <w:rStyle w:val="PageNumber"/>
        <w:i w:val="0"/>
        <w:iCs w:val="0"/>
        <w:sz w:val="16"/>
        <w:szCs w:val="16"/>
        <w:lang w:eastAsia="en-US"/>
      </w:rPr>
    </w:pPr>
    <w:r w:rsidRPr="00555971">
      <w:rPr>
        <w:sz w:val="16"/>
        <w:szCs w:val="16"/>
      </w:rPr>
      <w:t xml:space="preserve">Instrument Number PB </w:t>
    </w:r>
    <w:r>
      <w:rPr>
        <w:sz w:val="16"/>
        <w:szCs w:val="16"/>
      </w:rPr>
      <w:t>37</w:t>
    </w:r>
    <w:r w:rsidRPr="00555971">
      <w:rPr>
        <w:sz w:val="16"/>
        <w:szCs w:val="16"/>
      </w:rPr>
      <w:t xml:space="preserve"> of 2020</w:t>
    </w:r>
    <w:r>
      <w:rPr>
        <w:sz w:val="16"/>
        <w:szCs w:val="16"/>
      </w:rPr>
      <w:tab/>
    </w:r>
    <w:r w:rsidRPr="00195E5B">
      <w:rPr>
        <w:rStyle w:val="PageNumber"/>
        <w:sz w:val="16"/>
        <w:szCs w:val="16"/>
      </w:rPr>
      <w:fldChar w:fldCharType="begin"/>
    </w:r>
    <w:r w:rsidRPr="00195E5B">
      <w:rPr>
        <w:rStyle w:val="PageNumber"/>
        <w:sz w:val="16"/>
        <w:szCs w:val="16"/>
      </w:rPr>
      <w:instrText xml:space="preserve"> PAGE </w:instrText>
    </w:r>
    <w:r w:rsidRPr="00195E5B">
      <w:rPr>
        <w:rStyle w:val="PageNumber"/>
        <w:sz w:val="16"/>
        <w:szCs w:val="16"/>
      </w:rPr>
      <w:fldChar w:fldCharType="separate"/>
    </w:r>
    <w:r w:rsidR="003A13C5">
      <w:rPr>
        <w:rStyle w:val="PageNumber"/>
        <w:noProof/>
        <w:sz w:val="16"/>
        <w:szCs w:val="16"/>
      </w:rPr>
      <w:t>2</w:t>
    </w:r>
    <w:r w:rsidRPr="00195E5B">
      <w:rPr>
        <w:rStyle w:val="PageNumber"/>
        <w:sz w:val="16"/>
        <w:szCs w:val="16"/>
      </w:rPr>
      <w:fldChar w:fldCharType="end"/>
    </w:r>
  </w:p>
  <w:p w14:paraId="221AEE71" w14:textId="77777777" w:rsidR="008F5E69" w:rsidRDefault="008F5E69" w:rsidP="001C4ABD">
    <w:pPr>
      <w:pStyle w:val="Footer"/>
      <w:tabs>
        <w:tab w:val="clear" w:pos="3600"/>
        <w:tab w:val="center" w:pos="4536"/>
      </w:tabs>
      <w:jc w:val="left"/>
      <w:rPr>
        <w:rStyle w:val="PageNumber"/>
        <w:sz w:val="16"/>
        <w:szCs w:val="16"/>
      </w:rPr>
    </w:pPr>
  </w:p>
  <w:p w14:paraId="7E3A32BF" w14:textId="77777777" w:rsidR="008F5E69" w:rsidRDefault="008F5E69" w:rsidP="001C4ABD">
    <w:pPr>
      <w:pStyle w:val="Footer"/>
      <w:tabs>
        <w:tab w:val="clear" w:pos="3600"/>
        <w:tab w:val="center" w:pos="4536"/>
      </w:tabs>
      <w:jc w:val="left"/>
      <w:rPr>
        <w:rStyle w:val="PageNumber"/>
        <w:sz w:val="16"/>
        <w:szCs w:val="16"/>
      </w:rPr>
    </w:pPr>
  </w:p>
  <w:p w14:paraId="19B9D774" w14:textId="77777777" w:rsidR="008F5E69" w:rsidRPr="00195E5B" w:rsidRDefault="008F5E69" w:rsidP="001C4ABD">
    <w:pPr>
      <w:pStyle w:val="Footer"/>
      <w:tabs>
        <w:tab w:val="clear" w:pos="3600"/>
        <w:tab w:val="center" w:pos="4536"/>
      </w:tabs>
      <w:jc w:val="lef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9473D" w14:textId="77777777" w:rsidR="008F5E69" w:rsidRDefault="008F5E69" w:rsidP="009D3177">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4491" w14:textId="4363AF99" w:rsidR="008F5E69" w:rsidRDefault="008F5E69" w:rsidP="009D3177">
    <w:pPr>
      <w:pStyle w:val="Footer"/>
      <w:tabs>
        <w:tab w:val="clear" w:pos="3600"/>
        <w:tab w:val="center" w:pos="6946"/>
        <w:tab w:val="left" w:pos="7513"/>
      </w:tabs>
      <w:ind w:right="360"/>
      <w:jc w:val="left"/>
      <w:rPr>
        <w:rStyle w:val="PageNumber"/>
        <w:i w:val="0"/>
        <w:iCs w:val="0"/>
        <w:sz w:val="16"/>
        <w:szCs w:val="16"/>
        <w:lang w:eastAsia="en-US"/>
      </w:rPr>
    </w:pPr>
    <w:r w:rsidRPr="00555971">
      <w:rPr>
        <w:sz w:val="16"/>
        <w:szCs w:val="16"/>
      </w:rPr>
      <w:t xml:space="preserve">Instrument Number PB </w:t>
    </w:r>
    <w:r>
      <w:rPr>
        <w:sz w:val="16"/>
        <w:szCs w:val="16"/>
      </w:rPr>
      <w:t>37</w:t>
    </w:r>
    <w:r w:rsidRPr="00555971">
      <w:rPr>
        <w:sz w:val="16"/>
        <w:szCs w:val="16"/>
      </w:rPr>
      <w:t xml:space="preserve"> of 2020</w:t>
    </w:r>
    <w:r>
      <w:rPr>
        <w:sz w:val="16"/>
        <w:szCs w:val="16"/>
      </w:rPr>
      <w:tab/>
    </w:r>
    <w:r w:rsidRPr="00195E5B">
      <w:rPr>
        <w:rStyle w:val="PageNumber"/>
        <w:sz w:val="16"/>
        <w:szCs w:val="16"/>
      </w:rPr>
      <w:fldChar w:fldCharType="begin"/>
    </w:r>
    <w:r w:rsidRPr="00195E5B">
      <w:rPr>
        <w:rStyle w:val="PageNumber"/>
        <w:sz w:val="16"/>
        <w:szCs w:val="16"/>
      </w:rPr>
      <w:instrText xml:space="preserve"> PAGE </w:instrText>
    </w:r>
    <w:r w:rsidRPr="00195E5B">
      <w:rPr>
        <w:rStyle w:val="PageNumber"/>
        <w:sz w:val="16"/>
        <w:szCs w:val="16"/>
      </w:rPr>
      <w:fldChar w:fldCharType="separate"/>
    </w:r>
    <w:r w:rsidR="003A13C5">
      <w:rPr>
        <w:rStyle w:val="PageNumber"/>
        <w:noProof/>
        <w:sz w:val="16"/>
        <w:szCs w:val="16"/>
      </w:rPr>
      <w:t>22</w:t>
    </w:r>
    <w:r w:rsidRPr="00195E5B">
      <w:rPr>
        <w:rStyle w:val="PageNumber"/>
        <w:sz w:val="16"/>
        <w:szCs w:val="16"/>
      </w:rPr>
      <w:fldChar w:fldCharType="end"/>
    </w:r>
  </w:p>
  <w:p w14:paraId="04374692" w14:textId="77777777" w:rsidR="008F5E69" w:rsidRDefault="008F5E69" w:rsidP="00CA1758">
    <w:pPr>
      <w:pStyle w:val="Footer"/>
      <w:tabs>
        <w:tab w:val="clear" w:pos="3600"/>
        <w:tab w:val="center" w:pos="4536"/>
      </w:tabs>
      <w:jc w:val="left"/>
      <w:rPr>
        <w:rStyle w:val="PageNumber"/>
        <w:sz w:val="16"/>
        <w:szCs w:val="16"/>
      </w:rPr>
    </w:pPr>
  </w:p>
  <w:p w14:paraId="579B04FC" w14:textId="77777777" w:rsidR="008F5E69" w:rsidRDefault="008F5E69" w:rsidP="00CA1758">
    <w:pPr>
      <w:pStyle w:val="Footer"/>
      <w:tabs>
        <w:tab w:val="clear" w:pos="3600"/>
        <w:tab w:val="center" w:pos="4536"/>
      </w:tabs>
      <w:jc w:val="left"/>
      <w:rPr>
        <w:rStyle w:val="PageNumber"/>
        <w:sz w:val="16"/>
        <w:szCs w:val="16"/>
      </w:rPr>
    </w:pPr>
  </w:p>
  <w:p w14:paraId="711B2F5B" w14:textId="77777777" w:rsidR="008F5E69" w:rsidRPr="00195E5B" w:rsidRDefault="008F5E69" w:rsidP="00CA1758">
    <w:pPr>
      <w:pStyle w:val="Footer"/>
      <w:tabs>
        <w:tab w:val="clear" w:pos="3600"/>
        <w:tab w:val="center" w:pos="4536"/>
      </w:tabs>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02618" w14:textId="77777777" w:rsidR="008F5E69" w:rsidRDefault="008F5E69">
      <w:r>
        <w:separator/>
      </w:r>
    </w:p>
  </w:footnote>
  <w:footnote w:type="continuationSeparator" w:id="0">
    <w:p w14:paraId="30EF3F6C" w14:textId="77777777" w:rsidR="008F5E69" w:rsidRDefault="008F5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7BA"/>
    <w:multiLevelType w:val="hybridMultilevel"/>
    <w:tmpl w:val="DADCCA2E"/>
    <w:lvl w:ilvl="0" w:tplc="0E92580E">
      <w:start w:val="1"/>
      <w:numFmt w:val="lowerLetter"/>
      <w:lvlText w:val="(%1)"/>
      <w:lvlJc w:val="left"/>
      <w:pPr>
        <w:ind w:left="1982" w:hanging="360"/>
      </w:pPr>
      <w:rPr>
        <w:rFonts w:ascii="Times New Roman" w:hAnsi="Times New Roman" w:cs="Times New Roman" w:hint="default"/>
        <w:b w:val="0"/>
        <w:i w:val="0"/>
        <w:sz w:val="20"/>
      </w:rPr>
    </w:lvl>
    <w:lvl w:ilvl="1" w:tplc="0C090019" w:tentative="1">
      <w:start w:val="1"/>
      <w:numFmt w:val="lowerLetter"/>
      <w:lvlText w:val="%2."/>
      <w:lvlJc w:val="left"/>
      <w:pPr>
        <w:ind w:left="2702" w:hanging="360"/>
      </w:pPr>
    </w:lvl>
    <w:lvl w:ilvl="2" w:tplc="0C09001B" w:tentative="1">
      <w:start w:val="1"/>
      <w:numFmt w:val="lowerRoman"/>
      <w:lvlText w:val="%3."/>
      <w:lvlJc w:val="right"/>
      <w:pPr>
        <w:ind w:left="3422" w:hanging="180"/>
      </w:pPr>
    </w:lvl>
    <w:lvl w:ilvl="3" w:tplc="0C09000F" w:tentative="1">
      <w:start w:val="1"/>
      <w:numFmt w:val="decimal"/>
      <w:lvlText w:val="%4."/>
      <w:lvlJc w:val="left"/>
      <w:pPr>
        <w:ind w:left="4142" w:hanging="360"/>
      </w:pPr>
    </w:lvl>
    <w:lvl w:ilvl="4" w:tplc="9C6A364E">
      <w:start w:val="1"/>
      <w:numFmt w:val="lowerLetter"/>
      <w:lvlText w:val="(%5)"/>
      <w:lvlJc w:val="left"/>
      <w:pPr>
        <w:ind w:left="4862" w:hanging="360"/>
      </w:pPr>
      <w:rPr>
        <w:rFonts w:ascii="Times New Roman" w:hAnsi="Times New Roman" w:cs="Times New Roman" w:hint="default"/>
        <w:b w:val="0"/>
        <w:i w:val="0"/>
        <w:sz w:val="20"/>
      </w:rPr>
    </w:lvl>
    <w:lvl w:ilvl="5" w:tplc="0C09001B" w:tentative="1">
      <w:start w:val="1"/>
      <w:numFmt w:val="lowerRoman"/>
      <w:lvlText w:val="%6."/>
      <w:lvlJc w:val="right"/>
      <w:pPr>
        <w:ind w:left="5582" w:hanging="180"/>
      </w:pPr>
    </w:lvl>
    <w:lvl w:ilvl="6" w:tplc="0C09000F" w:tentative="1">
      <w:start w:val="1"/>
      <w:numFmt w:val="decimal"/>
      <w:lvlText w:val="%7."/>
      <w:lvlJc w:val="left"/>
      <w:pPr>
        <w:ind w:left="6302" w:hanging="360"/>
      </w:pPr>
    </w:lvl>
    <w:lvl w:ilvl="7" w:tplc="0C090019" w:tentative="1">
      <w:start w:val="1"/>
      <w:numFmt w:val="lowerLetter"/>
      <w:lvlText w:val="%8."/>
      <w:lvlJc w:val="left"/>
      <w:pPr>
        <w:ind w:left="7022" w:hanging="360"/>
      </w:pPr>
    </w:lvl>
    <w:lvl w:ilvl="8" w:tplc="0C09001B" w:tentative="1">
      <w:start w:val="1"/>
      <w:numFmt w:val="lowerRoman"/>
      <w:lvlText w:val="%9."/>
      <w:lvlJc w:val="right"/>
      <w:pPr>
        <w:ind w:left="7742" w:hanging="180"/>
      </w:pPr>
    </w:lvl>
  </w:abstractNum>
  <w:abstractNum w:abstractNumId="1" w15:restartNumberingAfterBreak="0">
    <w:nsid w:val="030E607C"/>
    <w:multiLevelType w:val="hybridMultilevel"/>
    <w:tmpl w:val="013222C0"/>
    <w:lvl w:ilvl="0" w:tplc="1480E9CE">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 w15:restartNumberingAfterBreak="0">
    <w:nsid w:val="033361BE"/>
    <w:multiLevelType w:val="hybridMultilevel"/>
    <w:tmpl w:val="F91674B6"/>
    <w:lvl w:ilvl="0" w:tplc="62523AB6">
      <w:start w:val="1"/>
      <w:numFmt w:val="lowerRoman"/>
      <w:lvlText w:val="(%1)"/>
      <w:lvlJc w:val="right"/>
      <w:pPr>
        <w:ind w:left="1800" w:hanging="360"/>
      </w:pPr>
      <w:rPr>
        <w:rFonts w:ascii="Times New Roman" w:hAnsi="Times New Roman" w:hint="default"/>
        <w:b w:val="0"/>
        <w:i w:val="0"/>
        <w:sz w:val="20"/>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05135A38"/>
    <w:multiLevelType w:val="hybridMultilevel"/>
    <w:tmpl w:val="F422636C"/>
    <w:lvl w:ilvl="0" w:tplc="0E92580E">
      <w:start w:val="1"/>
      <w:numFmt w:val="lowerLetter"/>
      <w:lvlText w:val="(%1)"/>
      <w:lvlJc w:val="left"/>
      <w:pPr>
        <w:ind w:left="1080" w:hanging="360"/>
      </w:pPr>
      <w:rPr>
        <w:rFonts w:ascii="Times New Roman" w:hAnsi="Times New Roman" w:cs="Times New Roman" w:hint="default"/>
        <w:b w:val="0"/>
        <w:i w:val="0"/>
        <w:sz w:val="20"/>
      </w:rPr>
    </w:lvl>
    <w:lvl w:ilvl="1" w:tplc="924E50DA">
      <w:start w:val="1"/>
      <w:numFmt w:val="lowerRoman"/>
      <w:lvlText w:val="(%2)"/>
      <w:lvlJc w:val="left"/>
      <w:pPr>
        <w:ind w:left="2160" w:hanging="720"/>
      </w:pPr>
      <w:rPr>
        <w:rFonts w:hint="default"/>
        <w:sz w:val="2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5AA7CB8"/>
    <w:multiLevelType w:val="hybridMultilevel"/>
    <w:tmpl w:val="001C97BC"/>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8012C3E"/>
    <w:multiLevelType w:val="hybridMultilevel"/>
    <w:tmpl w:val="E8769896"/>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A0628D2"/>
    <w:multiLevelType w:val="hybridMultilevel"/>
    <w:tmpl w:val="78A4ACD6"/>
    <w:lvl w:ilvl="0" w:tplc="62523AB6">
      <w:start w:val="1"/>
      <w:numFmt w:val="lowerRoman"/>
      <w:lvlText w:val="(%1)"/>
      <w:lvlJc w:val="right"/>
      <w:pPr>
        <w:ind w:left="1800" w:hanging="360"/>
      </w:pPr>
      <w:rPr>
        <w:rFonts w:ascii="Times New Roman" w:hAnsi="Times New Roman" w:hint="default"/>
        <w:b w:val="0"/>
        <w:i w:val="0"/>
        <w:sz w:val="20"/>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0A0D356D"/>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 w15:restartNumberingAfterBreak="0">
    <w:nsid w:val="0A982006"/>
    <w:multiLevelType w:val="hybridMultilevel"/>
    <w:tmpl w:val="888CD95C"/>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1825587"/>
    <w:multiLevelType w:val="hybridMultilevel"/>
    <w:tmpl w:val="A9825D8A"/>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1B1768C"/>
    <w:multiLevelType w:val="multilevel"/>
    <w:tmpl w:val="7E38B92E"/>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C33891"/>
    <w:multiLevelType w:val="hybridMultilevel"/>
    <w:tmpl w:val="7DE68332"/>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D1B556F"/>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24C43D36"/>
    <w:multiLevelType w:val="hybridMultilevel"/>
    <w:tmpl w:val="1E5C2728"/>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9362C62"/>
    <w:multiLevelType w:val="hybridMultilevel"/>
    <w:tmpl w:val="D7C64880"/>
    <w:lvl w:ilvl="0" w:tplc="62523AB6">
      <w:start w:val="1"/>
      <w:numFmt w:val="lowerRoman"/>
      <w:lvlText w:val="(%1)"/>
      <w:lvlJc w:val="right"/>
      <w:pPr>
        <w:ind w:left="2422" w:hanging="360"/>
      </w:pPr>
      <w:rPr>
        <w:rFonts w:ascii="Times New Roman" w:hAnsi="Times New Roman" w:hint="default"/>
        <w:b w:val="0"/>
        <w:i w:val="0"/>
        <w:sz w:val="20"/>
      </w:rPr>
    </w:lvl>
    <w:lvl w:ilvl="1" w:tplc="62523AB6">
      <w:start w:val="1"/>
      <w:numFmt w:val="lowerRoman"/>
      <w:lvlText w:val="(%2)"/>
      <w:lvlJc w:val="right"/>
      <w:pPr>
        <w:ind w:left="3142" w:hanging="360"/>
      </w:pPr>
      <w:rPr>
        <w:rFonts w:ascii="Times New Roman" w:hAnsi="Times New Roman" w:hint="default"/>
        <w:b w:val="0"/>
        <w:i w:val="0"/>
        <w:sz w:val="20"/>
      </w:rPr>
    </w:lvl>
    <w:lvl w:ilvl="2" w:tplc="0C09001B">
      <w:start w:val="1"/>
      <w:numFmt w:val="lowerRoman"/>
      <w:lvlText w:val="%3."/>
      <w:lvlJc w:val="right"/>
      <w:pPr>
        <w:ind w:left="3862" w:hanging="180"/>
      </w:pPr>
    </w:lvl>
    <w:lvl w:ilvl="3" w:tplc="0C09000F" w:tentative="1">
      <w:start w:val="1"/>
      <w:numFmt w:val="decimal"/>
      <w:lvlText w:val="%4."/>
      <w:lvlJc w:val="left"/>
      <w:pPr>
        <w:ind w:left="4582" w:hanging="360"/>
      </w:pPr>
    </w:lvl>
    <w:lvl w:ilvl="4" w:tplc="0C090019" w:tentative="1">
      <w:start w:val="1"/>
      <w:numFmt w:val="lowerLetter"/>
      <w:lvlText w:val="%5."/>
      <w:lvlJc w:val="left"/>
      <w:pPr>
        <w:ind w:left="5302" w:hanging="360"/>
      </w:pPr>
    </w:lvl>
    <w:lvl w:ilvl="5" w:tplc="0C09001B" w:tentative="1">
      <w:start w:val="1"/>
      <w:numFmt w:val="lowerRoman"/>
      <w:lvlText w:val="%6."/>
      <w:lvlJc w:val="right"/>
      <w:pPr>
        <w:ind w:left="6022" w:hanging="180"/>
      </w:pPr>
    </w:lvl>
    <w:lvl w:ilvl="6" w:tplc="0C09000F" w:tentative="1">
      <w:start w:val="1"/>
      <w:numFmt w:val="decimal"/>
      <w:lvlText w:val="%7."/>
      <w:lvlJc w:val="left"/>
      <w:pPr>
        <w:ind w:left="6742" w:hanging="360"/>
      </w:pPr>
    </w:lvl>
    <w:lvl w:ilvl="7" w:tplc="0C090019" w:tentative="1">
      <w:start w:val="1"/>
      <w:numFmt w:val="lowerLetter"/>
      <w:lvlText w:val="%8."/>
      <w:lvlJc w:val="left"/>
      <w:pPr>
        <w:ind w:left="7462" w:hanging="360"/>
      </w:pPr>
    </w:lvl>
    <w:lvl w:ilvl="8" w:tplc="0C09001B" w:tentative="1">
      <w:start w:val="1"/>
      <w:numFmt w:val="lowerRoman"/>
      <w:lvlText w:val="%9."/>
      <w:lvlJc w:val="right"/>
      <w:pPr>
        <w:ind w:left="8182" w:hanging="180"/>
      </w:pPr>
    </w:lvl>
  </w:abstractNum>
  <w:abstractNum w:abstractNumId="16" w15:restartNumberingAfterBreak="0">
    <w:nsid w:val="2C8F2474"/>
    <w:multiLevelType w:val="hybridMultilevel"/>
    <w:tmpl w:val="3B58FCD2"/>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CF15E7D"/>
    <w:multiLevelType w:val="hybridMultilevel"/>
    <w:tmpl w:val="65B8DF04"/>
    <w:lvl w:ilvl="0" w:tplc="0E92580E">
      <w:start w:val="1"/>
      <w:numFmt w:val="lowerLetter"/>
      <w:lvlText w:val="(%1)"/>
      <w:lvlJc w:val="left"/>
      <w:pPr>
        <w:ind w:left="720" w:hanging="360"/>
      </w:pPr>
      <w:rPr>
        <w:rFonts w:ascii="Times New Roman" w:hAnsi="Times New Roman" w:cs="Times New Roman"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C11C1E"/>
    <w:multiLevelType w:val="hybridMultilevel"/>
    <w:tmpl w:val="47DA0084"/>
    <w:lvl w:ilvl="0" w:tplc="0EDECAAC">
      <w:start w:val="1"/>
      <w:numFmt w:val="lowerLetter"/>
      <w:lvlText w:val="(%1)"/>
      <w:lvlJc w:val="left"/>
      <w:pPr>
        <w:ind w:left="720" w:hanging="360"/>
      </w:pPr>
      <w:rPr>
        <w:rFonts w:ascii="Times New Roman" w:hAnsi="Times New Roman" w:cs="Times New Roman" w:hint="default"/>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15721D1"/>
    <w:multiLevelType w:val="hybridMultilevel"/>
    <w:tmpl w:val="5C9AFD96"/>
    <w:lvl w:ilvl="0" w:tplc="0E92580E">
      <w:start w:val="1"/>
      <w:numFmt w:val="lowerLetter"/>
      <w:lvlText w:val="(%1)"/>
      <w:lvlJc w:val="left"/>
      <w:pPr>
        <w:ind w:left="1982" w:hanging="360"/>
      </w:pPr>
      <w:rPr>
        <w:rFonts w:ascii="Times New Roman" w:hAnsi="Times New Roman" w:cs="Times New Roman" w:hint="default"/>
        <w:b w:val="0"/>
        <w:i w:val="0"/>
        <w:sz w:val="20"/>
      </w:rPr>
    </w:lvl>
    <w:lvl w:ilvl="1" w:tplc="0C090019" w:tentative="1">
      <w:start w:val="1"/>
      <w:numFmt w:val="lowerLetter"/>
      <w:lvlText w:val="%2."/>
      <w:lvlJc w:val="left"/>
      <w:pPr>
        <w:ind w:left="2702" w:hanging="360"/>
      </w:pPr>
    </w:lvl>
    <w:lvl w:ilvl="2" w:tplc="0C09001B" w:tentative="1">
      <w:start w:val="1"/>
      <w:numFmt w:val="lowerRoman"/>
      <w:lvlText w:val="%3."/>
      <w:lvlJc w:val="right"/>
      <w:pPr>
        <w:ind w:left="3422" w:hanging="180"/>
      </w:pPr>
    </w:lvl>
    <w:lvl w:ilvl="3" w:tplc="0C09000F" w:tentative="1">
      <w:start w:val="1"/>
      <w:numFmt w:val="decimal"/>
      <w:lvlText w:val="%4."/>
      <w:lvlJc w:val="left"/>
      <w:pPr>
        <w:ind w:left="4142" w:hanging="360"/>
      </w:pPr>
    </w:lvl>
    <w:lvl w:ilvl="4" w:tplc="0E92580E">
      <w:start w:val="1"/>
      <w:numFmt w:val="lowerLetter"/>
      <w:lvlText w:val="(%5)"/>
      <w:lvlJc w:val="left"/>
      <w:pPr>
        <w:ind w:left="4862" w:hanging="360"/>
      </w:pPr>
      <w:rPr>
        <w:rFonts w:ascii="Times New Roman" w:hAnsi="Times New Roman" w:cs="Times New Roman" w:hint="default"/>
        <w:b w:val="0"/>
        <w:i w:val="0"/>
        <w:sz w:val="20"/>
      </w:rPr>
    </w:lvl>
    <w:lvl w:ilvl="5" w:tplc="0C09001B" w:tentative="1">
      <w:start w:val="1"/>
      <w:numFmt w:val="lowerRoman"/>
      <w:lvlText w:val="%6."/>
      <w:lvlJc w:val="right"/>
      <w:pPr>
        <w:ind w:left="5582" w:hanging="180"/>
      </w:pPr>
    </w:lvl>
    <w:lvl w:ilvl="6" w:tplc="0C09000F" w:tentative="1">
      <w:start w:val="1"/>
      <w:numFmt w:val="decimal"/>
      <w:lvlText w:val="%7."/>
      <w:lvlJc w:val="left"/>
      <w:pPr>
        <w:ind w:left="6302" w:hanging="360"/>
      </w:pPr>
    </w:lvl>
    <w:lvl w:ilvl="7" w:tplc="0C090019" w:tentative="1">
      <w:start w:val="1"/>
      <w:numFmt w:val="lowerLetter"/>
      <w:lvlText w:val="%8."/>
      <w:lvlJc w:val="left"/>
      <w:pPr>
        <w:ind w:left="7022" w:hanging="360"/>
      </w:pPr>
    </w:lvl>
    <w:lvl w:ilvl="8" w:tplc="0C09001B" w:tentative="1">
      <w:start w:val="1"/>
      <w:numFmt w:val="lowerRoman"/>
      <w:lvlText w:val="%9."/>
      <w:lvlJc w:val="right"/>
      <w:pPr>
        <w:ind w:left="7742" w:hanging="180"/>
      </w:pPr>
    </w:lvl>
  </w:abstractNum>
  <w:abstractNum w:abstractNumId="20" w15:restartNumberingAfterBreak="0">
    <w:nsid w:val="31E14AF8"/>
    <w:multiLevelType w:val="hybridMultilevel"/>
    <w:tmpl w:val="A5B6E96A"/>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2C97E44"/>
    <w:multiLevelType w:val="hybridMultilevel"/>
    <w:tmpl w:val="A8764128"/>
    <w:lvl w:ilvl="0" w:tplc="4BC6636A">
      <w:start w:val="1"/>
      <w:numFmt w:val="decimal"/>
      <w:lvlText w:val="(%1)"/>
      <w:lvlJc w:val="left"/>
      <w:pPr>
        <w:ind w:left="579" w:hanging="360"/>
      </w:pPr>
      <w:rPr>
        <w:rFonts w:hint="default"/>
        <w:sz w:val="22"/>
        <w:szCs w:val="22"/>
      </w:rPr>
    </w:lvl>
    <w:lvl w:ilvl="1" w:tplc="0C090019" w:tentative="1">
      <w:start w:val="1"/>
      <w:numFmt w:val="lowerLetter"/>
      <w:lvlText w:val="%2."/>
      <w:lvlJc w:val="left"/>
      <w:pPr>
        <w:ind w:left="1299" w:hanging="360"/>
      </w:pPr>
    </w:lvl>
    <w:lvl w:ilvl="2" w:tplc="0C09001B" w:tentative="1">
      <w:start w:val="1"/>
      <w:numFmt w:val="lowerRoman"/>
      <w:lvlText w:val="%3."/>
      <w:lvlJc w:val="right"/>
      <w:pPr>
        <w:ind w:left="2019" w:hanging="180"/>
      </w:pPr>
    </w:lvl>
    <w:lvl w:ilvl="3" w:tplc="0C09000F" w:tentative="1">
      <w:start w:val="1"/>
      <w:numFmt w:val="decimal"/>
      <w:lvlText w:val="%4."/>
      <w:lvlJc w:val="left"/>
      <w:pPr>
        <w:ind w:left="2739" w:hanging="360"/>
      </w:pPr>
    </w:lvl>
    <w:lvl w:ilvl="4" w:tplc="0C090019" w:tentative="1">
      <w:start w:val="1"/>
      <w:numFmt w:val="lowerLetter"/>
      <w:lvlText w:val="%5."/>
      <w:lvlJc w:val="left"/>
      <w:pPr>
        <w:ind w:left="3459" w:hanging="360"/>
      </w:pPr>
    </w:lvl>
    <w:lvl w:ilvl="5" w:tplc="0C09001B" w:tentative="1">
      <w:start w:val="1"/>
      <w:numFmt w:val="lowerRoman"/>
      <w:lvlText w:val="%6."/>
      <w:lvlJc w:val="right"/>
      <w:pPr>
        <w:ind w:left="4179" w:hanging="180"/>
      </w:pPr>
    </w:lvl>
    <w:lvl w:ilvl="6" w:tplc="0C09000F" w:tentative="1">
      <w:start w:val="1"/>
      <w:numFmt w:val="decimal"/>
      <w:lvlText w:val="%7."/>
      <w:lvlJc w:val="left"/>
      <w:pPr>
        <w:ind w:left="4899" w:hanging="360"/>
      </w:pPr>
    </w:lvl>
    <w:lvl w:ilvl="7" w:tplc="0C090019" w:tentative="1">
      <w:start w:val="1"/>
      <w:numFmt w:val="lowerLetter"/>
      <w:lvlText w:val="%8."/>
      <w:lvlJc w:val="left"/>
      <w:pPr>
        <w:ind w:left="5619" w:hanging="360"/>
      </w:pPr>
    </w:lvl>
    <w:lvl w:ilvl="8" w:tplc="0C09001B" w:tentative="1">
      <w:start w:val="1"/>
      <w:numFmt w:val="lowerRoman"/>
      <w:lvlText w:val="%9."/>
      <w:lvlJc w:val="right"/>
      <w:pPr>
        <w:ind w:left="6339" w:hanging="180"/>
      </w:pPr>
    </w:lvl>
  </w:abstractNum>
  <w:abstractNum w:abstractNumId="22" w15:restartNumberingAfterBreak="0">
    <w:nsid w:val="33AE4B62"/>
    <w:multiLevelType w:val="hybridMultilevel"/>
    <w:tmpl w:val="FAF8BC1C"/>
    <w:lvl w:ilvl="0" w:tplc="0E92580E">
      <w:start w:val="1"/>
      <w:numFmt w:val="lowerLetter"/>
      <w:lvlText w:val="(%1)"/>
      <w:lvlJc w:val="left"/>
      <w:pPr>
        <w:ind w:left="1080" w:hanging="360"/>
      </w:pPr>
      <w:rPr>
        <w:rFonts w:ascii="Times New Roman" w:hAnsi="Times New Roman" w:cs="Times New Roman" w:hint="default"/>
        <w:b w:val="0"/>
        <w:i w:val="0"/>
        <w:sz w:val="20"/>
      </w:rPr>
    </w:lvl>
    <w:lvl w:ilvl="1" w:tplc="01F2E042">
      <w:start w:val="1"/>
      <w:numFmt w:val="lowerRoman"/>
      <w:lvlText w:val="(%2)"/>
      <w:lvlJc w:val="left"/>
      <w:pPr>
        <w:ind w:left="2160" w:hanging="720"/>
      </w:pPr>
      <w:rPr>
        <w:rFonts w:hint="default"/>
        <w:sz w:val="2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72A0E65"/>
    <w:multiLevelType w:val="hybridMultilevel"/>
    <w:tmpl w:val="C914B0D2"/>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37404602"/>
    <w:multiLevelType w:val="hybridMultilevel"/>
    <w:tmpl w:val="5FF0DD2E"/>
    <w:lvl w:ilvl="0" w:tplc="0E92580E">
      <w:start w:val="1"/>
      <w:numFmt w:val="lowerLetter"/>
      <w:lvlText w:val="(%1)"/>
      <w:lvlJc w:val="left"/>
      <w:pPr>
        <w:ind w:left="1982" w:hanging="360"/>
      </w:pPr>
      <w:rPr>
        <w:rFonts w:ascii="Times New Roman" w:hAnsi="Times New Roman" w:cs="Times New Roman" w:hint="default"/>
        <w:b w:val="0"/>
        <w:i w:val="0"/>
        <w:sz w:val="20"/>
      </w:rPr>
    </w:lvl>
    <w:lvl w:ilvl="1" w:tplc="0E92580E">
      <w:start w:val="1"/>
      <w:numFmt w:val="lowerLetter"/>
      <w:lvlText w:val="(%2)"/>
      <w:lvlJc w:val="left"/>
      <w:pPr>
        <w:ind w:left="2702" w:hanging="360"/>
      </w:pPr>
      <w:rPr>
        <w:rFonts w:ascii="Times New Roman" w:hAnsi="Times New Roman" w:cs="Times New Roman" w:hint="default"/>
        <w:b w:val="0"/>
        <w:i w:val="0"/>
        <w:sz w:val="20"/>
      </w:rPr>
    </w:lvl>
    <w:lvl w:ilvl="2" w:tplc="0C09001B">
      <w:start w:val="1"/>
      <w:numFmt w:val="lowerRoman"/>
      <w:lvlText w:val="%3."/>
      <w:lvlJc w:val="right"/>
      <w:pPr>
        <w:ind w:left="3422" w:hanging="180"/>
      </w:pPr>
    </w:lvl>
    <w:lvl w:ilvl="3" w:tplc="0C09000F">
      <w:start w:val="1"/>
      <w:numFmt w:val="decimal"/>
      <w:lvlText w:val="%4."/>
      <w:lvlJc w:val="left"/>
      <w:pPr>
        <w:ind w:left="4142" w:hanging="360"/>
      </w:pPr>
    </w:lvl>
    <w:lvl w:ilvl="4" w:tplc="0C090019">
      <w:start w:val="1"/>
      <w:numFmt w:val="lowerLetter"/>
      <w:lvlText w:val="%5."/>
      <w:lvlJc w:val="left"/>
      <w:pPr>
        <w:ind w:left="4862" w:hanging="360"/>
      </w:pPr>
    </w:lvl>
    <w:lvl w:ilvl="5" w:tplc="0C09001B" w:tentative="1">
      <w:start w:val="1"/>
      <w:numFmt w:val="lowerRoman"/>
      <w:lvlText w:val="%6."/>
      <w:lvlJc w:val="right"/>
      <w:pPr>
        <w:ind w:left="5582" w:hanging="180"/>
      </w:pPr>
    </w:lvl>
    <w:lvl w:ilvl="6" w:tplc="0C09000F" w:tentative="1">
      <w:start w:val="1"/>
      <w:numFmt w:val="decimal"/>
      <w:lvlText w:val="%7."/>
      <w:lvlJc w:val="left"/>
      <w:pPr>
        <w:ind w:left="6302" w:hanging="360"/>
      </w:pPr>
    </w:lvl>
    <w:lvl w:ilvl="7" w:tplc="0C090019" w:tentative="1">
      <w:start w:val="1"/>
      <w:numFmt w:val="lowerLetter"/>
      <w:lvlText w:val="%8."/>
      <w:lvlJc w:val="left"/>
      <w:pPr>
        <w:ind w:left="7022" w:hanging="360"/>
      </w:pPr>
    </w:lvl>
    <w:lvl w:ilvl="8" w:tplc="0C09001B" w:tentative="1">
      <w:start w:val="1"/>
      <w:numFmt w:val="lowerRoman"/>
      <w:lvlText w:val="%9."/>
      <w:lvlJc w:val="right"/>
      <w:pPr>
        <w:ind w:left="7742" w:hanging="180"/>
      </w:pPr>
    </w:lvl>
  </w:abstractNum>
  <w:abstractNum w:abstractNumId="25" w15:restartNumberingAfterBreak="0">
    <w:nsid w:val="3B6F4E4E"/>
    <w:multiLevelType w:val="hybridMultilevel"/>
    <w:tmpl w:val="9F3EA662"/>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3BD81AE2"/>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3C775586"/>
    <w:multiLevelType w:val="hybridMultilevel"/>
    <w:tmpl w:val="89BA1E9C"/>
    <w:lvl w:ilvl="0" w:tplc="62523AB6">
      <w:start w:val="1"/>
      <w:numFmt w:val="lowerRoman"/>
      <w:lvlText w:val="(%1)"/>
      <w:lvlJc w:val="right"/>
      <w:pPr>
        <w:ind w:left="1800" w:hanging="360"/>
      </w:pPr>
      <w:rPr>
        <w:rFonts w:ascii="Times New Roman" w:hAnsi="Times New Roman" w:hint="default"/>
        <w:b w:val="0"/>
        <w:i w:val="0"/>
        <w:sz w:val="20"/>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3EFB5ABE"/>
    <w:multiLevelType w:val="hybridMultilevel"/>
    <w:tmpl w:val="C6728EDE"/>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473E529B"/>
    <w:multiLevelType w:val="hybridMultilevel"/>
    <w:tmpl w:val="A8F670E4"/>
    <w:lvl w:ilvl="0" w:tplc="0E92580E">
      <w:start w:val="1"/>
      <w:numFmt w:val="lowerLetter"/>
      <w:lvlText w:val="(%1)"/>
      <w:lvlJc w:val="left"/>
      <w:pPr>
        <w:ind w:left="1080" w:hanging="360"/>
      </w:pPr>
      <w:rPr>
        <w:rFonts w:ascii="Times New Roman" w:hAnsi="Times New Roman" w:cs="Times New Roman" w:hint="default"/>
        <w:b w:val="0"/>
        <w:i w:val="0"/>
        <w:sz w:val="20"/>
      </w:rPr>
    </w:lvl>
    <w:lvl w:ilvl="1" w:tplc="511E52CC">
      <w:start w:val="1"/>
      <w:numFmt w:val="lowerRoman"/>
      <w:lvlText w:val="(%2)"/>
      <w:lvlJc w:val="left"/>
      <w:pPr>
        <w:ind w:left="2160" w:hanging="720"/>
      </w:pPr>
      <w:rPr>
        <w:rFonts w:hint="default"/>
        <w:sz w:val="2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4E85127E"/>
    <w:multiLevelType w:val="hybridMultilevel"/>
    <w:tmpl w:val="5BCC0ED2"/>
    <w:lvl w:ilvl="0" w:tplc="0E92580E">
      <w:start w:val="1"/>
      <w:numFmt w:val="lowerLetter"/>
      <w:lvlText w:val="(%1)"/>
      <w:lvlJc w:val="left"/>
      <w:pPr>
        <w:ind w:left="720" w:hanging="360"/>
      </w:pPr>
      <w:rPr>
        <w:rFonts w:ascii="Times New Roman" w:hAnsi="Times New Roman" w:cs="Times New Roman"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F0703FF"/>
    <w:multiLevelType w:val="hybridMultilevel"/>
    <w:tmpl w:val="F6FE1304"/>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51817609"/>
    <w:multiLevelType w:val="hybridMultilevel"/>
    <w:tmpl w:val="1688DC74"/>
    <w:lvl w:ilvl="0" w:tplc="0E92580E">
      <w:start w:val="1"/>
      <w:numFmt w:val="lowerLetter"/>
      <w:lvlText w:val="(%1)"/>
      <w:lvlJc w:val="left"/>
      <w:pPr>
        <w:ind w:left="720" w:hanging="360"/>
      </w:pPr>
      <w:rPr>
        <w:rFonts w:ascii="Times New Roman" w:hAnsi="Times New Roman" w:cs="Times New Roman" w:hint="default"/>
        <w:b w:val="0"/>
        <w:i w:val="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3455075"/>
    <w:multiLevelType w:val="hybridMultilevel"/>
    <w:tmpl w:val="A1D62DA4"/>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557073BD"/>
    <w:multiLevelType w:val="hybridMultilevel"/>
    <w:tmpl w:val="F0A204D6"/>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5C032701"/>
    <w:multiLevelType w:val="hybridMultilevel"/>
    <w:tmpl w:val="5FFEF142"/>
    <w:lvl w:ilvl="0" w:tplc="4C5E2182">
      <w:start w:val="1"/>
      <w:numFmt w:val="lowerLetter"/>
      <w:pStyle w:val="Heading1"/>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pStyle w:val="Heading2"/>
      <w:lvlText w:val="%2."/>
      <w:lvlJc w:val="left"/>
      <w:pPr>
        <w:ind w:left="1440" w:hanging="360"/>
      </w:pPr>
    </w:lvl>
    <w:lvl w:ilvl="2" w:tplc="0C09001B" w:tentative="1">
      <w:start w:val="1"/>
      <w:numFmt w:val="lowerRoman"/>
      <w:pStyle w:val="Heading3"/>
      <w:lvlText w:val="%3."/>
      <w:lvlJc w:val="right"/>
      <w:pPr>
        <w:ind w:left="2160" w:hanging="180"/>
      </w:pPr>
    </w:lvl>
    <w:lvl w:ilvl="3" w:tplc="0C09000F" w:tentative="1">
      <w:start w:val="1"/>
      <w:numFmt w:val="decimal"/>
      <w:pStyle w:val="Heading4"/>
      <w:lvlText w:val="%4."/>
      <w:lvlJc w:val="left"/>
      <w:pPr>
        <w:ind w:left="2880" w:hanging="360"/>
      </w:pPr>
    </w:lvl>
    <w:lvl w:ilvl="4" w:tplc="0C090019">
      <w:start w:val="1"/>
      <w:numFmt w:val="lowerLetter"/>
      <w:pStyle w:val="Heading5"/>
      <w:lvlText w:val="%5."/>
      <w:lvlJc w:val="left"/>
      <w:pPr>
        <w:ind w:left="3600" w:hanging="360"/>
      </w:pPr>
    </w:lvl>
    <w:lvl w:ilvl="5" w:tplc="0C09001B" w:tentative="1">
      <w:start w:val="1"/>
      <w:numFmt w:val="lowerRoman"/>
      <w:pStyle w:val="Heading6"/>
      <w:lvlText w:val="%6."/>
      <w:lvlJc w:val="right"/>
      <w:pPr>
        <w:ind w:left="4320" w:hanging="180"/>
      </w:pPr>
    </w:lvl>
    <w:lvl w:ilvl="6" w:tplc="0C09000F" w:tentative="1">
      <w:start w:val="1"/>
      <w:numFmt w:val="decimal"/>
      <w:pStyle w:val="Heading7"/>
      <w:lvlText w:val="%7."/>
      <w:lvlJc w:val="left"/>
      <w:pPr>
        <w:ind w:left="5040" w:hanging="360"/>
      </w:pPr>
    </w:lvl>
    <w:lvl w:ilvl="7" w:tplc="0C090019" w:tentative="1">
      <w:start w:val="1"/>
      <w:numFmt w:val="lowerLetter"/>
      <w:pStyle w:val="Heading8"/>
      <w:lvlText w:val="%8."/>
      <w:lvlJc w:val="left"/>
      <w:pPr>
        <w:ind w:left="5760" w:hanging="360"/>
      </w:pPr>
    </w:lvl>
    <w:lvl w:ilvl="8" w:tplc="0C09001B" w:tentative="1">
      <w:start w:val="1"/>
      <w:numFmt w:val="lowerRoman"/>
      <w:pStyle w:val="Heading9"/>
      <w:lvlText w:val="%9."/>
      <w:lvlJc w:val="right"/>
      <w:pPr>
        <w:ind w:left="6480" w:hanging="180"/>
      </w:pPr>
    </w:lvl>
  </w:abstractNum>
  <w:abstractNum w:abstractNumId="36" w15:restartNumberingAfterBreak="0">
    <w:nsid w:val="5C416508"/>
    <w:multiLevelType w:val="hybridMultilevel"/>
    <w:tmpl w:val="58D2CA7E"/>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5EED0456"/>
    <w:multiLevelType w:val="hybridMultilevel"/>
    <w:tmpl w:val="F1B2DA2E"/>
    <w:lvl w:ilvl="0" w:tplc="62523AB6">
      <w:start w:val="1"/>
      <w:numFmt w:val="lowerRoman"/>
      <w:lvlText w:val="(%1)"/>
      <w:lvlJc w:val="right"/>
      <w:pPr>
        <w:ind w:left="2422" w:hanging="360"/>
      </w:pPr>
      <w:rPr>
        <w:rFonts w:ascii="Times New Roman" w:hAnsi="Times New Roman" w:hint="default"/>
        <w:b w:val="0"/>
        <w:i w:val="0"/>
        <w:sz w:val="20"/>
      </w:rPr>
    </w:lvl>
    <w:lvl w:ilvl="1" w:tplc="0C090019" w:tentative="1">
      <w:start w:val="1"/>
      <w:numFmt w:val="lowerLetter"/>
      <w:lvlText w:val="%2."/>
      <w:lvlJc w:val="left"/>
      <w:pPr>
        <w:ind w:left="3142" w:hanging="360"/>
      </w:pPr>
    </w:lvl>
    <w:lvl w:ilvl="2" w:tplc="62523AB6">
      <w:start w:val="1"/>
      <w:numFmt w:val="lowerRoman"/>
      <w:lvlText w:val="(%3)"/>
      <w:lvlJc w:val="right"/>
      <w:pPr>
        <w:ind w:left="3862" w:hanging="180"/>
      </w:pPr>
      <w:rPr>
        <w:rFonts w:ascii="Times New Roman" w:hAnsi="Times New Roman" w:hint="default"/>
        <w:b w:val="0"/>
        <w:i w:val="0"/>
        <w:sz w:val="20"/>
      </w:rPr>
    </w:lvl>
    <w:lvl w:ilvl="3" w:tplc="0C09000F" w:tentative="1">
      <w:start w:val="1"/>
      <w:numFmt w:val="decimal"/>
      <w:lvlText w:val="%4."/>
      <w:lvlJc w:val="left"/>
      <w:pPr>
        <w:ind w:left="4582" w:hanging="360"/>
      </w:pPr>
    </w:lvl>
    <w:lvl w:ilvl="4" w:tplc="0C090019" w:tentative="1">
      <w:start w:val="1"/>
      <w:numFmt w:val="lowerLetter"/>
      <w:lvlText w:val="%5."/>
      <w:lvlJc w:val="left"/>
      <w:pPr>
        <w:ind w:left="5302" w:hanging="360"/>
      </w:pPr>
    </w:lvl>
    <w:lvl w:ilvl="5" w:tplc="0C09001B" w:tentative="1">
      <w:start w:val="1"/>
      <w:numFmt w:val="lowerRoman"/>
      <w:lvlText w:val="%6."/>
      <w:lvlJc w:val="right"/>
      <w:pPr>
        <w:ind w:left="6022" w:hanging="180"/>
      </w:pPr>
    </w:lvl>
    <w:lvl w:ilvl="6" w:tplc="0C09000F" w:tentative="1">
      <w:start w:val="1"/>
      <w:numFmt w:val="decimal"/>
      <w:lvlText w:val="%7."/>
      <w:lvlJc w:val="left"/>
      <w:pPr>
        <w:ind w:left="6742" w:hanging="360"/>
      </w:pPr>
    </w:lvl>
    <w:lvl w:ilvl="7" w:tplc="0C090019" w:tentative="1">
      <w:start w:val="1"/>
      <w:numFmt w:val="lowerLetter"/>
      <w:lvlText w:val="%8."/>
      <w:lvlJc w:val="left"/>
      <w:pPr>
        <w:ind w:left="7462" w:hanging="360"/>
      </w:pPr>
    </w:lvl>
    <w:lvl w:ilvl="8" w:tplc="0C09001B" w:tentative="1">
      <w:start w:val="1"/>
      <w:numFmt w:val="lowerRoman"/>
      <w:lvlText w:val="%9."/>
      <w:lvlJc w:val="right"/>
      <w:pPr>
        <w:ind w:left="8182" w:hanging="180"/>
      </w:pPr>
    </w:lvl>
  </w:abstractNum>
  <w:abstractNum w:abstractNumId="38" w15:restartNumberingAfterBreak="0">
    <w:nsid w:val="605558A3"/>
    <w:multiLevelType w:val="hybridMultilevel"/>
    <w:tmpl w:val="52BE9640"/>
    <w:lvl w:ilvl="0" w:tplc="0E92580E">
      <w:start w:val="1"/>
      <w:numFmt w:val="lowerLetter"/>
      <w:lvlText w:val="(%1)"/>
      <w:lvlJc w:val="left"/>
      <w:pPr>
        <w:ind w:left="720" w:hanging="360"/>
      </w:pPr>
      <w:rPr>
        <w:rFonts w:ascii="Times New Roman" w:hAnsi="Times New Roman" w:cs="Times New Roman"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0904528"/>
    <w:multiLevelType w:val="hybridMultilevel"/>
    <w:tmpl w:val="9D902DC2"/>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62CD203E"/>
    <w:multiLevelType w:val="hybridMultilevel"/>
    <w:tmpl w:val="124A05CE"/>
    <w:lvl w:ilvl="0" w:tplc="0BE225F2">
      <w:start w:val="1"/>
      <w:numFmt w:val="lowerLetter"/>
      <w:lvlText w:val="(%1)"/>
      <w:lvlJc w:val="left"/>
      <w:pPr>
        <w:ind w:left="720" w:hanging="360"/>
      </w:pPr>
      <w:rPr>
        <w:rFonts w:ascii="Times New Roman" w:hAnsi="Times New Roman" w:cs="Times New Roman"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3475C35"/>
    <w:multiLevelType w:val="hybridMultilevel"/>
    <w:tmpl w:val="99C490C8"/>
    <w:lvl w:ilvl="0" w:tplc="4BC6636A">
      <w:start w:val="1"/>
      <w:numFmt w:val="decimal"/>
      <w:lvlText w:val="(%1)"/>
      <w:lvlJc w:val="left"/>
      <w:pPr>
        <w:ind w:left="1431" w:hanging="360"/>
      </w:pPr>
      <w:rPr>
        <w:rFonts w:hint="default"/>
        <w:sz w:val="22"/>
        <w:szCs w:val="22"/>
      </w:rPr>
    </w:lvl>
    <w:lvl w:ilvl="1" w:tplc="0C090019" w:tentative="1">
      <w:start w:val="1"/>
      <w:numFmt w:val="lowerLetter"/>
      <w:lvlText w:val="%2."/>
      <w:lvlJc w:val="left"/>
      <w:pPr>
        <w:ind w:left="2151" w:hanging="360"/>
      </w:pPr>
    </w:lvl>
    <w:lvl w:ilvl="2" w:tplc="0C09001B" w:tentative="1">
      <w:start w:val="1"/>
      <w:numFmt w:val="lowerRoman"/>
      <w:lvlText w:val="%3."/>
      <w:lvlJc w:val="right"/>
      <w:pPr>
        <w:ind w:left="2871" w:hanging="180"/>
      </w:pPr>
    </w:lvl>
    <w:lvl w:ilvl="3" w:tplc="0C09000F" w:tentative="1">
      <w:start w:val="1"/>
      <w:numFmt w:val="decimal"/>
      <w:lvlText w:val="%4."/>
      <w:lvlJc w:val="left"/>
      <w:pPr>
        <w:ind w:left="3591" w:hanging="360"/>
      </w:pPr>
    </w:lvl>
    <w:lvl w:ilvl="4" w:tplc="0C090019" w:tentative="1">
      <w:start w:val="1"/>
      <w:numFmt w:val="lowerLetter"/>
      <w:lvlText w:val="%5."/>
      <w:lvlJc w:val="left"/>
      <w:pPr>
        <w:ind w:left="4311" w:hanging="360"/>
      </w:pPr>
    </w:lvl>
    <w:lvl w:ilvl="5" w:tplc="0C09001B" w:tentative="1">
      <w:start w:val="1"/>
      <w:numFmt w:val="lowerRoman"/>
      <w:lvlText w:val="%6."/>
      <w:lvlJc w:val="right"/>
      <w:pPr>
        <w:ind w:left="5031" w:hanging="180"/>
      </w:pPr>
    </w:lvl>
    <w:lvl w:ilvl="6" w:tplc="0C09000F" w:tentative="1">
      <w:start w:val="1"/>
      <w:numFmt w:val="decimal"/>
      <w:lvlText w:val="%7."/>
      <w:lvlJc w:val="left"/>
      <w:pPr>
        <w:ind w:left="5751" w:hanging="360"/>
      </w:pPr>
    </w:lvl>
    <w:lvl w:ilvl="7" w:tplc="0C090019" w:tentative="1">
      <w:start w:val="1"/>
      <w:numFmt w:val="lowerLetter"/>
      <w:lvlText w:val="%8."/>
      <w:lvlJc w:val="left"/>
      <w:pPr>
        <w:ind w:left="6471" w:hanging="360"/>
      </w:pPr>
    </w:lvl>
    <w:lvl w:ilvl="8" w:tplc="0C09001B" w:tentative="1">
      <w:start w:val="1"/>
      <w:numFmt w:val="lowerRoman"/>
      <w:lvlText w:val="%9."/>
      <w:lvlJc w:val="right"/>
      <w:pPr>
        <w:ind w:left="7191" w:hanging="180"/>
      </w:pPr>
    </w:lvl>
  </w:abstractNum>
  <w:abstractNum w:abstractNumId="42" w15:restartNumberingAfterBreak="0">
    <w:nsid w:val="635A48BE"/>
    <w:multiLevelType w:val="hybridMultilevel"/>
    <w:tmpl w:val="1550F5C8"/>
    <w:lvl w:ilvl="0" w:tplc="D7487D44">
      <w:start w:val="1"/>
      <w:numFmt w:val="lowerLetter"/>
      <w:lvlText w:val="(%1)"/>
      <w:lvlJc w:val="left"/>
      <w:pPr>
        <w:ind w:left="705" w:hanging="360"/>
      </w:pPr>
      <w:rPr>
        <w:rFonts w:hint="default"/>
      </w:rPr>
    </w:lvl>
    <w:lvl w:ilvl="1" w:tplc="0C090019" w:tentative="1">
      <w:start w:val="1"/>
      <w:numFmt w:val="lowerLetter"/>
      <w:lvlText w:val="%2."/>
      <w:lvlJc w:val="left"/>
      <w:pPr>
        <w:ind w:left="1425" w:hanging="360"/>
      </w:pPr>
    </w:lvl>
    <w:lvl w:ilvl="2" w:tplc="0C09001B" w:tentative="1">
      <w:start w:val="1"/>
      <w:numFmt w:val="lowerRoman"/>
      <w:lvlText w:val="%3."/>
      <w:lvlJc w:val="right"/>
      <w:pPr>
        <w:ind w:left="2145" w:hanging="180"/>
      </w:pPr>
    </w:lvl>
    <w:lvl w:ilvl="3" w:tplc="0C09000F" w:tentative="1">
      <w:start w:val="1"/>
      <w:numFmt w:val="decimal"/>
      <w:lvlText w:val="%4."/>
      <w:lvlJc w:val="left"/>
      <w:pPr>
        <w:ind w:left="2865" w:hanging="360"/>
      </w:pPr>
    </w:lvl>
    <w:lvl w:ilvl="4" w:tplc="0C090019" w:tentative="1">
      <w:start w:val="1"/>
      <w:numFmt w:val="lowerLetter"/>
      <w:lvlText w:val="%5."/>
      <w:lvlJc w:val="left"/>
      <w:pPr>
        <w:ind w:left="3585" w:hanging="360"/>
      </w:pPr>
    </w:lvl>
    <w:lvl w:ilvl="5" w:tplc="0C09001B" w:tentative="1">
      <w:start w:val="1"/>
      <w:numFmt w:val="lowerRoman"/>
      <w:lvlText w:val="%6."/>
      <w:lvlJc w:val="right"/>
      <w:pPr>
        <w:ind w:left="4305" w:hanging="180"/>
      </w:pPr>
    </w:lvl>
    <w:lvl w:ilvl="6" w:tplc="0C09000F" w:tentative="1">
      <w:start w:val="1"/>
      <w:numFmt w:val="decimal"/>
      <w:lvlText w:val="%7."/>
      <w:lvlJc w:val="left"/>
      <w:pPr>
        <w:ind w:left="5025" w:hanging="360"/>
      </w:pPr>
    </w:lvl>
    <w:lvl w:ilvl="7" w:tplc="0C090019" w:tentative="1">
      <w:start w:val="1"/>
      <w:numFmt w:val="lowerLetter"/>
      <w:lvlText w:val="%8."/>
      <w:lvlJc w:val="left"/>
      <w:pPr>
        <w:ind w:left="5745" w:hanging="360"/>
      </w:pPr>
    </w:lvl>
    <w:lvl w:ilvl="8" w:tplc="0C09001B" w:tentative="1">
      <w:start w:val="1"/>
      <w:numFmt w:val="lowerRoman"/>
      <w:lvlText w:val="%9."/>
      <w:lvlJc w:val="right"/>
      <w:pPr>
        <w:ind w:left="6465" w:hanging="180"/>
      </w:pPr>
    </w:lvl>
  </w:abstractNum>
  <w:abstractNum w:abstractNumId="43" w15:restartNumberingAfterBreak="0">
    <w:nsid w:val="636858EA"/>
    <w:multiLevelType w:val="hybridMultilevel"/>
    <w:tmpl w:val="3D70833E"/>
    <w:lvl w:ilvl="0" w:tplc="7C7896F0">
      <w:start w:val="1"/>
      <w:numFmt w:val="decimal"/>
      <w:lvlText w:val="%1"/>
      <w:lvlJc w:val="left"/>
      <w:pPr>
        <w:ind w:left="720" w:hanging="360"/>
      </w:pPr>
      <w:rPr>
        <w:rFonts w:ascii="Arial Bold" w:hAnsi="Arial Bold" w:hint="default"/>
        <w:b/>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3B555D8"/>
    <w:multiLevelType w:val="hybridMultilevel"/>
    <w:tmpl w:val="31482642"/>
    <w:lvl w:ilvl="0" w:tplc="0E92580E">
      <w:start w:val="1"/>
      <w:numFmt w:val="lowerLetter"/>
      <w:lvlText w:val="(%1)"/>
      <w:lvlJc w:val="left"/>
      <w:pPr>
        <w:ind w:left="4862" w:hanging="360"/>
      </w:pPr>
      <w:rPr>
        <w:rFonts w:ascii="Times New Roman" w:hAnsi="Times New Roman" w:cs="Times New Roman" w:hint="default"/>
        <w:b w:val="0"/>
        <w:i w:val="0"/>
        <w:sz w:val="20"/>
      </w:rPr>
    </w:lvl>
    <w:lvl w:ilvl="1" w:tplc="0C090019" w:tentative="1">
      <w:start w:val="1"/>
      <w:numFmt w:val="lowerLetter"/>
      <w:lvlText w:val="%2."/>
      <w:lvlJc w:val="left"/>
      <w:pPr>
        <w:ind w:left="5582" w:hanging="360"/>
      </w:pPr>
    </w:lvl>
    <w:lvl w:ilvl="2" w:tplc="0C09001B" w:tentative="1">
      <w:start w:val="1"/>
      <w:numFmt w:val="lowerRoman"/>
      <w:lvlText w:val="%3."/>
      <w:lvlJc w:val="right"/>
      <w:pPr>
        <w:ind w:left="6302" w:hanging="180"/>
      </w:pPr>
    </w:lvl>
    <w:lvl w:ilvl="3" w:tplc="0C09000F" w:tentative="1">
      <w:start w:val="1"/>
      <w:numFmt w:val="decimal"/>
      <w:lvlText w:val="%4."/>
      <w:lvlJc w:val="left"/>
      <w:pPr>
        <w:ind w:left="7022" w:hanging="360"/>
      </w:pPr>
    </w:lvl>
    <w:lvl w:ilvl="4" w:tplc="0C090019" w:tentative="1">
      <w:start w:val="1"/>
      <w:numFmt w:val="lowerLetter"/>
      <w:lvlText w:val="%5."/>
      <w:lvlJc w:val="left"/>
      <w:pPr>
        <w:ind w:left="7742" w:hanging="360"/>
      </w:pPr>
    </w:lvl>
    <w:lvl w:ilvl="5" w:tplc="0C09001B" w:tentative="1">
      <w:start w:val="1"/>
      <w:numFmt w:val="lowerRoman"/>
      <w:lvlText w:val="%6."/>
      <w:lvlJc w:val="right"/>
      <w:pPr>
        <w:ind w:left="8462" w:hanging="180"/>
      </w:pPr>
    </w:lvl>
    <w:lvl w:ilvl="6" w:tplc="0C09000F" w:tentative="1">
      <w:start w:val="1"/>
      <w:numFmt w:val="decimal"/>
      <w:lvlText w:val="%7."/>
      <w:lvlJc w:val="left"/>
      <w:pPr>
        <w:ind w:left="9182" w:hanging="360"/>
      </w:pPr>
    </w:lvl>
    <w:lvl w:ilvl="7" w:tplc="0C090019" w:tentative="1">
      <w:start w:val="1"/>
      <w:numFmt w:val="lowerLetter"/>
      <w:lvlText w:val="%8."/>
      <w:lvlJc w:val="left"/>
      <w:pPr>
        <w:ind w:left="9902" w:hanging="360"/>
      </w:pPr>
    </w:lvl>
    <w:lvl w:ilvl="8" w:tplc="0C09001B" w:tentative="1">
      <w:start w:val="1"/>
      <w:numFmt w:val="lowerRoman"/>
      <w:lvlText w:val="%9."/>
      <w:lvlJc w:val="right"/>
      <w:pPr>
        <w:ind w:left="10622" w:hanging="180"/>
      </w:pPr>
    </w:lvl>
  </w:abstractNum>
  <w:abstractNum w:abstractNumId="45" w15:restartNumberingAfterBreak="0">
    <w:nsid w:val="686E1ABF"/>
    <w:multiLevelType w:val="hybridMultilevel"/>
    <w:tmpl w:val="A3DA8238"/>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6B685600"/>
    <w:multiLevelType w:val="hybridMultilevel"/>
    <w:tmpl w:val="EE4A32A0"/>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6DAA611E"/>
    <w:multiLevelType w:val="hybridMultilevel"/>
    <w:tmpl w:val="5778F270"/>
    <w:lvl w:ilvl="0" w:tplc="4BC6636A">
      <w:start w:val="1"/>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E5D315F"/>
    <w:multiLevelType w:val="hybridMultilevel"/>
    <w:tmpl w:val="80AE3C24"/>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70C57A1F"/>
    <w:multiLevelType w:val="hybridMultilevel"/>
    <w:tmpl w:val="3AF41986"/>
    <w:lvl w:ilvl="0" w:tplc="62523AB6">
      <w:start w:val="1"/>
      <w:numFmt w:val="lowerRoman"/>
      <w:lvlText w:val="(%1)"/>
      <w:lvlJc w:val="right"/>
      <w:pPr>
        <w:ind w:left="1800" w:hanging="360"/>
      </w:pPr>
      <w:rPr>
        <w:rFonts w:ascii="Times New Roman" w:hAnsi="Times New Roman" w:hint="default"/>
        <w:b w:val="0"/>
        <w:i w:val="0"/>
        <w:sz w:val="20"/>
      </w:rPr>
    </w:lvl>
    <w:lvl w:ilvl="1" w:tplc="62523AB6">
      <w:start w:val="1"/>
      <w:numFmt w:val="lowerRoman"/>
      <w:lvlText w:val="(%2)"/>
      <w:lvlJc w:val="right"/>
      <w:pPr>
        <w:ind w:left="1440" w:hanging="360"/>
      </w:pPr>
      <w:rPr>
        <w:rFonts w:ascii="Times New Roman" w:hAnsi="Times New Roman" w:hint="default"/>
        <w:b w:val="0"/>
        <w:i w:val="0"/>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1A76C78"/>
    <w:multiLevelType w:val="hybridMultilevel"/>
    <w:tmpl w:val="279E30BE"/>
    <w:lvl w:ilvl="0" w:tplc="78A4965A">
      <w:start w:val="1"/>
      <w:numFmt w:val="lowerLetter"/>
      <w:lvlText w:val="(%1)"/>
      <w:lvlJc w:val="left"/>
      <w:pPr>
        <w:ind w:left="1080" w:hanging="360"/>
      </w:pPr>
      <w:rPr>
        <w:rFonts w:ascii="Times New Roman" w:hAnsi="Times New Roman" w:cs="Times New Roman" w:hint="default"/>
        <w:b w:val="0"/>
        <w:i w:val="0"/>
        <w:strike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71AC28D1"/>
    <w:multiLevelType w:val="hybridMultilevel"/>
    <w:tmpl w:val="1C822082"/>
    <w:lvl w:ilvl="0" w:tplc="0E92580E">
      <w:start w:val="1"/>
      <w:numFmt w:val="lowerLetter"/>
      <w:lvlText w:val="(%1)"/>
      <w:lvlJc w:val="left"/>
      <w:pPr>
        <w:ind w:left="720" w:hanging="360"/>
      </w:pPr>
      <w:rPr>
        <w:rFonts w:ascii="Times New Roman" w:hAnsi="Times New Roman" w:cs="Times New Roman"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4390959"/>
    <w:multiLevelType w:val="hybridMultilevel"/>
    <w:tmpl w:val="B504DE08"/>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74814E05"/>
    <w:multiLevelType w:val="hybridMultilevel"/>
    <w:tmpl w:val="013222C0"/>
    <w:lvl w:ilvl="0" w:tplc="1480E9CE">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54" w15:restartNumberingAfterBreak="0">
    <w:nsid w:val="74C87E11"/>
    <w:multiLevelType w:val="hybridMultilevel"/>
    <w:tmpl w:val="695EB5F8"/>
    <w:lvl w:ilvl="0" w:tplc="4C84B734">
      <w:start w:val="1"/>
      <w:numFmt w:val="decimal"/>
      <w:lvlText w:val="(%1)"/>
      <w:lvlJc w:val="left"/>
      <w:pPr>
        <w:ind w:left="1431"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6BD79CE"/>
    <w:multiLevelType w:val="hybridMultilevel"/>
    <w:tmpl w:val="6C4AE228"/>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15:restartNumberingAfterBreak="0">
    <w:nsid w:val="77624489"/>
    <w:multiLevelType w:val="hybridMultilevel"/>
    <w:tmpl w:val="0FB6259E"/>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7B400B0E"/>
    <w:multiLevelType w:val="hybridMultilevel"/>
    <w:tmpl w:val="9C7815B4"/>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15:restartNumberingAfterBreak="0">
    <w:nsid w:val="7D5F08EF"/>
    <w:multiLevelType w:val="hybridMultilevel"/>
    <w:tmpl w:val="ED00DD92"/>
    <w:lvl w:ilvl="0" w:tplc="0E92580E">
      <w:start w:val="1"/>
      <w:numFmt w:val="lowerLetter"/>
      <w:lvlText w:val="(%1)"/>
      <w:lvlJc w:val="left"/>
      <w:pPr>
        <w:ind w:left="1080" w:hanging="360"/>
      </w:pPr>
      <w:rPr>
        <w:rFonts w:ascii="Times New Roman" w:hAnsi="Times New Roman" w:cs="Times New Roman" w:hint="default"/>
        <w:b w:val="0"/>
        <w:i w:val="0"/>
        <w:sz w:val="20"/>
      </w:rPr>
    </w:lvl>
    <w:lvl w:ilvl="1" w:tplc="B2AE36DC">
      <w:start w:val="1"/>
      <w:numFmt w:val="lowerRoman"/>
      <w:lvlText w:val="(%2)"/>
      <w:lvlJc w:val="left"/>
      <w:pPr>
        <w:ind w:left="2160" w:hanging="720"/>
      </w:pPr>
      <w:rPr>
        <w:rFonts w:hint="default"/>
        <w:sz w:val="2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7"/>
  </w:num>
  <w:num w:numId="2">
    <w:abstractNumId w:val="13"/>
  </w:num>
  <w:num w:numId="3">
    <w:abstractNumId w:val="26"/>
  </w:num>
  <w:num w:numId="4">
    <w:abstractNumId w:val="35"/>
  </w:num>
  <w:num w:numId="5">
    <w:abstractNumId w:val="10"/>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
    <w:abstractNumId w:val="10"/>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050"/>
          </w:tabs>
          <w:ind w:left="105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7">
    <w:abstractNumId w:val="11"/>
  </w:num>
  <w:num w:numId="8">
    <w:abstractNumId w:val="43"/>
  </w:num>
  <w:num w:numId="9">
    <w:abstractNumId w:val="47"/>
  </w:num>
  <w:num w:numId="10">
    <w:abstractNumId w:val="10"/>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1">
    <w:abstractNumId w:val="10"/>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2">
    <w:abstractNumId w:val="42"/>
  </w:num>
  <w:num w:numId="13">
    <w:abstractNumId w:val="53"/>
  </w:num>
  <w:num w:numId="14">
    <w:abstractNumId w:val="1"/>
  </w:num>
  <w:num w:numId="15">
    <w:abstractNumId w:val="10"/>
  </w:num>
  <w:num w:numId="16">
    <w:abstractNumId w:val="18"/>
  </w:num>
  <w:num w:numId="17">
    <w:abstractNumId w:val="40"/>
  </w:num>
  <w:num w:numId="18">
    <w:abstractNumId w:val="30"/>
  </w:num>
  <w:num w:numId="19">
    <w:abstractNumId w:val="32"/>
  </w:num>
  <w:num w:numId="20">
    <w:abstractNumId w:val="28"/>
  </w:num>
  <w:num w:numId="21">
    <w:abstractNumId w:val="12"/>
  </w:num>
  <w:num w:numId="22">
    <w:abstractNumId w:val="45"/>
  </w:num>
  <w:num w:numId="23">
    <w:abstractNumId w:val="8"/>
  </w:num>
  <w:num w:numId="24">
    <w:abstractNumId w:val="31"/>
  </w:num>
  <w:num w:numId="25">
    <w:abstractNumId w:val="16"/>
  </w:num>
  <w:num w:numId="26">
    <w:abstractNumId w:val="14"/>
  </w:num>
  <w:num w:numId="27">
    <w:abstractNumId w:val="36"/>
  </w:num>
  <w:num w:numId="28">
    <w:abstractNumId w:val="57"/>
  </w:num>
  <w:num w:numId="29">
    <w:abstractNumId w:val="3"/>
  </w:num>
  <w:num w:numId="30">
    <w:abstractNumId w:val="49"/>
  </w:num>
  <w:num w:numId="31">
    <w:abstractNumId w:val="20"/>
  </w:num>
  <w:num w:numId="32">
    <w:abstractNumId w:val="5"/>
  </w:num>
  <w:num w:numId="33">
    <w:abstractNumId w:val="58"/>
  </w:num>
  <w:num w:numId="34">
    <w:abstractNumId w:val="2"/>
  </w:num>
  <w:num w:numId="35">
    <w:abstractNumId w:val="51"/>
  </w:num>
  <w:num w:numId="36">
    <w:abstractNumId w:val="33"/>
  </w:num>
  <w:num w:numId="37">
    <w:abstractNumId w:val="38"/>
  </w:num>
  <w:num w:numId="38">
    <w:abstractNumId w:val="9"/>
  </w:num>
  <w:num w:numId="39">
    <w:abstractNumId w:val="50"/>
  </w:num>
  <w:num w:numId="40">
    <w:abstractNumId w:val="48"/>
  </w:num>
  <w:num w:numId="41">
    <w:abstractNumId w:val="39"/>
  </w:num>
  <w:num w:numId="42">
    <w:abstractNumId w:val="25"/>
  </w:num>
  <w:num w:numId="43">
    <w:abstractNumId w:val="23"/>
  </w:num>
  <w:num w:numId="44">
    <w:abstractNumId w:val="46"/>
  </w:num>
  <w:num w:numId="45">
    <w:abstractNumId w:val="34"/>
  </w:num>
  <w:num w:numId="46">
    <w:abstractNumId w:val="4"/>
  </w:num>
  <w:num w:numId="47">
    <w:abstractNumId w:val="55"/>
  </w:num>
  <w:num w:numId="48">
    <w:abstractNumId w:val="52"/>
  </w:num>
  <w:num w:numId="49">
    <w:abstractNumId w:val="17"/>
  </w:num>
  <w:num w:numId="50">
    <w:abstractNumId w:val="56"/>
  </w:num>
  <w:num w:numId="51">
    <w:abstractNumId w:val="29"/>
  </w:num>
  <w:num w:numId="52">
    <w:abstractNumId w:val="27"/>
  </w:num>
  <w:num w:numId="53">
    <w:abstractNumId w:val="22"/>
  </w:num>
  <w:num w:numId="54">
    <w:abstractNumId w:val="6"/>
  </w:num>
  <w:num w:numId="55">
    <w:abstractNumId w:val="21"/>
  </w:num>
  <w:num w:numId="56">
    <w:abstractNumId w:val="24"/>
  </w:num>
  <w:num w:numId="57">
    <w:abstractNumId w:val="15"/>
  </w:num>
  <w:num w:numId="58">
    <w:abstractNumId w:val="41"/>
  </w:num>
  <w:num w:numId="59">
    <w:abstractNumId w:val="19"/>
  </w:num>
  <w:num w:numId="60">
    <w:abstractNumId w:val="0"/>
  </w:num>
  <w:num w:numId="61">
    <w:abstractNumId w:val="37"/>
  </w:num>
  <w:num w:numId="62">
    <w:abstractNumId w:val="44"/>
  </w:num>
  <w:num w:numId="63">
    <w:abstractNumId w:val="54"/>
  </w:num>
  <w:num w:numId="64">
    <w:abstractNumId w:val="10"/>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050"/>
          </w:tabs>
          <w:ind w:left="105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5">
    <w:abstractNumId w:val="10"/>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6">
    <w:abstractNumId w:val="10"/>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7">
    <w:abstractNumId w:val="10"/>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8">
    <w:abstractNumId w:val="10"/>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9">
    <w:abstractNumId w:val="10"/>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70">
    <w:abstractNumId w:val="10"/>
    <w:lvlOverride w:ilvl="0">
      <w:startOverride w:val="1"/>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startOverride w:val="1"/>
      <w:lvl w:ilvl="1">
        <w:start w:val="1"/>
        <w:numFmt w:val="none"/>
        <w:pStyle w:val="Amendment2"/>
        <w:lvlText w:val="%2"/>
        <w:lvlJc w:val="left"/>
        <w:pPr>
          <w:ind w:left="794" w:hanging="794"/>
        </w:pPr>
        <w:rPr>
          <w:rFonts w:hint="default"/>
        </w:rPr>
      </w:lvl>
    </w:lvlOverride>
    <w:lvlOverride w:ilvl="2">
      <w:startOverride w:val="1"/>
      <w:lvl w:ilvl="2">
        <w:start w:val="1"/>
        <w:numFmt w:val="lowerLetter"/>
        <w:lvlRestart w:val="1"/>
        <w:pStyle w:val="Amendment3"/>
        <w:lvlText w:val="(%3)"/>
        <w:lvlJc w:val="right"/>
        <w:pPr>
          <w:tabs>
            <w:tab w:val="num" w:pos="1474"/>
          </w:tabs>
          <w:ind w:left="1474" w:hanging="340"/>
        </w:pPr>
        <w:rPr>
          <w:rFonts w:hint="default"/>
          <w:b/>
          <w:i w:val="0"/>
          <w:color w:val="auto"/>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71">
    <w:abstractNumId w:val="10"/>
    <w:lvlOverride w:ilvl="0">
      <w:startOverride w:val="1"/>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startOverride w:val="1"/>
      <w:lvl w:ilvl="1">
        <w:start w:val="1"/>
        <w:numFmt w:val="none"/>
        <w:pStyle w:val="Amendment2"/>
        <w:lvlText w:val="%2"/>
        <w:lvlJc w:val="left"/>
        <w:pPr>
          <w:ind w:left="794" w:hanging="794"/>
        </w:pPr>
        <w:rPr>
          <w:rFonts w:hint="default"/>
        </w:rPr>
      </w:lvl>
    </w:lvlOverride>
    <w:lvlOverride w:ilvl="2">
      <w:startOverride w:val="1"/>
      <w:lvl w:ilvl="2">
        <w:start w:val="1"/>
        <w:numFmt w:val="lowerLetter"/>
        <w:lvlRestart w:val="1"/>
        <w:pStyle w:val="Amendment3"/>
        <w:lvlText w:val="(%3)"/>
        <w:lvlJc w:val="right"/>
        <w:pPr>
          <w:tabs>
            <w:tab w:val="num" w:pos="1474"/>
          </w:tabs>
          <w:ind w:left="1474" w:hanging="340"/>
        </w:pPr>
        <w:rPr>
          <w:rFonts w:hint="default"/>
          <w:b/>
          <w:i w:val="0"/>
          <w:color w:val="auto"/>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72">
    <w:abstractNumId w:val="10"/>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050"/>
          </w:tabs>
          <w:ind w:left="105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73">
    <w:abstractNumId w:val="10"/>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050"/>
          </w:tabs>
          <w:ind w:left="105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325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66E"/>
    <w:rsid w:val="00000112"/>
    <w:rsid w:val="00000934"/>
    <w:rsid w:val="00000FC1"/>
    <w:rsid w:val="000015BB"/>
    <w:rsid w:val="00001670"/>
    <w:rsid w:val="00003743"/>
    <w:rsid w:val="00004252"/>
    <w:rsid w:val="00006474"/>
    <w:rsid w:val="00006A14"/>
    <w:rsid w:val="0001022A"/>
    <w:rsid w:val="000117BE"/>
    <w:rsid w:val="00011B41"/>
    <w:rsid w:val="0001290E"/>
    <w:rsid w:val="00012A16"/>
    <w:rsid w:val="00012E1E"/>
    <w:rsid w:val="00013696"/>
    <w:rsid w:val="00014CA0"/>
    <w:rsid w:val="000159FF"/>
    <w:rsid w:val="00015D90"/>
    <w:rsid w:val="0001717B"/>
    <w:rsid w:val="00021005"/>
    <w:rsid w:val="00021138"/>
    <w:rsid w:val="00021B9A"/>
    <w:rsid w:val="00023673"/>
    <w:rsid w:val="00025702"/>
    <w:rsid w:val="00025829"/>
    <w:rsid w:val="00025AF6"/>
    <w:rsid w:val="00026B0F"/>
    <w:rsid w:val="00027158"/>
    <w:rsid w:val="00027AF3"/>
    <w:rsid w:val="0003059B"/>
    <w:rsid w:val="00034ADD"/>
    <w:rsid w:val="00034E8B"/>
    <w:rsid w:val="0003657A"/>
    <w:rsid w:val="00037736"/>
    <w:rsid w:val="00040D0F"/>
    <w:rsid w:val="000410D7"/>
    <w:rsid w:val="00041442"/>
    <w:rsid w:val="000417DF"/>
    <w:rsid w:val="00043E0D"/>
    <w:rsid w:val="00043EAC"/>
    <w:rsid w:val="00044FB1"/>
    <w:rsid w:val="000459A0"/>
    <w:rsid w:val="00046A7E"/>
    <w:rsid w:val="000471B8"/>
    <w:rsid w:val="00047992"/>
    <w:rsid w:val="000505AF"/>
    <w:rsid w:val="00051776"/>
    <w:rsid w:val="000521F2"/>
    <w:rsid w:val="000545D9"/>
    <w:rsid w:val="00055DB0"/>
    <w:rsid w:val="00056738"/>
    <w:rsid w:val="0005711D"/>
    <w:rsid w:val="0005750A"/>
    <w:rsid w:val="00057650"/>
    <w:rsid w:val="000577DC"/>
    <w:rsid w:val="00057C3D"/>
    <w:rsid w:val="00061225"/>
    <w:rsid w:val="00063227"/>
    <w:rsid w:val="000633DE"/>
    <w:rsid w:val="00063C6C"/>
    <w:rsid w:val="00064837"/>
    <w:rsid w:val="000657DD"/>
    <w:rsid w:val="000664E2"/>
    <w:rsid w:val="00066801"/>
    <w:rsid w:val="00066863"/>
    <w:rsid w:val="00066A69"/>
    <w:rsid w:val="00066A6B"/>
    <w:rsid w:val="00066AD9"/>
    <w:rsid w:val="00067456"/>
    <w:rsid w:val="00067606"/>
    <w:rsid w:val="00067F97"/>
    <w:rsid w:val="0007154D"/>
    <w:rsid w:val="00072E9A"/>
    <w:rsid w:val="000733F1"/>
    <w:rsid w:val="000734E4"/>
    <w:rsid w:val="000760A3"/>
    <w:rsid w:val="0007676D"/>
    <w:rsid w:val="00076804"/>
    <w:rsid w:val="000778EA"/>
    <w:rsid w:val="00077E47"/>
    <w:rsid w:val="000808FD"/>
    <w:rsid w:val="000809EA"/>
    <w:rsid w:val="000815ED"/>
    <w:rsid w:val="00082477"/>
    <w:rsid w:val="00084097"/>
    <w:rsid w:val="00085309"/>
    <w:rsid w:val="00085AE3"/>
    <w:rsid w:val="00085AF8"/>
    <w:rsid w:val="000863F4"/>
    <w:rsid w:val="00086D78"/>
    <w:rsid w:val="00086EA7"/>
    <w:rsid w:val="00087F26"/>
    <w:rsid w:val="0009225C"/>
    <w:rsid w:val="00092606"/>
    <w:rsid w:val="00092D17"/>
    <w:rsid w:val="00093023"/>
    <w:rsid w:val="0009445B"/>
    <w:rsid w:val="00094B90"/>
    <w:rsid w:val="00095087"/>
    <w:rsid w:val="00095778"/>
    <w:rsid w:val="00095846"/>
    <w:rsid w:val="0009663C"/>
    <w:rsid w:val="00096DB4"/>
    <w:rsid w:val="00097206"/>
    <w:rsid w:val="000977B4"/>
    <w:rsid w:val="000A0525"/>
    <w:rsid w:val="000A07C1"/>
    <w:rsid w:val="000A152C"/>
    <w:rsid w:val="000A1C67"/>
    <w:rsid w:val="000A3CC1"/>
    <w:rsid w:val="000A3CD3"/>
    <w:rsid w:val="000A5F8C"/>
    <w:rsid w:val="000A6105"/>
    <w:rsid w:val="000A7F06"/>
    <w:rsid w:val="000B0095"/>
    <w:rsid w:val="000B3280"/>
    <w:rsid w:val="000B3770"/>
    <w:rsid w:val="000B51C5"/>
    <w:rsid w:val="000B52EF"/>
    <w:rsid w:val="000B6588"/>
    <w:rsid w:val="000B6E2A"/>
    <w:rsid w:val="000B6FD2"/>
    <w:rsid w:val="000B7687"/>
    <w:rsid w:val="000B7FC5"/>
    <w:rsid w:val="000C0471"/>
    <w:rsid w:val="000C04BC"/>
    <w:rsid w:val="000C19BA"/>
    <w:rsid w:val="000C3F41"/>
    <w:rsid w:val="000C40D8"/>
    <w:rsid w:val="000C4186"/>
    <w:rsid w:val="000C5E22"/>
    <w:rsid w:val="000C61C0"/>
    <w:rsid w:val="000C6339"/>
    <w:rsid w:val="000D0485"/>
    <w:rsid w:val="000D3FEB"/>
    <w:rsid w:val="000D4213"/>
    <w:rsid w:val="000D4CFD"/>
    <w:rsid w:val="000D57CF"/>
    <w:rsid w:val="000D7322"/>
    <w:rsid w:val="000D74EB"/>
    <w:rsid w:val="000E055D"/>
    <w:rsid w:val="000E080D"/>
    <w:rsid w:val="000E3AB7"/>
    <w:rsid w:val="000E3D28"/>
    <w:rsid w:val="000E4757"/>
    <w:rsid w:val="000E4E26"/>
    <w:rsid w:val="000E5F17"/>
    <w:rsid w:val="000E6D9B"/>
    <w:rsid w:val="000E703D"/>
    <w:rsid w:val="000E755B"/>
    <w:rsid w:val="000E79A5"/>
    <w:rsid w:val="000E7E51"/>
    <w:rsid w:val="000F03B8"/>
    <w:rsid w:val="000F03F0"/>
    <w:rsid w:val="000F102E"/>
    <w:rsid w:val="000F1FDE"/>
    <w:rsid w:val="000F201E"/>
    <w:rsid w:val="000F2484"/>
    <w:rsid w:val="000F2E2A"/>
    <w:rsid w:val="000F30A9"/>
    <w:rsid w:val="000F3B87"/>
    <w:rsid w:val="000F3E84"/>
    <w:rsid w:val="000F4C82"/>
    <w:rsid w:val="000F52D6"/>
    <w:rsid w:val="000F59C6"/>
    <w:rsid w:val="000F611C"/>
    <w:rsid w:val="000F685D"/>
    <w:rsid w:val="000F6C18"/>
    <w:rsid w:val="001005A5"/>
    <w:rsid w:val="0010115E"/>
    <w:rsid w:val="00101AA2"/>
    <w:rsid w:val="0010209F"/>
    <w:rsid w:val="001029DE"/>
    <w:rsid w:val="00103347"/>
    <w:rsid w:val="0010363E"/>
    <w:rsid w:val="001037C0"/>
    <w:rsid w:val="001040F9"/>
    <w:rsid w:val="001047A5"/>
    <w:rsid w:val="00104A03"/>
    <w:rsid w:val="00104B8E"/>
    <w:rsid w:val="00107EC3"/>
    <w:rsid w:val="00110B7C"/>
    <w:rsid w:val="001119D3"/>
    <w:rsid w:val="00111FE8"/>
    <w:rsid w:val="00113643"/>
    <w:rsid w:val="00114DB9"/>
    <w:rsid w:val="0011570E"/>
    <w:rsid w:val="00116917"/>
    <w:rsid w:val="00120520"/>
    <w:rsid w:val="00122816"/>
    <w:rsid w:val="001230C5"/>
    <w:rsid w:val="00123591"/>
    <w:rsid w:val="0012399B"/>
    <w:rsid w:val="00124013"/>
    <w:rsid w:val="001247F4"/>
    <w:rsid w:val="00125373"/>
    <w:rsid w:val="00125E9F"/>
    <w:rsid w:val="00125FEA"/>
    <w:rsid w:val="00126FEB"/>
    <w:rsid w:val="0012744C"/>
    <w:rsid w:val="001275E8"/>
    <w:rsid w:val="0013000B"/>
    <w:rsid w:val="001312FF"/>
    <w:rsid w:val="00131429"/>
    <w:rsid w:val="001336FD"/>
    <w:rsid w:val="00134B31"/>
    <w:rsid w:val="00134B73"/>
    <w:rsid w:val="001360E9"/>
    <w:rsid w:val="0013633C"/>
    <w:rsid w:val="00141527"/>
    <w:rsid w:val="00141892"/>
    <w:rsid w:val="001418C4"/>
    <w:rsid w:val="00142D44"/>
    <w:rsid w:val="00143DDC"/>
    <w:rsid w:val="00145E79"/>
    <w:rsid w:val="001461EB"/>
    <w:rsid w:val="001523B0"/>
    <w:rsid w:val="001527FF"/>
    <w:rsid w:val="00153A08"/>
    <w:rsid w:val="001601CE"/>
    <w:rsid w:val="001602EA"/>
    <w:rsid w:val="001607EE"/>
    <w:rsid w:val="00160A51"/>
    <w:rsid w:val="0016126F"/>
    <w:rsid w:val="00161ABE"/>
    <w:rsid w:val="00164838"/>
    <w:rsid w:val="001648E7"/>
    <w:rsid w:val="00165E97"/>
    <w:rsid w:val="00171525"/>
    <w:rsid w:val="001728D1"/>
    <w:rsid w:val="001732C2"/>
    <w:rsid w:val="0017512D"/>
    <w:rsid w:val="0017545D"/>
    <w:rsid w:val="001757A9"/>
    <w:rsid w:val="001765C9"/>
    <w:rsid w:val="0017742E"/>
    <w:rsid w:val="00177936"/>
    <w:rsid w:val="00180E39"/>
    <w:rsid w:val="00180E8A"/>
    <w:rsid w:val="00180F9E"/>
    <w:rsid w:val="001812A6"/>
    <w:rsid w:val="00182DF4"/>
    <w:rsid w:val="00183D95"/>
    <w:rsid w:val="00184B47"/>
    <w:rsid w:val="00185408"/>
    <w:rsid w:val="00185789"/>
    <w:rsid w:val="00185AB1"/>
    <w:rsid w:val="00187469"/>
    <w:rsid w:val="00190F27"/>
    <w:rsid w:val="00191EAC"/>
    <w:rsid w:val="0019378C"/>
    <w:rsid w:val="00193A13"/>
    <w:rsid w:val="00194585"/>
    <w:rsid w:val="001948AB"/>
    <w:rsid w:val="00195768"/>
    <w:rsid w:val="001958A2"/>
    <w:rsid w:val="00195E5B"/>
    <w:rsid w:val="00197219"/>
    <w:rsid w:val="001A01C9"/>
    <w:rsid w:val="001A0BFC"/>
    <w:rsid w:val="001A1446"/>
    <w:rsid w:val="001A1E7C"/>
    <w:rsid w:val="001A2041"/>
    <w:rsid w:val="001A2D2D"/>
    <w:rsid w:val="001A3046"/>
    <w:rsid w:val="001A31D7"/>
    <w:rsid w:val="001A33C9"/>
    <w:rsid w:val="001A4892"/>
    <w:rsid w:val="001B0025"/>
    <w:rsid w:val="001B0EF3"/>
    <w:rsid w:val="001B11B6"/>
    <w:rsid w:val="001B11E7"/>
    <w:rsid w:val="001B2673"/>
    <w:rsid w:val="001B3443"/>
    <w:rsid w:val="001B49CB"/>
    <w:rsid w:val="001B4DE1"/>
    <w:rsid w:val="001B597D"/>
    <w:rsid w:val="001B7087"/>
    <w:rsid w:val="001C265C"/>
    <w:rsid w:val="001C27EE"/>
    <w:rsid w:val="001C3FCA"/>
    <w:rsid w:val="001C4ABD"/>
    <w:rsid w:val="001C62F3"/>
    <w:rsid w:val="001C6EBA"/>
    <w:rsid w:val="001C710F"/>
    <w:rsid w:val="001C7653"/>
    <w:rsid w:val="001D266E"/>
    <w:rsid w:val="001D3A62"/>
    <w:rsid w:val="001D4214"/>
    <w:rsid w:val="001D4434"/>
    <w:rsid w:val="001D4F52"/>
    <w:rsid w:val="001D54AD"/>
    <w:rsid w:val="001D5A72"/>
    <w:rsid w:val="001D6DDE"/>
    <w:rsid w:val="001D6F77"/>
    <w:rsid w:val="001D7010"/>
    <w:rsid w:val="001D7134"/>
    <w:rsid w:val="001D76B7"/>
    <w:rsid w:val="001E042F"/>
    <w:rsid w:val="001E1DBC"/>
    <w:rsid w:val="001E1FEA"/>
    <w:rsid w:val="001E272B"/>
    <w:rsid w:val="001E3AA7"/>
    <w:rsid w:val="001E3F47"/>
    <w:rsid w:val="001E4670"/>
    <w:rsid w:val="001E4996"/>
    <w:rsid w:val="001E5140"/>
    <w:rsid w:val="001E52A2"/>
    <w:rsid w:val="001E551E"/>
    <w:rsid w:val="001E6746"/>
    <w:rsid w:val="001F096C"/>
    <w:rsid w:val="001F105F"/>
    <w:rsid w:val="001F15F6"/>
    <w:rsid w:val="001F198C"/>
    <w:rsid w:val="001F1EFD"/>
    <w:rsid w:val="001F217E"/>
    <w:rsid w:val="001F2E37"/>
    <w:rsid w:val="001F370D"/>
    <w:rsid w:val="001F3B03"/>
    <w:rsid w:val="001F45B1"/>
    <w:rsid w:val="001F5C2C"/>
    <w:rsid w:val="001F6948"/>
    <w:rsid w:val="001F7A5F"/>
    <w:rsid w:val="001F7D2B"/>
    <w:rsid w:val="00200842"/>
    <w:rsid w:val="00201C70"/>
    <w:rsid w:val="00203CC6"/>
    <w:rsid w:val="00205026"/>
    <w:rsid w:val="00210495"/>
    <w:rsid w:val="00210716"/>
    <w:rsid w:val="00210912"/>
    <w:rsid w:val="00211091"/>
    <w:rsid w:val="0021239B"/>
    <w:rsid w:val="00212717"/>
    <w:rsid w:val="00212DB2"/>
    <w:rsid w:val="00213037"/>
    <w:rsid w:val="00213927"/>
    <w:rsid w:val="0021517C"/>
    <w:rsid w:val="00215587"/>
    <w:rsid w:val="00216D47"/>
    <w:rsid w:val="00217786"/>
    <w:rsid w:val="00217B5A"/>
    <w:rsid w:val="0022002E"/>
    <w:rsid w:val="002207E6"/>
    <w:rsid w:val="0022370E"/>
    <w:rsid w:val="002242E9"/>
    <w:rsid w:val="002246CF"/>
    <w:rsid w:val="00230CE5"/>
    <w:rsid w:val="00231EDF"/>
    <w:rsid w:val="00233CBF"/>
    <w:rsid w:val="00233FA1"/>
    <w:rsid w:val="00234463"/>
    <w:rsid w:val="0023488B"/>
    <w:rsid w:val="00234ABA"/>
    <w:rsid w:val="002360A6"/>
    <w:rsid w:val="00236429"/>
    <w:rsid w:val="00236940"/>
    <w:rsid w:val="00237282"/>
    <w:rsid w:val="00237292"/>
    <w:rsid w:val="00237447"/>
    <w:rsid w:val="00237B60"/>
    <w:rsid w:val="00240D94"/>
    <w:rsid w:val="00240E18"/>
    <w:rsid w:val="00241350"/>
    <w:rsid w:val="002417EC"/>
    <w:rsid w:val="00243BEB"/>
    <w:rsid w:val="00244F31"/>
    <w:rsid w:val="00246AF6"/>
    <w:rsid w:val="00250FF0"/>
    <w:rsid w:val="0025181C"/>
    <w:rsid w:val="00251C24"/>
    <w:rsid w:val="00251EA8"/>
    <w:rsid w:val="00251F6C"/>
    <w:rsid w:val="00252168"/>
    <w:rsid w:val="00252187"/>
    <w:rsid w:val="00252A71"/>
    <w:rsid w:val="00254CBB"/>
    <w:rsid w:val="00257279"/>
    <w:rsid w:val="00257781"/>
    <w:rsid w:val="00257AAA"/>
    <w:rsid w:val="00260131"/>
    <w:rsid w:val="00260EA6"/>
    <w:rsid w:val="002626F4"/>
    <w:rsid w:val="0026459B"/>
    <w:rsid w:val="002658A3"/>
    <w:rsid w:val="00266D5F"/>
    <w:rsid w:val="0027027C"/>
    <w:rsid w:val="00271685"/>
    <w:rsid w:val="00274A25"/>
    <w:rsid w:val="00275623"/>
    <w:rsid w:val="00275E3C"/>
    <w:rsid w:val="00276005"/>
    <w:rsid w:val="00277427"/>
    <w:rsid w:val="00280C40"/>
    <w:rsid w:val="00280D15"/>
    <w:rsid w:val="00280F65"/>
    <w:rsid w:val="00284A25"/>
    <w:rsid w:val="002865E9"/>
    <w:rsid w:val="002914AE"/>
    <w:rsid w:val="00291B31"/>
    <w:rsid w:val="00291BCC"/>
    <w:rsid w:val="002925C5"/>
    <w:rsid w:val="00293103"/>
    <w:rsid w:val="0029388C"/>
    <w:rsid w:val="00293922"/>
    <w:rsid w:val="00293923"/>
    <w:rsid w:val="00293E3A"/>
    <w:rsid w:val="00294A5C"/>
    <w:rsid w:val="00294BA1"/>
    <w:rsid w:val="0029517D"/>
    <w:rsid w:val="002958A7"/>
    <w:rsid w:val="00295995"/>
    <w:rsid w:val="002974C8"/>
    <w:rsid w:val="00297B5F"/>
    <w:rsid w:val="002A027D"/>
    <w:rsid w:val="002A2DFF"/>
    <w:rsid w:val="002A3B0A"/>
    <w:rsid w:val="002A55EE"/>
    <w:rsid w:val="002A6F4D"/>
    <w:rsid w:val="002A7061"/>
    <w:rsid w:val="002A732B"/>
    <w:rsid w:val="002B065A"/>
    <w:rsid w:val="002B183C"/>
    <w:rsid w:val="002B377A"/>
    <w:rsid w:val="002B40A9"/>
    <w:rsid w:val="002B42B2"/>
    <w:rsid w:val="002B4EC3"/>
    <w:rsid w:val="002B7765"/>
    <w:rsid w:val="002C0F30"/>
    <w:rsid w:val="002C3CB3"/>
    <w:rsid w:val="002C46AC"/>
    <w:rsid w:val="002C4F33"/>
    <w:rsid w:val="002C5345"/>
    <w:rsid w:val="002C58A3"/>
    <w:rsid w:val="002C764C"/>
    <w:rsid w:val="002D0E71"/>
    <w:rsid w:val="002D14B0"/>
    <w:rsid w:val="002D18BA"/>
    <w:rsid w:val="002D215E"/>
    <w:rsid w:val="002D296E"/>
    <w:rsid w:val="002D46D3"/>
    <w:rsid w:val="002D46DA"/>
    <w:rsid w:val="002D4C49"/>
    <w:rsid w:val="002D50A3"/>
    <w:rsid w:val="002D5699"/>
    <w:rsid w:val="002D6BD9"/>
    <w:rsid w:val="002D7E12"/>
    <w:rsid w:val="002E0DF3"/>
    <w:rsid w:val="002E0FA1"/>
    <w:rsid w:val="002E13FC"/>
    <w:rsid w:val="002E1F31"/>
    <w:rsid w:val="002E2CA6"/>
    <w:rsid w:val="002E41C6"/>
    <w:rsid w:val="002E4EF6"/>
    <w:rsid w:val="002E764E"/>
    <w:rsid w:val="002E7E4D"/>
    <w:rsid w:val="002E7FDE"/>
    <w:rsid w:val="002F0911"/>
    <w:rsid w:val="002F1D57"/>
    <w:rsid w:val="002F279A"/>
    <w:rsid w:val="002F2D7A"/>
    <w:rsid w:val="002F35C6"/>
    <w:rsid w:val="002F550B"/>
    <w:rsid w:val="002F6EEF"/>
    <w:rsid w:val="00300560"/>
    <w:rsid w:val="00300A86"/>
    <w:rsid w:val="003058D2"/>
    <w:rsid w:val="00305D7C"/>
    <w:rsid w:val="00306021"/>
    <w:rsid w:val="003071AC"/>
    <w:rsid w:val="0030786C"/>
    <w:rsid w:val="00307FD1"/>
    <w:rsid w:val="003102DE"/>
    <w:rsid w:val="00310320"/>
    <w:rsid w:val="003124FE"/>
    <w:rsid w:val="00313202"/>
    <w:rsid w:val="00314585"/>
    <w:rsid w:val="00316048"/>
    <w:rsid w:val="003166BD"/>
    <w:rsid w:val="00316802"/>
    <w:rsid w:val="00316C70"/>
    <w:rsid w:val="00316E29"/>
    <w:rsid w:val="00316F59"/>
    <w:rsid w:val="00320948"/>
    <w:rsid w:val="00320FE6"/>
    <w:rsid w:val="00321CDA"/>
    <w:rsid w:val="00321D98"/>
    <w:rsid w:val="0032206E"/>
    <w:rsid w:val="00322D08"/>
    <w:rsid w:val="00323D74"/>
    <w:rsid w:val="003241D5"/>
    <w:rsid w:val="00324F9E"/>
    <w:rsid w:val="00326F7A"/>
    <w:rsid w:val="00327B6F"/>
    <w:rsid w:val="003309A2"/>
    <w:rsid w:val="0033180C"/>
    <w:rsid w:val="0033349D"/>
    <w:rsid w:val="003353F9"/>
    <w:rsid w:val="00335823"/>
    <w:rsid w:val="00337420"/>
    <w:rsid w:val="00337D41"/>
    <w:rsid w:val="003405D6"/>
    <w:rsid w:val="00340818"/>
    <w:rsid w:val="00340DB2"/>
    <w:rsid w:val="0034201E"/>
    <w:rsid w:val="00342053"/>
    <w:rsid w:val="0034220C"/>
    <w:rsid w:val="00342A00"/>
    <w:rsid w:val="00342C11"/>
    <w:rsid w:val="00343040"/>
    <w:rsid w:val="00343AA0"/>
    <w:rsid w:val="00346D1A"/>
    <w:rsid w:val="003471BB"/>
    <w:rsid w:val="00347FB1"/>
    <w:rsid w:val="00347FCE"/>
    <w:rsid w:val="003504CB"/>
    <w:rsid w:val="003510FC"/>
    <w:rsid w:val="003533EA"/>
    <w:rsid w:val="00354212"/>
    <w:rsid w:val="0035429B"/>
    <w:rsid w:val="003543A3"/>
    <w:rsid w:val="00356089"/>
    <w:rsid w:val="00356325"/>
    <w:rsid w:val="00356CF4"/>
    <w:rsid w:val="00356E61"/>
    <w:rsid w:val="00357784"/>
    <w:rsid w:val="00360555"/>
    <w:rsid w:val="00360E5E"/>
    <w:rsid w:val="00361B04"/>
    <w:rsid w:val="003624A1"/>
    <w:rsid w:val="00362B83"/>
    <w:rsid w:val="003634BB"/>
    <w:rsid w:val="003641BA"/>
    <w:rsid w:val="00365F8A"/>
    <w:rsid w:val="00370F58"/>
    <w:rsid w:val="00371F37"/>
    <w:rsid w:val="00373B29"/>
    <w:rsid w:val="0037402D"/>
    <w:rsid w:val="0037532D"/>
    <w:rsid w:val="0037558A"/>
    <w:rsid w:val="00376597"/>
    <w:rsid w:val="00380196"/>
    <w:rsid w:val="00380C26"/>
    <w:rsid w:val="00381BB5"/>
    <w:rsid w:val="003827F3"/>
    <w:rsid w:val="00382893"/>
    <w:rsid w:val="00383D3F"/>
    <w:rsid w:val="00386B3D"/>
    <w:rsid w:val="003877AF"/>
    <w:rsid w:val="00390109"/>
    <w:rsid w:val="00390947"/>
    <w:rsid w:val="00391AE9"/>
    <w:rsid w:val="00391EF4"/>
    <w:rsid w:val="0039255D"/>
    <w:rsid w:val="00392F9E"/>
    <w:rsid w:val="0039329C"/>
    <w:rsid w:val="00393486"/>
    <w:rsid w:val="00393756"/>
    <w:rsid w:val="00394019"/>
    <w:rsid w:val="00395068"/>
    <w:rsid w:val="0039520B"/>
    <w:rsid w:val="003954F9"/>
    <w:rsid w:val="00395E86"/>
    <w:rsid w:val="00396D12"/>
    <w:rsid w:val="0039727D"/>
    <w:rsid w:val="00397489"/>
    <w:rsid w:val="00397C44"/>
    <w:rsid w:val="00397DDC"/>
    <w:rsid w:val="003A0441"/>
    <w:rsid w:val="003A09AF"/>
    <w:rsid w:val="003A13C5"/>
    <w:rsid w:val="003A2B1C"/>
    <w:rsid w:val="003A3B9C"/>
    <w:rsid w:val="003A4DDF"/>
    <w:rsid w:val="003A5709"/>
    <w:rsid w:val="003A589A"/>
    <w:rsid w:val="003A7D3E"/>
    <w:rsid w:val="003B01BD"/>
    <w:rsid w:val="003B09DB"/>
    <w:rsid w:val="003B0FCD"/>
    <w:rsid w:val="003B0FF3"/>
    <w:rsid w:val="003B1563"/>
    <w:rsid w:val="003B1654"/>
    <w:rsid w:val="003B1974"/>
    <w:rsid w:val="003B1C10"/>
    <w:rsid w:val="003B2109"/>
    <w:rsid w:val="003B4F59"/>
    <w:rsid w:val="003B69F9"/>
    <w:rsid w:val="003B6BCF"/>
    <w:rsid w:val="003B70D2"/>
    <w:rsid w:val="003B7877"/>
    <w:rsid w:val="003C0866"/>
    <w:rsid w:val="003C0F4F"/>
    <w:rsid w:val="003C10ED"/>
    <w:rsid w:val="003C2808"/>
    <w:rsid w:val="003C43CE"/>
    <w:rsid w:val="003C47F1"/>
    <w:rsid w:val="003C4C30"/>
    <w:rsid w:val="003C4C8D"/>
    <w:rsid w:val="003C5AA2"/>
    <w:rsid w:val="003C74B9"/>
    <w:rsid w:val="003C769F"/>
    <w:rsid w:val="003D09CE"/>
    <w:rsid w:val="003D14B9"/>
    <w:rsid w:val="003D17F9"/>
    <w:rsid w:val="003D2B3E"/>
    <w:rsid w:val="003D3069"/>
    <w:rsid w:val="003D39BF"/>
    <w:rsid w:val="003D3C9F"/>
    <w:rsid w:val="003D410C"/>
    <w:rsid w:val="003D5C89"/>
    <w:rsid w:val="003D6200"/>
    <w:rsid w:val="003D7CEE"/>
    <w:rsid w:val="003D7DF3"/>
    <w:rsid w:val="003E03D5"/>
    <w:rsid w:val="003E0520"/>
    <w:rsid w:val="003E081C"/>
    <w:rsid w:val="003E0F16"/>
    <w:rsid w:val="003E176A"/>
    <w:rsid w:val="003E1E01"/>
    <w:rsid w:val="003E297A"/>
    <w:rsid w:val="003E36F5"/>
    <w:rsid w:val="003E59BC"/>
    <w:rsid w:val="003E6158"/>
    <w:rsid w:val="003E63BE"/>
    <w:rsid w:val="003E653D"/>
    <w:rsid w:val="003E6C01"/>
    <w:rsid w:val="003E6E20"/>
    <w:rsid w:val="003E7C2B"/>
    <w:rsid w:val="003E7C7E"/>
    <w:rsid w:val="003F12F2"/>
    <w:rsid w:val="003F22F3"/>
    <w:rsid w:val="003F2E00"/>
    <w:rsid w:val="003F6158"/>
    <w:rsid w:val="003F6B1F"/>
    <w:rsid w:val="003F7ADA"/>
    <w:rsid w:val="00400A17"/>
    <w:rsid w:val="00400E88"/>
    <w:rsid w:val="00401A68"/>
    <w:rsid w:val="00401F10"/>
    <w:rsid w:val="00402B18"/>
    <w:rsid w:val="004031E3"/>
    <w:rsid w:val="00403613"/>
    <w:rsid w:val="0040479F"/>
    <w:rsid w:val="004049E8"/>
    <w:rsid w:val="00405256"/>
    <w:rsid w:val="004059A4"/>
    <w:rsid w:val="004060A9"/>
    <w:rsid w:val="00406424"/>
    <w:rsid w:val="00407389"/>
    <w:rsid w:val="0040761C"/>
    <w:rsid w:val="00411CD4"/>
    <w:rsid w:val="004122DE"/>
    <w:rsid w:val="00412CB2"/>
    <w:rsid w:val="00412E84"/>
    <w:rsid w:val="004146CD"/>
    <w:rsid w:val="004167AF"/>
    <w:rsid w:val="004174AF"/>
    <w:rsid w:val="00420499"/>
    <w:rsid w:val="00421E6D"/>
    <w:rsid w:val="004220B2"/>
    <w:rsid w:val="00422E74"/>
    <w:rsid w:val="00422EF9"/>
    <w:rsid w:val="00423736"/>
    <w:rsid w:val="004242D0"/>
    <w:rsid w:val="0042538A"/>
    <w:rsid w:val="00426387"/>
    <w:rsid w:val="0042709F"/>
    <w:rsid w:val="004277CD"/>
    <w:rsid w:val="0043125B"/>
    <w:rsid w:val="00431716"/>
    <w:rsid w:val="00432680"/>
    <w:rsid w:val="004331A7"/>
    <w:rsid w:val="0043365B"/>
    <w:rsid w:val="00434874"/>
    <w:rsid w:val="00434E2B"/>
    <w:rsid w:val="00436BA6"/>
    <w:rsid w:val="00437CC5"/>
    <w:rsid w:val="00437EE9"/>
    <w:rsid w:val="004403E7"/>
    <w:rsid w:val="00440B99"/>
    <w:rsid w:val="00440C05"/>
    <w:rsid w:val="0044164D"/>
    <w:rsid w:val="004424E1"/>
    <w:rsid w:val="0044267C"/>
    <w:rsid w:val="00442A20"/>
    <w:rsid w:val="00442BD1"/>
    <w:rsid w:val="00442CFB"/>
    <w:rsid w:val="00442D50"/>
    <w:rsid w:val="00442D7F"/>
    <w:rsid w:val="0044452A"/>
    <w:rsid w:val="004449F9"/>
    <w:rsid w:val="00444B69"/>
    <w:rsid w:val="0044584A"/>
    <w:rsid w:val="00446544"/>
    <w:rsid w:val="00446688"/>
    <w:rsid w:val="00447476"/>
    <w:rsid w:val="004479A0"/>
    <w:rsid w:val="00450F22"/>
    <w:rsid w:val="00452568"/>
    <w:rsid w:val="0045373A"/>
    <w:rsid w:val="00453C6D"/>
    <w:rsid w:val="00454510"/>
    <w:rsid w:val="004554CD"/>
    <w:rsid w:val="00456C1B"/>
    <w:rsid w:val="00456FCB"/>
    <w:rsid w:val="00460476"/>
    <w:rsid w:val="00460AE8"/>
    <w:rsid w:val="00460C1A"/>
    <w:rsid w:val="00461CD2"/>
    <w:rsid w:val="00461E48"/>
    <w:rsid w:val="004622B2"/>
    <w:rsid w:val="004625DF"/>
    <w:rsid w:val="00462FCD"/>
    <w:rsid w:val="00463292"/>
    <w:rsid w:val="004632DC"/>
    <w:rsid w:val="004634B2"/>
    <w:rsid w:val="004640BD"/>
    <w:rsid w:val="00464624"/>
    <w:rsid w:val="00465641"/>
    <w:rsid w:val="00465DFA"/>
    <w:rsid w:val="00467035"/>
    <w:rsid w:val="004707E5"/>
    <w:rsid w:val="00471171"/>
    <w:rsid w:val="00471560"/>
    <w:rsid w:val="00472213"/>
    <w:rsid w:val="004722DD"/>
    <w:rsid w:val="004724B6"/>
    <w:rsid w:val="0047684C"/>
    <w:rsid w:val="004775C2"/>
    <w:rsid w:val="00477893"/>
    <w:rsid w:val="00477AE2"/>
    <w:rsid w:val="00481972"/>
    <w:rsid w:val="004831DD"/>
    <w:rsid w:val="00483B35"/>
    <w:rsid w:val="00483CEB"/>
    <w:rsid w:val="004852D7"/>
    <w:rsid w:val="00485A95"/>
    <w:rsid w:val="00485D21"/>
    <w:rsid w:val="004861B4"/>
    <w:rsid w:val="0048624E"/>
    <w:rsid w:val="004867E2"/>
    <w:rsid w:val="0048746B"/>
    <w:rsid w:val="00487FCF"/>
    <w:rsid w:val="0049030B"/>
    <w:rsid w:val="00490A47"/>
    <w:rsid w:val="004911E2"/>
    <w:rsid w:val="004934FC"/>
    <w:rsid w:val="00493BE8"/>
    <w:rsid w:val="00495025"/>
    <w:rsid w:val="00497B47"/>
    <w:rsid w:val="004A5A09"/>
    <w:rsid w:val="004A6516"/>
    <w:rsid w:val="004A652F"/>
    <w:rsid w:val="004A65B6"/>
    <w:rsid w:val="004A7467"/>
    <w:rsid w:val="004B1116"/>
    <w:rsid w:val="004B130F"/>
    <w:rsid w:val="004B1C57"/>
    <w:rsid w:val="004B6C9F"/>
    <w:rsid w:val="004B6EF9"/>
    <w:rsid w:val="004B7CA8"/>
    <w:rsid w:val="004C25ED"/>
    <w:rsid w:val="004C362B"/>
    <w:rsid w:val="004C37A2"/>
    <w:rsid w:val="004C383D"/>
    <w:rsid w:val="004C3BEE"/>
    <w:rsid w:val="004C3E9A"/>
    <w:rsid w:val="004C4506"/>
    <w:rsid w:val="004C4C49"/>
    <w:rsid w:val="004C533A"/>
    <w:rsid w:val="004C5494"/>
    <w:rsid w:val="004C5A59"/>
    <w:rsid w:val="004D04D4"/>
    <w:rsid w:val="004D0916"/>
    <w:rsid w:val="004D1364"/>
    <w:rsid w:val="004D2058"/>
    <w:rsid w:val="004D4296"/>
    <w:rsid w:val="004D4EBE"/>
    <w:rsid w:val="004D5B68"/>
    <w:rsid w:val="004D6CC3"/>
    <w:rsid w:val="004D70A4"/>
    <w:rsid w:val="004D760E"/>
    <w:rsid w:val="004D7A33"/>
    <w:rsid w:val="004D7FFC"/>
    <w:rsid w:val="004E0D1D"/>
    <w:rsid w:val="004E1412"/>
    <w:rsid w:val="004E21B0"/>
    <w:rsid w:val="004E2CCF"/>
    <w:rsid w:val="004E45AC"/>
    <w:rsid w:val="004E4FBE"/>
    <w:rsid w:val="004E5170"/>
    <w:rsid w:val="004E605B"/>
    <w:rsid w:val="004E6345"/>
    <w:rsid w:val="004E763F"/>
    <w:rsid w:val="004F2459"/>
    <w:rsid w:val="004F2F45"/>
    <w:rsid w:val="004F3501"/>
    <w:rsid w:val="004F591E"/>
    <w:rsid w:val="004F5E53"/>
    <w:rsid w:val="004F7222"/>
    <w:rsid w:val="004F7F6D"/>
    <w:rsid w:val="0050157B"/>
    <w:rsid w:val="00501E6D"/>
    <w:rsid w:val="0050300E"/>
    <w:rsid w:val="005030E5"/>
    <w:rsid w:val="00504A2F"/>
    <w:rsid w:val="00504D74"/>
    <w:rsid w:val="0050585F"/>
    <w:rsid w:val="00507F9B"/>
    <w:rsid w:val="005101B7"/>
    <w:rsid w:val="00510B3B"/>
    <w:rsid w:val="005144AB"/>
    <w:rsid w:val="00516339"/>
    <w:rsid w:val="005163AA"/>
    <w:rsid w:val="005165CB"/>
    <w:rsid w:val="0051761A"/>
    <w:rsid w:val="005215D0"/>
    <w:rsid w:val="00521809"/>
    <w:rsid w:val="005219AD"/>
    <w:rsid w:val="0052232E"/>
    <w:rsid w:val="00522488"/>
    <w:rsid w:val="00522B1E"/>
    <w:rsid w:val="00524131"/>
    <w:rsid w:val="00524473"/>
    <w:rsid w:val="005258B8"/>
    <w:rsid w:val="00525B41"/>
    <w:rsid w:val="00526A6F"/>
    <w:rsid w:val="00527E89"/>
    <w:rsid w:val="005313C9"/>
    <w:rsid w:val="00531790"/>
    <w:rsid w:val="00532033"/>
    <w:rsid w:val="005322E9"/>
    <w:rsid w:val="005325BE"/>
    <w:rsid w:val="0053276A"/>
    <w:rsid w:val="00532EAD"/>
    <w:rsid w:val="005343E8"/>
    <w:rsid w:val="0053440E"/>
    <w:rsid w:val="005346BC"/>
    <w:rsid w:val="00536851"/>
    <w:rsid w:val="005370FF"/>
    <w:rsid w:val="00537166"/>
    <w:rsid w:val="00537B1D"/>
    <w:rsid w:val="005400B7"/>
    <w:rsid w:val="00541389"/>
    <w:rsid w:val="00541B54"/>
    <w:rsid w:val="00541F29"/>
    <w:rsid w:val="00542100"/>
    <w:rsid w:val="00542173"/>
    <w:rsid w:val="00542C99"/>
    <w:rsid w:val="00542F68"/>
    <w:rsid w:val="00543D50"/>
    <w:rsid w:val="00543DEF"/>
    <w:rsid w:val="00543F8E"/>
    <w:rsid w:val="005461FF"/>
    <w:rsid w:val="00546AFF"/>
    <w:rsid w:val="00546D3C"/>
    <w:rsid w:val="00547D3F"/>
    <w:rsid w:val="00550083"/>
    <w:rsid w:val="00550AF2"/>
    <w:rsid w:val="00552250"/>
    <w:rsid w:val="005523C0"/>
    <w:rsid w:val="00553E3E"/>
    <w:rsid w:val="005542A4"/>
    <w:rsid w:val="005557E0"/>
    <w:rsid w:val="00555971"/>
    <w:rsid w:val="0055686B"/>
    <w:rsid w:val="005574C3"/>
    <w:rsid w:val="00557C57"/>
    <w:rsid w:val="00561E8C"/>
    <w:rsid w:val="00562103"/>
    <w:rsid w:val="00562142"/>
    <w:rsid w:val="005621A0"/>
    <w:rsid w:val="00562861"/>
    <w:rsid w:val="00562D91"/>
    <w:rsid w:val="00566A65"/>
    <w:rsid w:val="00567B15"/>
    <w:rsid w:val="00567CF5"/>
    <w:rsid w:val="00570382"/>
    <w:rsid w:val="00570550"/>
    <w:rsid w:val="00570C0D"/>
    <w:rsid w:val="00571010"/>
    <w:rsid w:val="005710C3"/>
    <w:rsid w:val="005715A0"/>
    <w:rsid w:val="00572DB4"/>
    <w:rsid w:val="005756B0"/>
    <w:rsid w:val="005763B3"/>
    <w:rsid w:val="00576CB2"/>
    <w:rsid w:val="00577D92"/>
    <w:rsid w:val="00577F4F"/>
    <w:rsid w:val="00580041"/>
    <w:rsid w:val="0058082F"/>
    <w:rsid w:val="00581420"/>
    <w:rsid w:val="005834FB"/>
    <w:rsid w:val="005845E7"/>
    <w:rsid w:val="0058461F"/>
    <w:rsid w:val="00584D3D"/>
    <w:rsid w:val="00585D47"/>
    <w:rsid w:val="00586FBC"/>
    <w:rsid w:val="00587862"/>
    <w:rsid w:val="00590AE5"/>
    <w:rsid w:val="00591336"/>
    <w:rsid w:val="0059156A"/>
    <w:rsid w:val="00591E93"/>
    <w:rsid w:val="00592A15"/>
    <w:rsid w:val="00593D78"/>
    <w:rsid w:val="00594981"/>
    <w:rsid w:val="0059737D"/>
    <w:rsid w:val="005978AF"/>
    <w:rsid w:val="005A15A4"/>
    <w:rsid w:val="005A22D0"/>
    <w:rsid w:val="005A23D4"/>
    <w:rsid w:val="005A24CF"/>
    <w:rsid w:val="005A3308"/>
    <w:rsid w:val="005A36FE"/>
    <w:rsid w:val="005A3747"/>
    <w:rsid w:val="005A3A03"/>
    <w:rsid w:val="005A3DC8"/>
    <w:rsid w:val="005A5707"/>
    <w:rsid w:val="005A57F6"/>
    <w:rsid w:val="005A58F6"/>
    <w:rsid w:val="005A5A74"/>
    <w:rsid w:val="005A66BF"/>
    <w:rsid w:val="005A6868"/>
    <w:rsid w:val="005A6F88"/>
    <w:rsid w:val="005A74A2"/>
    <w:rsid w:val="005B0019"/>
    <w:rsid w:val="005B375E"/>
    <w:rsid w:val="005B4A08"/>
    <w:rsid w:val="005B4EA0"/>
    <w:rsid w:val="005C0683"/>
    <w:rsid w:val="005C0F95"/>
    <w:rsid w:val="005C19E6"/>
    <w:rsid w:val="005C1AB6"/>
    <w:rsid w:val="005C2E1F"/>
    <w:rsid w:val="005C319D"/>
    <w:rsid w:val="005C3B5F"/>
    <w:rsid w:val="005C472B"/>
    <w:rsid w:val="005C56F6"/>
    <w:rsid w:val="005C5CA4"/>
    <w:rsid w:val="005C6665"/>
    <w:rsid w:val="005D0BCF"/>
    <w:rsid w:val="005D1B87"/>
    <w:rsid w:val="005D2A5D"/>
    <w:rsid w:val="005D3B43"/>
    <w:rsid w:val="005D7B5D"/>
    <w:rsid w:val="005E0CB8"/>
    <w:rsid w:val="005E1003"/>
    <w:rsid w:val="005E13A0"/>
    <w:rsid w:val="005E2B52"/>
    <w:rsid w:val="005E34C8"/>
    <w:rsid w:val="005E39A4"/>
    <w:rsid w:val="005E3E7D"/>
    <w:rsid w:val="005E41D8"/>
    <w:rsid w:val="005E445D"/>
    <w:rsid w:val="005E5029"/>
    <w:rsid w:val="005E5B06"/>
    <w:rsid w:val="005E5D88"/>
    <w:rsid w:val="005E6937"/>
    <w:rsid w:val="005E758B"/>
    <w:rsid w:val="005F04A5"/>
    <w:rsid w:val="005F0F37"/>
    <w:rsid w:val="005F11BF"/>
    <w:rsid w:val="005F1D45"/>
    <w:rsid w:val="005F2291"/>
    <w:rsid w:val="005F2C1C"/>
    <w:rsid w:val="005F66F2"/>
    <w:rsid w:val="005F704A"/>
    <w:rsid w:val="005F70FC"/>
    <w:rsid w:val="00600A17"/>
    <w:rsid w:val="006010E2"/>
    <w:rsid w:val="00601148"/>
    <w:rsid w:val="00602329"/>
    <w:rsid w:val="006039B9"/>
    <w:rsid w:val="00604173"/>
    <w:rsid w:val="006048D2"/>
    <w:rsid w:val="00604CAA"/>
    <w:rsid w:val="00604D23"/>
    <w:rsid w:val="00607815"/>
    <w:rsid w:val="00607C45"/>
    <w:rsid w:val="00610D65"/>
    <w:rsid w:val="006111A8"/>
    <w:rsid w:val="00611629"/>
    <w:rsid w:val="00611644"/>
    <w:rsid w:val="00611888"/>
    <w:rsid w:val="0061212E"/>
    <w:rsid w:val="00612276"/>
    <w:rsid w:val="0061302F"/>
    <w:rsid w:val="00613FD3"/>
    <w:rsid w:val="00617A06"/>
    <w:rsid w:val="00617B3D"/>
    <w:rsid w:val="00620EB6"/>
    <w:rsid w:val="006214B2"/>
    <w:rsid w:val="00621F4E"/>
    <w:rsid w:val="006226BB"/>
    <w:rsid w:val="006227CE"/>
    <w:rsid w:val="00622B7C"/>
    <w:rsid w:val="00624BC7"/>
    <w:rsid w:val="0062593C"/>
    <w:rsid w:val="00625B72"/>
    <w:rsid w:val="00626089"/>
    <w:rsid w:val="00626DF7"/>
    <w:rsid w:val="006276E2"/>
    <w:rsid w:val="00627C81"/>
    <w:rsid w:val="00632389"/>
    <w:rsid w:val="00633A2C"/>
    <w:rsid w:val="00633FFE"/>
    <w:rsid w:val="00634721"/>
    <w:rsid w:val="0063559E"/>
    <w:rsid w:val="0063579A"/>
    <w:rsid w:val="00635BB7"/>
    <w:rsid w:val="00635FA3"/>
    <w:rsid w:val="006362BC"/>
    <w:rsid w:val="006411F8"/>
    <w:rsid w:val="0064148A"/>
    <w:rsid w:val="00644FD7"/>
    <w:rsid w:val="00645684"/>
    <w:rsid w:val="0064599A"/>
    <w:rsid w:val="00646524"/>
    <w:rsid w:val="006470AC"/>
    <w:rsid w:val="0064748E"/>
    <w:rsid w:val="00647666"/>
    <w:rsid w:val="006506D8"/>
    <w:rsid w:val="006519BE"/>
    <w:rsid w:val="00651D5A"/>
    <w:rsid w:val="006538D9"/>
    <w:rsid w:val="00654B87"/>
    <w:rsid w:val="00655052"/>
    <w:rsid w:val="0065584F"/>
    <w:rsid w:val="00655BCF"/>
    <w:rsid w:val="00656417"/>
    <w:rsid w:val="00656695"/>
    <w:rsid w:val="00656700"/>
    <w:rsid w:val="00657418"/>
    <w:rsid w:val="006620F6"/>
    <w:rsid w:val="00663689"/>
    <w:rsid w:val="00663AB5"/>
    <w:rsid w:val="00664A7A"/>
    <w:rsid w:val="00664C87"/>
    <w:rsid w:val="0066547E"/>
    <w:rsid w:val="00666C89"/>
    <w:rsid w:val="00666DE9"/>
    <w:rsid w:val="0066723A"/>
    <w:rsid w:val="0066770A"/>
    <w:rsid w:val="00670282"/>
    <w:rsid w:val="00670D34"/>
    <w:rsid w:val="006714E9"/>
    <w:rsid w:val="00672738"/>
    <w:rsid w:val="00672831"/>
    <w:rsid w:val="0067327D"/>
    <w:rsid w:val="00673A9B"/>
    <w:rsid w:val="00673C54"/>
    <w:rsid w:val="00673F34"/>
    <w:rsid w:val="006765A4"/>
    <w:rsid w:val="00676731"/>
    <w:rsid w:val="006767BC"/>
    <w:rsid w:val="00677182"/>
    <w:rsid w:val="0067742B"/>
    <w:rsid w:val="00677937"/>
    <w:rsid w:val="00677A65"/>
    <w:rsid w:val="00677B6A"/>
    <w:rsid w:val="006838B8"/>
    <w:rsid w:val="006842E5"/>
    <w:rsid w:val="006851AA"/>
    <w:rsid w:val="00686406"/>
    <w:rsid w:val="00686C3D"/>
    <w:rsid w:val="0069004B"/>
    <w:rsid w:val="006929A3"/>
    <w:rsid w:val="00692D15"/>
    <w:rsid w:val="00696350"/>
    <w:rsid w:val="006966F3"/>
    <w:rsid w:val="00696A50"/>
    <w:rsid w:val="00696FBA"/>
    <w:rsid w:val="00697744"/>
    <w:rsid w:val="00697BD1"/>
    <w:rsid w:val="006A0276"/>
    <w:rsid w:val="006A0606"/>
    <w:rsid w:val="006A0B60"/>
    <w:rsid w:val="006A0D13"/>
    <w:rsid w:val="006A0E8E"/>
    <w:rsid w:val="006A106A"/>
    <w:rsid w:val="006A3276"/>
    <w:rsid w:val="006A367C"/>
    <w:rsid w:val="006A3BAE"/>
    <w:rsid w:val="006A63F1"/>
    <w:rsid w:val="006A6E15"/>
    <w:rsid w:val="006B143F"/>
    <w:rsid w:val="006B43C7"/>
    <w:rsid w:val="006B4662"/>
    <w:rsid w:val="006B4784"/>
    <w:rsid w:val="006B5775"/>
    <w:rsid w:val="006B5CC3"/>
    <w:rsid w:val="006B63B6"/>
    <w:rsid w:val="006C000D"/>
    <w:rsid w:val="006C0952"/>
    <w:rsid w:val="006C2656"/>
    <w:rsid w:val="006C46E6"/>
    <w:rsid w:val="006C4B36"/>
    <w:rsid w:val="006C5C7F"/>
    <w:rsid w:val="006C74D6"/>
    <w:rsid w:val="006D0A8C"/>
    <w:rsid w:val="006D0C6C"/>
    <w:rsid w:val="006D1367"/>
    <w:rsid w:val="006D1371"/>
    <w:rsid w:val="006D17C4"/>
    <w:rsid w:val="006D1C59"/>
    <w:rsid w:val="006D2696"/>
    <w:rsid w:val="006D2E53"/>
    <w:rsid w:val="006D4591"/>
    <w:rsid w:val="006D61F7"/>
    <w:rsid w:val="006D712E"/>
    <w:rsid w:val="006D7E0E"/>
    <w:rsid w:val="006E0B35"/>
    <w:rsid w:val="006E1B3C"/>
    <w:rsid w:val="006E1E65"/>
    <w:rsid w:val="006E42F0"/>
    <w:rsid w:val="006E4662"/>
    <w:rsid w:val="006E4DE1"/>
    <w:rsid w:val="006E5F07"/>
    <w:rsid w:val="006E72DF"/>
    <w:rsid w:val="006F061C"/>
    <w:rsid w:val="006F0CE7"/>
    <w:rsid w:val="006F0D7C"/>
    <w:rsid w:val="006F19C3"/>
    <w:rsid w:val="006F2BDA"/>
    <w:rsid w:val="006F51D1"/>
    <w:rsid w:val="006F5A04"/>
    <w:rsid w:val="006F6B9B"/>
    <w:rsid w:val="0070033D"/>
    <w:rsid w:val="00700AEE"/>
    <w:rsid w:val="007010E7"/>
    <w:rsid w:val="00701571"/>
    <w:rsid w:val="00702E56"/>
    <w:rsid w:val="007049CF"/>
    <w:rsid w:val="00704ECD"/>
    <w:rsid w:val="00706B88"/>
    <w:rsid w:val="00706D06"/>
    <w:rsid w:val="007118F1"/>
    <w:rsid w:val="007119C5"/>
    <w:rsid w:val="00714174"/>
    <w:rsid w:val="00715844"/>
    <w:rsid w:val="007158E0"/>
    <w:rsid w:val="00716F6D"/>
    <w:rsid w:val="0071793F"/>
    <w:rsid w:val="00720D67"/>
    <w:rsid w:val="00721898"/>
    <w:rsid w:val="00721F5C"/>
    <w:rsid w:val="00722F57"/>
    <w:rsid w:val="0072417F"/>
    <w:rsid w:val="007242C9"/>
    <w:rsid w:val="00725603"/>
    <w:rsid w:val="00725999"/>
    <w:rsid w:val="00725C2D"/>
    <w:rsid w:val="0072628F"/>
    <w:rsid w:val="00726880"/>
    <w:rsid w:val="00726DB6"/>
    <w:rsid w:val="00726DC9"/>
    <w:rsid w:val="007305B1"/>
    <w:rsid w:val="0073238A"/>
    <w:rsid w:val="0073285A"/>
    <w:rsid w:val="0073346A"/>
    <w:rsid w:val="0073389A"/>
    <w:rsid w:val="00733CFE"/>
    <w:rsid w:val="0073458A"/>
    <w:rsid w:val="0073542F"/>
    <w:rsid w:val="0073613B"/>
    <w:rsid w:val="00736F06"/>
    <w:rsid w:val="00737316"/>
    <w:rsid w:val="007404D7"/>
    <w:rsid w:val="00740F8D"/>
    <w:rsid w:val="007420D1"/>
    <w:rsid w:val="007422C2"/>
    <w:rsid w:val="0074243A"/>
    <w:rsid w:val="0074690C"/>
    <w:rsid w:val="00746BD0"/>
    <w:rsid w:val="00746F96"/>
    <w:rsid w:val="00747073"/>
    <w:rsid w:val="007478B6"/>
    <w:rsid w:val="00747BA4"/>
    <w:rsid w:val="00747BFE"/>
    <w:rsid w:val="00750500"/>
    <w:rsid w:val="007517C6"/>
    <w:rsid w:val="00751D4D"/>
    <w:rsid w:val="00752093"/>
    <w:rsid w:val="00752DD7"/>
    <w:rsid w:val="00753C03"/>
    <w:rsid w:val="00754EAB"/>
    <w:rsid w:val="00754F5D"/>
    <w:rsid w:val="0075607B"/>
    <w:rsid w:val="0075677B"/>
    <w:rsid w:val="00756D77"/>
    <w:rsid w:val="00757D75"/>
    <w:rsid w:val="00757E2D"/>
    <w:rsid w:val="0076052A"/>
    <w:rsid w:val="00760B68"/>
    <w:rsid w:val="00761CF9"/>
    <w:rsid w:val="00761E5B"/>
    <w:rsid w:val="00761F74"/>
    <w:rsid w:val="007639D7"/>
    <w:rsid w:val="00763A1A"/>
    <w:rsid w:val="00763FA9"/>
    <w:rsid w:val="00764CF5"/>
    <w:rsid w:val="00765BD3"/>
    <w:rsid w:val="007661B6"/>
    <w:rsid w:val="007668A3"/>
    <w:rsid w:val="00767B3E"/>
    <w:rsid w:val="007706D7"/>
    <w:rsid w:val="007713E7"/>
    <w:rsid w:val="0077280B"/>
    <w:rsid w:val="00772B1B"/>
    <w:rsid w:val="00772E2D"/>
    <w:rsid w:val="00773402"/>
    <w:rsid w:val="007737CB"/>
    <w:rsid w:val="00773BBA"/>
    <w:rsid w:val="007740AE"/>
    <w:rsid w:val="007740ED"/>
    <w:rsid w:val="007745D6"/>
    <w:rsid w:val="00776D52"/>
    <w:rsid w:val="00781A60"/>
    <w:rsid w:val="00781AAD"/>
    <w:rsid w:val="00782060"/>
    <w:rsid w:val="0078330B"/>
    <w:rsid w:val="007846F7"/>
    <w:rsid w:val="00784823"/>
    <w:rsid w:val="00785B9B"/>
    <w:rsid w:val="00786354"/>
    <w:rsid w:val="007864B8"/>
    <w:rsid w:val="007864D1"/>
    <w:rsid w:val="0078650C"/>
    <w:rsid w:val="00786607"/>
    <w:rsid w:val="007876B9"/>
    <w:rsid w:val="00787CA8"/>
    <w:rsid w:val="00787E3F"/>
    <w:rsid w:val="0079002D"/>
    <w:rsid w:val="00790250"/>
    <w:rsid w:val="007929CF"/>
    <w:rsid w:val="007940A1"/>
    <w:rsid w:val="00794348"/>
    <w:rsid w:val="00796710"/>
    <w:rsid w:val="00797752"/>
    <w:rsid w:val="00797AD5"/>
    <w:rsid w:val="007A0532"/>
    <w:rsid w:val="007A0E79"/>
    <w:rsid w:val="007A11E2"/>
    <w:rsid w:val="007A12B6"/>
    <w:rsid w:val="007A1632"/>
    <w:rsid w:val="007A1718"/>
    <w:rsid w:val="007A190E"/>
    <w:rsid w:val="007A2A80"/>
    <w:rsid w:val="007A3162"/>
    <w:rsid w:val="007A358E"/>
    <w:rsid w:val="007A3C53"/>
    <w:rsid w:val="007A3C7C"/>
    <w:rsid w:val="007A4607"/>
    <w:rsid w:val="007A50A6"/>
    <w:rsid w:val="007A677D"/>
    <w:rsid w:val="007A683C"/>
    <w:rsid w:val="007A6D81"/>
    <w:rsid w:val="007A7262"/>
    <w:rsid w:val="007A753D"/>
    <w:rsid w:val="007A7CD1"/>
    <w:rsid w:val="007B277E"/>
    <w:rsid w:val="007B446C"/>
    <w:rsid w:val="007B5F80"/>
    <w:rsid w:val="007B6553"/>
    <w:rsid w:val="007B6725"/>
    <w:rsid w:val="007B6B2D"/>
    <w:rsid w:val="007B6C1A"/>
    <w:rsid w:val="007B75D2"/>
    <w:rsid w:val="007B7F0D"/>
    <w:rsid w:val="007C0994"/>
    <w:rsid w:val="007C0E9C"/>
    <w:rsid w:val="007C100B"/>
    <w:rsid w:val="007C1AAB"/>
    <w:rsid w:val="007C277C"/>
    <w:rsid w:val="007C2CD9"/>
    <w:rsid w:val="007C33C1"/>
    <w:rsid w:val="007C3D9D"/>
    <w:rsid w:val="007D224B"/>
    <w:rsid w:val="007D36F7"/>
    <w:rsid w:val="007D379B"/>
    <w:rsid w:val="007D4F6D"/>
    <w:rsid w:val="007D6284"/>
    <w:rsid w:val="007D66A6"/>
    <w:rsid w:val="007D6D99"/>
    <w:rsid w:val="007D7D3E"/>
    <w:rsid w:val="007D7FAC"/>
    <w:rsid w:val="007E033F"/>
    <w:rsid w:val="007E63CD"/>
    <w:rsid w:val="007E6FFD"/>
    <w:rsid w:val="007E73EB"/>
    <w:rsid w:val="007E75C3"/>
    <w:rsid w:val="007E79A7"/>
    <w:rsid w:val="007F09E8"/>
    <w:rsid w:val="007F0A48"/>
    <w:rsid w:val="007F0B1C"/>
    <w:rsid w:val="007F17AF"/>
    <w:rsid w:val="007F1E92"/>
    <w:rsid w:val="007F29B9"/>
    <w:rsid w:val="007F5708"/>
    <w:rsid w:val="007F6258"/>
    <w:rsid w:val="007F74D7"/>
    <w:rsid w:val="007F7FF9"/>
    <w:rsid w:val="008001F9"/>
    <w:rsid w:val="00801319"/>
    <w:rsid w:val="00801AC0"/>
    <w:rsid w:val="00801E84"/>
    <w:rsid w:val="008033D4"/>
    <w:rsid w:val="00806535"/>
    <w:rsid w:val="0081009D"/>
    <w:rsid w:val="00810802"/>
    <w:rsid w:val="00810FDD"/>
    <w:rsid w:val="00811867"/>
    <w:rsid w:val="008141BD"/>
    <w:rsid w:val="00814D05"/>
    <w:rsid w:val="00815DAB"/>
    <w:rsid w:val="0081613F"/>
    <w:rsid w:val="0081657F"/>
    <w:rsid w:val="00817169"/>
    <w:rsid w:val="00817BB7"/>
    <w:rsid w:val="00820422"/>
    <w:rsid w:val="00821351"/>
    <w:rsid w:val="008231F5"/>
    <w:rsid w:val="00823B92"/>
    <w:rsid w:val="00823C97"/>
    <w:rsid w:val="00823F6F"/>
    <w:rsid w:val="008242BD"/>
    <w:rsid w:val="00824573"/>
    <w:rsid w:val="0082458A"/>
    <w:rsid w:val="0082478E"/>
    <w:rsid w:val="008264EB"/>
    <w:rsid w:val="008264EC"/>
    <w:rsid w:val="00827F73"/>
    <w:rsid w:val="0083092D"/>
    <w:rsid w:val="00831C97"/>
    <w:rsid w:val="008325E0"/>
    <w:rsid w:val="008334C2"/>
    <w:rsid w:val="00833D63"/>
    <w:rsid w:val="00834B06"/>
    <w:rsid w:val="00835929"/>
    <w:rsid w:val="00835BA3"/>
    <w:rsid w:val="00835EC6"/>
    <w:rsid w:val="008360B0"/>
    <w:rsid w:val="00836632"/>
    <w:rsid w:val="00836E8C"/>
    <w:rsid w:val="00837456"/>
    <w:rsid w:val="00837604"/>
    <w:rsid w:val="00840076"/>
    <w:rsid w:val="008404DD"/>
    <w:rsid w:val="00840C13"/>
    <w:rsid w:val="008413B1"/>
    <w:rsid w:val="00841E18"/>
    <w:rsid w:val="00841EC6"/>
    <w:rsid w:val="008435BF"/>
    <w:rsid w:val="00843871"/>
    <w:rsid w:val="00844E8D"/>
    <w:rsid w:val="00844F37"/>
    <w:rsid w:val="00846772"/>
    <w:rsid w:val="008473D4"/>
    <w:rsid w:val="00851BAB"/>
    <w:rsid w:val="00854497"/>
    <w:rsid w:val="00854792"/>
    <w:rsid w:val="00854E08"/>
    <w:rsid w:val="00854E33"/>
    <w:rsid w:val="00857DB8"/>
    <w:rsid w:val="00861D0D"/>
    <w:rsid w:val="00862DAC"/>
    <w:rsid w:val="00863159"/>
    <w:rsid w:val="008632C1"/>
    <w:rsid w:val="00863BB5"/>
    <w:rsid w:val="00864998"/>
    <w:rsid w:val="008649A5"/>
    <w:rsid w:val="008649C8"/>
    <w:rsid w:val="008663FB"/>
    <w:rsid w:val="008673B0"/>
    <w:rsid w:val="0087097B"/>
    <w:rsid w:val="00872383"/>
    <w:rsid w:val="0087433C"/>
    <w:rsid w:val="00875A31"/>
    <w:rsid w:val="0087795E"/>
    <w:rsid w:val="008800CA"/>
    <w:rsid w:val="00881337"/>
    <w:rsid w:val="0088144C"/>
    <w:rsid w:val="0088308E"/>
    <w:rsid w:val="0088377E"/>
    <w:rsid w:val="00883FD6"/>
    <w:rsid w:val="008864AD"/>
    <w:rsid w:val="008865E8"/>
    <w:rsid w:val="00886823"/>
    <w:rsid w:val="00887BCB"/>
    <w:rsid w:val="008902E5"/>
    <w:rsid w:val="00891359"/>
    <w:rsid w:val="008913A7"/>
    <w:rsid w:val="0089191E"/>
    <w:rsid w:val="008926D5"/>
    <w:rsid w:val="00892A97"/>
    <w:rsid w:val="00893D41"/>
    <w:rsid w:val="00894B65"/>
    <w:rsid w:val="00894CA6"/>
    <w:rsid w:val="00895EF0"/>
    <w:rsid w:val="00895F12"/>
    <w:rsid w:val="008971C5"/>
    <w:rsid w:val="0089769A"/>
    <w:rsid w:val="00897A46"/>
    <w:rsid w:val="008A0BDC"/>
    <w:rsid w:val="008A2865"/>
    <w:rsid w:val="008A2DB3"/>
    <w:rsid w:val="008A4E7C"/>
    <w:rsid w:val="008A65AD"/>
    <w:rsid w:val="008A6BD4"/>
    <w:rsid w:val="008A7C65"/>
    <w:rsid w:val="008B1AF6"/>
    <w:rsid w:val="008B2593"/>
    <w:rsid w:val="008B3494"/>
    <w:rsid w:val="008B4121"/>
    <w:rsid w:val="008B4524"/>
    <w:rsid w:val="008B4C55"/>
    <w:rsid w:val="008B510C"/>
    <w:rsid w:val="008B5889"/>
    <w:rsid w:val="008B6AD2"/>
    <w:rsid w:val="008B7FD4"/>
    <w:rsid w:val="008C09AD"/>
    <w:rsid w:val="008C1312"/>
    <w:rsid w:val="008C1A8C"/>
    <w:rsid w:val="008C1C13"/>
    <w:rsid w:val="008C1F04"/>
    <w:rsid w:val="008C210F"/>
    <w:rsid w:val="008C21A2"/>
    <w:rsid w:val="008C4F13"/>
    <w:rsid w:val="008C54CC"/>
    <w:rsid w:val="008C58B0"/>
    <w:rsid w:val="008C5AE2"/>
    <w:rsid w:val="008C5D4D"/>
    <w:rsid w:val="008C6B01"/>
    <w:rsid w:val="008C6CAD"/>
    <w:rsid w:val="008D088B"/>
    <w:rsid w:val="008D1095"/>
    <w:rsid w:val="008D24C6"/>
    <w:rsid w:val="008D3C92"/>
    <w:rsid w:val="008D5331"/>
    <w:rsid w:val="008E3CD9"/>
    <w:rsid w:val="008E4823"/>
    <w:rsid w:val="008E5C60"/>
    <w:rsid w:val="008E6AE5"/>
    <w:rsid w:val="008E6AF4"/>
    <w:rsid w:val="008F02EB"/>
    <w:rsid w:val="008F0315"/>
    <w:rsid w:val="008F06EE"/>
    <w:rsid w:val="008F0B39"/>
    <w:rsid w:val="008F0B8D"/>
    <w:rsid w:val="008F1252"/>
    <w:rsid w:val="008F2C50"/>
    <w:rsid w:val="008F52B8"/>
    <w:rsid w:val="008F5531"/>
    <w:rsid w:val="008F581F"/>
    <w:rsid w:val="008F5E69"/>
    <w:rsid w:val="008F61EF"/>
    <w:rsid w:val="008F6B45"/>
    <w:rsid w:val="008F725D"/>
    <w:rsid w:val="008F742E"/>
    <w:rsid w:val="0090049E"/>
    <w:rsid w:val="00900510"/>
    <w:rsid w:val="00900BC9"/>
    <w:rsid w:val="00903284"/>
    <w:rsid w:val="009034F2"/>
    <w:rsid w:val="00903932"/>
    <w:rsid w:val="00904920"/>
    <w:rsid w:val="00904D72"/>
    <w:rsid w:val="00905FB6"/>
    <w:rsid w:val="009123BE"/>
    <w:rsid w:val="0091327E"/>
    <w:rsid w:val="00914F71"/>
    <w:rsid w:val="0091527C"/>
    <w:rsid w:val="00915A69"/>
    <w:rsid w:val="00915FFC"/>
    <w:rsid w:val="00916071"/>
    <w:rsid w:val="0091677E"/>
    <w:rsid w:val="00917427"/>
    <w:rsid w:val="00917B15"/>
    <w:rsid w:val="009216A0"/>
    <w:rsid w:val="00923F12"/>
    <w:rsid w:val="0093082A"/>
    <w:rsid w:val="00930A1D"/>
    <w:rsid w:val="00931EBA"/>
    <w:rsid w:val="0093215B"/>
    <w:rsid w:val="00932D76"/>
    <w:rsid w:val="00933283"/>
    <w:rsid w:val="0093389C"/>
    <w:rsid w:val="00933A54"/>
    <w:rsid w:val="00933E20"/>
    <w:rsid w:val="0093404B"/>
    <w:rsid w:val="009341C9"/>
    <w:rsid w:val="00935284"/>
    <w:rsid w:val="00940D4B"/>
    <w:rsid w:val="0094134D"/>
    <w:rsid w:val="009421DE"/>
    <w:rsid w:val="00943927"/>
    <w:rsid w:val="00943C42"/>
    <w:rsid w:val="00944755"/>
    <w:rsid w:val="009457C1"/>
    <w:rsid w:val="00945E48"/>
    <w:rsid w:val="00945F64"/>
    <w:rsid w:val="00945F9C"/>
    <w:rsid w:val="00947DB4"/>
    <w:rsid w:val="00947DDE"/>
    <w:rsid w:val="00947E4D"/>
    <w:rsid w:val="009515DC"/>
    <w:rsid w:val="00951E6F"/>
    <w:rsid w:val="00952A37"/>
    <w:rsid w:val="0095379F"/>
    <w:rsid w:val="00954C80"/>
    <w:rsid w:val="00954F51"/>
    <w:rsid w:val="00955427"/>
    <w:rsid w:val="009557D1"/>
    <w:rsid w:val="00955D29"/>
    <w:rsid w:val="009574F0"/>
    <w:rsid w:val="00960B15"/>
    <w:rsid w:val="00961986"/>
    <w:rsid w:val="00962E21"/>
    <w:rsid w:val="00963111"/>
    <w:rsid w:val="00963828"/>
    <w:rsid w:val="00964051"/>
    <w:rsid w:val="00964C10"/>
    <w:rsid w:val="00964CDD"/>
    <w:rsid w:val="00965426"/>
    <w:rsid w:val="00965683"/>
    <w:rsid w:val="0096673F"/>
    <w:rsid w:val="00966761"/>
    <w:rsid w:val="00966FFC"/>
    <w:rsid w:val="009671C0"/>
    <w:rsid w:val="009709B4"/>
    <w:rsid w:val="00970E2F"/>
    <w:rsid w:val="0097221D"/>
    <w:rsid w:val="00974DF9"/>
    <w:rsid w:val="00974F71"/>
    <w:rsid w:val="00976D4E"/>
    <w:rsid w:val="00976F44"/>
    <w:rsid w:val="00980B80"/>
    <w:rsid w:val="009859C1"/>
    <w:rsid w:val="00985BC1"/>
    <w:rsid w:val="00987152"/>
    <w:rsid w:val="00987384"/>
    <w:rsid w:val="0098744B"/>
    <w:rsid w:val="00990527"/>
    <w:rsid w:val="009907AC"/>
    <w:rsid w:val="0099083D"/>
    <w:rsid w:val="00990B70"/>
    <w:rsid w:val="00991C54"/>
    <w:rsid w:val="00991F68"/>
    <w:rsid w:val="009948A6"/>
    <w:rsid w:val="00994DFD"/>
    <w:rsid w:val="009A0F41"/>
    <w:rsid w:val="009A24CF"/>
    <w:rsid w:val="009A2606"/>
    <w:rsid w:val="009A3158"/>
    <w:rsid w:val="009A4D7A"/>
    <w:rsid w:val="009A56EA"/>
    <w:rsid w:val="009A63F6"/>
    <w:rsid w:val="009A68D0"/>
    <w:rsid w:val="009A7B0C"/>
    <w:rsid w:val="009A7FDA"/>
    <w:rsid w:val="009B0184"/>
    <w:rsid w:val="009B068A"/>
    <w:rsid w:val="009B0D96"/>
    <w:rsid w:val="009B2203"/>
    <w:rsid w:val="009B406E"/>
    <w:rsid w:val="009B4DB3"/>
    <w:rsid w:val="009B5647"/>
    <w:rsid w:val="009B6CD0"/>
    <w:rsid w:val="009B6DA9"/>
    <w:rsid w:val="009B7224"/>
    <w:rsid w:val="009C0BD7"/>
    <w:rsid w:val="009C0FD6"/>
    <w:rsid w:val="009C1337"/>
    <w:rsid w:val="009C1EA8"/>
    <w:rsid w:val="009C221C"/>
    <w:rsid w:val="009C2775"/>
    <w:rsid w:val="009C385C"/>
    <w:rsid w:val="009C440D"/>
    <w:rsid w:val="009C4724"/>
    <w:rsid w:val="009C4D12"/>
    <w:rsid w:val="009C6774"/>
    <w:rsid w:val="009C73CD"/>
    <w:rsid w:val="009D3177"/>
    <w:rsid w:val="009D3312"/>
    <w:rsid w:val="009D4B03"/>
    <w:rsid w:val="009D5440"/>
    <w:rsid w:val="009D5C79"/>
    <w:rsid w:val="009D65CA"/>
    <w:rsid w:val="009D72BB"/>
    <w:rsid w:val="009D78A4"/>
    <w:rsid w:val="009E02F6"/>
    <w:rsid w:val="009E17E7"/>
    <w:rsid w:val="009E243C"/>
    <w:rsid w:val="009E2B8C"/>
    <w:rsid w:val="009E56FD"/>
    <w:rsid w:val="009E616C"/>
    <w:rsid w:val="009E6445"/>
    <w:rsid w:val="009E796C"/>
    <w:rsid w:val="009F008E"/>
    <w:rsid w:val="009F0250"/>
    <w:rsid w:val="009F02D2"/>
    <w:rsid w:val="009F040E"/>
    <w:rsid w:val="009F090B"/>
    <w:rsid w:val="009F10E0"/>
    <w:rsid w:val="009F12BF"/>
    <w:rsid w:val="009F157C"/>
    <w:rsid w:val="009F2159"/>
    <w:rsid w:val="009F28C8"/>
    <w:rsid w:val="009F2AE3"/>
    <w:rsid w:val="009F34A5"/>
    <w:rsid w:val="009F4CDF"/>
    <w:rsid w:val="009F53B4"/>
    <w:rsid w:val="009F54B1"/>
    <w:rsid w:val="00A00572"/>
    <w:rsid w:val="00A006BB"/>
    <w:rsid w:val="00A0167B"/>
    <w:rsid w:val="00A018FF"/>
    <w:rsid w:val="00A02664"/>
    <w:rsid w:val="00A033FB"/>
    <w:rsid w:val="00A03B21"/>
    <w:rsid w:val="00A04AB5"/>
    <w:rsid w:val="00A04F19"/>
    <w:rsid w:val="00A057B4"/>
    <w:rsid w:val="00A059C8"/>
    <w:rsid w:val="00A06DEE"/>
    <w:rsid w:val="00A07639"/>
    <w:rsid w:val="00A07C77"/>
    <w:rsid w:val="00A07EAF"/>
    <w:rsid w:val="00A1018A"/>
    <w:rsid w:val="00A104F7"/>
    <w:rsid w:val="00A10C8E"/>
    <w:rsid w:val="00A11EBC"/>
    <w:rsid w:val="00A121E7"/>
    <w:rsid w:val="00A13CDF"/>
    <w:rsid w:val="00A14295"/>
    <w:rsid w:val="00A144F9"/>
    <w:rsid w:val="00A15274"/>
    <w:rsid w:val="00A15C02"/>
    <w:rsid w:val="00A169B1"/>
    <w:rsid w:val="00A16AF7"/>
    <w:rsid w:val="00A1775D"/>
    <w:rsid w:val="00A17A7C"/>
    <w:rsid w:val="00A20DA5"/>
    <w:rsid w:val="00A21318"/>
    <w:rsid w:val="00A229A7"/>
    <w:rsid w:val="00A24C64"/>
    <w:rsid w:val="00A25D98"/>
    <w:rsid w:val="00A26185"/>
    <w:rsid w:val="00A2631D"/>
    <w:rsid w:val="00A264F1"/>
    <w:rsid w:val="00A26740"/>
    <w:rsid w:val="00A2678C"/>
    <w:rsid w:val="00A27FDB"/>
    <w:rsid w:val="00A30BCA"/>
    <w:rsid w:val="00A3205A"/>
    <w:rsid w:val="00A3303F"/>
    <w:rsid w:val="00A334F2"/>
    <w:rsid w:val="00A341CE"/>
    <w:rsid w:val="00A34708"/>
    <w:rsid w:val="00A35061"/>
    <w:rsid w:val="00A35A43"/>
    <w:rsid w:val="00A35D4D"/>
    <w:rsid w:val="00A36894"/>
    <w:rsid w:val="00A36FC2"/>
    <w:rsid w:val="00A4133C"/>
    <w:rsid w:val="00A4254B"/>
    <w:rsid w:val="00A44208"/>
    <w:rsid w:val="00A4422A"/>
    <w:rsid w:val="00A4512D"/>
    <w:rsid w:val="00A460BC"/>
    <w:rsid w:val="00A46226"/>
    <w:rsid w:val="00A4701E"/>
    <w:rsid w:val="00A47406"/>
    <w:rsid w:val="00A50C75"/>
    <w:rsid w:val="00A512E6"/>
    <w:rsid w:val="00A51686"/>
    <w:rsid w:val="00A52DA7"/>
    <w:rsid w:val="00A535F3"/>
    <w:rsid w:val="00A53E42"/>
    <w:rsid w:val="00A53F10"/>
    <w:rsid w:val="00A540FF"/>
    <w:rsid w:val="00A54E0C"/>
    <w:rsid w:val="00A56176"/>
    <w:rsid w:val="00A5621C"/>
    <w:rsid w:val="00A569B8"/>
    <w:rsid w:val="00A57410"/>
    <w:rsid w:val="00A626AA"/>
    <w:rsid w:val="00A62804"/>
    <w:rsid w:val="00A6326C"/>
    <w:rsid w:val="00A633FA"/>
    <w:rsid w:val="00A63AD2"/>
    <w:rsid w:val="00A63EC0"/>
    <w:rsid w:val="00A64750"/>
    <w:rsid w:val="00A6476E"/>
    <w:rsid w:val="00A67783"/>
    <w:rsid w:val="00A6790A"/>
    <w:rsid w:val="00A705AF"/>
    <w:rsid w:val="00A71213"/>
    <w:rsid w:val="00A7387A"/>
    <w:rsid w:val="00A74024"/>
    <w:rsid w:val="00A74AAA"/>
    <w:rsid w:val="00A755E1"/>
    <w:rsid w:val="00A760A2"/>
    <w:rsid w:val="00A76A9E"/>
    <w:rsid w:val="00A77629"/>
    <w:rsid w:val="00A8039D"/>
    <w:rsid w:val="00A8089F"/>
    <w:rsid w:val="00A809CB"/>
    <w:rsid w:val="00A81B1E"/>
    <w:rsid w:val="00A8262D"/>
    <w:rsid w:val="00A841C9"/>
    <w:rsid w:val="00A87E91"/>
    <w:rsid w:val="00A90A9D"/>
    <w:rsid w:val="00A90B23"/>
    <w:rsid w:val="00A9135B"/>
    <w:rsid w:val="00A929B7"/>
    <w:rsid w:val="00A95695"/>
    <w:rsid w:val="00A95E5E"/>
    <w:rsid w:val="00A963DA"/>
    <w:rsid w:val="00A97F06"/>
    <w:rsid w:val="00AA07D7"/>
    <w:rsid w:val="00AA12A2"/>
    <w:rsid w:val="00AA1B8D"/>
    <w:rsid w:val="00AA23B3"/>
    <w:rsid w:val="00AA271D"/>
    <w:rsid w:val="00AA449E"/>
    <w:rsid w:val="00AA45F4"/>
    <w:rsid w:val="00AA52FF"/>
    <w:rsid w:val="00AA5855"/>
    <w:rsid w:val="00AA6012"/>
    <w:rsid w:val="00AA68CA"/>
    <w:rsid w:val="00AA78D3"/>
    <w:rsid w:val="00AA7AAB"/>
    <w:rsid w:val="00AB0212"/>
    <w:rsid w:val="00AB0292"/>
    <w:rsid w:val="00AB2E8D"/>
    <w:rsid w:val="00AB46A9"/>
    <w:rsid w:val="00AB4958"/>
    <w:rsid w:val="00AC08B2"/>
    <w:rsid w:val="00AC0CED"/>
    <w:rsid w:val="00AC15AF"/>
    <w:rsid w:val="00AC224D"/>
    <w:rsid w:val="00AC35BF"/>
    <w:rsid w:val="00AC3687"/>
    <w:rsid w:val="00AC3A3D"/>
    <w:rsid w:val="00AC3C88"/>
    <w:rsid w:val="00AC3F0F"/>
    <w:rsid w:val="00AC4127"/>
    <w:rsid w:val="00AC747C"/>
    <w:rsid w:val="00AD182D"/>
    <w:rsid w:val="00AD1968"/>
    <w:rsid w:val="00AD361D"/>
    <w:rsid w:val="00AD4A38"/>
    <w:rsid w:val="00AD5178"/>
    <w:rsid w:val="00AD52AD"/>
    <w:rsid w:val="00AD5D0E"/>
    <w:rsid w:val="00AD6553"/>
    <w:rsid w:val="00AD68B0"/>
    <w:rsid w:val="00AD7C5E"/>
    <w:rsid w:val="00AE0BF4"/>
    <w:rsid w:val="00AE1957"/>
    <w:rsid w:val="00AE24FE"/>
    <w:rsid w:val="00AE25E7"/>
    <w:rsid w:val="00AE3941"/>
    <w:rsid w:val="00AE3DB7"/>
    <w:rsid w:val="00AE45B1"/>
    <w:rsid w:val="00AE585C"/>
    <w:rsid w:val="00AE5D9E"/>
    <w:rsid w:val="00AE5E49"/>
    <w:rsid w:val="00AE64B7"/>
    <w:rsid w:val="00AE6688"/>
    <w:rsid w:val="00AE76E2"/>
    <w:rsid w:val="00AF0FF9"/>
    <w:rsid w:val="00AF156E"/>
    <w:rsid w:val="00AF1743"/>
    <w:rsid w:val="00AF2722"/>
    <w:rsid w:val="00AF2A67"/>
    <w:rsid w:val="00AF2EDD"/>
    <w:rsid w:val="00AF322F"/>
    <w:rsid w:val="00AF40D4"/>
    <w:rsid w:val="00AF4BCE"/>
    <w:rsid w:val="00AF5A1A"/>
    <w:rsid w:val="00AF7186"/>
    <w:rsid w:val="00AF7A7C"/>
    <w:rsid w:val="00B018E5"/>
    <w:rsid w:val="00B02A33"/>
    <w:rsid w:val="00B02F15"/>
    <w:rsid w:val="00B04679"/>
    <w:rsid w:val="00B064F1"/>
    <w:rsid w:val="00B079D9"/>
    <w:rsid w:val="00B07D60"/>
    <w:rsid w:val="00B105A1"/>
    <w:rsid w:val="00B10BE9"/>
    <w:rsid w:val="00B1553D"/>
    <w:rsid w:val="00B15A20"/>
    <w:rsid w:val="00B15C37"/>
    <w:rsid w:val="00B15C63"/>
    <w:rsid w:val="00B210AA"/>
    <w:rsid w:val="00B21526"/>
    <w:rsid w:val="00B21B38"/>
    <w:rsid w:val="00B22E05"/>
    <w:rsid w:val="00B232C7"/>
    <w:rsid w:val="00B23D01"/>
    <w:rsid w:val="00B23D14"/>
    <w:rsid w:val="00B240BD"/>
    <w:rsid w:val="00B252A7"/>
    <w:rsid w:val="00B263FA"/>
    <w:rsid w:val="00B26855"/>
    <w:rsid w:val="00B3000F"/>
    <w:rsid w:val="00B306B0"/>
    <w:rsid w:val="00B30911"/>
    <w:rsid w:val="00B30B67"/>
    <w:rsid w:val="00B30D0F"/>
    <w:rsid w:val="00B34178"/>
    <w:rsid w:val="00B34C08"/>
    <w:rsid w:val="00B35395"/>
    <w:rsid w:val="00B35CBD"/>
    <w:rsid w:val="00B37636"/>
    <w:rsid w:val="00B37738"/>
    <w:rsid w:val="00B406BB"/>
    <w:rsid w:val="00B41924"/>
    <w:rsid w:val="00B42851"/>
    <w:rsid w:val="00B434A3"/>
    <w:rsid w:val="00B435DC"/>
    <w:rsid w:val="00B43783"/>
    <w:rsid w:val="00B43900"/>
    <w:rsid w:val="00B44BA8"/>
    <w:rsid w:val="00B458DA"/>
    <w:rsid w:val="00B45B2B"/>
    <w:rsid w:val="00B46EA4"/>
    <w:rsid w:val="00B47416"/>
    <w:rsid w:val="00B4761C"/>
    <w:rsid w:val="00B47A97"/>
    <w:rsid w:val="00B47DD5"/>
    <w:rsid w:val="00B47E72"/>
    <w:rsid w:val="00B51F25"/>
    <w:rsid w:val="00B52CE6"/>
    <w:rsid w:val="00B52FEA"/>
    <w:rsid w:val="00B532A4"/>
    <w:rsid w:val="00B542B5"/>
    <w:rsid w:val="00B546EB"/>
    <w:rsid w:val="00B54FA0"/>
    <w:rsid w:val="00B563D9"/>
    <w:rsid w:val="00B57772"/>
    <w:rsid w:val="00B57CB8"/>
    <w:rsid w:val="00B57CFA"/>
    <w:rsid w:val="00B62064"/>
    <w:rsid w:val="00B63373"/>
    <w:rsid w:val="00B63D25"/>
    <w:rsid w:val="00B64730"/>
    <w:rsid w:val="00B652A9"/>
    <w:rsid w:val="00B65CF3"/>
    <w:rsid w:val="00B6612D"/>
    <w:rsid w:val="00B6624C"/>
    <w:rsid w:val="00B66374"/>
    <w:rsid w:val="00B66A41"/>
    <w:rsid w:val="00B66ACC"/>
    <w:rsid w:val="00B66D38"/>
    <w:rsid w:val="00B66F6F"/>
    <w:rsid w:val="00B6779B"/>
    <w:rsid w:val="00B72495"/>
    <w:rsid w:val="00B73033"/>
    <w:rsid w:val="00B7305B"/>
    <w:rsid w:val="00B73678"/>
    <w:rsid w:val="00B742DA"/>
    <w:rsid w:val="00B75A48"/>
    <w:rsid w:val="00B7607E"/>
    <w:rsid w:val="00B80650"/>
    <w:rsid w:val="00B826CA"/>
    <w:rsid w:val="00B835CD"/>
    <w:rsid w:val="00B83633"/>
    <w:rsid w:val="00B8542A"/>
    <w:rsid w:val="00B858D6"/>
    <w:rsid w:val="00B86D5E"/>
    <w:rsid w:val="00B872E9"/>
    <w:rsid w:val="00B87E10"/>
    <w:rsid w:val="00B903B7"/>
    <w:rsid w:val="00B90E14"/>
    <w:rsid w:val="00B9107D"/>
    <w:rsid w:val="00B912FF"/>
    <w:rsid w:val="00B91B18"/>
    <w:rsid w:val="00B925DA"/>
    <w:rsid w:val="00B92742"/>
    <w:rsid w:val="00B9334C"/>
    <w:rsid w:val="00B940DA"/>
    <w:rsid w:val="00B94C62"/>
    <w:rsid w:val="00B96089"/>
    <w:rsid w:val="00BA19DE"/>
    <w:rsid w:val="00BA1C58"/>
    <w:rsid w:val="00BA1F72"/>
    <w:rsid w:val="00BA2411"/>
    <w:rsid w:val="00BA2FFF"/>
    <w:rsid w:val="00BA3423"/>
    <w:rsid w:val="00BA34EB"/>
    <w:rsid w:val="00BA3D0D"/>
    <w:rsid w:val="00BA3D7C"/>
    <w:rsid w:val="00BA450C"/>
    <w:rsid w:val="00BA4E01"/>
    <w:rsid w:val="00BA4EE8"/>
    <w:rsid w:val="00BA510F"/>
    <w:rsid w:val="00BA55D7"/>
    <w:rsid w:val="00BA5B86"/>
    <w:rsid w:val="00BA6789"/>
    <w:rsid w:val="00BA6903"/>
    <w:rsid w:val="00BA737C"/>
    <w:rsid w:val="00BB0128"/>
    <w:rsid w:val="00BB11F0"/>
    <w:rsid w:val="00BB18FD"/>
    <w:rsid w:val="00BB290E"/>
    <w:rsid w:val="00BB2B06"/>
    <w:rsid w:val="00BB2D3C"/>
    <w:rsid w:val="00BB2F08"/>
    <w:rsid w:val="00BB34B7"/>
    <w:rsid w:val="00BB34EF"/>
    <w:rsid w:val="00BB4023"/>
    <w:rsid w:val="00BB4801"/>
    <w:rsid w:val="00BB4863"/>
    <w:rsid w:val="00BB5714"/>
    <w:rsid w:val="00BB6121"/>
    <w:rsid w:val="00BB63B1"/>
    <w:rsid w:val="00BB64ED"/>
    <w:rsid w:val="00BB7259"/>
    <w:rsid w:val="00BC000A"/>
    <w:rsid w:val="00BC0DC4"/>
    <w:rsid w:val="00BC176E"/>
    <w:rsid w:val="00BC1773"/>
    <w:rsid w:val="00BC1FDC"/>
    <w:rsid w:val="00BC2EEA"/>
    <w:rsid w:val="00BD1369"/>
    <w:rsid w:val="00BD3657"/>
    <w:rsid w:val="00BD5614"/>
    <w:rsid w:val="00BD755A"/>
    <w:rsid w:val="00BE0931"/>
    <w:rsid w:val="00BE18A9"/>
    <w:rsid w:val="00BE1979"/>
    <w:rsid w:val="00BE317E"/>
    <w:rsid w:val="00BE3420"/>
    <w:rsid w:val="00BE4088"/>
    <w:rsid w:val="00BE6B71"/>
    <w:rsid w:val="00BE6C7C"/>
    <w:rsid w:val="00BE754C"/>
    <w:rsid w:val="00BE785C"/>
    <w:rsid w:val="00BE7BD8"/>
    <w:rsid w:val="00BF02D2"/>
    <w:rsid w:val="00BF0771"/>
    <w:rsid w:val="00BF3DF4"/>
    <w:rsid w:val="00BF4404"/>
    <w:rsid w:val="00BF4CD9"/>
    <w:rsid w:val="00BF535B"/>
    <w:rsid w:val="00BF63EA"/>
    <w:rsid w:val="00BF6E7C"/>
    <w:rsid w:val="00C00AD5"/>
    <w:rsid w:val="00C01247"/>
    <w:rsid w:val="00C01969"/>
    <w:rsid w:val="00C0534F"/>
    <w:rsid w:val="00C05CD4"/>
    <w:rsid w:val="00C06635"/>
    <w:rsid w:val="00C06A0E"/>
    <w:rsid w:val="00C10D59"/>
    <w:rsid w:val="00C11133"/>
    <w:rsid w:val="00C11735"/>
    <w:rsid w:val="00C12744"/>
    <w:rsid w:val="00C1411C"/>
    <w:rsid w:val="00C156DC"/>
    <w:rsid w:val="00C15868"/>
    <w:rsid w:val="00C17ACE"/>
    <w:rsid w:val="00C2014B"/>
    <w:rsid w:val="00C20158"/>
    <w:rsid w:val="00C202E3"/>
    <w:rsid w:val="00C20712"/>
    <w:rsid w:val="00C213AA"/>
    <w:rsid w:val="00C2174E"/>
    <w:rsid w:val="00C21A3B"/>
    <w:rsid w:val="00C24873"/>
    <w:rsid w:val="00C24978"/>
    <w:rsid w:val="00C252C1"/>
    <w:rsid w:val="00C2695F"/>
    <w:rsid w:val="00C270B6"/>
    <w:rsid w:val="00C27483"/>
    <w:rsid w:val="00C278B1"/>
    <w:rsid w:val="00C30766"/>
    <w:rsid w:val="00C31E8B"/>
    <w:rsid w:val="00C32D37"/>
    <w:rsid w:val="00C34421"/>
    <w:rsid w:val="00C3449F"/>
    <w:rsid w:val="00C34A99"/>
    <w:rsid w:val="00C34BC5"/>
    <w:rsid w:val="00C34EF6"/>
    <w:rsid w:val="00C36239"/>
    <w:rsid w:val="00C37364"/>
    <w:rsid w:val="00C374A7"/>
    <w:rsid w:val="00C37510"/>
    <w:rsid w:val="00C4437B"/>
    <w:rsid w:val="00C45292"/>
    <w:rsid w:val="00C45A70"/>
    <w:rsid w:val="00C4605E"/>
    <w:rsid w:val="00C47F09"/>
    <w:rsid w:val="00C50722"/>
    <w:rsid w:val="00C525B4"/>
    <w:rsid w:val="00C529C9"/>
    <w:rsid w:val="00C52ED3"/>
    <w:rsid w:val="00C5339F"/>
    <w:rsid w:val="00C53568"/>
    <w:rsid w:val="00C5388C"/>
    <w:rsid w:val="00C53B58"/>
    <w:rsid w:val="00C53F6E"/>
    <w:rsid w:val="00C54433"/>
    <w:rsid w:val="00C54BE9"/>
    <w:rsid w:val="00C54EEE"/>
    <w:rsid w:val="00C54F5D"/>
    <w:rsid w:val="00C60060"/>
    <w:rsid w:val="00C61025"/>
    <w:rsid w:val="00C61629"/>
    <w:rsid w:val="00C65998"/>
    <w:rsid w:val="00C66484"/>
    <w:rsid w:val="00C70167"/>
    <w:rsid w:val="00C7063C"/>
    <w:rsid w:val="00C70E3C"/>
    <w:rsid w:val="00C710DF"/>
    <w:rsid w:val="00C7114E"/>
    <w:rsid w:val="00C71808"/>
    <w:rsid w:val="00C72AFD"/>
    <w:rsid w:val="00C72C2A"/>
    <w:rsid w:val="00C73B01"/>
    <w:rsid w:val="00C75E64"/>
    <w:rsid w:val="00C768F5"/>
    <w:rsid w:val="00C76A0E"/>
    <w:rsid w:val="00C77413"/>
    <w:rsid w:val="00C77FAF"/>
    <w:rsid w:val="00C805C2"/>
    <w:rsid w:val="00C807FA"/>
    <w:rsid w:val="00C80C0F"/>
    <w:rsid w:val="00C82232"/>
    <w:rsid w:val="00C8251E"/>
    <w:rsid w:val="00C8406E"/>
    <w:rsid w:val="00C84F63"/>
    <w:rsid w:val="00C8541E"/>
    <w:rsid w:val="00C87062"/>
    <w:rsid w:val="00C90385"/>
    <w:rsid w:val="00C909DF"/>
    <w:rsid w:val="00C90E83"/>
    <w:rsid w:val="00C90F9F"/>
    <w:rsid w:val="00C9286C"/>
    <w:rsid w:val="00C9303D"/>
    <w:rsid w:val="00C93778"/>
    <w:rsid w:val="00C93ACE"/>
    <w:rsid w:val="00C93BA3"/>
    <w:rsid w:val="00C93BD0"/>
    <w:rsid w:val="00C94272"/>
    <w:rsid w:val="00C9519D"/>
    <w:rsid w:val="00C96ADD"/>
    <w:rsid w:val="00C97269"/>
    <w:rsid w:val="00C97500"/>
    <w:rsid w:val="00CA1758"/>
    <w:rsid w:val="00CA258F"/>
    <w:rsid w:val="00CA25DA"/>
    <w:rsid w:val="00CA3594"/>
    <w:rsid w:val="00CA48E1"/>
    <w:rsid w:val="00CA55C6"/>
    <w:rsid w:val="00CA5A73"/>
    <w:rsid w:val="00CA5C05"/>
    <w:rsid w:val="00CA5E01"/>
    <w:rsid w:val="00CA61E4"/>
    <w:rsid w:val="00CA75F8"/>
    <w:rsid w:val="00CA7638"/>
    <w:rsid w:val="00CB231B"/>
    <w:rsid w:val="00CB26A7"/>
    <w:rsid w:val="00CB354C"/>
    <w:rsid w:val="00CB3D39"/>
    <w:rsid w:val="00CB4ADA"/>
    <w:rsid w:val="00CB59B1"/>
    <w:rsid w:val="00CB5B1A"/>
    <w:rsid w:val="00CB6975"/>
    <w:rsid w:val="00CC093F"/>
    <w:rsid w:val="00CC110D"/>
    <w:rsid w:val="00CC1E83"/>
    <w:rsid w:val="00CC2425"/>
    <w:rsid w:val="00CC295C"/>
    <w:rsid w:val="00CC3222"/>
    <w:rsid w:val="00CC36DB"/>
    <w:rsid w:val="00CC3F2A"/>
    <w:rsid w:val="00CC6389"/>
    <w:rsid w:val="00CC751F"/>
    <w:rsid w:val="00CC7681"/>
    <w:rsid w:val="00CC78F7"/>
    <w:rsid w:val="00CC79F1"/>
    <w:rsid w:val="00CC7D70"/>
    <w:rsid w:val="00CD06B5"/>
    <w:rsid w:val="00CD09BF"/>
    <w:rsid w:val="00CD0AD8"/>
    <w:rsid w:val="00CD20EC"/>
    <w:rsid w:val="00CD2475"/>
    <w:rsid w:val="00CD2CB4"/>
    <w:rsid w:val="00CD2F38"/>
    <w:rsid w:val="00CD3668"/>
    <w:rsid w:val="00CD3D91"/>
    <w:rsid w:val="00CD4855"/>
    <w:rsid w:val="00CD5BB4"/>
    <w:rsid w:val="00CD63AE"/>
    <w:rsid w:val="00CD742D"/>
    <w:rsid w:val="00CD7772"/>
    <w:rsid w:val="00CE0606"/>
    <w:rsid w:val="00CE0B76"/>
    <w:rsid w:val="00CE15B7"/>
    <w:rsid w:val="00CE1F25"/>
    <w:rsid w:val="00CE20B0"/>
    <w:rsid w:val="00CE2998"/>
    <w:rsid w:val="00CE3021"/>
    <w:rsid w:val="00CE38BB"/>
    <w:rsid w:val="00CE3B56"/>
    <w:rsid w:val="00CE416F"/>
    <w:rsid w:val="00CE505B"/>
    <w:rsid w:val="00CE5AAA"/>
    <w:rsid w:val="00CE682A"/>
    <w:rsid w:val="00CF0012"/>
    <w:rsid w:val="00CF02BA"/>
    <w:rsid w:val="00CF08C4"/>
    <w:rsid w:val="00CF08FA"/>
    <w:rsid w:val="00CF0CC2"/>
    <w:rsid w:val="00CF1F2A"/>
    <w:rsid w:val="00CF2206"/>
    <w:rsid w:val="00CF2602"/>
    <w:rsid w:val="00CF2E9A"/>
    <w:rsid w:val="00CF4AFF"/>
    <w:rsid w:val="00CF51B3"/>
    <w:rsid w:val="00CF55FC"/>
    <w:rsid w:val="00CF5C46"/>
    <w:rsid w:val="00CF61F6"/>
    <w:rsid w:val="00CF6563"/>
    <w:rsid w:val="00CF6851"/>
    <w:rsid w:val="00CF68DE"/>
    <w:rsid w:val="00CF7D9C"/>
    <w:rsid w:val="00D0166F"/>
    <w:rsid w:val="00D01D12"/>
    <w:rsid w:val="00D02361"/>
    <w:rsid w:val="00D02850"/>
    <w:rsid w:val="00D02FFA"/>
    <w:rsid w:val="00D045F3"/>
    <w:rsid w:val="00D049B7"/>
    <w:rsid w:val="00D067B7"/>
    <w:rsid w:val="00D0689F"/>
    <w:rsid w:val="00D07AE3"/>
    <w:rsid w:val="00D106D2"/>
    <w:rsid w:val="00D115E6"/>
    <w:rsid w:val="00D11A14"/>
    <w:rsid w:val="00D1384E"/>
    <w:rsid w:val="00D13F55"/>
    <w:rsid w:val="00D14082"/>
    <w:rsid w:val="00D14D4D"/>
    <w:rsid w:val="00D159B6"/>
    <w:rsid w:val="00D16532"/>
    <w:rsid w:val="00D16C79"/>
    <w:rsid w:val="00D210FA"/>
    <w:rsid w:val="00D2171F"/>
    <w:rsid w:val="00D21775"/>
    <w:rsid w:val="00D230B1"/>
    <w:rsid w:val="00D257F0"/>
    <w:rsid w:val="00D25E73"/>
    <w:rsid w:val="00D2634A"/>
    <w:rsid w:val="00D304C4"/>
    <w:rsid w:val="00D30D1A"/>
    <w:rsid w:val="00D30F1C"/>
    <w:rsid w:val="00D3156F"/>
    <w:rsid w:val="00D31849"/>
    <w:rsid w:val="00D32045"/>
    <w:rsid w:val="00D3228F"/>
    <w:rsid w:val="00D342FF"/>
    <w:rsid w:val="00D357CA"/>
    <w:rsid w:val="00D36AF7"/>
    <w:rsid w:val="00D41207"/>
    <w:rsid w:val="00D42B90"/>
    <w:rsid w:val="00D432A2"/>
    <w:rsid w:val="00D438D7"/>
    <w:rsid w:val="00D4429E"/>
    <w:rsid w:val="00D44434"/>
    <w:rsid w:val="00D447DF"/>
    <w:rsid w:val="00D44AA5"/>
    <w:rsid w:val="00D44CDE"/>
    <w:rsid w:val="00D45890"/>
    <w:rsid w:val="00D45981"/>
    <w:rsid w:val="00D46BB3"/>
    <w:rsid w:val="00D51F58"/>
    <w:rsid w:val="00D52178"/>
    <w:rsid w:val="00D524B4"/>
    <w:rsid w:val="00D526E5"/>
    <w:rsid w:val="00D544D4"/>
    <w:rsid w:val="00D54C34"/>
    <w:rsid w:val="00D554FA"/>
    <w:rsid w:val="00D55D5D"/>
    <w:rsid w:val="00D55E44"/>
    <w:rsid w:val="00D564F0"/>
    <w:rsid w:val="00D56F7B"/>
    <w:rsid w:val="00D571AE"/>
    <w:rsid w:val="00D57676"/>
    <w:rsid w:val="00D60DE5"/>
    <w:rsid w:val="00D61ECA"/>
    <w:rsid w:val="00D62060"/>
    <w:rsid w:val="00D62D05"/>
    <w:rsid w:val="00D62E1E"/>
    <w:rsid w:val="00D62F6B"/>
    <w:rsid w:val="00D62FA1"/>
    <w:rsid w:val="00D62FF4"/>
    <w:rsid w:val="00D633CA"/>
    <w:rsid w:val="00D63909"/>
    <w:rsid w:val="00D63F05"/>
    <w:rsid w:val="00D66057"/>
    <w:rsid w:val="00D66F99"/>
    <w:rsid w:val="00D70669"/>
    <w:rsid w:val="00D711F6"/>
    <w:rsid w:val="00D71309"/>
    <w:rsid w:val="00D71A58"/>
    <w:rsid w:val="00D727DD"/>
    <w:rsid w:val="00D759A3"/>
    <w:rsid w:val="00D76650"/>
    <w:rsid w:val="00D7670E"/>
    <w:rsid w:val="00D76F4A"/>
    <w:rsid w:val="00D774D8"/>
    <w:rsid w:val="00D77BF7"/>
    <w:rsid w:val="00D81CB8"/>
    <w:rsid w:val="00D821E0"/>
    <w:rsid w:val="00D839BE"/>
    <w:rsid w:val="00D83B60"/>
    <w:rsid w:val="00D83D76"/>
    <w:rsid w:val="00D84175"/>
    <w:rsid w:val="00D848FD"/>
    <w:rsid w:val="00D85A55"/>
    <w:rsid w:val="00D86005"/>
    <w:rsid w:val="00D8627D"/>
    <w:rsid w:val="00D863E6"/>
    <w:rsid w:val="00D867D3"/>
    <w:rsid w:val="00D9020E"/>
    <w:rsid w:val="00D919BF"/>
    <w:rsid w:val="00D91FD3"/>
    <w:rsid w:val="00D935F6"/>
    <w:rsid w:val="00D937AE"/>
    <w:rsid w:val="00D93E30"/>
    <w:rsid w:val="00D953C4"/>
    <w:rsid w:val="00D95DAF"/>
    <w:rsid w:val="00D971EF"/>
    <w:rsid w:val="00D97595"/>
    <w:rsid w:val="00D97637"/>
    <w:rsid w:val="00DA0506"/>
    <w:rsid w:val="00DA226E"/>
    <w:rsid w:val="00DA276D"/>
    <w:rsid w:val="00DA2F79"/>
    <w:rsid w:val="00DA3122"/>
    <w:rsid w:val="00DA3168"/>
    <w:rsid w:val="00DA4003"/>
    <w:rsid w:val="00DA4537"/>
    <w:rsid w:val="00DA4A15"/>
    <w:rsid w:val="00DA4BE6"/>
    <w:rsid w:val="00DA4D6D"/>
    <w:rsid w:val="00DA51A6"/>
    <w:rsid w:val="00DA7651"/>
    <w:rsid w:val="00DA7824"/>
    <w:rsid w:val="00DA7879"/>
    <w:rsid w:val="00DA7FB3"/>
    <w:rsid w:val="00DB138D"/>
    <w:rsid w:val="00DB148D"/>
    <w:rsid w:val="00DB37A0"/>
    <w:rsid w:val="00DB3802"/>
    <w:rsid w:val="00DB3D68"/>
    <w:rsid w:val="00DB45EF"/>
    <w:rsid w:val="00DB4EF8"/>
    <w:rsid w:val="00DB566F"/>
    <w:rsid w:val="00DB5FF8"/>
    <w:rsid w:val="00DB603F"/>
    <w:rsid w:val="00DB67CF"/>
    <w:rsid w:val="00DB7099"/>
    <w:rsid w:val="00DB7D37"/>
    <w:rsid w:val="00DC0BC7"/>
    <w:rsid w:val="00DC12DE"/>
    <w:rsid w:val="00DC1A50"/>
    <w:rsid w:val="00DC212D"/>
    <w:rsid w:val="00DC298D"/>
    <w:rsid w:val="00DC2DB9"/>
    <w:rsid w:val="00DC3054"/>
    <w:rsid w:val="00DC3D31"/>
    <w:rsid w:val="00DC428B"/>
    <w:rsid w:val="00DC7DFA"/>
    <w:rsid w:val="00DC7F1B"/>
    <w:rsid w:val="00DD0B9B"/>
    <w:rsid w:val="00DD0F28"/>
    <w:rsid w:val="00DD2312"/>
    <w:rsid w:val="00DD24A9"/>
    <w:rsid w:val="00DD25D4"/>
    <w:rsid w:val="00DD40DD"/>
    <w:rsid w:val="00DD42DE"/>
    <w:rsid w:val="00DD4455"/>
    <w:rsid w:val="00DD521F"/>
    <w:rsid w:val="00DD5CF1"/>
    <w:rsid w:val="00DD60AF"/>
    <w:rsid w:val="00DD65B1"/>
    <w:rsid w:val="00DD70D1"/>
    <w:rsid w:val="00DE16A7"/>
    <w:rsid w:val="00DE188C"/>
    <w:rsid w:val="00DE22BB"/>
    <w:rsid w:val="00DE2719"/>
    <w:rsid w:val="00DE4328"/>
    <w:rsid w:val="00DE461F"/>
    <w:rsid w:val="00DE5DB0"/>
    <w:rsid w:val="00DE7204"/>
    <w:rsid w:val="00DF03B4"/>
    <w:rsid w:val="00DF05F4"/>
    <w:rsid w:val="00DF09CD"/>
    <w:rsid w:val="00DF0AD7"/>
    <w:rsid w:val="00DF0B25"/>
    <w:rsid w:val="00DF0E82"/>
    <w:rsid w:val="00DF1082"/>
    <w:rsid w:val="00DF13F3"/>
    <w:rsid w:val="00DF1FCF"/>
    <w:rsid w:val="00DF21E7"/>
    <w:rsid w:val="00DF253E"/>
    <w:rsid w:val="00DF322B"/>
    <w:rsid w:val="00DF34F4"/>
    <w:rsid w:val="00DF5D29"/>
    <w:rsid w:val="00DF631F"/>
    <w:rsid w:val="00DF6EA4"/>
    <w:rsid w:val="00DF6F0B"/>
    <w:rsid w:val="00DF76F1"/>
    <w:rsid w:val="00E000B5"/>
    <w:rsid w:val="00E00E41"/>
    <w:rsid w:val="00E027EF"/>
    <w:rsid w:val="00E02D14"/>
    <w:rsid w:val="00E03EE2"/>
    <w:rsid w:val="00E047E6"/>
    <w:rsid w:val="00E04EE7"/>
    <w:rsid w:val="00E054F9"/>
    <w:rsid w:val="00E05A67"/>
    <w:rsid w:val="00E05BDD"/>
    <w:rsid w:val="00E05D1A"/>
    <w:rsid w:val="00E068F6"/>
    <w:rsid w:val="00E06BA7"/>
    <w:rsid w:val="00E07E31"/>
    <w:rsid w:val="00E10020"/>
    <w:rsid w:val="00E10889"/>
    <w:rsid w:val="00E10E2E"/>
    <w:rsid w:val="00E136B9"/>
    <w:rsid w:val="00E1520C"/>
    <w:rsid w:val="00E15E07"/>
    <w:rsid w:val="00E1680D"/>
    <w:rsid w:val="00E17A66"/>
    <w:rsid w:val="00E20C93"/>
    <w:rsid w:val="00E20F6D"/>
    <w:rsid w:val="00E21130"/>
    <w:rsid w:val="00E215B0"/>
    <w:rsid w:val="00E2160B"/>
    <w:rsid w:val="00E217C4"/>
    <w:rsid w:val="00E22E49"/>
    <w:rsid w:val="00E23789"/>
    <w:rsid w:val="00E24A54"/>
    <w:rsid w:val="00E250AF"/>
    <w:rsid w:val="00E26E67"/>
    <w:rsid w:val="00E30B7A"/>
    <w:rsid w:val="00E3137A"/>
    <w:rsid w:val="00E31576"/>
    <w:rsid w:val="00E32444"/>
    <w:rsid w:val="00E3317E"/>
    <w:rsid w:val="00E33E47"/>
    <w:rsid w:val="00E363DC"/>
    <w:rsid w:val="00E404AD"/>
    <w:rsid w:val="00E405E0"/>
    <w:rsid w:val="00E41000"/>
    <w:rsid w:val="00E41687"/>
    <w:rsid w:val="00E43512"/>
    <w:rsid w:val="00E43858"/>
    <w:rsid w:val="00E43E77"/>
    <w:rsid w:val="00E44F93"/>
    <w:rsid w:val="00E46209"/>
    <w:rsid w:val="00E468E8"/>
    <w:rsid w:val="00E476B1"/>
    <w:rsid w:val="00E47DB8"/>
    <w:rsid w:val="00E50011"/>
    <w:rsid w:val="00E51AD9"/>
    <w:rsid w:val="00E524C1"/>
    <w:rsid w:val="00E54201"/>
    <w:rsid w:val="00E55801"/>
    <w:rsid w:val="00E55C65"/>
    <w:rsid w:val="00E56230"/>
    <w:rsid w:val="00E56716"/>
    <w:rsid w:val="00E569A1"/>
    <w:rsid w:val="00E60438"/>
    <w:rsid w:val="00E60F07"/>
    <w:rsid w:val="00E619ED"/>
    <w:rsid w:val="00E61B8C"/>
    <w:rsid w:val="00E62B0F"/>
    <w:rsid w:val="00E645AC"/>
    <w:rsid w:val="00E64A6D"/>
    <w:rsid w:val="00E6578F"/>
    <w:rsid w:val="00E65B92"/>
    <w:rsid w:val="00E66602"/>
    <w:rsid w:val="00E673ED"/>
    <w:rsid w:val="00E67CC9"/>
    <w:rsid w:val="00E713A6"/>
    <w:rsid w:val="00E71B01"/>
    <w:rsid w:val="00E721B5"/>
    <w:rsid w:val="00E7302E"/>
    <w:rsid w:val="00E73740"/>
    <w:rsid w:val="00E73C38"/>
    <w:rsid w:val="00E74032"/>
    <w:rsid w:val="00E74A2D"/>
    <w:rsid w:val="00E75211"/>
    <w:rsid w:val="00E767E7"/>
    <w:rsid w:val="00E768D8"/>
    <w:rsid w:val="00E7722A"/>
    <w:rsid w:val="00E77509"/>
    <w:rsid w:val="00E80272"/>
    <w:rsid w:val="00E80B8D"/>
    <w:rsid w:val="00E80CF8"/>
    <w:rsid w:val="00E8187F"/>
    <w:rsid w:val="00E8445E"/>
    <w:rsid w:val="00E8452A"/>
    <w:rsid w:val="00E85562"/>
    <w:rsid w:val="00E85606"/>
    <w:rsid w:val="00E90B09"/>
    <w:rsid w:val="00E925F3"/>
    <w:rsid w:val="00E92824"/>
    <w:rsid w:val="00E92D03"/>
    <w:rsid w:val="00E9343A"/>
    <w:rsid w:val="00E93D0E"/>
    <w:rsid w:val="00E94F16"/>
    <w:rsid w:val="00E95E1F"/>
    <w:rsid w:val="00E961D0"/>
    <w:rsid w:val="00EA1E94"/>
    <w:rsid w:val="00EA278F"/>
    <w:rsid w:val="00EA2C20"/>
    <w:rsid w:val="00EA3F00"/>
    <w:rsid w:val="00EA4081"/>
    <w:rsid w:val="00EA422F"/>
    <w:rsid w:val="00EA4B4D"/>
    <w:rsid w:val="00EA54DA"/>
    <w:rsid w:val="00EA557F"/>
    <w:rsid w:val="00EA598E"/>
    <w:rsid w:val="00EA6A66"/>
    <w:rsid w:val="00EA74E6"/>
    <w:rsid w:val="00EB075C"/>
    <w:rsid w:val="00EB07A2"/>
    <w:rsid w:val="00EB1897"/>
    <w:rsid w:val="00EB1F3D"/>
    <w:rsid w:val="00EB1FC7"/>
    <w:rsid w:val="00EB2603"/>
    <w:rsid w:val="00EB2D9B"/>
    <w:rsid w:val="00EB313F"/>
    <w:rsid w:val="00EB3823"/>
    <w:rsid w:val="00EB637A"/>
    <w:rsid w:val="00EB6C87"/>
    <w:rsid w:val="00EC073D"/>
    <w:rsid w:val="00EC076D"/>
    <w:rsid w:val="00EC096E"/>
    <w:rsid w:val="00EC1868"/>
    <w:rsid w:val="00EC18D8"/>
    <w:rsid w:val="00EC1D54"/>
    <w:rsid w:val="00EC3CE8"/>
    <w:rsid w:val="00EC3E97"/>
    <w:rsid w:val="00EC5A0D"/>
    <w:rsid w:val="00EC6D60"/>
    <w:rsid w:val="00EC7CD9"/>
    <w:rsid w:val="00ED0408"/>
    <w:rsid w:val="00ED0B89"/>
    <w:rsid w:val="00ED0EDB"/>
    <w:rsid w:val="00ED278C"/>
    <w:rsid w:val="00ED3050"/>
    <w:rsid w:val="00ED386B"/>
    <w:rsid w:val="00ED4CD6"/>
    <w:rsid w:val="00ED6242"/>
    <w:rsid w:val="00ED660A"/>
    <w:rsid w:val="00ED67F0"/>
    <w:rsid w:val="00ED6C67"/>
    <w:rsid w:val="00ED6DB3"/>
    <w:rsid w:val="00ED7748"/>
    <w:rsid w:val="00EE1001"/>
    <w:rsid w:val="00EE1A66"/>
    <w:rsid w:val="00EE1B05"/>
    <w:rsid w:val="00EE1D47"/>
    <w:rsid w:val="00EE3FB3"/>
    <w:rsid w:val="00EE4383"/>
    <w:rsid w:val="00EE4DA5"/>
    <w:rsid w:val="00EE4F93"/>
    <w:rsid w:val="00EE6A8F"/>
    <w:rsid w:val="00EE7212"/>
    <w:rsid w:val="00EE78D1"/>
    <w:rsid w:val="00EF05D9"/>
    <w:rsid w:val="00EF0F40"/>
    <w:rsid w:val="00EF1100"/>
    <w:rsid w:val="00EF246C"/>
    <w:rsid w:val="00EF2E04"/>
    <w:rsid w:val="00EF3BAA"/>
    <w:rsid w:val="00EF3E98"/>
    <w:rsid w:val="00EF4101"/>
    <w:rsid w:val="00EF422C"/>
    <w:rsid w:val="00EF4625"/>
    <w:rsid w:val="00EF4BBA"/>
    <w:rsid w:val="00EF5383"/>
    <w:rsid w:val="00EF57BF"/>
    <w:rsid w:val="00EF5F0E"/>
    <w:rsid w:val="00EF62F3"/>
    <w:rsid w:val="00F00852"/>
    <w:rsid w:val="00F02213"/>
    <w:rsid w:val="00F02B72"/>
    <w:rsid w:val="00F03561"/>
    <w:rsid w:val="00F064A5"/>
    <w:rsid w:val="00F06998"/>
    <w:rsid w:val="00F06EF9"/>
    <w:rsid w:val="00F07BD8"/>
    <w:rsid w:val="00F07E83"/>
    <w:rsid w:val="00F10841"/>
    <w:rsid w:val="00F1109A"/>
    <w:rsid w:val="00F11EAB"/>
    <w:rsid w:val="00F13ADF"/>
    <w:rsid w:val="00F15F2B"/>
    <w:rsid w:val="00F1605F"/>
    <w:rsid w:val="00F16600"/>
    <w:rsid w:val="00F174F9"/>
    <w:rsid w:val="00F17921"/>
    <w:rsid w:val="00F20CC4"/>
    <w:rsid w:val="00F2161E"/>
    <w:rsid w:val="00F22E28"/>
    <w:rsid w:val="00F22F74"/>
    <w:rsid w:val="00F23475"/>
    <w:rsid w:val="00F23E0D"/>
    <w:rsid w:val="00F24501"/>
    <w:rsid w:val="00F25E4A"/>
    <w:rsid w:val="00F30D85"/>
    <w:rsid w:val="00F30F7B"/>
    <w:rsid w:val="00F31C7F"/>
    <w:rsid w:val="00F31D4B"/>
    <w:rsid w:val="00F31FC7"/>
    <w:rsid w:val="00F342C2"/>
    <w:rsid w:val="00F34C97"/>
    <w:rsid w:val="00F34D8B"/>
    <w:rsid w:val="00F354AC"/>
    <w:rsid w:val="00F36EA5"/>
    <w:rsid w:val="00F41533"/>
    <w:rsid w:val="00F4267E"/>
    <w:rsid w:val="00F427F9"/>
    <w:rsid w:val="00F428B7"/>
    <w:rsid w:val="00F43745"/>
    <w:rsid w:val="00F43D16"/>
    <w:rsid w:val="00F4477E"/>
    <w:rsid w:val="00F44B1A"/>
    <w:rsid w:val="00F44DBE"/>
    <w:rsid w:val="00F45242"/>
    <w:rsid w:val="00F45B12"/>
    <w:rsid w:val="00F47563"/>
    <w:rsid w:val="00F47F95"/>
    <w:rsid w:val="00F51507"/>
    <w:rsid w:val="00F51ACE"/>
    <w:rsid w:val="00F53C5D"/>
    <w:rsid w:val="00F544A3"/>
    <w:rsid w:val="00F5538B"/>
    <w:rsid w:val="00F55DED"/>
    <w:rsid w:val="00F565C3"/>
    <w:rsid w:val="00F5778A"/>
    <w:rsid w:val="00F60CE3"/>
    <w:rsid w:val="00F62B8D"/>
    <w:rsid w:val="00F632E0"/>
    <w:rsid w:val="00F63481"/>
    <w:rsid w:val="00F638FE"/>
    <w:rsid w:val="00F6485F"/>
    <w:rsid w:val="00F6487E"/>
    <w:rsid w:val="00F64B82"/>
    <w:rsid w:val="00F65895"/>
    <w:rsid w:val="00F67289"/>
    <w:rsid w:val="00F67474"/>
    <w:rsid w:val="00F67D43"/>
    <w:rsid w:val="00F70073"/>
    <w:rsid w:val="00F719DB"/>
    <w:rsid w:val="00F71A4A"/>
    <w:rsid w:val="00F72275"/>
    <w:rsid w:val="00F73913"/>
    <w:rsid w:val="00F76131"/>
    <w:rsid w:val="00F77080"/>
    <w:rsid w:val="00F77234"/>
    <w:rsid w:val="00F77483"/>
    <w:rsid w:val="00F80583"/>
    <w:rsid w:val="00F80B20"/>
    <w:rsid w:val="00F80CF6"/>
    <w:rsid w:val="00F82F67"/>
    <w:rsid w:val="00F83BB7"/>
    <w:rsid w:val="00F83BBC"/>
    <w:rsid w:val="00F83C0B"/>
    <w:rsid w:val="00F85060"/>
    <w:rsid w:val="00F85563"/>
    <w:rsid w:val="00F860D0"/>
    <w:rsid w:val="00F90020"/>
    <w:rsid w:val="00F9047C"/>
    <w:rsid w:val="00F91740"/>
    <w:rsid w:val="00F92466"/>
    <w:rsid w:val="00F92D51"/>
    <w:rsid w:val="00F948E8"/>
    <w:rsid w:val="00F96CE4"/>
    <w:rsid w:val="00F96FDF"/>
    <w:rsid w:val="00FA0987"/>
    <w:rsid w:val="00FA09AF"/>
    <w:rsid w:val="00FA11DD"/>
    <w:rsid w:val="00FA1A0F"/>
    <w:rsid w:val="00FA2144"/>
    <w:rsid w:val="00FA2AD3"/>
    <w:rsid w:val="00FA3954"/>
    <w:rsid w:val="00FA3BE3"/>
    <w:rsid w:val="00FA3DD5"/>
    <w:rsid w:val="00FA50F5"/>
    <w:rsid w:val="00FA5552"/>
    <w:rsid w:val="00FA569E"/>
    <w:rsid w:val="00FA56E1"/>
    <w:rsid w:val="00FB03D5"/>
    <w:rsid w:val="00FB04F4"/>
    <w:rsid w:val="00FB1C5E"/>
    <w:rsid w:val="00FB29E0"/>
    <w:rsid w:val="00FB335A"/>
    <w:rsid w:val="00FB4608"/>
    <w:rsid w:val="00FB51C5"/>
    <w:rsid w:val="00FC177E"/>
    <w:rsid w:val="00FC2767"/>
    <w:rsid w:val="00FC2B54"/>
    <w:rsid w:val="00FC3299"/>
    <w:rsid w:val="00FC3FBE"/>
    <w:rsid w:val="00FC4246"/>
    <w:rsid w:val="00FC59B4"/>
    <w:rsid w:val="00FC5D9E"/>
    <w:rsid w:val="00FC610B"/>
    <w:rsid w:val="00FC639C"/>
    <w:rsid w:val="00FC6759"/>
    <w:rsid w:val="00FC68F2"/>
    <w:rsid w:val="00FC6A18"/>
    <w:rsid w:val="00FC79B8"/>
    <w:rsid w:val="00FC7FD3"/>
    <w:rsid w:val="00FD0013"/>
    <w:rsid w:val="00FD0AF9"/>
    <w:rsid w:val="00FD120E"/>
    <w:rsid w:val="00FD2CD4"/>
    <w:rsid w:val="00FD3764"/>
    <w:rsid w:val="00FD3F3D"/>
    <w:rsid w:val="00FD4391"/>
    <w:rsid w:val="00FD4552"/>
    <w:rsid w:val="00FD5A07"/>
    <w:rsid w:val="00FD66C7"/>
    <w:rsid w:val="00FD6A6B"/>
    <w:rsid w:val="00FD6AAD"/>
    <w:rsid w:val="00FD7D90"/>
    <w:rsid w:val="00FE104C"/>
    <w:rsid w:val="00FE11F3"/>
    <w:rsid w:val="00FE15ED"/>
    <w:rsid w:val="00FE21D6"/>
    <w:rsid w:val="00FE2779"/>
    <w:rsid w:val="00FE2881"/>
    <w:rsid w:val="00FE32C8"/>
    <w:rsid w:val="00FE4801"/>
    <w:rsid w:val="00FE4CE0"/>
    <w:rsid w:val="00FE4E2D"/>
    <w:rsid w:val="00FE5310"/>
    <w:rsid w:val="00FE5B0F"/>
    <w:rsid w:val="00FE6002"/>
    <w:rsid w:val="00FE686E"/>
    <w:rsid w:val="00FE6F3F"/>
    <w:rsid w:val="00FE7374"/>
    <w:rsid w:val="00FE7C04"/>
    <w:rsid w:val="00FF0CCB"/>
    <w:rsid w:val="00FF10A8"/>
    <w:rsid w:val="00FF1D6A"/>
    <w:rsid w:val="00FF23DE"/>
    <w:rsid w:val="00FF2925"/>
    <w:rsid w:val="00FF4D32"/>
    <w:rsid w:val="00FF4FA7"/>
    <w:rsid w:val="00FF6789"/>
    <w:rsid w:val="00FF6CB1"/>
    <w:rsid w:val="00FF6D28"/>
    <w:rsid w:val="00FF794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5633"/>
    <o:shapelayout v:ext="edit">
      <o:idmap v:ext="edit" data="1"/>
    </o:shapelayout>
  </w:shapeDefaults>
  <w:decimalSymbol w:val="."/>
  <w:listSeparator w:val=","/>
  <w14:docId w14:val="3929A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466"/>
    <w:rPr>
      <w:sz w:val="24"/>
      <w:szCs w:val="24"/>
      <w:lang w:eastAsia="en-US"/>
    </w:rPr>
  </w:style>
  <w:style w:type="paragraph" w:styleId="Heading1">
    <w:name w:val="heading 1"/>
    <w:basedOn w:val="Normal"/>
    <w:next w:val="Normal"/>
    <w:link w:val="Heading1Char"/>
    <w:qFormat/>
    <w:rsid w:val="00A705AF"/>
    <w:pPr>
      <w:keepNext/>
      <w:numPr>
        <w:numId w:val="4"/>
      </w:numPr>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numPr>
        <w:ilvl w:val="1"/>
        <w:numId w:val="4"/>
      </w:numPr>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numPr>
        <w:ilvl w:val="2"/>
        <w:numId w:val="4"/>
      </w:numPr>
      <w:spacing w:before="240" w:after="60"/>
      <w:outlineLvl w:val="2"/>
    </w:pPr>
    <w:rPr>
      <w:rFonts w:ascii="Arial" w:hAnsi="Arial" w:cs="Arial"/>
      <w:bCs/>
      <w:szCs w:val="26"/>
    </w:rPr>
  </w:style>
  <w:style w:type="paragraph" w:styleId="Heading4">
    <w:name w:val="heading 4"/>
    <w:basedOn w:val="Normal"/>
    <w:next w:val="Normal"/>
    <w:link w:val="Heading4Char"/>
    <w:qFormat/>
    <w:rsid w:val="00A705AF"/>
    <w:pPr>
      <w:keepNext/>
      <w:numPr>
        <w:ilvl w:val="3"/>
        <w:numId w:val="4"/>
      </w:numPr>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numPr>
        <w:ilvl w:val="4"/>
        <w:numId w:val="4"/>
      </w:numPr>
      <w:spacing w:before="240" w:after="60"/>
      <w:outlineLvl w:val="4"/>
    </w:pPr>
    <w:rPr>
      <w:b/>
      <w:bCs/>
      <w:iCs/>
      <w:szCs w:val="26"/>
    </w:rPr>
  </w:style>
  <w:style w:type="paragraph" w:styleId="Heading6">
    <w:name w:val="heading 6"/>
    <w:basedOn w:val="Normal"/>
    <w:next w:val="Normal"/>
    <w:link w:val="Heading6Char"/>
    <w:qFormat/>
    <w:rsid w:val="00A705AF"/>
    <w:pPr>
      <w:keepNext/>
      <w:numPr>
        <w:ilvl w:val="5"/>
        <w:numId w:val="4"/>
      </w:numPr>
      <w:spacing w:before="240" w:after="60"/>
      <w:outlineLvl w:val="5"/>
    </w:pPr>
    <w:rPr>
      <w:b/>
      <w:bCs/>
      <w:i/>
      <w:szCs w:val="22"/>
    </w:rPr>
  </w:style>
  <w:style w:type="paragraph" w:styleId="Heading7">
    <w:name w:val="heading 7"/>
    <w:basedOn w:val="Normal"/>
    <w:next w:val="Normal"/>
    <w:link w:val="Heading7Char"/>
    <w:qFormat/>
    <w:rsid w:val="001D266E"/>
    <w:pPr>
      <w:numPr>
        <w:ilvl w:val="6"/>
        <w:numId w:val="4"/>
      </w:numPr>
      <w:spacing w:before="240" w:after="60"/>
      <w:ind w:left="1296" w:hanging="288"/>
      <w:outlineLvl w:val="6"/>
    </w:pPr>
    <w:rPr>
      <w:lang w:eastAsia="en-AU"/>
    </w:rPr>
  </w:style>
  <w:style w:type="paragraph" w:styleId="Heading8">
    <w:name w:val="heading 8"/>
    <w:basedOn w:val="Normal"/>
    <w:next w:val="Normal"/>
    <w:link w:val="Heading8Char"/>
    <w:qFormat/>
    <w:rsid w:val="001D266E"/>
    <w:pPr>
      <w:numPr>
        <w:ilvl w:val="7"/>
        <w:numId w:val="4"/>
      </w:numPr>
      <w:spacing w:before="240" w:after="60"/>
      <w:ind w:left="1440" w:hanging="432"/>
      <w:outlineLvl w:val="7"/>
    </w:pPr>
    <w:rPr>
      <w:i/>
      <w:iCs/>
      <w:lang w:eastAsia="en-AU"/>
    </w:rPr>
  </w:style>
  <w:style w:type="paragraph" w:styleId="Heading9">
    <w:name w:val="heading 9"/>
    <w:basedOn w:val="Normal"/>
    <w:next w:val="Normal"/>
    <w:link w:val="Heading9Char"/>
    <w:qFormat/>
    <w:rsid w:val="001D266E"/>
    <w:pPr>
      <w:numPr>
        <w:ilvl w:val="8"/>
        <w:numId w:val="4"/>
      </w:numPr>
      <w:spacing w:before="240" w:after="60"/>
      <w:ind w:left="1584" w:hanging="144"/>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character" w:customStyle="1" w:styleId="Heading7Char">
    <w:name w:val="Heading 7 Char"/>
    <w:basedOn w:val="DefaultParagraphFont"/>
    <w:link w:val="Heading7"/>
    <w:rsid w:val="001D266E"/>
    <w:rPr>
      <w:sz w:val="24"/>
      <w:szCs w:val="24"/>
    </w:rPr>
  </w:style>
  <w:style w:type="character" w:customStyle="1" w:styleId="Heading8Char">
    <w:name w:val="Heading 8 Char"/>
    <w:basedOn w:val="DefaultParagraphFont"/>
    <w:link w:val="Heading8"/>
    <w:rsid w:val="001D266E"/>
    <w:rPr>
      <w:i/>
      <w:iCs/>
      <w:sz w:val="24"/>
      <w:szCs w:val="24"/>
    </w:rPr>
  </w:style>
  <w:style w:type="character" w:customStyle="1" w:styleId="Heading9Char">
    <w:name w:val="Heading 9 Char"/>
    <w:basedOn w:val="DefaultParagraphFont"/>
    <w:link w:val="Heading9"/>
    <w:rsid w:val="001D266E"/>
    <w:rPr>
      <w:rFonts w:ascii="Arial" w:hAnsi="Arial" w:cs="Arial"/>
      <w:sz w:val="22"/>
      <w:szCs w:val="22"/>
    </w:rPr>
  </w:style>
  <w:style w:type="character" w:customStyle="1" w:styleId="Heading1Char">
    <w:name w:val="Heading 1 Char"/>
    <w:link w:val="Heading1"/>
    <w:locked/>
    <w:rsid w:val="001D266E"/>
    <w:rPr>
      <w:rFonts w:ascii="Arial" w:hAnsi="Arial" w:cs="Arial"/>
      <w:b/>
      <w:bCs/>
      <w:kern w:val="28"/>
      <w:sz w:val="28"/>
      <w:szCs w:val="32"/>
      <w:lang w:eastAsia="en-US"/>
    </w:rPr>
  </w:style>
  <w:style w:type="character" w:customStyle="1" w:styleId="Heading2Char">
    <w:name w:val="Heading 2 Char"/>
    <w:link w:val="Heading2"/>
    <w:locked/>
    <w:rsid w:val="001D266E"/>
    <w:rPr>
      <w:rFonts w:ascii="Arial" w:hAnsi="Arial" w:cs="Arial"/>
      <w:b/>
      <w:bCs/>
      <w:i/>
      <w:iCs/>
      <w:sz w:val="24"/>
      <w:szCs w:val="28"/>
      <w:lang w:eastAsia="en-US"/>
    </w:rPr>
  </w:style>
  <w:style w:type="character" w:customStyle="1" w:styleId="Heading3Char">
    <w:name w:val="Heading 3 Char"/>
    <w:link w:val="Heading3"/>
    <w:locked/>
    <w:rsid w:val="001D266E"/>
    <w:rPr>
      <w:rFonts w:ascii="Arial" w:hAnsi="Arial" w:cs="Arial"/>
      <w:bCs/>
      <w:sz w:val="24"/>
      <w:szCs w:val="26"/>
      <w:lang w:eastAsia="en-US"/>
    </w:rPr>
  </w:style>
  <w:style w:type="character" w:customStyle="1" w:styleId="Heading4Char">
    <w:name w:val="Heading 4 Char"/>
    <w:link w:val="Heading4"/>
    <w:locked/>
    <w:rsid w:val="001D266E"/>
    <w:rPr>
      <w:rFonts w:ascii="Arial" w:hAnsi="Arial"/>
      <w:bCs/>
      <w:sz w:val="28"/>
      <w:szCs w:val="28"/>
      <w:lang w:eastAsia="en-US"/>
    </w:rPr>
  </w:style>
  <w:style w:type="character" w:customStyle="1" w:styleId="Heading5Char">
    <w:name w:val="Heading 5 Char"/>
    <w:link w:val="Heading5"/>
    <w:locked/>
    <w:rsid w:val="001D266E"/>
    <w:rPr>
      <w:b/>
      <w:bCs/>
      <w:iCs/>
      <w:sz w:val="24"/>
      <w:szCs w:val="26"/>
      <w:lang w:eastAsia="en-US"/>
    </w:rPr>
  </w:style>
  <w:style w:type="character" w:customStyle="1" w:styleId="Heading6Char">
    <w:name w:val="Heading 6 Char"/>
    <w:link w:val="Heading6"/>
    <w:locked/>
    <w:rsid w:val="001D266E"/>
    <w:rPr>
      <w:b/>
      <w:bCs/>
      <w:i/>
      <w:sz w:val="24"/>
      <w:szCs w:val="22"/>
      <w:lang w:eastAsia="en-US"/>
    </w:rPr>
  </w:style>
  <w:style w:type="paragraph" w:customStyle="1" w:styleId="HeaderBoldEven">
    <w:name w:val="HeaderBoldEven"/>
    <w:basedOn w:val="Normal"/>
    <w:rsid w:val="001D266E"/>
    <w:pPr>
      <w:spacing w:before="120" w:after="60"/>
    </w:pPr>
    <w:rPr>
      <w:rFonts w:ascii="Arial" w:hAnsi="Arial" w:cs="Arial"/>
      <w:b/>
      <w:bCs/>
      <w:sz w:val="20"/>
      <w:szCs w:val="20"/>
      <w:lang w:eastAsia="en-AU"/>
    </w:rPr>
  </w:style>
  <w:style w:type="paragraph" w:customStyle="1" w:styleId="HeaderBoldOdd">
    <w:name w:val="HeaderBoldOdd"/>
    <w:basedOn w:val="Normal"/>
    <w:rsid w:val="001D266E"/>
    <w:pPr>
      <w:spacing w:before="120" w:after="60"/>
      <w:jc w:val="right"/>
    </w:pPr>
    <w:rPr>
      <w:rFonts w:ascii="Arial" w:hAnsi="Arial" w:cs="Arial"/>
      <w:b/>
      <w:bCs/>
      <w:sz w:val="20"/>
      <w:szCs w:val="20"/>
      <w:lang w:eastAsia="en-AU"/>
    </w:rPr>
  </w:style>
  <w:style w:type="paragraph" w:customStyle="1" w:styleId="HeaderLiteEven">
    <w:name w:val="HeaderLiteEven"/>
    <w:basedOn w:val="Normal"/>
    <w:rsid w:val="001D266E"/>
    <w:pPr>
      <w:tabs>
        <w:tab w:val="center" w:pos="3969"/>
        <w:tab w:val="right" w:pos="8505"/>
      </w:tabs>
      <w:spacing w:before="60"/>
    </w:pPr>
    <w:rPr>
      <w:rFonts w:ascii="Arial" w:hAnsi="Arial" w:cs="Arial"/>
      <w:sz w:val="18"/>
      <w:szCs w:val="18"/>
      <w:lang w:eastAsia="en-AU"/>
    </w:rPr>
  </w:style>
  <w:style w:type="paragraph" w:customStyle="1" w:styleId="HeaderContentsPage">
    <w:name w:val="HeaderContents&quot;Page&quot;"/>
    <w:basedOn w:val="Normal"/>
    <w:rsid w:val="001D266E"/>
    <w:pPr>
      <w:spacing w:before="120" w:after="120"/>
      <w:jc w:val="right"/>
    </w:pPr>
    <w:rPr>
      <w:rFonts w:ascii="Arial" w:hAnsi="Arial" w:cs="Arial"/>
      <w:sz w:val="20"/>
      <w:szCs w:val="20"/>
      <w:lang w:eastAsia="en-AU"/>
    </w:rPr>
  </w:style>
  <w:style w:type="paragraph" w:customStyle="1" w:styleId="HeaderLiteOdd">
    <w:name w:val="HeaderLiteOdd"/>
    <w:basedOn w:val="Normal"/>
    <w:rsid w:val="001D266E"/>
    <w:pPr>
      <w:tabs>
        <w:tab w:val="center" w:pos="3969"/>
        <w:tab w:val="right" w:pos="8505"/>
      </w:tabs>
      <w:spacing w:before="60"/>
      <w:jc w:val="right"/>
    </w:pPr>
    <w:rPr>
      <w:rFonts w:ascii="Arial" w:hAnsi="Arial" w:cs="Arial"/>
      <w:sz w:val="18"/>
      <w:szCs w:val="18"/>
      <w:lang w:eastAsia="en-AU"/>
    </w:rPr>
  </w:style>
  <w:style w:type="paragraph" w:styleId="Footer">
    <w:name w:val="footer"/>
    <w:basedOn w:val="Normal"/>
    <w:link w:val="FooterChar"/>
    <w:uiPriority w:val="99"/>
    <w:rsid w:val="001D266E"/>
    <w:pPr>
      <w:tabs>
        <w:tab w:val="center" w:pos="3600"/>
        <w:tab w:val="right" w:pos="7201"/>
      </w:tabs>
      <w:jc w:val="center"/>
    </w:pPr>
    <w:rPr>
      <w:rFonts w:ascii="Arial" w:hAnsi="Arial" w:cs="Arial"/>
      <w:i/>
      <w:iCs/>
      <w:sz w:val="18"/>
      <w:szCs w:val="18"/>
      <w:lang w:eastAsia="en-AU"/>
    </w:rPr>
  </w:style>
  <w:style w:type="character" w:customStyle="1" w:styleId="FooterChar">
    <w:name w:val="Footer Char"/>
    <w:basedOn w:val="DefaultParagraphFont"/>
    <w:link w:val="Footer"/>
    <w:uiPriority w:val="99"/>
    <w:rsid w:val="001D266E"/>
    <w:rPr>
      <w:rFonts w:ascii="Arial" w:hAnsi="Arial" w:cs="Arial"/>
      <w:i/>
      <w:iCs/>
      <w:sz w:val="18"/>
      <w:szCs w:val="18"/>
    </w:rPr>
  </w:style>
  <w:style w:type="paragraph" w:customStyle="1" w:styleId="FooterDraft">
    <w:name w:val="FooterDraft"/>
    <w:basedOn w:val="Normal"/>
    <w:rsid w:val="001D266E"/>
    <w:pPr>
      <w:jc w:val="center"/>
    </w:pPr>
    <w:rPr>
      <w:rFonts w:ascii="Arial" w:hAnsi="Arial" w:cs="Arial"/>
      <w:b/>
      <w:bCs/>
      <w:sz w:val="40"/>
      <w:szCs w:val="40"/>
      <w:lang w:eastAsia="en-AU"/>
    </w:rPr>
  </w:style>
  <w:style w:type="paragraph" w:customStyle="1" w:styleId="FooterInfo">
    <w:name w:val="FooterInfo"/>
    <w:basedOn w:val="Normal"/>
    <w:rsid w:val="001D266E"/>
    <w:rPr>
      <w:rFonts w:ascii="Arial" w:hAnsi="Arial" w:cs="Arial"/>
      <w:sz w:val="12"/>
      <w:szCs w:val="12"/>
      <w:lang w:eastAsia="en-AU"/>
    </w:rPr>
  </w:style>
  <w:style w:type="paragraph" w:styleId="BlockText">
    <w:name w:val="Block Text"/>
    <w:basedOn w:val="Normal"/>
    <w:rsid w:val="001D266E"/>
    <w:pPr>
      <w:spacing w:after="120"/>
      <w:ind w:left="1440" w:right="1440"/>
    </w:pPr>
    <w:rPr>
      <w:lang w:eastAsia="en-AU"/>
    </w:rPr>
  </w:style>
  <w:style w:type="paragraph" w:styleId="BodyText">
    <w:name w:val="Body Text"/>
    <w:basedOn w:val="Normal"/>
    <w:link w:val="BodyTextChar"/>
    <w:rsid w:val="001D266E"/>
    <w:pPr>
      <w:spacing w:after="120"/>
    </w:pPr>
    <w:rPr>
      <w:lang w:eastAsia="en-AU"/>
    </w:rPr>
  </w:style>
  <w:style w:type="character" w:customStyle="1" w:styleId="BodyTextChar">
    <w:name w:val="Body Text Char"/>
    <w:basedOn w:val="DefaultParagraphFont"/>
    <w:link w:val="BodyText"/>
    <w:rsid w:val="001D266E"/>
    <w:rPr>
      <w:sz w:val="24"/>
      <w:szCs w:val="24"/>
    </w:rPr>
  </w:style>
  <w:style w:type="paragraph" w:styleId="BodyText2">
    <w:name w:val="Body Text 2"/>
    <w:basedOn w:val="Normal"/>
    <w:link w:val="BodyText2Char"/>
    <w:rsid w:val="001D266E"/>
    <w:pPr>
      <w:spacing w:after="120" w:line="480" w:lineRule="auto"/>
    </w:pPr>
    <w:rPr>
      <w:lang w:eastAsia="en-AU"/>
    </w:rPr>
  </w:style>
  <w:style w:type="character" w:customStyle="1" w:styleId="BodyText2Char">
    <w:name w:val="Body Text 2 Char"/>
    <w:basedOn w:val="DefaultParagraphFont"/>
    <w:link w:val="BodyText2"/>
    <w:rsid w:val="001D266E"/>
    <w:rPr>
      <w:sz w:val="24"/>
      <w:szCs w:val="24"/>
    </w:rPr>
  </w:style>
  <w:style w:type="paragraph" w:styleId="BodyText3">
    <w:name w:val="Body Text 3"/>
    <w:basedOn w:val="Normal"/>
    <w:link w:val="BodyText3Char"/>
    <w:rsid w:val="001D266E"/>
    <w:pPr>
      <w:spacing w:after="120"/>
    </w:pPr>
    <w:rPr>
      <w:sz w:val="16"/>
      <w:szCs w:val="16"/>
      <w:lang w:eastAsia="en-AU"/>
    </w:rPr>
  </w:style>
  <w:style w:type="character" w:customStyle="1" w:styleId="BodyText3Char">
    <w:name w:val="Body Text 3 Char"/>
    <w:basedOn w:val="DefaultParagraphFont"/>
    <w:link w:val="BodyText3"/>
    <w:rsid w:val="001D266E"/>
    <w:rPr>
      <w:sz w:val="16"/>
      <w:szCs w:val="16"/>
    </w:rPr>
  </w:style>
  <w:style w:type="paragraph" w:styleId="BodyTextFirstIndent">
    <w:name w:val="Body Text First Indent"/>
    <w:basedOn w:val="BodyText"/>
    <w:link w:val="BodyTextFirstIndentChar"/>
    <w:rsid w:val="001D266E"/>
    <w:pPr>
      <w:ind w:firstLine="210"/>
    </w:pPr>
  </w:style>
  <w:style w:type="character" w:customStyle="1" w:styleId="BodyTextFirstIndentChar">
    <w:name w:val="Body Text First Indent Char"/>
    <w:basedOn w:val="BodyTextChar"/>
    <w:link w:val="BodyTextFirstIndent"/>
    <w:rsid w:val="001D266E"/>
    <w:rPr>
      <w:sz w:val="24"/>
      <w:szCs w:val="24"/>
    </w:rPr>
  </w:style>
  <w:style w:type="paragraph" w:styleId="BodyTextIndent">
    <w:name w:val="Body Text Indent"/>
    <w:basedOn w:val="Normal"/>
    <w:link w:val="BodyTextIndentChar"/>
    <w:rsid w:val="001D266E"/>
    <w:pPr>
      <w:spacing w:after="120"/>
      <w:ind w:left="283"/>
    </w:pPr>
    <w:rPr>
      <w:lang w:eastAsia="en-AU"/>
    </w:rPr>
  </w:style>
  <w:style w:type="character" w:customStyle="1" w:styleId="BodyTextIndentChar">
    <w:name w:val="Body Text Indent Char"/>
    <w:basedOn w:val="DefaultParagraphFont"/>
    <w:link w:val="BodyTextIndent"/>
    <w:rsid w:val="001D266E"/>
    <w:rPr>
      <w:sz w:val="24"/>
      <w:szCs w:val="24"/>
    </w:rPr>
  </w:style>
  <w:style w:type="paragraph" w:styleId="BodyTextFirstIndent2">
    <w:name w:val="Body Text First Indent 2"/>
    <w:basedOn w:val="BodyTextIndent"/>
    <w:link w:val="BodyTextFirstIndent2Char"/>
    <w:rsid w:val="001D266E"/>
    <w:pPr>
      <w:ind w:firstLine="210"/>
    </w:pPr>
  </w:style>
  <w:style w:type="character" w:customStyle="1" w:styleId="BodyTextFirstIndent2Char">
    <w:name w:val="Body Text First Indent 2 Char"/>
    <w:basedOn w:val="BodyTextIndentChar"/>
    <w:link w:val="BodyTextFirstIndent2"/>
    <w:rsid w:val="001D266E"/>
    <w:rPr>
      <w:sz w:val="24"/>
      <w:szCs w:val="24"/>
    </w:rPr>
  </w:style>
  <w:style w:type="paragraph" w:styleId="BodyTextIndent2">
    <w:name w:val="Body Text Indent 2"/>
    <w:basedOn w:val="Normal"/>
    <w:link w:val="BodyTextIndent2Char"/>
    <w:rsid w:val="001D266E"/>
    <w:pPr>
      <w:spacing w:after="120" w:line="480" w:lineRule="auto"/>
      <w:ind w:left="283"/>
    </w:pPr>
    <w:rPr>
      <w:lang w:eastAsia="en-AU"/>
    </w:rPr>
  </w:style>
  <w:style w:type="character" w:customStyle="1" w:styleId="BodyTextIndent2Char">
    <w:name w:val="Body Text Indent 2 Char"/>
    <w:basedOn w:val="DefaultParagraphFont"/>
    <w:link w:val="BodyTextIndent2"/>
    <w:rsid w:val="001D266E"/>
    <w:rPr>
      <w:sz w:val="24"/>
      <w:szCs w:val="24"/>
    </w:rPr>
  </w:style>
  <w:style w:type="paragraph" w:styleId="BodyTextIndent3">
    <w:name w:val="Body Text Indent 3"/>
    <w:basedOn w:val="Normal"/>
    <w:link w:val="BodyTextIndent3Char"/>
    <w:rsid w:val="001D266E"/>
    <w:pPr>
      <w:spacing w:after="120"/>
      <w:ind w:left="283"/>
    </w:pPr>
    <w:rPr>
      <w:sz w:val="16"/>
      <w:szCs w:val="16"/>
      <w:lang w:eastAsia="en-AU"/>
    </w:rPr>
  </w:style>
  <w:style w:type="character" w:customStyle="1" w:styleId="BodyTextIndent3Char">
    <w:name w:val="Body Text Indent 3 Char"/>
    <w:basedOn w:val="DefaultParagraphFont"/>
    <w:link w:val="BodyTextIndent3"/>
    <w:rsid w:val="001D266E"/>
    <w:rPr>
      <w:sz w:val="16"/>
      <w:szCs w:val="16"/>
    </w:rPr>
  </w:style>
  <w:style w:type="paragraph" w:styleId="Closing">
    <w:name w:val="Closing"/>
    <w:basedOn w:val="Normal"/>
    <w:link w:val="ClosingChar"/>
    <w:rsid w:val="001D266E"/>
    <w:pPr>
      <w:ind w:left="4252"/>
    </w:pPr>
    <w:rPr>
      <w:lang w:eastAsia="en-AU"/>
    </w:rPr>
  </w:style>
  <w:style w:type="character" w:customStyle="1" w:styleId="ClosingChar">
    <w:name w:val="Closing Char"/>
    <w:basedOn w:val="DefaultParagraphFont"/>
    <w:link w:val="Closing"/>
    <w:rsid w:val="001D266E"/>
    <w:rPr>
      <w:sz w:val="24"/>
      <w:szCs w:val="24"/>
    </w:rPr>
  </w:style>
  <w:style w:type="paragraph" w:styleId="Date">
    <w:name w:val="Date"/>
    <w:basedOn w:val="Normal"/>
    <w:next w:val="Normal"/>
    <w:link w:val="DateChar"/>
    <w:rsid w:val="001D266E"/>
    <w:rPr>
      <w:lang w:eastAsia="en-AU"/>
    </w:rPr>
  </w:style>
  <w:style w:type="character" w:customStyle="1" w:styleId="DateChar">
    <w:name w:val="Date Char"/>
    <w:basedOn w:val="DefaultParagraphFont"/>
    <w:link w:val="Date"/>
    <w:rsid w:val="001D266E"/>
    <w:rPr>
      <w:sz w:val="24"/>
      <w:szCs w:val="24"/>
    </w:rPr>
  </w:style>
  <w:style w:type="paragraph" w:styleId="E-mailSignature">
    <w:name w:val="E-mail Signature"/>
    <w:basedOn w:val="Normal"/>
    <w:link w:val="E-mailSignatureChar"/>
    <w:rsid w:val="001D266E"/>
    <w:rPr>
      <w:lang w:eastAsia="en-AU"/>
    </w:rPr>
  </w:style>
  <w:style w:type="character" w:customStyle="1" w:styleId="E-mailSignatureChar">
    <w:name w:val="E-mail Signature Char"/>
    <w:basedOn w:val="DefaultParagraphFont"/>
    <w:link w:val="E-mailSignature"/>
    <w:rsid w:val="001D266E"/>
    <w:rPr>
      <w:sz w:val="24"/>
      <w:szCs w:val="24"/>
    </w:rPr>
  </w:style>
  <w:style w:type="paragraph" w:styleId="EnvelopeAddress">
    <w:name w:val="envelope address"/>
    <w:basedOn w:val="Normal"/>
    <w:rsid w:val="001D266E"/>
    <w:pPr>
      <w:framePr w:w="7920" w:h="1980" w:hRule="exact" w:hSpace="180" w:wrap="auto" w:hAnchor="page" w:xAlign="center" w:yAlign="bottom"/>
      <w:ind w:left="2880"/>
    </w:pPr>
    <w:rPr>
      <w:rFonts w:ascii="Arial" w:hAnsi="Arial" w:cs="Arial"/>
      <w:lang w:eastAsia="en-AU"/>
    </w:rPr>
  </w:style>
  <w:style w:type="paragraph" w:styleId="EnvelopeReturn">
    <w:name w:val="envelope return"/>
    <w:basedOn w:val="Normal"/>
    <w:rsid w:val="001D266E"/>
    <w:rPr>
      <w:rFonts w:ascii="Arial" w:hAnsi="Arial" w:cs="Arial"/>
      <w:sz w:val="20"/>
      <w:szCs w:val="20"/>
      <w:lang w:eastAsia="en-AU"/>
    </w:rPr>
  </w:style>
  <w:style w:type="character" w:styleId="FollowedHyperlink">
    <w:name w:val="FollowedHyperlink"/>
    <w:rsid w:val="001D266E"/>
    <w:rPr>
      <w:rFonts w:cs="Times New Roman"/>
      <w:color w:val="800080"/>
      <w:u w:val="single"/>
    </w:rPr>
  </w:style>
  <w:style w:type="paragraph" w:styleId="Header">
    <w:name w:val="header"/>
    <w:basedOn w:val="Normal"/>
    <w:link w:val="HeaderChar"/>
    <w:rsid w:val="001D266E"/>
    <w:pPr>
      <w:tabs>
        <w:tab w:val="center" w:pos="3969"/>
        <w:tab w:val="right" w:pos="8505"/>
      </w:tabs>
      <w:jc w:val="both"/>
    </w:pPr>
    <w:rPr>
      <w:rFonts w:ascii="Arial" w:hAnsi="Arial" w:cs="Arial"/>
      <w:sz w:val="16"/>
      <w:szCs w:val="16"/>
      <w:lang w:eastAsia="en-AU"/>
    </w:rPr>
  </w:style>
  <w:style w:type="character" w:customStyle="1" w:styleId="HeaderChar">
    <w:name w:val="Header Char"/>
    <w:basedOn w:val="DefaultParagraphFont"/>
    <w:link w:val="Header"/>
    <w:rsid w:val="001D266E"/>
    <w:rPr>
      <w:rFonts w:ascii="Arial" w:hAnsi="Arial" w:cs="Arial"/>
      <w:sz w:val="16"/>
      <w:szCs w:val="16"/>
    </w:rPr>
  </w:style>
  <w:style w:type="character" w:styleId="HTMLAcronym">
    <w:name w:val="HTML Acronym"/>
    <w:rsid w:val="001D266E"/>
    <w:rPr>
      <w:rFonts w:cs="Times New Roman"/>
    </w:rPr>
  </w:style>
  <w:style w:type="paragraph" w:styleId="HTMLAddress">
    <w:name w:val="HTML Address"/>
    <w:basedOn w:val="Normal"/>
    <w:link w:val="HTMLAddressChar"/>
    <w:rsid w:val="001D266E"/>
    <w:rPr>
      <w:i/>
      <w:iCs/>
      <w:lang w:eastAsia="en-AU"/>
    </w:rPr>
  </w:style>
  <w:style w:type="character" w:customStyle="1" w:styleId="HTMLAddressChar">
    <w:name w:val="HTML Address Char"/>
    <w:basedOn w:val="DefaultParagraphFont"/>
    <w:link w:val="HTMLAddress"/>
    <w:rsid w:val="001D266E"/>
    <w:rPr>
      <w:i/>
      <w:iCs/>
      <w:sz w:val="24"/>
      <w:szCs w:val="24"/>
    </w:rPr>
  </w:style>
  <w:style w:type="character" w:styleId="HTMLCite">
    <w:name w:val="HTML Cite"/>
    <w:rsid w:val="001D266E"/>
    <w:rPr>
      <w:rFonts w:cs="Times New Roman"/>
      <w:i/>
      <w:iCs/>
    </w:rPr>
  </w:style>
  <w:style w:type="character" w:styleId="HTMLCode">
    <w:name w:val="HTML Code"/>
    <w:rsid w:val="001D266E"/>
    <w:rPr>
      <w:rFonts w:ascii="Courier New" w:hAnsi="Courier New" w:cs="Courier New"/>
      <w:sz w:val="20"/>
      <w:szCs w:val="20"/>
    </w:rPr>
  </w:style>
  <w:style w:type="character" w:styleId="HTMLDefinition">
    <w:name w:val="HTML Definition"/>
    <w:rsid w:val="001D266E"/>
    <w:rPr>
      <w:rFonts w:cs="Times New Roman"/>
      <w:i/>
      <w:iCs/>
    </w:rPr>
  </w:style>
  <w:style w:type="character" w:styleId="HTMLKeyboard">
    <w:name w:val="HTML Keyboard"/>
    <w:rsid w:val="001D266E"/>
    <w:rPr>
      <w:rFonts w:ascii="Courier New" w:hAnsi="Courier New" w:cs="Courier New"/>
      <w:sz w:val="20"/>
      <w:szCs w:val="20"/>
    </w:rPr>
  </w:style>
  <w:style w:type="paragraph" w:styleId="HTMLPreformatted">
    <w:name w:val="HTML Preformatted"/>
    <w:basedOn w:val="Normal"/>
    <w:link w:val="HTMLPreformattedChar"/>
    <w:rsid w:val="001D266E"/>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rsid w:val="001D266E"/>
    <w:rPr>
      <w:rFonts w:ascii="Courier New" w:hAnsi="Courier New" w:cs="Courier New"/>
    </w:rPr>
  </w:style>
  <w:style w:type="character" w:styleId="HTMLSample">
    <w:name w:val="HTML Sample"/>
    <w:rsid w:val="001D266E"/>
    <w:rPr>
      <w:rFonts w:ascii="Courier New" w:hAnsi="Courier New" w:cs="Courier New"/>
    </w:rPr>
  </w:style>
  <w:style w:type="character" w:styleId="HTMLTypewriter">
    <w:name w:val="HTML Typewriter"/>
    <w:rsid w:val="001D266E"/>
    <w:rPr>
      <w:rFonts w:ascii="Courier New" w:hAnsi="Courier New" w:cs="Courier New"/>
      <w:sz w:val="20"/>
      <w:szCs w:val="20"/>
    </w:rPr>
  </w:style>
  <w:style w:type="character" w:styleId="HTMLVariable">
    <w:name w:val="HTML Variable"/>
    <w:rsid w:val="001D266E"/>
    <w:rPr>
      <w:rFonts w:cs="Times New Roman"/>
      <w:i/>
      <w:iCs/>
    </w:rPr>
  </w:style>
  <w:style w:type="character" w:styleId="Hyperlink">
    <w:name w:val="Hyperlink"/>
    <w:rsid w:val="001D266E"/>
    <w:rPr>
      <w:rFonts w:cs="Times New Roman"/>
      <w:color w:val="0000FF"/>
      <w:u w:val="single"/>
    </w:rPr>
  </w:style>
  <w:style w:type="character" w:styleId="LineNumber">
    <w:name w:val="line number"/>
    <w:rsid w:val="001D266E"/>
    <w:rPr>
      <w:rFonts w:cs="Times New Roman"/>
    </w:rPr>
  </w:style>
  <w:style w:type="paragraph" w:styleId="List">
    <w:name w:val="List"/>
    <w:basedOn w:val="Normal"/>
    <w:rsid w:val="001D266E"/>
    <w:pPr>
      <w:ind w:left="283" w:hanging="283"/>
    </w:pPr>
    <w:rPr>
      <w:lang w:eastAsia="en-AU"/>
    </w:rPr>
  </w:style>
  <w:style w:type="paragraph" w:styleId="List2">
    <w:name w:val="List 2"/>
    <w:basedOn w:val="Normal"/>
    <w:rsid w:val="001D266E"/>
    <w:pPr>
      <w:ind w:left="566" w:hanging="283"/>
    </w:pPr>
    <w:rPr>
      <w:lang w:eastAsia="en-AU"/>
    </w:rPr>
  </w:style>
  <w:style w:type="paragraph" w:styleId="List3">
    <w:name w:val="List 3"/>
    <w:basedOn w:val="Normal"/>
    <w:rsid w:val="001D266E"/>
    <w:pPr>
      <w:ind w:left="849" w:hanging="283"/>
    </w:pPr>
    <w:rPr>
      <w:lang w:eastAsia="en-AU"/>
    </w:rPr>
  </w:style>
  <w:style w:type="paragraph" w:styleId="List4">
    <w:name w:val="List 4"/>
    <w:basedOn w:val="Normal"/>
    <w:rsid w:val="001D266E"/>
    <w:pPr>
      <w:ind w:left="1132" w:hanging="283"/>
    </w:pPr>
    <w:rPr>
      <w:lang w:eastAsia="en-AU"/>
    </w:rPr>
  </w:style>
  <w:style w:type="paragraph" w:styleId="List5">
    <w:name w:val="List 5"/>
    <w:basedOn w:val="Normal"/>
    <w:rsid w:val="001D266E"/>
    <w:pPr>
      <w:ind w:left="1415" w:hanging="283"/>
    </w:pPr>
    <w:rPr>
      <w:lang w:eastAsia="en-AU"/>
    </w:rPr>
  </w:style>
  <w:style w:type="paragraph" w:styleId="ListBullet">
    <w:name w:val="List Bullet"/>
    <w:basedOn w:val="Normal"/>
    <w:autoRedefine/>
    <w:rsid w:val="001D266E"/>
    <w:pPr>
      <w:tabs>
        <w:tab w:val="num" w:pos="360"/>
      </w:tabs>
      <w:ind w:left="360" w:hanging="360"/>
    </w:pPr>
    <w:rPr>
      <w:lang w:eastAsia="en-AU"/>
    </w:rPr>
  </w:style>
  <w:style w:type="paragraph" w:styleId="ListBullet2">
    <w:name w:val="List Bullet 2"/>
    <w:basedOn w:val="Normal"/>
    <w:autoRedefine/>
    <w:rsid w:val="001D266E"/>
    <w:pPr>
      <w:tabs>
        <w:tab w:val="num" w:pos="643"/>
      </w:tabs>
      <w:ind w:left="643" w:hanging="360"/>
    </w:pPr>
    <w:rPr>
      <w:lang w:eastAsia="en-AU"/>
    </w:rPr>
  </w:style>
  <w:style w:type="paragraph" w:styleId="ListBullet3">
    <w:name w:val="List Bullet 3"/>
    <w:basedOn w:val="Normal"/>
    <w:autoRedefine/>
    <w:rsid w:val="001D266E"/>
    <w:pPr>
      <w:tabs>
        <w:tab w:val="num" w:pos="926"/>
      </w:tabs>
      <w:ind w:left="926" w:hanging="360"/>
    </w:pPr>
    <w:rPr>
      <w:lang w:eastAsia="en-AU"/>
    </w:rPr>
  </w:style>
  <w:style w:type="paragraph" w:styleId="ListBullet4">
    <w:name w:val="List Bullet 4"/>
    <w:basedOn w:val="Normal"/>
    <w:autoRedefine/>
    <w:rsid w:val="001D266E"/>
    <w:pPr>
      <w:tabs>
        <w:tab w:val="num" w:pos="1209"/>
      </w:tabs>
      <w:ind w:left="1209" w:hanging="360"/>
    </w:pPr>
    <w:rPr>
      <w:lang w:eastAsia="en-AU"/>
    </w:rPr>
  </w:style>
  <w:style w:type="paragraph" w:styleId="ListBullet5">
    <w:name w:val="List Bullet 5"/>
    <w:basedOn w:val="Normal"/>
    <w:autoRedefine/>
    <w:rsid w:val="001D266E"/>
    <w:pPr>
      <w:tabs>
        <w:tab w:val="num" w:pos="1492"/>
      </w:tabs>
      <w:ind w:left="1492" w:hanging="360"/>
    </w:pPr>
    <w:rPr>
      <w:lang w:eastAsia="en-AU"/>
    </w:rPr>
  </w:style>
  <w:style w:type="paragraph" w:styleId="ListContinue">
    <w:name w:val="List Continue"/>
    <w:basedOn w:val="Normal"/>
    <w:rsid w:val="001D266E"/>
    <w:pPr>
      <w:spacing w:after="120"/>
      <w:ind w:left="283"/>
    </w:pPr>
    <w:rPr>
      <w:lang w:eastAsia="en-AU"/>
    </w:rPr>
  </w:style>
  <w:style w:type="paragraph" w:styleId="ListContinue2">
    <w:name w:val="List Continue 2"/>
    <w:basedOn w:val="Normal"/>
    <w:rsid w:val="001D266E"/>
    <w:pPr>
      <w:spacing w:after="120"/>
      <w:ind w:left="566"/>
    </w:pPr>
    <w:rPr>
      <w:lang w:eastAsia="en-AU"/>
    </w:rPr>
  </w:style>
  <w:style w:type="paragraph" w:styleId="ListContinue3">
    <w:name w:val="List Continue 3"/>
    <w:basedOn w:val="Normal"/>
    <w:rsid w:val="001D266E"/>
    <w:pPr>
      <w:spacing w:after="120"/>
      <w:ind w:left="849"/>
    </w:pPr>
    <w:rPr>
      <w:lang w:eastAsia="en-AU"/>
    </w:rPr>
  </w:style>
  <w:style w:type="paragraph" w:styleId="ListContinue4">
    <w:name w:val="List Continue 4"/>
    <w:basedOn w:val="Normal"/>
    <w:rsid w:val="001D266E"/>
    <w:pPr>
      <w:spacing w:after="120"/>
      <w:ind w:left="1132"/>
    </w:pPr>
    <w:rPr>
      <w:lang w:eastAsia="en-AU"/>
    </w:rPr>
  </w:style>
  <w:style w:type="paragraph" w:styleId="ListContinue5">
    <w:name w:val="List Continue 5"/>
    <w:basedOn w:val="Normal"/>
    <w:rsid w:val="001D266E"/>
    <w:pPr>
      <w:spacing w:after="120"/>
      <w:ind w:left="1415"/>
    </w:pPr>
    <w:rPr>
      <w:lang w:eastAsia="en-AU"/>
    </w:rPr>
  </w:style>
  <w:style w:type="paragraph" w:styleId="ListNumber">
    <w:name w:val="List Number"/>
    <w:basedOn w:val="Normal"/>
    <w:rsid w:val="001D266E"/>
    <w:pPr>
      <w:tabs>
        <w:tab w:val="num" w:pos="360"/>
      </w:tabs>
      <w:ind w:left="360" w:hanging="360"/>
    </w:pPr>
    <w:rPr>
      <w:lang w:eastAsia="en-AU"/>
    </w:rPr>
  </w:style>
  <w:style w:type="paragraph" w:styleId="ListNumber2">
    <w:name w:val="List Number 2"/>
    <w:basedOn w:val="Normal"/>
    <w:rsid w:val="001D266E"/>
    <w:pPr>
      <w:tabs>
        <w:tab w:val="num" w:pos="643"/>
      </w:tabs>
      <w:ind w:left="643" w:hanging="360"/>
    </w:pPr>
    <w:rPr>
      <w:lang w:eastAsia="en-AU"/>
    </w:rPr>
  </w:style>
  <w:style w:type="paragraph" w:styleId="ListNumber3">
    <w:name w:val="List Number 3"/>
    <w:basedOn w:val="Normal"/>
    <w:rsid w:val="001D266E"/>
    <w:pPr>
      <w:tabs>
        <w:tab w:val="num" w:pos="926"/>
      </w:tabs>
      <w:ind w:left="926" w:hanging="360"/>
    </w:pPr>
    <w:rPr>
      <w:lang w:eastAsia="en-AU"/>
    </w:rPr>
  </w:style>
  <w:style w:type="paragraph" w:styleId="ListNumber4">
    <w:name w:val="List Number 4"/>
    <w:basedOn w:val="Normal"/>
    <w:rsid w:val="001D266E"/>
    <w:pPr>
      <w:tabs>
        <w:tab w:val="num" w:pos="1209"/>
      </w:tabs>
      <w:ind w:left="1209" w:hanging="360"/>
    </w:pPr>
    <w:rPr>
      <w:lang w:eastAsia="en-AU"/>
    </w:rPr>
  </w:style>
  <w:style w:type="paragraph" w:styleId="ListNumber5">
    <w:name w:val="List Number 5"/>
    <w:basedOn w:val="Normal"/>
    <w:rsid w:val="001D266E"/>
    <w:pPr>
      <w:tabs>
        <w:tab w:val="num" w:pos="1492"/>
      </w:tabs>
      <w:ind w:left="1492" w:hanging="360"/>
    </w:pPr>
    <w:rPr>
      <w:lang w:eastAsia="en-AU"/>
    </w:rPr>
  </w:style>
  <w:style w:type="paragraph" w:styleId="MessageHeader">
    <w:name w:val="Message Header"/>
    <w:basedOn w:val="Normal"/>
    <w:link w:val="MessageHeaderChar"/>
    <w:rsid w:val="001D266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AU"/>
    </w:rPr>
  </w:style>
  <w:style w:type="character" w:customStyle="1" w:styleId="MessageHeaderChar">
    <w:name w:val="Message Header Char"/>
    <w:basedOn w:val="DefaultParagraphFont"/>
    <w:link w:val="MessageHeader"/>
    <w:rsid w:val="001D266E"/>
    <w:rPr>
      <w:rFonts w:ascii="Arial" w:hAnsi="Arial" w:cs="Arial"/>
      <w:sz w:val="24"/>
      <w:szCs w:val="24"/>
      <w:shd w:val="pct20" w:color="auto" w:fill="auto"/>
    </w:rPr>
  </w:style>
  <w:style w:type="paragraph" w:styleId="NormalWeb">
    <w:name w:val="Normal (Web)"/>
    <w:basedOn w:val="Normal"/>
    <w:uiPriority w:val="99"/>
    <w:rsid w:val="001D266E"/>
    <w:rPr>
      <w:lang w:eastAsia="en-AU"/>
    </w:rPr>
  </w:style>
  <w:style w:type="paragraph" w:styleId="NormalIndent">
    <w:name w:val="Normal Indent"/>
    <w:basedOn w:val="Normal"/>
    <w:rsid w:val="001D266E"/>
    <w:pPr>
      <w:ind w:left="720"/>
    </w:pPr>
    <w:rPr>
      <w:lang w:eastAsia="en-AU"/>
    </w:rPr>
  </w:style>
  <w:style w:type="paragraph" w:styleId="NoteHeading">
    <w:name w:val="Note Heading"/>
    <w:aliases w:val="HN"/>
    <w:basedOn w:val="Normal"/>
    <w:next w:val="Normal"/>
    <w:link w:val="NoteHeadingChar"/>
    <w:rsid w:val="001D266E"/>
    <w:pPr>
      <w:keepNext/>
      <w:keepLines/>
      <w:pageBreakBefore/>
      <w:tabs>
        <w:tab w:val="left" w:pos="1559"/>
      </w:tabs>
      <w:spacing w:before="120" w:line="240" w:lineRule="atLeast"/>
    </w:pPr>
    <w:rPr>
      <w:rFonts w:ascii="Arial" w:hAnsi="Arial" w:cs="Arial"/>
      <w:b/>
      <w:bCs/>
      <w:sz w:val="32"/>
      <w:szCs w:val="32"/>
      <w:lang w:eastAsia="en-AU"/>
    </w:rPr>
  </w:style>
  <w:style w:type="character" w:customStyle="1" w:styleId="NoteHeadingChar">
    <w:name w:val="Note Heading Char"/>
    <w:aliases w:val="HN Char"/>
    <w:basedOn w:val="DefaultParagraphFont"/>
    <w:link w:val="NoteHeading"/>
    <w:rsid w:val="001D266E"/>
    <w:rPr>
      <w:rFonts w:ascii="Arial" w:hAnsi="Arial" w:cs="Arial"/>
      <w:b/>
      <w:bCs/>
      <w:sz w:val="32"/>
      <w:szCs w:val="32"/>
    </w:rPr>
  </w:style>
  <w:style w:type="character" w:styleId="PageNumber">
    <w:name w:val="page number"/>
    <w:rsid w:val="001D266E"/>
    <w:rPr>
      <w:rFonts w:ascii="Arial" w:hAnsi="Arial" w:cs="Arial"/>
      <w:sz w:val="22"/>
      <w:szCs w:val="22"/>
    </w:rPr>
  </w:style>
  <w:style w:type="paragraph" w:styleId="PlainText">
    <w:name w:val="Plain Text"/>
    <w:basedOn w:val="Normal"/>
    <w:link w:val="PlainTextChar"/>
    <w:rsid w:val="001D266E"/>
    <w:rPr>
      <w:rFonts w:ascii="Courier New" w:hAnsi="Courier New" w:cs="Courier New"/>
      <w:sz w:val="20"/>
      <w:szCs w:val="20"/>
      <w:lang w:eastAsia="en-AU"/>
    </w:rPr>
  </w:style>
  <w:style w:type="character" w:customStyle="1" w:styleId="PlainTextChar">
    <w:name w:val="Plain Text Char"/>
    <w:basedOn w:val="DefaultParagraphFont"/>
    <w:link w:val="PlainText"/>
    <w:rsid w:val="001D266E"/>
    <w:rPr>
      <w:rFonts w:ascii="Courier New" w:hAnsi="Courier New" w:cs="Courier New"/>
    </w:rPr>
  </w:style>
  <w:style w:type="paragraph" w:styleId="Salutation">
    <w:name w:val="Salutation"/>
    <w:basedOn w:val="Normal"/>
    <w:next w:val="Normal"/>
    <w:link w:val="SalutationChar"/>
    <w:rsid w:val="001D266E"/>
    <w:rPr>
      <w:lang w:eastAsia="en-AU"/>
    </w:rPr>
  </w:style>
  <w:style w:type="character" w:customStyle="1" w:styleId="SalutationChar">
    <w:name w:val="Salutation Char"/>
    <w:basedOn w:val="DefaultParagraphFont"/>
    <w:link w:val="Salutation"/>
    <w:rsid w:val="001D266E"/>
    <w:rPr>
      <w:sz w:val="24"/>
      <w:szCs w:val="24"/>
    </w:rPr>
  </w:style>
  <w:style w:type="paragraph" w:styleId="Signature">
    <w:name w:val="Signature"/>
    <w:basedOn w:val="Normal"/>
    <w:link w:val="SignatureChar"/>
    <w:rsid w:val="001D266E"/>
    <w:pPr>
      <w:ind w:left="4252"/>
    </w:pPr>
    <w:rPr>
      <w:lang w:eastAsia="en-AU"/>
    </w:rPr>
  </w:style>
  <w:style w:type="character" w:customStyle="1" w:styleId="SignatureChar">
    <w:name w:val="Signature Char"/>
    <w:basedOn w:val="DefaultParagraphFont"/>
    <w:link w:val="Signature"/>
    <w:rsid w:val="001D266E"/>
    <w:rPr>
      <w:sz w:val="24"/>
      <w:szCs w:val="24"/>
    </w:rPr>
  </w:style>
  <w:style w:type="table" w:styleId="Table3Deffects1">
    <w:name w:val="Table 3D effects 1"/>
    <w:basedOn w:val="TableNormal"/>
    <w:rsid w:val="001D266E"/>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D266E"/>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rsid w:val="001D266E"/>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rsid w:val="001D266E"/>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rsid w:val="001D266E"/>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rsid w:val="001D266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rsid w:val="001D266E"/>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rsid w:val="001D266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rsid w:val="001D266E"/>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rsid w:val="001D266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D266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rsid w:val="001D266E"/>
    <w:rPr>
      <w:b/>
      <w:bCs/>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rsid w:val="001D266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rsid w:val="001D266E"/>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1D266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rsid w:val="001D266E"/>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D266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rsid w:val="001D2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D26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rsid w:val="001D266E"/>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rsid w:val="001D266E"/>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rsid w:val="001D266E"/>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rsid w:val="001D266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1D266E"/>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1D266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1D266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rsid w:val="001D266E"/>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rsid w:val="001D266E"/>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rsid w:val="001D266E"/>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rsid w:val="001D266E"/>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D266E"/>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rsid w:val="001D266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1D266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1D266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D26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D266E"/>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D266E"/>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D266E"/>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D266E"/>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rsid w:val="001D266E"/>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rsid w:val="001D2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D266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1D266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1D266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1D266E"/>
    <w:pPr>
      <w:keepNext/>
      <w:spacing w:before="480" w:line="260" w:lineRule="exact"/>
      <w:ind w:left="964" w:hanging="964"/>
    </w:pPr>
    <w:rPr>
      <w:rFonts w:ascii="Arial" w:hAnsi="Arial" w:cs="Arial"/>
      <w:b/>
      <w:bCs/>
      <w:lang w:eastAsia="en-AU"/>
    </w:rPr>
  </w:style>
  <w:style w:type="paragraph" w:customStyle="1" w:styleId="A1S">
    <w:name w:val="A1S"/>
    <w:aliases w:val="1.Schedule Amendment"/>
    <w:basedOn w:val="Normal"/>
    <w:next w:val="A2S"/>
    <w:rsid w:val="001D266E"/>
    <w:pPr>
      <w:keepNext/>
      <w:spacing w:before="480" w:line="260" w:lineRule="exact"/>
      <w:ind w:left="964" w:hanging="964"/>
    </w:pPr>
    <w:rPr>
      <w:rFonts w:ascii="Arial" w:hAnsi="Arial" w:cs="Arial"/>
      <w:b/>
      <w:bCs/>
      <w:lang w:eastAsia="en-AU"/>
    </w:rPr>
  </w:style>
  <w:style w:type="paragraph" w:customStyle="1" w:styleId="A2">
    <w:name w:val="A2"/>
    <w:aliases w:val="1.1 amendment,Instruction amendment"/>
    <w:basedOn w:val="Normal"/>
    <w:next w:val="Normal"/>
    <w:rsid w:val="001D266E"/>
    <w:pPr>
      <w:tabs>
        <w:tab w:val="right" w:pos="794"/>
      </w:tabs>
      <w:spacing w:before="120" w:line="260" w:lineRule="exact"/>
      <w:ind w:left="964" w:hanging="964"/>
      <w:jc w:val="both"/>
    </w:pPr>
    <w:rPr>
      <w:lang w:eastAsia="en-AU"/>
    </w:rPr>
  </w:style>
  <w:style w:type="paragraph" w:customStyle="1" w:styleId="A2S">
    <w:name w:val="A2S"/>
    <w:aliases w:val="Schedule Inst Amendment"/>
    <w:basedOn w:val="Normal"/>
    <w:next w:val="A3S"/>
    <w:link w:val="A2SChar"/>
    <w:rsid w:val="001D266E"/>
    <w:pPr>
      <w:keepNext/>
      <w:spacing w:before="120" w:line="260" w:lineRule="exact"/>
      <w:ind w:left="964"/>
    </w:pPr>
    <w:rPr>
      <w:i/>
      <w:iCs/>
      <w:lang w:eastAsia="en-AU"/>
    </w:rPr>
  </w:style>
  <w:style w:type="paragraph" w:customStyle="1" w:styleId="A3">
    <w:name w:val="A3"/>
    <w:aliases w:val="1.2 amendment"/>
    <w:basedOn w:val="Normal"/>
    <w:rsid w:val="001D266E"/>
    <w:pPr>
      <w:tabs>
        <w:tab w:val="right" w:pos="794"/>
      </w:tabs>
      <w:spacing w:before="180" w:line="260" w:lineRule="exact"/>
      <w:ind w:left="964" w:hanging="964"/>
      <w:jc w:val="both"/>
    </w:pPr>
    <w:rPr>
      <w:lang w:eastAsia="en-AU"/>
    </w:rPr>
  </w:style>
  <w:style w:type="paragraph" w:customStyle="1" w:styleId="A3S">
    <w:name w:val="A3S"/>
    <w:aliases w:val="Schedule Amendment"/>
    <w:basedOn w:val="Normal"/>
    <w:next w:val="A1S"/>
    <w:rsid w:val="001D266E"/>
    <w:pPr>
      <w:spacing w:before="60" w:line="260" w:lineRule="exact"/>
      <w:ind w:left="1247"/>
      <w:jc w:val="both"/>
    </w:pPr>
    <w:rPr>
      <w:lang w:eastAsia="en-AU"/>
    </w:rPr>
  </w:style>
  <w:style w:type="paragraph" w:customStyle="1" w:styleId="A4">
    <w:name w:val="A4"/>
    <w:aliases w:val="(a) Amendment"/>
    <w:basedOn w:val="Normal"/>
    <w:rsid w:val="001D266E"/>
    <w:pPr>
      <w:tabs>
        <w:tab w:val="right" w:pos="1247"/>
      </w:tabs>
      <w:spacing w:before="60" w:line="260" w:lineRule="exact"/>
      <w:ind w:left="1531" w:hanging="1531"/>
      <w:jc w:val="both"/>
    </w:pPr>
    <w:rPr>
      <w:lang w:eastAsia="en-AU"/>
    </w:rPr>
  </w:style>
  <w:style w:type="paragraph" w:customStyle="1" w:styleId="A5">
    <w:name w:val="A5"/>
    <w:aliases w:val="(i) Amendment"/>
    <w:basedOn w:val="Normal"/>
    <w:rsid w:val="001D266E"/>
    <w:pPr>
      <w:tabs>
        <w:tab w:val="right" w:pos="1758"/>
      </w:tabs>
      <w:spacing w:before="60" w:line="260" w:lineRule="exact"/>
      <w:ind w:left="2041" w:hanging="2041"/>
      <w:jc w:val="both"/>
    </w:pPr>
    <w:rPr>
      <w:lang w:eastAsia="en-AU"/>
    </w:rPr>
  </w:style>
  <w:style w:type="paragraph" w:customStyle="1" w:styleId="AN">
    <w:name w:val="AN"/>
    <w:aliases w:val="Note Amendment"/>
    <w:basedOn w:val="Normal"/>
    <w:next w:val="A1"/>
    <w:rsid w:val="001D266E"/>
    <w:pPr>
      <w:spacing w:before="120" w:line="220" w:lineRule="exact"/>
      <w:ind w:left="964"/>
      <w:jc w:val="both"/>
    </w:pPr>
    <w:rPr>
      <w:sz w:val="20"/>
      <w:szCs w:val="20"/>
      <w:lang w:eastAsia="en-AU"/>
    </w:rPr>
  </w:style>
  <w:style w:type="paragraph" w:customStyle="1" w:styleId="ASref">
    <w:name w:val="AS ref"/>
    <w:basedOn w:val="Normal"/>
    <w:next w:val="A1S"/>
    <w:rsid w:val="001D266E"/>
    <w:pPr>
      <w:keepNext/>
      <w:spacing w:before="60" w:line="200" w:lineRule="exact"/>
      <w:ind w:left="2410"/>
    </w:pPr>
    <w:rPr>
      <w:rFonts w:ascii="Arial" w:hAnsi="Arial" w:cs="Arial"/>
      <w:sz w:val="18"/>
      <w:szCs w:val="18"/>
      <w:lang w:eastAsia="en-AU"/>
    </w:rPr>
  </w:style>
  <w:style w:type="paragraph" w:customStyle="1" w:styleId="AS">
    <w:name w:val="AS"/>
    <w:aliases w:val="Schedule title Amendment"/>
    <w:basedOn w:val="Normal"/>
    <w:next w:val="ASref"/>
    <w:rsid w:val="001D266E"/>
    <w:pPr>
      <w:keepNext/>
      <w:spacing w:before="480"/>
      <w:ind w:left="2410" w:hanging="2410"/>
    </w:pPr>
    <w:rPr>
      <w:rFonts w:ascii="Arial" w:hAnsi="Arial" w:cs="Arial"/>
      <w:b/>
      <w:bCs/>
      <w:sz w:val="32"/>
      <w:szCs w:val="32"/>
      <w:lang w:eastAsia="en-AU"/>
    </w:rPr>
  </w:style>
  <w:style w:type="paragraph" w:customStyle="1" w:styleId="ASP">
    <w:name w:val="ASP"/>
    <w:aliases w:val="Schedule Part Amendment"/>
    <w:basedOn w:val="Normal"/>
    <w:next w:val="A1S"/>
    <w:rsid w:val="001D266E"/>
    <w:pPr>
      <w:keepNext/>
      <w:spacing w:before="360"/>
      <w:ind w:left="2410" w:hanging="2410"/>
    </w:pPr>
    <w:rPr>
      <w:rFonts w:ascii="Arial" w:hAnsi="Arial" w:cs="Arial"/>
      <w:b/>
      <w:bCs/>
      <w:sz w:val="28"/>
      <w:szCs w:val="28"/>
      <w:lang w:eastAsia="en-AU"/>
    </w:rPr>
  </w:style>
  <w:style w:type="paragraph" w:styleId="BalloonText">
    <w:name w:val="Balloon Text"/>
    <w:basedOn w:val="Normal"/>
    <w:link w:val="BalloonTextChar"/>
    <w:rsid w:val="001D266E"/>
    <w:rPr>
      <w:rFonts w:ascii="Tahoma" w:hAnsi="Tahoma" w:cs="Tahoma"/>
      <w:sz w:val="16"/>
      <w:szCs w:val="16"/>
      <w:lang w:eastAsia="en-AU"/>
    </w:rPr>
  </w:style>
  <w:style w:type="character" w:customStyle="1" w:styleId="BalloonTextChar">
    <w:name w:val="Balloon Text Char"/>
    <w:basedOn w:val="DefaultParagraphFont"/>
    <w:link w:val="BalloonText"/>
    <w:rsid w:val="001D266E"/>
    <w:rPr>
      <w:rFonts w:ascii="Tahoma" w:hAnsi="Tahoma" w:cs="Tahoma"/>
      <w:sz w:val="16"/>
      <w:szCs w:val="16"/>
    </w:rPr>
  </w:style>
  <w:style w:type="paragraph" w:styleId="Caption">
    <w:name w:val="caption"/>
    <w:basedOn w:val="Normal"/>
    <w:next w:val="Normal"/>
    <w:qFormat/>
    <w:rsid w:val="001D266E"/>
    <w:pPr>
      <w:spacing w:before="120" w:after="120"/>
    </w:pPr>
    <w:rPr>
      <w:b/>
      <w:bCs/>
      <w:sz w:val="20"/>
      <w:szCs w:val="20"/>
      <w:lang w:eastAsia="en-AU"/>
    </w:rPr>
  </w:style>
  <w:style w:type="character" w:customStyle="1" w:styleId="CharAmSchNo">
    <w:name w:val="CharAmSchNo"/>
    <w:rsid w:val="001D266E"/>
    <w:rPr>
      <w:rFonts w:cs="Times New Roman"/>
    </w:rPr>
  </w:style>
  <w:style w:type="character" w:customStyle="1" w:styleId="CharAmSchText">
    <w:name w:val="CharAmSchText"/>
    <w:rsid w:val="001D266E"/>
    <w:rPr>
      <w:rFonts w:cs="Times New Roman"/>
    </w:rPr>
  </w:style>
  <w:style w:type="character" w:customStyle="1" w:styleId="CharChapNo">
    <w:name w:val="CharChapNo"/>
    <w:rsid w:val="001D266E"/>
    <w:rPr>
      <w:rFonts w:cs="Times New Roman"/>
    </w:rPr>
  </w:style>
  <w:style w:type="character" w:customStyle="1" w:styleId="CharChapText">
    <w:name w:val="CharChapText"/>
    <w:rsid w:val="001D266E"/>
    <w:rPr>
      <w:rFonts w:cs="Times New Roman"/>
    </w:rPr>
  </w:style>
  <w:style w:type="character" w:customStyle="1" w:styleId="CharDivNo">
    <w:name w:val="CharDivNo"/>
    <w:rsid w:val="001D266E"/>
    <w:rPr>
      <w:rFonts w:cs="Times New Roman"/>
    </w:rPr>
  </w:style>
  <w:style w:type="character" w:customStyle="1" w:styleId="CharDivText">
    <w:name w:val="CharDivText"/>
    <w:rsid w:val="001D266E"/>
    <w:rPr>
      <w:rFonts w:cs="Times New Roman"/>
    </w:rPr>
  </w:style>
  <w:style w:type="character" w:customStyle="1" w:styleId="CharPartNo">
    <w:name w:val="CharPartNo"/>
    <w:qFormat/>
    <w:rsid w:val="001D266E"/>
    <w:rPr>
      <w:rFonts w:cs="Times New Roman"/>
    </w:rPr>
  </w:style>
  <w:style w:type="character" w:customStyle="1" w:styleId="CharPartText">
    <w:name w:val="CharPartText"/>
    <w:qFormat/>
    <w:rsid w:val="001D266E"/>
    <w:rPr>
      <w:rFonts w:cs="Times New Roman"/>
    </w:rPr>
  </w:style>
  <w:style w:type="character" w:customStyle="1" w:styleId="CharSchPTNo">
    <w:name w:val="CharSchPTNo"/>
    <w:rsid w:val="001D266E"/>
    <w:rPr>
      <w:rFonts w:cs="Times New Roman"/>
    </w:rPr>
  </w:style>
  <w:style w:type="character" w:customStyle="1" w:styleId="CharSchPTText">
    <w:name w:val="CharSchPTText"/>
    <w:rsid w:val="001D266E"/>
    <w:rPr>
      <w:rFonts w:cs="Times New Roman"/>
    </w:rPr>
  </w:style>
  <w:style w:type="character" w:customStyle="1" w:styleId="CharSectno">
    <w:name w:val="CharSectno"/>
    <w:rsid w:val="001D266E"/>
    <w:rPr>
      <w:rFonts w:cs="Times New Roman"/>
    </w:rPr>
  </w:style>
  <w:style w:type="character" w:styleId="CommentReference">
    <w:name w:val="annotation reference"/>
    <w:rsid w:val="001D266E"/>
    <w:rPr>
      <w:rFonts w:cs="Times New Roman"/>
      <w:sz w:val="16"/>
      <w:szCs w:val="16"/>
    </w:rPr>
  </w:style>
  <w:style w:type="paragraph" w:styleId="CommentText">
    <w:name w:val="annotation text"/>
    <w:basedOn w:val="Normal"/>
    <w:link w:val="CommentTextChar"/>
    <w:rsid w:val="001D266E"/>
    <w:rPr>
      <w:sz w:val="20"/>
      <w:szCs w:val="20"/>
      <w:lang w:eastAsia="en-AU"/>
    </w:rPr>
  </w:style>
  <w:style w:type="character" w:customStyle="1" w:styleId="CommentTextChar">
    <w:name w:val="Comment Text Char"/>
    <w:basedOn w:val="DefaultParagraphFont"/>
    <w:link w:val="CommentText"/>
    <w:rsid w:val="001D266E"/>
  </w:style>
  <w:style w:type="paragraph" w:styleId="CommentSubject">
    <w:name w:val="annotation subject"/>
    <w:basedOn w:val="CommentText"/>
    <w:next w:val="CommentText"/>
    <w:link w:val="CommentSubjectChar"/>
    <w:rsid w:val="001D266E"/>
    <w:rPr>
      <w:b/>
      <w:bCs/>
    </w:rPr>
  </w:style>
  <w:style w:type="character" w:customStyle="1" w:styleId="CommentSubjectChar">
    <w:name w:val="Comment Subject Char"/>
    <w:basedOn w:val="CommentTextChar"/>
    <w:link w:val="CommentSubject"/>
    <w:rsid w:val="001D266E"/>
    <w:rPr>
      <w:b/>
      <w:bCs/>
    </w:rPr>
  </w:style>
  <w:style w:type="paragraph" w:customStyle="1" w:styleId="ContentsHead">
    <w:name w:val="ContentsHead"/>
    <w:basedOn w:val="Normal"/>
    <w:next w:val="Normal"/>
    <w:rsid w:val="001D266E"/>
    <w:pPr>
      <w:keepNext/>
      <w:spacing w:before="240" w:after="240"/>
    </w:pPr>
    <w:rPr>
      <w:rFonts w:ascii="Arial" w:hAnsi="Arial" w:cs="Arial"/>
      <w:b/>
      <w:bCs/>
      <w:sz w:val="28"/>
      <w:szCs w:val="28"/>
      <w:lang w:eastAsia="en-AU"/>
    </w:rPr>
  </w:style>
  <w:style w:type="paragraph" w:customStyle="1" w:styleId="ContentsSectionBreak">
    <w:name w:val="ContentsSectionBreak"/>
    <w:basedOn w:val="Normal"/>
    <w:next w:val="Normal"/>
    <w:rsid w:val="001D266E"/>
    <w:rPr>
      <w:lang w:eastAsia="en-AU"/>
    </w:rPr>
  </w:style>
  <w:style w:type="paragraph" w:customStyle="1" w:styleId="DD">
    <w:name w:val="DD"/>
    <w:aliases w:val="Dictionary Definition"/>
    <w:basedOn w:val="Normal"/>
    <w:rsid w:val="001D266E"/>
    <w:pPr>
      <w:spacing w:before="80" w:line="260" w:lineRule="exact"/>
      <w:jc w:val="both"/>
    </w:pPr>
    <w:rPr>
      <w:lang w:eastAsia="en-AU"/>
    </w:rPr>
  </w:style>
  <w:style w:type="paragraph" w:customStyle="1" w:styleId="definition">
    <w:name w:val="definition"/>
    <w:basedOn w:val="Normal"/>
    <w:rsid w:val="001D266E"/>
    <w:pPr>
      <w:spacing w:before="80" w:line="260" w:lineRule="exact"/>
      <w:ind w:left="964"/>
      <w:jc w:val="both"/>
    </w:pPr>
    <w:rPr>
      <w:lang w:eastAsia="en-AU"/>
    </w:rPr>
  </w:style>
  <w:style w:type="paragraph" w:customStyle="1" w:styleId="DictionaryHeading">
    <w:name w:val="Dictionary Heading"/>
    <w:basedOn w:val="Normal"/>
    <w:next w:val="DD"/>
    <w:rsid w:val="001D266E"/>
    <w:pPr>
      <w:keepNext/>
      <w:spacing w:before="480"/>
      <w:ind w:left="2552" w:hanging="2552"/>
    </w:pPr>
    <w:rPr>
      <w:rFonts w:ascii="Arial" w:hAnsi="Arial" w:cs="Arial"/>
      <w:b/>
      <w:bCs/>
      <w:sz w:val="32"/>
      <w:szCs w:val="32"/>
      <w:lang w:eastAsia="en-AU"/>
    </w:rPr>
  </w:style>
  <w:style w:type="paragraph" w:customStyle="1" w:styleId="DictionarySectionBreak">
    <w:name w:val="DictionarySectionBreak"/>
    <w:basedOn w:val="Normal"/>
    <w:next w:val="Normal"/>
    <w:rsid w:val="001D266E"/>
    <w:rPr>
      <w:lang w:eastAsia="en-AU"/>
    </w:rPr>
  </w:style>
  <w:style w:type="paragraph" w:customStyle="1" w:styleId="DNote">
    <w:name w:val="DNote"/>
    <w:aliases w:val="DictionaryNote"/>
    <w:basedOn w:val="Normal"/>
    <w:rsid w:val="001D266E"/>
    <w:pPr>
      <w:spacing w:before="120" w:line="220" w:lineRule="exact"/>
      <w:ind w:left="425"/>
      <w:jc w:val="both"/>
    </w:pPr>
    <w:rPr>
      <w:sz w:val="20"/>
      <w:szCs w:val="20"/>
      <w:lang w:eastAsia="en-AU"/>
    </w:rPr>
  </w:style>
  <w:style w:type="paragraph" w:styleId="DocumentMap">
    <w:name w:val="Document Map"/>
    <w:basedOn w:val="Normal"/>
    <w:link w:val="DocumentMapChar"/>
    <w:rsid w:val="001D266E"/>
    <w:pPr>
      <w:shd w:val="clear" w:color="auto" w:fill="000080"/>
    </w:pPr>
    <w:rPr>
      <w:rFonts w:ascii="Tahoma" w:hAnsi="Tahoma" w:cs="Tahoma"/>
      <w:lang w:eastAsia="en-AU"/>
    </w:rPr>
  </w:style>
  <w:style w:type="character" w:customStyle="1" w:styleId="DocumentMapChar">
    <w:name w:val="Document Map Char"/>
    <w:basedOn w:val="DefaultParagraphFont"/>
    <w:link w:val="DocumentMap"/>
    <w:rsid w:val="001D266E"/>
    <w:rPr>
      <w:rFonts w:ascii="Tahoma" w:hAnsi="Tahoma" w:cs="Tahoma"/>
      <w:sz w:val="24"/>
      <w:szCs w:val="24"/>
      <w:shd w:val="clear" w:color="auto" w:fill="000080"/>
    </w:rPr>
  </w:style>
  <w:style w:type="paragraph" w:customStyle="1" w:styleId="DP1a">
    <w:name w:val="DP1(a)"/>
    <w:aliases w:val="Dictionary (a)"/>
    <w:basedOn w:val="Normal"/>
    <w:rsid w:val="001D266E"/>
    <w:pPr>
      <w:tabs>
        <w:tab w:val="right" w:pos="709"/>
      </w:tabs>
      <w:spacing w:before="60" w:line="260" w:lineRule="exact"/>
      <w:ind w:left="936" w:hanging="936"/>
      <w:jc w:val="both"/>
    </w:pPr>
    <w:rPr>
      <w:lang w:eastAsia="en-AU"/>
    </w:rPr>
  </w:style>
  <w:style w:type="paragraph" w:customStyle="1" w:styleId="DP2i">
    <w:name w:val="DP2(i)"/>
    <w:aliases w:val="Dictionary(i)"/>
    <w:basedOn w:val="Normal"/>
    <w:rsid w:val="001D266E"/>
    <w:pPr>
      <w:tabs>
        <w:tab w:val="right" w:pos="1276"/>
      </w:tabs>
      <w:spacing w:before="60" w:line="260" w:lineRule="exact"/>
      <w:ind w:left="1503" w:hanging="1503"/>
      <w:jc w:val="both"/>
    </w:pPr>
    <w:rPr>
      <w:lang w:eastAsia="en-AU"/>
    </w:rPr>
  </w:style>
  <w:style w:type="character" w:styleId="EndnoteReference">
    <w:name w:val="endnote reference"/>
    <w:rsid w:val="001D266E"/>
    <w:rPr>
      <w:rFonts w:cs="Times New Roman"/>
      <w:vertAlign w:val="superscript"/>
    </w:rPr>
  </w:style>
  <w:style w:type="paragraph" w:styleId="EndnoteText">
    <w:name w:val="endnote text"/>
    <w:basedOn w:val="Normal"/>
    <w:link w:val="EndnoteTextChar"/>
    <w:rsid w:val="001D266E"/>
    <w:rPr>
      <w:sz w:val="20"/>
      <w:szCs w:val="20"/>
      <w:lang w:eastAsia="en-AU"/>
    </w:rPr>
  </w:style>
  <w:style w:type="character" w:customStyle="1" w:styleId="EndnoteTextChar">
    <w:name w:val="Endnote Text Char"/>
    <w:basedOn w:val="DefaultParagraphFont"/>
    <w:link w:val="EndnoteText"/>
    <w:rsid w:val="001D266E"/>
  </w:style>
  <w:style w:type="paragraph" w:customStyle="1" w:styleId="ExampleBody">
    <w:name w:val="Example Body"/>
    <w:basedOn w:val="Normal"/>
    <w:rsid w:val="001D266E"/>
    <w:pPr>
      <w:spacing w:before="60" w:line="220" w:lineRule="exact"/>
      <w:ind w:left="964"/>
      <w:jc w:val="both"/>
    </w:pPr>
    <w:rPr>
      <w:sz w:val="20"/>
      <w:szCs w:val="20"/>
      <w:lang w:eastAsia="en-AU"/>
    </w:rPr>
  </w:style>
  <w:style w:type="paragraph" w:customStyle="1" w:styleId="ExampleList">
    <w:name w:val="Example List"/>
    <w:basedOn w:val="Normal"/>
    <w:rsid w:val="001D266E"/>
    <w:pPr>
      <w:tabs>
        <w:tab w:val="left" w:pos="1247"/>
        <w:tab w:val="left" w:pos="1349"/>
      </w:tabs>
      <w:spacing w:before="60" w:line="220" w:lineRule="exact"/>
      <w:ind w:left="340" w:firstLine="652"/>
      <w:jc w:val="both"/>
    </w:pPr>
    <w:rPr>
      <w:sz w:val="20"/>
      <w:szCs w:val="20"/>
      <w:lang w:eastAsia="en-AU"/>
    </w:rPr>
  </w:style>
  <w:style w:type="character" w:styleId="FootnoteReference">
    <w:name w:val="footnote reference"/>
    <w:rsid w:val="001D266E"/>
    <w:rPr>
      <w:rFonts w:ascii="Times New Roman" w:hAnsi="Times New Roman" w:cs="Times New Roman"/>
      <w:sz w:val="20"/>
      <w:szCs w:val="20"/>
      <w:vertAlign w:val="superscript"/>
    </w:rPr>
  </w:style>
  <w:style w:type="paragraph" w:styleId="FootnoteText">
    <w:name w:val="footnote text"/>
    <w:basedOn w:val="Normal"/>
    <w:link w:val="FootnoteTextChar"/>
    <w:rsid w:val="001D266E"/>
    <w:rPr>
      <w:sz w:val="20"/>
      <w:szCs w:val="20"/>
      <w:lang w:eastAsia="en-AU"/>
    </w:rPr>
  </w:style>
  <w:style w:type="character" w:customStyle="1" w:styleId="FootnoteTextChar">
    <w:name w:val="Footnote Text Char"/>
    <w:basedOn w:val="DefaultParagraphFont"/>
    <w:link w:val="FootnoteText"/>
    <w:rsid w:val="001D266E"/>
  </w:style>
  <w:style w:type="paragraph" w:customStyle="1" w:styleId="Formula">
    <w:name w:val="Formula"/>
    <w:basedOn w:val="Normal"/>
    <w:next w:val="Normal"/>
    <w:rsid w:val="001D266E"/>
    <w:pPr>
      <w:spacing w:before="180" w:after="180"/>
      <w:jc w:val="center"/>
    </w:pPr>
    <w:rPr>
      <w:lang w:eastAsia="en-AU"/>
    </w:rPr>
  </w:style>
  <w:style w:type="paragraph" w:customStyle="1" w:styleId="HC">
    <w:name w:val="HC"/>
    <w:aliases w:val="Chapter Heading"/>
    <w:basedOn w:val="Normal"/>
    <w:next w:val="Normal"/>
    <w:rsid w:val="001D266E"/>
    <w:pPr>
      <w:keepNext/>
      <w:pageBreakBefore/>
      <w:spacing w:before="480"/>
      <w:ind w:left="2410" w:hanging="2410"/>
    </w:pPr>
    <w:rPr>
      <w:rFonts w:ascii="Arial" w:hAnsi="Arial" w:cs="Arial"/>
      <w:b/>
      <w:bCs/>
      <w:sz w:val="40"/>
      <w:szCs w:val="40"/>
      <w:lang w:eastAsia="en-AU"/>
    </w:rPr>
  </w:style>
  <w:style w:type="paragraph" w:customStyle="1" w:styleId="HD">
    <w:name w:val="HD"/>
    <w:aliases w:val="Division Heading"/>
    <w:basedOn w:val="Normal"/>
    <w:next w:val="HR"/>
    <w:rsid w:val="001D266E"/>
    <w:pPr>
      <w:keepNext/>
      <w:spacing w:before="360"/>
      <w:ind w:left="2410" w:hanging="2410"/>
    </w:pPr>
    <w:rPr>
      <w:rFonts w:ascii="Arial" w:hAnsi="Arial" w:cs="Arial"/>
      <w:b/>
      <w:bCs/>
      <w:sz w:val="28"/>
      <w:szCs w:val="28"/>
      <w:lang w:eastAsia="en-AU"/>
    </w:rPr>
  </w:style>
  <w:style w:type="paragraph" w:customStyle="1" w:styleId="HE">
    <w:name w:val="HE"/>
    <w:aliases w:val="Example heading"/>
    <w:basedOn w:val="Normal"/>
    <w:next w:val="ExampleBody"/>
    <w:rsid w:val="001D266E"/>
    <w:pPr>
      <w:keepNext/>
      <w:spacing w:before="120" w:line="220" w:lineRule="exact"/>
      <w:ind w:left="964"/>
    </w:pPr>
    <w:rPr>
      <w:i/>
      <w:iCs/>
      <w:sz w:val="20"/>
      <w:szCs w:val="20"/>
      <w:lang w:eastAsia="en-AU"/>
    </w:rPr>
  </w:style>
  <w:style w:type="paragraph" w:customStyle="1" w:styleId="HP">
    <w:name w:val="HP"/>
    <w:aliases w:val="Part Heading"/>
    <w:basedOn w:val="Normal"/>
    <w:next w:val="HD"/>
    <w:rsid w:val="001D266E"/>
    <w:pPr>
      <w:keepNext/>
      <w:spacing w:before="360"/>
      <w:ind w:left="2410" w:hanging="2410"/>
    </w:pPr>
    <w:rPr>
      <w:rFonts w:ascii="Arial" w:hAnsi="Arial" w:cs="Arial"/>
      <w:b/>
      <w:bCs/>
      <w:sz w:val="32"/>
      <w:szCs w:val="32"/>
      <w:lang w:eastAsia="en-AU"/>
    </w:rPr>
  </w:style>
  <w:style w:type="paragraph" w:customStyle="1" w:styleId="HR">
    <w:name w:val="HR"/>
    <w:aliases w:val="Regulation Heading"/>
    <w:basedOn w:val="Normal"/>
    <w:next w:val="R1"/>
    <w:rsid w:val="001D266E"/>
    <w:pPr>
      <w:keepNext/>
      <w:spacing w:before="360"/>
      <w:ind w:left="964" w:hanging="964"/>
    </w:pPr>
    <w:rPr>
      <w:rFonts w:ascii="Arial" w:hAnsi="Arial" w:cs="Arial"/>
      <w:b/>
      <w:bCs/>
      <w:lang w:eastAsia="en-AU"/>
    </w:rPr>
  </w:style>
  <w:style w:type="paragraph" w:customStyle="1" w:styleId="HS">
    <w:name w:val="HS"/>
    <w:aliases w:val="Subdiv Heading"/>
    <w:basedOn w:val="Normal"/>
    <w:next w:val="HR"/>
    <w:rsid w:val="001D266E"/>
    <w:pPr>
      <w:keepNext/>
      <w:spacing w:before="360"/>
      <w:ind w:left="2410" w:hanging="2410"/>
    </w:pPr>
    <w:rPr>
      <w:rFonts w:ascii="Arial" w:hAnsi="Arial" w:cs="Arial"/>
      <w:b/>
      <w:bCs/>
      <w:lang w:eastAsia="en-AU"/>
    </w:rPr>
  </w:style>
  <w:style w:type="paragraph" w:customStyle="1" w:styleId="HSR">
    <w:name w:val="HSR"/>
    <w:aliases w:val="Subregulation Heading"/>
    <w:basedOn w:val="Normal"/>
    <w:next w:val="Normal"/>
    <w:rsid w:val="001D266E"/>
    <w:pPr>
      <w:keepNext/>
      <w:spacing w:before="300"/>
      <w:ind w:left="964"/>
    </w:pPr>
    <w:rPr>
      <w:rFonts w:ascii="Arial" w:hAnsi="Arial" w:cs="Arial"/>
      <w:i/>
      <w:iCs/>
      <w:lang w:eastAsia="en-AU"/>
    </w:rPr>
  </w:style>
  <w:style w:type="paragraph" w:styleId="Index1">
    <w:name w:val="index 1"/>
    <w:basedOn w:val="Normal"/>
    <w:next w:val="Normal"/>
    <w:autoRedefine/>
    <w:rsid w:val="001D266E"/>
    <w:pPr>
      <w:ind w:left="240" w:hanging="240"/>
    </w:pPr>
    <w:rPr>
      <w:lang w:eastAsia="en-AU"/>
    </w:rPr>
  </w:style>
  <w:style w:type="paragraph" w:styleId="Index2">
    <w:name w:val="index 2"/>
    <w:basedOn w:val="Normal"/>
    <w:next w:val="Normal"/>
    <w:autoRedefine/>
    <w:rsid w:val="001D266E"/>
    <w:pPr>
      <w:ind w:left="480" w:hanging="240"/>
    </w:pPr>
    <w:rPr>
      <w:lang w:eastAsia="en-AU"/>
    </w:rPr>
  </w:style>
  <w:style w:type="paragraph" w:styleId="Index3">
    <w:name w:val="index 3"/>
    <w:basedOn w:val="Normal"/>
    <w:next w:val="Normal"/>
    <w:autoRedefine/>
    <w:rsid w:val="001D266E"/>
    <w:pPr>
      <w:ind w:left="720" w:hanging="240"/>
    </w:pPr>
    <w:rPr>
      <w:lang w:eastAsia="en-AU"/>
    </w:rPr>
  </w:style>
  <w:style w:type="paragraph" w:styleId="Index4">
    <w:name w:val="index 4"/>
    <w:basedOn w:val="Normal"/>
    <w:next w:val="Normal"/>
    <w:autoRedefine/>
    <w:rsid w:val="001D266E"/>
    <w:pPr>
      <w:ind w:left="960" w:hanging="240"/>
    </w:pPr>
    <w:rPr>
      <w:lang w:eastAsia="en-AU"/>
    </w:rPr>
  </w:style>
  <w:style w:type="paragraph" w:styleId="Index5">
    <w:name w:val="index 5"/>
    <w:basedOn w:val="Normal"/>
    <w:next w:val="Normal"/>
    <w:autoRedefine/>
    <w:rsid w:val="001D266E"/>
    <w:pPr>
      <w:ind w:left="1200" w:hanging="240"/>
    </w:pPr>
    <w:rPr>
      <w:lang w:eastAsia="en-AU"/>
    </w:rPr>
  </w:style>
  <w:style w:type="paragraph" w:styleId="Index6">
    <w:name w:val="index 6"/>
    <w:basedOn w:val="Normal"/>
    <w:next w:val="Normal"/>
    <w:autoRedefine/>
    <w:rsid w:val="001D266E"/>
    <w:pPr>
      <w:ind w:left="1440" w:hanging="240"/>
    </w:pPr>
    <w:rPr>
      <w:lang w:eastAsia="en-AU"/>
    </w:rPr>
  </w:style>
  <w:style w:type="paragraph" w:styleId="Index7">
    <w:name w:val="index 7"/>
    <w:basedOn w:val="Normal"/>
    <w:next w:val="Normal"/>
    <w:autoRedefine/>
    <w:rsid w:val="001D266E"/>
    <w:pPr>
      <w:ind w:left="1680" w:hanging="240"/>
    </w:pPr>
    <w:rPr>
      <w:lang w:eastAsia="en-AU"/>
    </w:rPr>
  </w:style>
  <w:style w:type="paragraph" w:styleId="Index8">
    <w:name w:val="index 8"/>
    <w:basedOn w:val="Normal"/>
    <w:next w:val="Normal"/>
    <w:autoRedefine/>
    <w:rsid w:val="001D266E"/>
    <w:pPr>
      <w:ind w:left="1920" w:hanging="240"/>
    </w:pPr>
    <w:rPr>
      <w:lang w:eastAsia="en-AU"/>
    </w:rPr>
  </w:style>
  <w:style w:type="paragraph" w:styleId="Index9">
    <w:name w:val="index 9"/>
    <w:basedOn w:val="Normal"/>
    <w:next w:val="Normal"/>
    <w:autoRedefine/>
    <w:rsid w:val="001D266E"/>
    <w:pPr>
      <w:ind w:left="2160" w:hanging="240"/>
    </w:pPr>
    <w:rPr>
      <w:lang w:eastAsia="en-AU"/>
    </w:rPr>
  </w:style>
  <w:style w:type="paragraph" w:styleId="IndexHeading">
    <w:name w:val="index heading"/>
    <w:basedOn w:val="Normal"/>
    <w:next w:val="Index1"/>
    <w:rsid w:val="001D266E"/>
    <w:rPr>
      <w:rFonts w:ascii="Arial" w:hAnsi="Arial" w:cs="Arial"/>
      <w:b/>
      <w:bCs/>
      <w:lang w:eastAsia="en-AU"/>
    </w:rPr>
  </w:style>
  <w:style w:type="paragraph" w:customStyle="1" w:styleId="Lt">
    <w:name w:val="Lt"/>
    <w:aliases w:val="Long title"/>
    <w:basedOn w:val="Normal"/>
    <w:rsid w:val="001D266E"/>
    <w:pPr>
      <w:spacing w:before="260"/>
    </w:pPr>
    <w:rPr>
      <w:rFonts w:ascii="Arial" w:hAnsi="Arial" w:cs="Arial"/>
      <w:b/>
      <w:bCs/>
      <w:sz w:val="28"/>
      <w:szCs w:val="28"/>
      <w:lang w:eastAsia="en-AU"/>
    </w:rPr>
  </w:style>
  <w:style w:type="paragraph" w:customStyle="1" w:styleId="M1">
    <w:name w:val="M1"/>
    <w:aliases w:val="Modification Heading"/>
    <w:basedOn w:val="Normal"/>
    <w:next w:val="Normal"/>
    <w:rsid w:val="001D266E"/>
    <w:pPr>
      <w:keepNext/>
      <w:spacing w:before="480" w:line="260" w:lineRule="exact"/>
      <w:ind w:left="964" w:hanging="964"/>
    </w:pPr>
    <w:rPr>
      <w:rFonts w:ascii="Arial" w:hAnsi="Arial" w:cs="Arial"/>
      <w:b/>
      <w:bCs/>
      <w:lang w:eastAsia="en-AU"/>
    </w:rPr>
  </w:style>
  <w:style w:type="paragraph" w:customStyle="1" w:styleId="M2">
    <w:name w:val="M2"/>
    <w:aliases w:val="Modification Instruction"/>
    <w:basedOn w:val="Normal"/>
    <w:next w:val="Normal"/>
    <w:rsid w:val="001D266E"/>
    <w:pPr>
      <w:keepNext/>
      <w:spacing w:before="120" w:line="260" w:lineRule="exact"/>
      <w:ind w:left="964"/>
    </w:pPr>
    <w:rPr>
      <w:i/>
      <w:iCs/>
      <w:lang w:eastAsia="en-AU"/>
    </w:rPr>
  </w:style>
  <w:style w:type="paragraph" w:customStyle="1" w:styleId="M3">
    <w:name w:val="M3"/>
    <w:aliases w:val="Modification Text"/>
    <w:basedOn w:val="Normal"/>
    <w:next w:val="M1"/>
    <w:rsid w:val="001D266E"/>
    <w:pPr>
      <w:spacing w:before="60" w:line="260" w:lineRule="exact"/>
      <w:ind w:left="1247"/>
      <w:jc w:val="both"/>
    </w:pPr>
    <w:rPr>
      <w:lang w:eastAsia="en-AU"/>
    </w:rPr>
  </w:style>
  <w:style w:type="paragraph" w:styleId="MacroText">
    <w:name w:val="macro"/>
    <w:link w:val="MacroTextChar"/>
    <w:rsid w:val="001D266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1D266E"/>
    <w:rPr>
      <w:rFonts w:ascii="Courier New" w:hAnsi="Courier New" w:cs="Courier New"/>
      <w:lang w:eastAsia="en-US"/>
    </w:rPr>
  </w:style>
  <w:style w:type="paragraph" w:customStyle="1" w:styleId="MainBodySectionBreak">
    <w:name w:val="MainBody Section Break"/>
    <w:basedOn w:val="Normal"/>
    <w:next w:val="Normal"/>
    <w:rsid w:val="001D266E"/>
    <w:rPr>
      <w:lang w:eastAsia="en-AU"/>
    </w:rPr>
  </w:style>
  <w:style w:type="paragraph" w:customStyle="1" w:styleId="Maker">
    <w:name w:val="Maker"/>
    <w:basedOn w:val="Normal"/>
    <w:rsid w:val="001D266E"/>
    <w:pPr>
      <w:tabs>
        <w:tab w:val="left" w:pos="3119"/>
      </w:tabs>
      <w:spacing w:line="300" w:lineRule="atLeast"/>
    </w:pPr>
    <w:rPr>
      <w:lang w:eastAsia="en-AU"/>
    </w:rPr>
  </w:style>
  <w:style w:type="paragraph" w:customStyle="1" w:styleId="MHD">
    <w:name w:val="MHD"/>
    <w:aliases w:val="Mod Division Heading"/>
    <w:basedOn w:val="Normal"/>
    <w:next w:val="Normal"/>
    <w:rsid w:val="001D266E"/>
    <w:pPr>
      <w:keepNext/>
      <w:spacing w:before="360"/>
      <w:ind w:left="2410" w:hanging="2410"/>
    </w:pPr>
    <w:rPr>
      <w:b/>
      <w:bCs/>
      <w:sz w:val="28"/>
      <w:szCs w:val="28"/>
      <w:lang w:eastAsia="en-AU"/>
    </w:rPr>
  </w:style>
  <w:style w:type="paragraph" w:customStyle="1" w:styleId="MHP">
    <w:name w:val="MHP"/>
    <w:aliases w:val="Mod Part Heading"/>
    <w:basedOn w:val="Normal"/>
    <w:next w:val="Normal"/>
    <w:rsid w:val="001D266E"/>
    <w:pPr>
      <w:keepNext/>
      <w:spacing w:before="360"/>
      <w:ind w:left="2410" w:hanging="2410"/>
    </w:pPr>
    <w:rPr>
      <w:b/>
      <w:bCs/>
      <w:sz w:val="32"/>
      <w:szCs w:val="32"/>
      <w:lang w:eastAsia="en-AU"/>
    </w:rPr>
  </w:style>
  <w:style w:type="paragraph" w:customStyle="1" w:styleId="MHR">
    <w:name w:val="MHR"/>
    <w:aliases w:val="Mod Regulation Heading"/>
    <w:basedOn w:val="Normal"/>
    <w:next w:val="Normal"/>
    <w:rsid w:val="001D266E"/>
    <w:pPr>
      <w:keepNext/>
      <w:spacing w:before="360"/>
      <w:ind w:left="964" w:hanging="964"/>
    </w:pPr>
    <w:rPr>
      <w:b/>
      <w:bCs/>
      <w:lang w:eastAsia="en-AU"/>
    </w:rPr>
  </w:style>
  <w:style w:type="paragraph" w:customStyle="1" w:styleId="MHS">
    <w:name w:val="MHS"/>
    <w:aliases w:val="Mod Subdivision Heading"/>
    <w:basedOn w:val="Normal"/>
    <w:next w:val="MHR"/>
    <w:rsid w:val="001D266E"/>
    <w:pPr>
      <w:keepNext/>
      <w:spacing w:before="360"/>
      <w:ind w:left="2410" w:hanging="2410"/>
    </w:pPr>
    <w:rPr>
      <w:b/>
      <w:bCs/>
      <w:lang w:eastAsia="en-AU"/>
    </w:rPr>
  </w:style>
  <w:style w:type="paragraph" w:customStyle="1" w:styleId="MHSR">
    <w:name w:val="MHSR"/>
    <w:aliases w:val="Mod Subregulation Heading"/>
    <w:basedOn w:val="Normal"/>
    <w:next w:val="Normal"/>
    <w:rsid w:val="001D266E"/>
    <w:pPr>
      <w:keepNext/>
      <w:spacing w:before="300"/>
      <w:ind w:left="964" w:hanging="964"/>
    </w:pPr>
    <w:rPr>
      <w:i/>
      <w:iCs/>
      <w:lang w:eastAsia="en-AU"/>
    </w:rPr>
  </w:style>
  <w:style w:type="paragraph" w:customStyle="1" w:styleId="Note">
    <w:name w:val="Note"/>
    <w:basedOn w:val="Normal"/>
    <w:rsid w:val="001D266E"/>
    <w:pPr>
      <w:spacing w:before="120" w:line="220" w:lineRule="exact"/>
      <w:ind w:left="964"/>
      <w:jc w:val="both"/>
    </w:pPr>
    <w:rPr>
      <w:sz w:val="20"/>
      <w:szCs w:val="20"/>
      <w:lang w:eastAsia="en-AU"/>
    </w:rPr>
  </w:style>
  <w:style w:type="paragraph" w:customStyle="1" w:styleId="NoteEnd">
    <w:name w:val="Note End"/>
    <w:basedOn w:val="Normal"/>
    <w:rsid w:val="001D266E"/>
    <w:pPr>
      <w:spacing w:before="120" w:line="240" w:lineRule="exact"/>
      <w:ind w:left="567" w:hanging="567"/>
      <w:jc w:val="both"/>
    </w:pPr>
    <w:rPr>
      <w:sz w:val="22"/>
      <w:szCs w:val="22"/>
      <w:lang w:eastAsia="en-AU"/>
    </w:rPr>
  </w:style>
  <w:style w:type="paragraph" w:customStyle="1" w:styleId="Notepara">
    <w:name w:val="Note para"/>
    <w:basedOn w:val="Normal"/>
    <w:rsid w:val="001D266E"/>
    <w:pPr>
      <w:spacing w:before="60" w:line="220" w:lineRule="exact"/>
      <w:ind w:left="1304" w:hanging="340"/>
      <w:jc w:val="both"/>
    </w:pPr>
    <w:rPr>
      <w:sz w:val="20"/>
      <w:szCs w:val="20"/>
      <w:lang w:eastAsia="en-AU"/>
    </w:rPr>
  </w:style>
  <w:style w:type="paragraph" w:customStyle="1" w:styleId="NotesSectionBreak">
    <w:name w:val="NotesSectionBreak"/>
    <w:basedOn w:val="Normal"/>
    <w:next w:val="Normal"/>
    <w:rsid w:val="001D266E"/>
    <w:rPr>
      <w:lang w:eastAsia="en-AU"/>
    </w:rPr>
  </w:style>
  <w:style w:type="paragraph" w:customStyle="1" w:styleId="P1">
    <w:name w:val="P1"/>
    <w:aliases w:val="(a)"/>
    <w:basedOn w:val="Normal"/>
    <w:rsid w:val="001D266E"/>
    <w:pPr>
      <w:tabs>
        <w:tab w:val="right" w:pos="1191"/>
      </w:tabs>
      <w:spacing w:before="60" w:line="260" w:lineRule="exact"/>
      <w:ind w:left="1418" w:hanging="1418"/>
      <w:jc w:val="both"/>
    </w:pPr>
    <w:rPr>
      <w:lang w:eastAsia="en-AU"/>
    </w:rPr>
  </w:style>
  <w:style w:type="paragraph" w:customStyle="1" w:styleId="P2">
    <w:name w:val="P2"/>
    <w:aliases w:val="(i)"/>
    <w:basedOn w:val="Normal"/>
    <w:rsid w:val="001D266E"/>
    <w:pPr>
      <w:tabs>
        <w:tab w:val="right" w:pos="1758"/>
        <w:tab w:val="left" w:pos="2155"/>
      </w:tabs>
      <w:spacing w:before="60" w:line="260" w:lineRule="exact"/>
      <w:ind w:left="1985" w:hanging="1985"/>
      <w:jc w:val="both"/>
    </w:pPr>
    <w:rPr>
      <w:lang w:eastAsia="en-AU"/>
    </w:rPr>
  </w:style>
  <w:style w:type="paragraph" w:customStyle="1" w:styleId="P3">
    <w:name w:val="P3"/>
    <w:aliases w:val="(A)"/>
    <w:basedOn w:val="Normal"/>
    <w:rsid w:val="001D266E"/>
    <w:pPr>
      <w:tabs>
        <w:tab w:val="right" w:pos="2410"/>
      </w:tabs>
      <w:spacing w:before="60" w:line="260" w:lineRule="exact"/>
      <w:ind w:left="2693" w:hanging="2693"/>
      <w:jc w:val="both"/>
    </w:pPr>
    <w:rPr>
      <w:lang w:eastAsia="en-AU"/>
    </w:rPr>
  </w:style>
  <w:style w:type="paragraph" w:customStyle="1" w:styleId="P4">
    <w:name w:val="P4"/>
    <w:aliases w:val="(I)"/>
    <w:basedOn w:val="Normal"/>
    <w:rsid w:val="001D266E"/>
    <w:pPr>
      <w:tabs>
        <w:tab w:val="right" w:pos="3119"/>
      </w:tabs>
      <w:spacing w:before="60" w:line="260" w:lineRule="exact"/>
      <w:ind w:left="3419" w:hanging="3419"/>
      <w:jc w:val="both"/>
    </w:pPr>
    <w:rPr>
      <w:lang w:eastAsia="en-AU"/>
    </w:rPr>
  </w:style>
  <w:style w:type="paragraph" w:customStyle="1" w:styleId="PageBreak">
    <w:name w:val="PageBreak"/>
    <w:aliases w:val="pb"/>
    <w:basedOn w:val="Normal"/>
    <w:next w:val="Normal"/>
    <w:rsid w:val="001D266E"/>
    <w:rPr>
      <w:sz w:val="4"/>
      <w:szCs w:val="4"/>
      <w:lang w:eastAsia="en-AU"/>
    </w:rPr>
  </w:style>
  <w:style w:type="paragraph" w:customStyle="1" w:styleId="Penalty">
    <w:name w:val="Penalty"/>
    <w:basedOn w:val="Normal"/>
    <w:next w:val="Normal"/>
    <w:rsid w:val="001D266E"/>
    <w:pPr>
      <w:spacing w:before="180" w:line="260" w:lineRule="exact"/>
      <w:ind w:left="964"/>
      <w:jc w:val="both"/>
    </w:pPr>
    <w:rPr>
      <w:lang w:eastAsia="en-AU"/>
    </w:rPr>
  </w:style>
  <w:style w:type="paragraph" w:customStyle="1" w:styleId="Query">
    <w:name w:val="Query"/>
    <w:aliases w:val="QY"/>
    <w:basedOn w:val="Normal"/>
    <w:rsid w:val="001D266E"/>
    <w:pPr>
      <w:spacing w:before="180" w:line="260" w:lineRule="exact"/>
      <w:ind w:left="964" w:hanging="964"/>
      <w:jc w:val="both"/>
    </w:pPr>
    <w:rPr>
      <w:b/>
      <w:bCs/>
      <w:i/>
      <w:iCs/>
      <w:lang w:eastAsia="en-AU"/>
    </w:rPr>
  </w:style>
  <w:style w:type="paragraph" w:customStyle="1" w:styleId="R1">
    <w:name w:val="R1"/>
    <w:aliases w:val="1. or 1.(1)"/>
    <w:basedOn w:val="Normal"/>
    <w:next w:val="R2"/>
    <w:rsid w:val="001D266E"/>
    <w:pPr>
      <w:keepLines/>
      <w:tabs>
        <w:tab w:val="right" w:pos="794"/>
      </w:tabs>
      <w:spacing w:before="120" w:line="260" w:lineRule="exact"/>
      <w:ind w:left="964" w:hanging="964"/>
      <w:jc w:val="both"/>
    </w:pPr>
    <w:rPr>
      <w:lang w:eastAsia="en-AU"/>
    </w:rPr>
  </w:style>
  <w:style w:type="paragraph" w:customStyle="1" w:styleId="R2">
    <w:name w:val="R2"/>
    <w:aliases w:val="(2)"/>
    <w:basedOn w:val="Normal"/>
    <w:rsid w:val="001D266E"/>
    <w:pPr>
      <w:keepLines/>
      <w:tabs>
        <w:tab w:val="right" w:pos="794"/>
      </w:tabs>
      <w:spacing w:before="180" w:line="260" w:lineRule="exact"/>
      <w:ind w:left="964" w:hanging="964"/>
      <w:jc w:val="both"/>
    </w:pPr>
    <w:rPr>
      <w:lang w:eastAsia="en-AU"/>
    </w:rPr>
  </w:style>
  <w:style w:type="paragraph" w:customStyle="1" w:styleId="Rc">
    <w:name w:val="Rc"/>
    <w:aliases w:val="Rn continued"/>
    <w:basedOn w:val="Normal"/>
    <w:next w:val="R2"/>
    <w:rsid w:val="001D266E"/>
    <w:pPr>
      <w:spacing w:before="60" w:line="260" w:lineRule="exact"/>
      <w:ind w:left="964"/>
      <w:jc w:val="both"/>
    </w:pPr>
    <w:rPr>
      <w:lang w:eastAsia="en-AU"/>
    </w:rPr>
  </w:style>
  <w:style w:type="paragraph" w:customStyle="1" w:styleId="ReadersGuideSectionBreak">
    <w:name w:val="ReadersGuideSectionBreak"/>
    <w:basedOn w:val="Normal"/>
    <w:next w:val="Normal"/>
    <w:rsid w:val="001D266E"/>
    <w:rPr>
      <w:lang w:eastAsia="en-AU"/>
    </w:rPr>
  </w:style>
  <w:style w:type="paragraph" w:customStyle="1" w:styleId="RGHead">
    <w:name w:val="RGHead"/>
    <w:basedOn w:val="Normal"/>
    <w:next w:val="Normal"/>
    <w:rsid w:val="001D266E"/>
    <w:pPr>
      <w:keepNext/>
      <w:spacing w:before="360"/>
    </w:pPr>
    <w:rPr>
      <w:rFonts w:ascii="Arial" w:hAnsi="Arial" w:cs="Arial"/>
      <w:b/>
      <w:bCs/>
      <w:sz w:val="32"/>
      <w:szCs w:val="32"/>
      <w:lang w:eastAsia="en-AU"/>
    </w:rPr>
  </w:style>
  <w:style w:type="paragraph" w:customStyle="1" w:styleId="RGPara">
    <w:name w:val="RGPara"/>
    <w:aliases w:val="Readers Guide Para"/>
    <w:basedOn w:val="Normal"/>
    <w:rsid w:val="001D266E"/>
    <w:pPr>
      <w:spacing w:before="120" w:line="260" w:lineRule="exact"/>
      <w:jc w:val="both"/>
    </w:pPr>
    <w:rPr>
      <w:lang w:eastAsia="en-AU"/>
    </w:rPr>
  </w:style>
  <w:style w:type="paragraph" w:customStyle="1" w:styleId="RGPtHd">
    <w:name w:val="RGPtHd"/>
    <w:aliases w:val="Readers Guide PT Heading"/>
    <w:basedOn w:val="Normal"/>
    <w:next w:val="Normal"/>
    <w:rsid w:val="001D266E"/>
    <w:pPr>
      <w:keepNext/>
      <w:spacing w:before="360"/>
    </w:pPr>
    <w:rPr>
      <w:rFonts w:ascii="Arial" w:hAnsi="Arial" w:cs="Arial"/>
      <w:b/>
      <w:bCs/>
      <w:sz w:val="28"/>
      <w:szCs w:val="28"/>
      <w:lang w:eastAsia="en-AU"/>
    </w:rPr>
  </w:style>
  <w:style w:type="paragraph" w:customStyle="1" w:styleId="RGSecHdg">
    <w:name w:val="RGSecHdg"/>
    <w:aliases w:val="Readers Guide Sec Heading"/>
    <w:basedOn w:val="Normal"/>
    <w:next w:val="RGPara"/>
    <w:rsid w:val="001D266E"/>
    <w:pPr>
      <w:keepNext/>
      <w:spacing w:before="360"/>
      <w:ind w:left="964" w:hanging="964"/>
    </w:pPr>
    <w:rPr>
      <w:rFonts w:ascii="Arial" w:hAnsi="Arial" w:cs="Arial"/>
      <w:b/>
      <w:bCs/>
      <w:lang w:eastAsia="en-AU"/>
    </w:rPr>
  </w:style>
  <w:style w:type="paragraph" w:customStyle="1" w:styleId="LandscapeSectionBreak">
    <w:name w:val="LandscapeSectionBreak"/>
    <w:basedOn w:val="Normal"/>
    <w:next w:val="Normal"/>
    <w:rsid w:val="001D266E"/>
    <w:rPr>
      <w:lang w:eastAsia="en-AU"/>
    </w:rPr>
  </w:style>
  <w:style w:type="paragraph" w:customStyle="1" w:styleId="ScheduleDivision">
    <w:name w:val="Schedule Division"/>
    <w:basedOn w:val="Normal"/>
    <w:next w:val="ScheduleHeading"/>
    <w:rsid w:val="001D266E"/>
    <w:pPr>
      <w:keepNext/>
      <w:spacing w:before="360"/>
      <w:ind w:left="1559" w:hanging="1559"/>
    </w:pPr>
    <w:rPr>
      <w:rFonts w:ascii="Arial" w:hAnsi="Arial" w:cs="Arial"/>
      <w:b/>
      <w:bCs/>
      <w:lang w:eastAsia="en-AU"/>
    </w:rPr>
  </w:style>
  <w:style w:type="character" w:customStyle="1" w:styleId="CharSchNo">
    <w:name w:val="CharSchNo"/>
    <w:rsid w:val="001D266E"/>
    <w:rPr>
      <w:rFonts w:cs="Times New Roman"/>
    </w:rPr>
  </w:style>
  <w:style w:type="character" w:customStyle="1" w:styleId="CharSchText">
    <w:name w:val="CharSchText"/>
    <w:rsid w:val="001D266E"/>
    <w:rPr>
      <w:rFonts w:cs="Times New Roman"/>
    </w:rPr>
  </w:style>
  <w:style w:type="paragraph" w:customStyle="1" w:styleId="IntroP1a">
    <w:name w:val="IntroP1(a)"/>
    <w:basedOn w:val="Normal"/>
    <w:rsid w:val="001D266E"/>
    <w:pPr>
      <w:spacing w:before="60" w:line="260" w:lineRule="exact"/>
      <w:ind w:left="454" w:hanging="454"/>
      <w:jc w:val="both"/>
    </w:pPr>
    <w:rPr>
      <w:lang w:eastAsia="en-AU"/>
    </w:rPr>
  </w:style>
  <w:style w:type="character" w:customStyle="1" w:styleId="CharAmSchPTNo">
    <w:name w:val="CharAmSchPTNo"/>
    <w:rsid w:val="001D266E"/>
    <w:rPr>
      <w:rFonts w:cs="Times New Roman"/>
    </w:rPr>
  </w:style>
  <w:style w:type="character" w:customStyle="1" w:styleId="CharAmSchPTText">
    <w:name w:val="CharAmSchPTText"/>
    <w:rsid w:val="001D266E"/>
    <w:rPr>
      <w:rFonts w:cs="Times New Roman"/>
    </w:rPr>
  </w:style>
  <w:style w:type="paragraph" w:customStyle="1" w:styleId="Footerinfo0">
    <w:name w:val="Footerinfo"/>
    <w:basedOn w:val="Footer"/>
    <w:rsid w:val="001D266E"/>
    <w:pPr>
      <w:spacing w:before="20"/>
    </w:pPr>
    <w:rPr>
      <w:sz w:val="12"/>
      <w:szCs w:val="12"/>
    </w:rPr>
  </w:style>
  <w:style w:type="paragraph" w:customStyle="1" w:styleId="FooterPageEven">
    <w:name w:val="FooterPageEven"/>
    <w:basedOn w:val="FooterPageOdd"/>
    <w:rsid w:val="001D266E"/>
    <w:pPr>
      <w:jc w:val="left"/>
    </w:pPr>
  </w:style>
  <w:style w:type="paragraph" w:customStyle="1" w:styleId="FooterPageOdd">
    <w:name w:val="FooterPageOdd"/>
    <w:basedOn w:val="Footer"/>
    <w:rsid w:val="001D266E"/>
    <w:pPr>
      <w:spacing w:before="20"/>
      <w:jc w:val="right"/>
    </w:pPr>
    <w:rPr>
      <w:i w:val="0"/>
      <w:iCs w:val="0"/>
      <w:sz w:val="22"/>
      <w:szCs w:val="22"/>
    </w:rPr>
  </w:style>
  <w:style w:type="paragraph" w:customStyle="1" w:styleId="FooterCitation">
    <w:name w:val="FooterCitation"/>
    <w:basedOn w:val="Footer"/>
    <w:rsid w:val="001D266E"/>
    <w:pPr>
      <w:tabs>
        <w:tab w:val="clear" w:pos="3600"/>
        <w:tab w:val="clear" w:pos="7201"/>
        <w:tab w:val="center" w:pos="4153"/>
        <w:tab w:val="right" w:pos="8306"/>
      </w:tabs>
      <w:spacing w:before="20" w:line="240" w:lineRule="exact"/>
    </w:pPr>
  </w:style>
  <w:style w:type="paragraph" w:customStyle="1" w:styleId="SchedSectionBreak">
    <w:name w:val="SchedSectionBreak"/>
    <w:basedOn w:val="Normal"/>
    <w:next w:val="Normal"/>
    <w:rsid w:val="001D266E"/>
    <w:rPr>
      <w:lang w:eastAsia="en-AU"/>
    </w:rPr>
  </w:style>
  <w:style w:type="paragraph" w:customStyle="1" w:styleId="ScheduleHeading">
    <w:name w:val="Schedule Heading"/>
    <w:basedOn w:val="Normal"/>
    <w:next w:val="Normal"/>
    <w:rsid w:val="001D266E"/>
    <w:pPr>
      <w:keepNext/>
      <w:keepLines/>
      <w:spacing w:before="360"/>
      <w:ind w:left="964" w:hanging="964"/>
    </w:pPr>
    <w:rPr>
      <w:rFonts w:ascii="Arial" w:hAnsi="Arial" w:cs="Arial"/>
      <w:b/>
      <w:bCs/>
      <w:lang w:eastAsia="en-AU"/>
    </w:rPr>
  </w:style>
  <w:style w:type="paragraph" w:customStyle="1" w:styleId="Schedulelist">
    <w:name w:val="Schedule list"/>
    <w:basedOn w:val="Normal"/>
    <w:rsid w:val="001D266E"/>
    <w:pPr>
      <w:tabs>
        <w:tab w:val="right" w:pos="1985"/>
      </w:tabs>
      <w:spacing w:before="60" w:line="260" w:lineRule="exact"/>
      <w:ind w:left="454"/>
    </w:pPr>
    <w:rPr>
      <w:lang w:eastAsia="en-AU"/>
    </w:rPr>
  </w:style>
  <w:style w:type="paragraph" w:customStyle="1" w:styleId="Schedulepara">
    <w:name w:val="Schedule para"/>
    <w:basedOn w:val="Normal"/>
    <w:rsid w:val="001D266E"/>
    <w:pPr>
      <w:tabs>
        <w:tab w:val="right" w:pos="567"/>
      </w:tabs>
      <w:spacing w:before="180" w:line="260" w:lineRule="exact"/>
      <w:ind w:left="964" w:hanging="964"/>
      <w:jc w:val="both"/>
    </w:pPr>
    <w:rPr>
      <w:lang w:eastAsia="en-AU"/>
    </w:rPr>
  </w:style>
  <w:style w:type="paragraph" w:customStyle="1" w:styleId="Schedulepart">
    <w:name w:val="Schedule part"/>
    <w:basedOn w:val="Normal"/>
    <w:rsid w:val="001D266E"/>
    <w:pPr>
      <w:keepNext/>
      <w:keepLines/>
      <w:spacing w:before="360"/>
      <w:ind w:left="1559" w:hanging="1559"/>
    </w:pPr>
    <w:rPr>
      <w:rFonts w:ascii="Arial" w:hAnsi="Arial" w:cs="Arial"/>
      <w:b/>
      <w:bCs/>
      <w:sz w:val="28"/>
      <w:szCs w:val="28"/>
      <w:lang w:eastAsia="en-AU"/>
    </w:rPr>
  </w:style>
  <w:style w:type="paragraph" w:customStyle="1" w:styleId="Schedulereference">
    <w:name w:val="Schedule reference"/>
    <w:basedOn w:val="Normal"/>
    <w:next w:val="Schedulepart"/>
    <w:rsid w:val="001D266E"/>
    <w:pPr>
      <w:keepNext/>
      <w:keepLines/>
      <w:spacing w:before="60" w:line="200" w:lineRule="exact"/>
      <w:ind w:left="2410"/>
    </w:pPr>
    <w:rPr>
      <w:rFonts w:ascii="Arial" w:hAnsi="Arial" w:cs="Arial"/>
      <w:sz w:val="18"/>
      <w:szCs w:val="18"/>
      <w:lang w:eastAsia="en-AU"/>
    </w:rPr>
  </w:style>
  <w:style w:type="paragraph" w:customStyle="1" w:styleId="Scheduletitle">
    <w:name w:val="Schedule title"/>
    <w:basedOn w:val="Normal"/>
    <w:next w:val="Schedulereference"/>
    <w:rsid w:val="001D266E"/>
    <w:pPr>
      <w:keepNext/>
      <w:keepLines/>
      <w:spacing w:before="480"/>
      <w:ind w:left="2410" w:hanging="2410"/>
    </w:pPr>
    <w:rPr>
      <w:rFonts w:ascii="Arial" w:hAnsi="Arial" w:cs="Arial"/>
      <w:b/>
      <w:bCs/>
      <w:sz w:val="32"/>
      <w:szCs w:val="32"/>
      <w:lang w:eastAsia="en-AU"/>
    </w:rPr>
  </w:style>
  <w:style w:type="paragraph" w:customStyle="1" w:styleId="SigningPageBreak">
    <w:name w:val="SigningPageBreak"/>
    <w:basedOn w:val="Normal"/>
    <w:next w:val="Normal"/>
    <w:rsid w:val="001D266E"/>
    <w:rPr>
      <w:lang w:eastAsia="en-AU"/>
    </w:rPr>
  </w:style>
  <w:style w:type="paragraph" w:customStyle="1" w:styleId="SRNo">
    <w:name w:val="SRNo"/>
    <w:basedOn w:val="Normal"/>
    <w:next w:val="Normal"/>
    <w:rsid w:val="001D266E"/>
    <w:pPr>
      <w:pBdr>
        <w:bottom w:val="single" w:sz="4" w:space="3" w:color="auto"/>
      </w:pBdr>
      <w:spacing w:before="480"/>
    </w:pPr>
    <w:rPr>
      <w:rFonts w:ascii="Arial" w:hAnsi="Arial" w:cs="Arial"/>
      <w:b/>
      <w:bCs/>
      <w:lang w:eastAsia="en-AU"/>
    </w:rPr>
  </w:style>
  <w:style w:type="paragraph" w:styleId="TableofAuthorities">
    <w:name w:val="table of authorities"/>
    <w:basedOn w:val="Normal"/>
    <w:next w:val="Normal"/>
    <w:rsid w:val="001D266E"/>
    <w:pPr>
      <w:ind w:left="240" w:hanging="240"/>
    </w:pPr>
    <w:rPr>
      <w:lang w:eastAsia="en-AU"/>
    </w:rPr>
  </w:style>
  <w:style w:type="paragraph" w:styleId="TableofFigures">
    <w:name w:val="table of figures"/>
    <w:basedOn w:val="Normal"/>
    <w:next w:val="Normal"/>
    <w:rsid w:val="001D266E"/>
    <w:pPr>
      <w:ind w:left="480" w:hanging="480"/>
    </w:pPr>
    <w:rPr>
      <w:lang w:eastAsia="en-AU"/>
    </w:rPr>
  </w:style>
  <w:style w:type="paragraph" w:customStyle="1" w:styleId="TableColHead">
    <w:name w:val="TableColHead"/>
    <w:basedOn w:val="Normal"/>
    <w:rsid w:val="001D266E"/>
    <w:pPr>
      <w:keepNext/>
      <w:spacing w:before="120" w:after="60" w:line="200" w:lineRule="exact"/>
    </w:pPr>
    <w:rPr>
      <w:rFonts w:ascii="Arial" w:hAnsi="Arial" w:cs="Arial"/>
      <w:b/>
      <w:bCs/>
      <w:sz w:val="18"/>
      <w:szCs w:val="18"/>
      <w:lang w:eastAsia="en-AU"/>
    </w:rPr>
  </w:style>
  <w:style w:type="table" w:customStyle="1" w:styleId="TableGeneral">
    <w:name w:val="TableGeneral"/>
    <w:rsid w:val="001D266E"/>
    <w:pPr>
      <w:spacing w:before="60" w:after="60" w:line="240" w:lineRule="exact"/>
    </w:pPr>
    <w:rPr>
      <w:sz w:val="22"/>
      <w:szCs w:val="22"/>
    </w:rPr>
    <w:tblPr>
      <w:tblCellSpacing w:w="11" w:type="dxa"/>
      <w:tblCellMar>
        <w:top w:w="0" w:type="dxa"/>
        <w:left w:w="108" w:type="dxa"/>
        <w:bottom w:w="0" w:type="dxa"/>
        <w:right w:w="108" w:type="dxa"/>
      </w:tblCellMar>
    </w:tblPr>
    <w:trPr>
      <w:tblCellSpacing w:w="11" w:type="dxa"/>
    </w:trPr>
  </w:style>
  <w:style w:type="paragraph" w:customStyle="1" w:styleId="TableP1a">
    <w:name w:val="TableP1(a)"/>
    <w:basedOn w:val="Normal"/>
    <w:rsid w:val="001D266E"/>
    <w:pPr>
      <w:tabs>
        <w:tab w:val="right" w:pos="408"/>
      </w:tabs>
      <w:spacing w:after="60" w:line="240" w:lineRule="exact"/>
      <w:ind w:left="533" w:hanging="533"/>
    </w:pPr>
    <w:rPr>
      <w:sz w:val="22"/>
      <w:szCs w:val="22"/>
      <w:lang w:eastAsia="en-AU"/>
    </w:rPr>
  </w:style>
  <w:style w:type="paragraph" w:customStyle="1" w:styleId="TableP2i">
    <w:name w:val="TableP2(i)"/>
    <w:basedOn w:val="Normal"/>
    <w:rsid w:val="001D266E"/>
    <w:pPr>
      <w:tabs>
        <w:tab w:val="right" w:pos="726"/>
      </w:tabs>
      <w:spacing w:after="60" w:line="240" w:lineRule="exact"/>
      <w:ind w:left="868" w:hanging="868"/>
    </w:pPr>
    <w:rPr>
      <w:sz w:val="22"/>
      <w:szCs w:val="22"/>
      <w:lang w:eastAsia="en-AU"/>
    </w:rPr>
  </w:style>
  <w:style w:type="paragraph" w:customStyle="1" w:styleId="TableText">
    <w:name w:val="TableText"/>
    <w:basedOn w:val="Normal"/>
    <w:rsid w:val="001D266E"/>
    <w:pPr>
      <w:spacing w:before="60" w:after="60" w:line="240" w:lineRule="exact"/>
    </w:pPr>
    <w:rPr>
      <w:sz w:val="22"/>
      <w:szCs w:val="22"/>
      <w:lang w:eastAsia="en-AU"/>
    </w:rPr>
  </w:style>
  <w:style w:type="paragraph" w:styleId="TOAHeading">
    <w:name w:val="toa heading"/>
    <w:basedOn w:val="Normal"/>
    <w:next w:val="Normal"/>
    <w:rsid w:val="001D266E"/>
    <w:pPr>
      <w:spacing w:before="120"/>
    </w:pPr>
    <w:rPr>
      <w:rFonts w:ascii="Arial" w:hAnsi="Arial" w:cs="Arial"/>
      <w:b/>
      <w:bCs/>
      <w:lang w:eastAsia="en-AU"/>
    </w:rPr>
  </w:style>
  <w:style w:type="paragraph" w:customStyle="1" w:styleId="TOC">
    <w:name w:val="TOC"/>
    <w:basedOn w:val="Normal"/>
    <w:next w:val="Normal"/>
    <w:rsid w:val="001D266E"/>
    <w:pPr>
      <w:tabs>
        <w:tab w:val="right" w:pos="7088"/>
      </w:tabs>
      <w:spacing w:after="120"/>
    </w:pPr>
    <w:rPr>
      <w:rFonts w:ascii="Arial" w:hAnsi="Arial" w:cs="Arial"/>
      <w:sz w:val="20"/>
      <w:szCs w:val="20"/>
    </w:rPr>
  </w:style>
  <w:style w:type="paragraph" w:styleId="TOC1">
    <w:name w:val="toc 1"/>
    <w:basedOn w:val="Normal"/>
    <w:next w:val="Normal"/>
    <w:autoRedefine/>
    <w:rsid w:val="001D266E"/>
    <w:pPr>
      <w:keepNext/>
      <w:tabs>
        <w:tab w:val="right" w:pos="8278"/>
      </w:tabs>
      <w:spacing w:before="120"/>
      <w:ind w:left="1843" w:hanging="1843"/>
    </w:pPr>
    <w:rPr>
      <w:rFonts w:ascii="Arial" w:hAnsi="Arial" w:cs="Arial"/>
      <w:b/>
      <w:bCs/>
    </w:rPr>
  </w:style>
  <w:style w:type="paragraph" w:styleId="TOC2">
    <w:name w:val="toc 2"/>
    <w:basedOn w:val="Normal"/>
    <w:next w:val="Normal"/>
    <w:autoRedefine/>
    <w:rsid w:val="001D266E"/>
    <w:pPr>
      <w:keepNext/>
      <w:tabs>
        <w:tab w:val="right" w:pos="8278"/>
      </w:tabs>
      <w:spacing w:before="240" w:after="120"/>
      <w:ind w:left="1843" w:right="714" w:hanging="1843"/>
    </w:pPr>
    <w:rPr>
      <w:rFonts w:ascii="Arial" w:hAnsi="Arial" w:cs="Arial"/>
      <w:b/>
      <w:bCs/>
    </w:rPr>
  </w:style>
  <w:style w:type="paragraph" w:styleId="TOC3">
    <w:name w:val="toc 3"/>
    <w:basedOn w:val="Normal"/>
    <w:next w:val="Normal"/>
    <w:autoRedefine/>
    <w:rsid w:val="001D266E"/>
    <w:pPr>
      <w:keepNext/>
      <w:tabs>
        <w:tab w:val="right" w:pos="8278"/>
      </w:tabs>
      <w:spacing w:before="180" w:after="60"/>
      <w:ind w:left="1843" w:right="714" w:hanging="1843"/>
    </w:pPr>
    <w:rPr>
      <w:rFonts w:ascii="Arial" w:hAnsi="Arial" w:cs="Arial"/>
      <w:b/>
      <w:bCs/>
      <w:sz w:val="20"/>
      <w:szCs w:val="20"/>
    </w:rPr>
  </w:style>
  <w:style w:type="paragraph" w:styleId="TOC4">
    <w:name w:val="toc 4"/>
    <w:basedOn w:val="Normal"/>
    <w:next w:val="Normal"/>
    <w:autoRedefine/>
    <w:rsid w:val="001D266E"/>
    <w:pPr>
      <w:keepNext/>
      <w:tabs>
        <w:tab w:val="right" w:pos="8278"/>
      </w:tabs>
      <w:spacing w:before="80"/>
      <w:ind w:left="1843" w:hanging="1843"/>
    </w:pPr>
    <w:rPr>
      <w:rFonts w:ascii="Arial" w:hAnsi="Arial" w:cs="Arial"/>
      <w:b/>
      <w:bCs/>
      <w:sz w:val="18"/>
      <w:szCs w:val="18"/>
    </w:rPr>
  </w:style>
  <w:style w:type="paragraph" w:styleId="TOC5">
    <w:name w:val="toc 5"/>
    <w:basedOn w:val="Normal"/>
    <w:next w:val="Normal"/>
    <w:autoRedefine/>
    <w:rsid w:val="001D266E"/>
    <w:pPr>
      <w:tabs>
        <w:tab w:val="right" w:pos="1559"/>
        <w:tab w:val="right" w:pos="8278"/>
      </w:tabs>
      <w:spacing w:before="40"/>
      <w:ind w:left="1843" w:right="714" w:hanging="1843"/>
    </w:pPr>
    <w:rPr>
      <w:rFonts w:ascii="Arial" w:hAnsi="Arial" w:cs="Arial"/>
      <w:sz w:val="20"/>
      <w:szCs w:val="20"/>
    </w:rPr>
  </w:style>
  <w:style w:type="paragraph" w:styleId="TOC6">
    <w:name w:val="toc 6"/>
    <w:basedOn w:val="Normal"/>
    <w:next w:val="Normal"/>
    <w:autoRedefine/>
    <w:rsid w:val="001D266E"/>
    <w:pPr>
      <w:keepNext/>
      <w:tabs>
        <w:tab w:val="right" w:pos="8278"/>
      </w:tabs>
      <w:spacing w:before="120"/>
      <w:ind w:left="1843" w:right="561" w:hanging="1843"/>
    </w:pPr>
    <w:rPr>
      <w:rFonts w:ascii="Arial" w:hAnsi="Arial" w:cs="Arial"/>
      <w:b/>
      <w:bCs/>
      <w:sz w:val="20"/>
      <w:szCs w:val="20"/>
    </w:rPr>
  </w:style>
  <w:style w:type="paragraph" w:styleId="TOC7">
    <w:name w:val="toc 7"/>
    <w:basedOn w:val="Normal"/>
    <w:next w:val="Normal"/>
    <w:autoRedefine/>
    <w:rsid w:val="001D266E"/>
    <w:pPr>
      <w:tabs>
        <w:tab w:val="right" w:pos="8278"/>
      </w:tabs>
      <w:spacing w:before="240" w:after="120"/>
      <w:ind w:left="1134" w:right="714" w:hanging="1134"/>
    </w:pPr>
    <w:rPr>
      <w:rFonts w:ascii="Arial" w:hAnsi="Arial" w:cs="Arial"/>
      <w:b/>
      <w:bCs/>
      <w:sz w:val="20"/>
      <w:szCs w:val="20"/>
    </w:rPr>
  </w:style>
  <w:style w:type="paragraph" w:styleId="TOC8">
    <w:name w:val="toc 8"/>
    <w:basedOn w:val="Normal"/>
    <w:next w:val="Normal"/>
    <w:autoRedefine/>
    <w:rsid w:val="001D266E"/>
    <w:pPr>
      <w:tabs>
        <w:tab w:val="right" w:pos="8278"/>
      </w:tabs>
      <w:spacing w:before="60"/>
      <w:ind w:left="1843" w:right="714" w:hanging="1843"/>
    </w:pPr>
    <w:rPr>
      <w:rFonts w:ascii="Arial" w:hAnsi="Arial" w:cs="Arial"/>
      <w:sz w:val="20"/>
      <w:szCs w:val="20"/>
    </w:rPr>
  </w:style>
  <w:style w:type="paragraph" w:styleId="TOC9">
    <w:name w:val="toc 9"/>
    <w:basedOn w:val="Normal"/>
    <w:next w:val="Normal"/>
    <w:autoRedefine/>
    <w:rsid w:val="001D266E"/>
    <w:pPr>
      <w:tabs>
        <w:tab w:val="right" w:pos="8278"/>
      </w:tabs>
      <w:spacing w:before="240" w:after="120"/>
    </w:pPr>
    <w:rPr>
      <w:rFonts w:ascii="Arial" w:hAnsi="Arial" w:cs="Arial"/>
      <w:b/>
      <w:bCs/>
      <w:sz w:val="20"/>
      <w:szCs w:val="20"/>
    </w:rPr>
  </w:style>
  <w:style w:type="paragraph" w:customStyle="1" w:styleId="IntroP2i">
    <w:name w:val="IntroP2(i)"/>
    <w:basedOn w:val="Normal"/>
    <w:rsid w:val="001D266E"/>
    <w:pPr>
      <w:tabs>
        <w:tab w:val="right" w:pos="709"/>
      </w:tabs>
      <w:spacing w:before="60" w:line="260" w:lineRule="exact"/>
      <w:ind w:left="907" w:hanging="907"/>
      <w:jc w:val="both"/>
    </w:pPr>
    <w:rPr>
      <w:lang w:eastAsia="en-AU"/>
    </w:rPr>
  </w:style>
  <w:style w:type="paragraph" w:customStyle="1" w:styleId="IntroP3A">
    <w:name w:val="IntroP3(A)"/>
    <w:basedOn w:val="Normal"/>
    <w:rsid w:val="001D266E"/>
    <w:pPr>
      <w:tabs>
        <w:tab w:val="right" w:pos="1276"/>
      </w:tabs>
      <w:spacing w:before="60" w:line="260" w:lineRule="exact"/>
      <w:ind w:left="1503" w:hanging="1503"/>
      <w:jc w:val="both"/>
    </w:pPr>
    <w:rPr>
      <w:lang w:eastAsia="en-AU"/>
    </w:rPr>
  </w:style>
  <w:style w:type="paragraph" w:customStyle="1" w:styleId="InstructorsNote">
    <w:name w:val="InstructorsNote"/>
    <w:basedOn w:val="Normal"/>
    <w:next w:val="Normal"/>
    <w:rsid w:val="001D266E"/>
    <w:pPr>
      <w:spacing w:before="120"/>
      <w:ind w:left="958" w:hanging="958"/>
    </w:pPr>
    <w:rPr>
      <w:rFonts w:ascii="Arial" w:hAnsi="Arial" w:cs="Arial"/>
      <w:b/>
      <w:bCs/>
      <w:sz w:val="16"/>
      <w:szCs w:val="16"/>
    </w:rPr>
  </w:style>
  <w:style w:type="paragraph" w:customStyle="1" w:styleId="ZA2">
    <w:name w:val="ZA2"/>
    <w:basedOn w:val="A2"/>
    <w:rsid w:val="001D266E"/>
    <w:pPr>
      <w:keepNext/>
    </w:pPr>
  </w:style>
  <w:style w:type="paragraph" w:customStyle="1" w:styleId="ZA3">
    <w:name w:val="ZA3"/>
    <w:basedOn w:val="A3"/>
    <w:rsid w:val="001D266E"/>
    <w:pPr>
      <w:keepNext/>
    </w:pPr>
  </w:style>
  <w:style w:type="paragraph" w:customStyle="1" w:styleId="ZA4">
    <w:name w:val="ZA4"/>
    <w:basedOn w:val="Normal"/>
    <w:next w:val="A4"/>
    <w:rsid w:val="001D266E"/>
    <w:pPr>
      <w:keepNext/>
      <w:tabs>
        <w:tab w:val="right" w:pos="1247"/>
      </w:tabs>
      <w:spacing w:before="60" w:line="260" w:lineRule="exact"/>
      <w:ind w:left="1531" w:hanging="1531"/>
      <w:jc w:val="both"/>
    </w:pPr>
    <w:rPr>
      <w:lang w:eastAsia="en-AU"/>
    </w:rPr>
  </w:style>
  <w:style w:type="paragraph" w:customStyle="1" w:styleId="ZDD">
    <w:name w:val="ZDD"/>
    <w:aliases w:val="Dict Def"/>
    <w:basedOn w:val="DD"/>
    <w:rsid w:val="001D266E"/>
    <w:pPr>
      <w:keepNext/>
    </w:pPr>
  </w:style>
  <w:style w:type="paragraph" w:customStyle="1" w:styleId="Zdefinition">
    <w:name w:val="Zdefinition"/>
    <w:basedOn w:val="definition"/>
    <w:rsid w:val="001D266E"/>
    <w:pPr>
      <w:keepNext/>
    </w:pPr>
  </w:style>
  <w:style w:type="paragraph" w:customStyle="1" w:styleId="ZDP1">
    <w:name w:val="ZDP1"/>
    <w:basedOn w:val="DP1a"/>
    <w:rsid w:val="001D266E"/>
    <w:pPr>
      <w:keepNext/>
    </w:pPr>
  </w:style>
  <w:style w:type="paragraph" w:customStyle="1" w:styleId="ZExampleBody">
    <w:name w:val="ZExample Body"/>
    <w:basedOn w:val="ExampleBody"/>
    <w:rsid w:val="001D266E"/>
    <w:pPr>
      <w:keepNext/>
    </w:pPr>
  </w:style>
  <w:style w:type="paragraph" w:customStyle="1" w:styleId="ZNote">
    <w:name w:val="ZNote"/>
    <w:basedOn w:val="Note"/>
    <w:rsid w:val="001D266E"/>
    <w:pPr>
      <w:keepNext/>
    </w:pPr>
  </w:style>
  <w:style w:type="paragraph" w:customStyle="1" w:styleId="ZP1">
    <w:name w:val="ZP1"/>
    <w:basedOn w:val="P1"/>
    <w:rsid w:val="001D266E"/>
    <w:pPr>
      <w:keepNext/>
    </w:pPr>
  </w:style>
  <w:style w:type="paragraph" w:customStyle="1" w:styleId="ZP2">
    <w:name w:val="ZP2"/>
    <w:basedOn w:val="P2"/>
    <w:rsid w:val="001D266E"/>
    <w:pPr>
      <w:keepNext/>
    </w:pPr>
  </w:style>
  <w:style w:type="paragraph" w:customStyle="1" w:styleId="ZP3">
    <w:name w:val="ZP3"/>
    <w:basedOn w:val="P3"/>
    <w:rsid w:val="001D266E"/>
    <w:pPr>
      <w:keepNext/>
    </w:pPr>
  </w:style>
  <w:style w:type="paragraph" w:customStyle="1" w:styleId="ZR1">
    <w:name w:val="ZR1"/>
    <w:basedOn w:val="R1"/>
    <w:rsid w:val="001D266E"/>
    <w:pPr>
      <w:keepNext/>
    </w:pPr>
  </w:style>
  <w:style w:type="paragraph" w:customStyle="1" w:styleId="ZR2">
    <w:name w:val="ZR2"/>
    <w:basedOn w:val="R2"/>
    <w:rsid w:val="001D266E"/>
    <w:pPr>
      <w:keepNext/>
    </w:pPr>
  </w:style>
  <w:style w:type="paragraph" w:customStyle="1" w:styleId="ZRcN">
    <w:name w:val="ZRcN"/>
    <w:basedOn w:val="Rc"/>
    <w:rsid w:val="001D266E"/>
    <w:pPr>
      <w:keepNext/>
    </w:pPr>
  </w:style>
  <w:style w:type="paragraph" w:customStyle="1" w:styleId="tablebody">
    <w:name w:val="table body"/>
    <w:basedOn w:val="Normal"/>
    <w:rsid w:val="001D266E"/>
    <w:pPr>
      <w:keepLines/>
      <w:spacing w:after="60"/>
      <w:ind w:left="113" w:hanging="113"/>
    </w:pPr>
    <w:rPr>
      <w:sz w:val="16"/>
      <w:szCs w:val="16"/>
      <w:lang w:eastAsia="en-AU"/>
    </w:rPr>
  </w:style>
  <w:style w:type="table" w:customStyle="1" w:styleId="TableGrid10">
    <w:name w:val="Table Grid1"/>
    <w:rsid w:val="001D266E"/>
    <w:tblPr>
      <w:tblCellMar>
        <w:top w:w="0" w:type="dxa"/>
        <w:left w:w="108" w:type="dxa"/>
        <w:bottom w:w="0" w:type="dxa"/>
        <w:right w:w="108" w:type="dxa"/>
      </w:tblCellMar>
    </w:tblPr>
  </w:style>
  <w:style w:type="paragraph" w:customStyle="1" w:styleId="CharCharCharCharCharChar">
    <w:name w:val="Char Char Char Char Char Char"/>
    <w:basedOn w:val="Normal"/>
    <w:rsid w:val="001D266E"/>
    <w:pPr>
      <w:spacing w:after="160" w:line="240" w:lineRule="exact"/>
    </w:pPr>
    <w:rPr>
      <w:rFonts w:ascii="Verdana" w:hAnsi="Verdana" w:cs="Verdana"/>
      <w:sz w:val="20"/>
      <w:szCs w:val="20"/>
      <w:lang w:val="en-US"/>
    </w:rPr>
  </w:style>
  <w:style w:type="paragraph" w:customStyle="1" w:styleId="tableheader">
    <w:name w:val="table header"/>
    <w:basedOn w:val="Normal"/>
    <w:rsid w:val="001D266E"/>
    <w:pPr>
      <w:keepLines/>
      <w:spacing w:before="60" w:after="60"/>
      <w:jc w:val="both"/>
    </w:pPr>
    <w:rPr>
      <w:rFonts w:ascii="Bookman Old Style" w:hAnsi="Bookman Old Style" w:cs="Bookman Old Style"/>
      <w:i/>
      <w:iCs/>
      <w:sz w:val="16"/>
      <w:szCs w:val="16"/>
      <w:lang w:eastAsia="en-AU"/>
    </w:rPr>
  </w:style>
  <w:style w:type="paragraph" w:customStyle="1" w:styleId="list1">
    <w:name w:val="list1"/>
    <w:basedOn w:val="Normal"/>
    <w:rsid w:val="001D266E"/>
    <w:pPr>
      <w:keepLines/>
      <w:suppressAutoHyphens/>
      <w:spacing w:before="60" w:after="60"/>
      <w:ind w:left="567" w:hanging="567"/>
      <w:jc w:val="both"/>
    </w:pPr>
    <w:rPr>
      <w:sz w:val="20"/>
      <w:szCs w:val="20"/>
      <w:lang w:eastAsia="en-AU"/>
    </w:rPr>
  </w:style>
  <w:style w:type="paragraph" w:customStyle="1" w:styleId="list30">
    <w:name w:val="list3"/>
    <w:basedOn w:val="Normal"/>
    <w:rsid w:val="001D266E"/>
    <w:pPr>
      <w:keepLines/>
      <w:suppressAutoHyphens/>
      <w:spacing w:after="120"/>
      <w:ind w:left="1701" w:hanging="567"/>
      <w:jc w:val="both"/>
    </w:pPr>
    <w:rPr>
      <w:sz w:val="20"/>
      <w:szCs w:val="20"/>
      <w:lang w:eastAsia="en-AU"/>
    </w:rPr>
  </w:style>
  <w:style w:type="paragraph" w:customStyle="1" w:styleId="list20">
    <w:name w:val="list2"/>
    <w:basedOn w:val="Normal"/>
    <w:rsid w:val="001D266E"/>
    <w:pPr>
      <w:keepLines/>
      <w:suppressAutoHyphens/>
      <w:spacing w:after="120"/>
      <w:ind w:left="1134" w:hanging="567"/>
      <w:jc w:val="both"/>
    </w:pPr>
    <w:rPr>
      <w:sz w:val="20"/>
      <w:szCs w:val="20"/>
      <w:lang w:eastAsia="en-AU"/>
    </w:rPr>
  </w:style>
  <w:style w:type="paragraph" w:customStyle="1" w:styleId="list40">
    <w:name w:val="list4"/>
    <w:basedOn w:val="Normal"/>
    <w:rsid w:val="001D266E"/>
    <w:pPr>
      <w:keepLines/>
      <w:suppressAutoHyphens/>
      <w:spacing w:after="120"/>
      <w:ind w:left="2268" w:hanging="567"/>
      <w:jc w:val="both"/>
    </w:pPr>
    <w:rPr>
      <w:sz w:val="20"/>
      <w:szCs w:val="20"/>
      <w:lang w:eastAsia="en-AU"/>
    </w:rPr>
  </w:style>
  <w:style w:type="paragraph" w:customStyle="1" w:styleId="Manufacturer">
    <w:name w:val="Manufacturer"/>
    <w:basedOn w:val="Normal"/>
    <w:rsid w:val="001D266E"/>
    <w:pPr>
      <w:keepLines/>
      <w:suppressAutoHyphens/>
      <w:spacing w:after="120"/>
      <w:jc w:val="both"/>
    </w:pPr>
    <w:rPr>
      <w:sz w:val="16"/>
      <w:szCs w:val="16"/>
      <w:lang w:eastAsia="en-AU"/>
    </w:rPr>
  </w:style>
  <w:style w:type="paragraph" w:customStyle="1" w:styleId="Schedule">
    <w:name w:val="Schedule"/>
    <w:basedOn w:val="Normal"/>
    <w:rsid w:val="001D266E"/>
    <w:pPr>
      <w:keepLines/>
      <w:suppressAutoHyphens/>
      <w:spacing w:after="120"/>
      <w:jc w:val="both"/>
    </w:pPr>
    <w:rPr>
      <w:sz w:val="16"/>
      <w:szCs w:val="16"/>
      <w:lang w:eastAsia="en-AU"/>
    </w:rPr>
  </w:style>
  <w:style w:type="paragraph" w:customStyle="1" w:styleId="list50">
    <w:name w:val="list5"/>
    <w:basedOn w:val="Normal"/>
    <w:rsid w:val="001D266E"/>
    <w:pPr>
      <w:keepLines/>
      <w:suppressAutoHyphens/>
      <w:spacing w:after="120"/>
      <w:ind w:left="2835" w:hanging="567"/>
      <w:jc w:val="both"/>
    </w:pPr>
    <w:rPr>
      <w:sz w:val="20"/>
      <w:szCs w:val="20"/>
      <w:lang w:eastAsia="en-AU"/>
    </w:rPr>
  </w:style>
  <w:style w:type="paragraph" w:customStyle="1" w:styleId="Heading40">
    <w:name w:val="Heading4"/>
    <w:basedOn w:val="Normal"/>
    <w:rsid w:val="001D266E"/>
    <w:pPr>
      <w:keepNext/>
      <w:keepLines/>
      <w:suppressAutoHyphens/>
      <w:spacing w:after="120"/>
      <w:jc w:val="center"/>
    </w:pPr>
    <w:rPr>
      <w:b/>
      <w:bCs/>
      <w:sz w:val="20"/>
      <w:szCs w:val="20"/>
      <w:lang w:eastAsia="en-AU"/>
    </w:rPr>
  </w:style>
  <w:style w:type="paragraph" w:customStyle="1" w:styleId="Heading50">
    <w:name w:val="Heading5"/>
    <w:basedOn w:val="Normal"/>
    <w:rsid w:val="001D266E"/>
    <w:pPr>
      <w:keepNext/>
      <w:keepLines/>
      <w:suppressAutoHyphens/>
      <w:spacing w:after="120"/>
      <w:jc w:val="center"/>
    </w:pPr>
    <w:rPr>
      <w:i/>
      <w:iCs/>
      <w:sz w:val="20"/>
      <w:szCs w:val="20"/>
      <w:lang w:eastAsia="en-AU"/>
    </w:rPr>
  </w:style>
  <w:style w:type="paragraph" w:customStyle="1" w:styleId="Heading60">
    <w:name w:val="Heading6"/>
    <w:basedOn w:val="Normal"/>
    <w:rsid w:val="001D266E"/>
    <w:pPr>
      <w:keepNext/>
      <w:keepLines/>
      <w:suppressAutoHyphens/>
      <w:spacing w:after="120"/>
      <w:jc w:val="both"/>
    </w:pPr>
    <w:rPr>
      <w:b/>
      <w:bCs/>
      <w:sz w:val="20"/>
      <w:szCs w:val="20"/>
      <w:lang w:eastAsia="en-AU"/>
    </w:rPr>
  </w:style>
  <w:style w:type="paragraph" w:customStyle="1" w:styleId="table-list1">
    <w:name w:val="table-list1"/>
    <w:basedOn w:val="list1"/>
    <w:rsid w:val="001D266E"/>
    <w:pPr>
      <w:ind w:left="113" w:hanging="113"/>
    </w:pPr>
    <w:rPr>
      <w:sz w:val="16"/>
      <w:szCs w:val="16"/>
    </w:rPr>
  </w:style>
  <w:style w:type="paragraph" w:customStyle="1" w:styleId="table-list2">
    <w:name w:val="table-list2"/>
    <w:basedOn w:val="list20"/>
    <w:rsid w:val="001D266E"/>
    <w:pPr>
      <w:ind w:left="226" w:hanging="113"/>
    </w:pPr>
    <w:rPr>
      <w:sz w:val="16"/>
      <w:szCs w:val="16"/>
    </w:rPr>
  </w:style>
  <w:style w:type="paragraph" w:customStyle="1" w:styleId="table-list3">
    <w:name w:val="table-list3"/>
    <w:basedOn w:val="list30"/>
    <w:rsid w:val="001D266E"/>
    <w:pPr>
      <w:ind w:left="340" w:hanging="113"/>
    </w:pPr>
    <w:rPr>
      <w:sz w:val="16"/>
      <w:szCs w:val="16"/>
    </w:rPr>
  </w:style>
  <w:style w:type="paragraph" w:customStyle="1" w:styleId="table-list4">
    <w:name w:val="table-list4"/>
    <w:basedOn w:val="list40"/>
    <w:rsid w:val="001D266E"/>
    <w:pPr>
      <w:ind w:left="453" w:hanging="113"/>
    </w:pPr>
    <w:rPr>
      <w:sz w:val="16"/>
      <w:szCs w:val="16"/>
    </w:rPr>
  </w:style>
  <w:style w:type="paragraph" w:customStyle="1" w:styleId="table-list5">
    <w:name w:val="table-list5"/>
    <w:basedOn w:val="list50"/>
    <w:rsid w:val="001D266E"/>
    <w:pPr>
      <w:ind w:left="567" w:hanging="113"/>
    </w:pPr>
    <w:rPr>
      <w:sz w:val="16"/>
      <w:szCs w:val="16"/>
    </w:rPr>
  </w:style>
  <w:style w:type="paragraph" w:customStyle="1" w:styleId="list1-2">
    <w:name w:val="list1-2"/>
    <w:basedOn w:val="Normal"/>
    <w:rsid w:val="001D266E"/>
    <w:pPr>
      <w:keepLines/>
      <w:tabs>
        <w:tab w:val="left" w:pos="567"/>
      </w:tabs>
      <w:suppressAutoHyphens/>
      <w:spacing w:before="60" w:after="60"/>
      <w:ind w:left="1134" w:hanging="1134"/>
      <w:jc w:val="both"/>
    </w:pPr>
    <w:rPr>
      <w:sz w:val="20"/>
      <w:szCs w:val="20"/>
      <w:lang w:eastAsia="en-AU"/>
    </w:rPr>
  </w:style>
  <w:style w:type="paragraph" w:customStyle="1" w:styleId="list1-2-3">
    <w:name w:val="list1-2-3"/>
    <w:basedOn w:val="Normal"/>
    <w:rsid w:val="001D266E"/>
    <w:pPr>
      <w:keepLines/>
      <w:tabs>
        <w:tab w:val="left" w:pos="567"/>
        <w:tab w:val="left" w:pos="1134"/>
      </w:tabs>
      <w:suppressAutoHyphens/>
      <w:spacing w:before="60" w:after="60"/>
      <w:ind w:left="1701" w:hanging="1701"/>
      <w:jc w:val="both"/>
    </w:pPr>
    <w:rPr>
      <w:sz w:val="20"/>
      <w:szCs w:val="20"/>
      <w:lang w:eastAsia="en-AU"/>
    </w:rPr>
  </w:style>
  <w:style w:type="paragraph" w:customStyle="1" w:styleId="list1-2-3-4">
    <w:name w:val="list1-2-3-4"/>
    <w:basedOn w:val="Normal"/>
    <w:rsid w:val="001D266E"/>
    <w:pPr>
      <w:keepLines/>
      <w:tabs>
        <w:tab w:val="left" w:pos="567"/>
        <w:tab w:val="left" w:pos="1134"/>
        <w:tab w:val="left" w:pos="1701"/>
      </w:tabs>
      <w:suppressAutoHyphens/>
      <w:spacing w:before="60" w:after="60"/>
      <w:ind w:left="2268" w:hanging="2268"/>
      <w:jc w:val="both"/>
    </w:pPr>
    <w:rPr>
      <w:sz w:val="20"/>
      <w:szCs w:val="20"/>
      <w:lang w:eastAsia="en-AU"/>
    </w:rPr>
  </w:style>
  <w:style w:type="paragraph" w:customStyle="1" w:styleId="list1-2-3-4-5">
    <w:name w:val="list1-2-3-4-5"/>
    <w:basedOn w:val="Normal"/>
    <w:rsid w:val="001D266E"/>
    <w:pPr>
      <w:keepLines/>
      <w:tabs>
        <w:tab w:val="left" w:pos="567"/>
        <w:tab w:val="left" w:pos="1134"/>
        <w:tab w:val="left" w:pos="1701"/>
        <w:tab w:val="left" w:pos="2268"/>
      </w:tabs>
      <w:suppressAutoHyphens/>
      <w:spacing w:before="60" w:after="60"/>
      <w:ind w:left="2835" w:hanging="2835"/>
      <w:jc w:val="both"/>
    </w:pPr>
    <w:rPr>
      <w:sz w:val="20"/>
      <w:szCs w:val="20"/>
      <w:lang w:eastAsia="en-AU"/>
    </w:rPr>
  </w:style>
  <w:style w:type="paragraph" w:customStyle="1" w:styleId="table-list1-2">
    <w:name w:val="table-list1-2"/>
    <w:basedOn w:val="table-list1"/>
    <w:rsid w:val="001D266E"/>
    <w:pPr>
      <w:tabs>
        <w:tab w:val="left" w:pos="113"/>
      </w:tabs>
      <w:ind w:left="227" w:hanging="227"/>
    </w:pPr>
  </w:style>
  <w:style w:type="paragraph" w:customStyle="1" w:styleId="blockquote1">
    <w:name w:val="blockquote1"/>
    <w:basedOn w:val="Normal"/>
    <w:rsid w:val="001D266E"/>
    <w:pPr>
      <w:keepLines/>
      <w:suppressAutoHyphens/>
      <w:spacing w:after="120"/>
      <w:ind w:left="567"/>
      <w:jc w:val="both"/>
    </w:pPr>
    <w:rPr>
      <w:sz w:val="20"/>
      <w:szCs w:val="20"/>
      <w:lang w:eastAsia="en-AU"/>
    </w:rPr>
  </w:style>
  <w:style w:type="paragraph" w:customStyle="1" w:styleId="blockquote2">
    <w:name w:val="blockquote2"/>
    <w:basedOn w:val="Normal"/>
    <w:rsid w:val="001D266E"/>
    <w:pPr>
      <w:keepLines/>
      <w:suppressAutoHyphens/>
      <w:spacing w:after="120"/>
      <w:ind w:left="1134"/>
      <w:jc w:val="both"/>
    </w:pPr>
    <w:rPr>
      <w:sz w:val="20"/>
      <w:szCs w:val="20"/>
      <w:lang w:eastAsia="en-AU"/>
    </w:rPr>
  </w:style>
  <w:style w:type="paragraph" w:customStyle="1" w:styleId="blockquote3">
    <w:name w:val="blockquote3"/>
    <w:basedOn w:val="Normal"/>
    <w:rsid w:val="001D266E"/>
    <w:pPr>
      <w:keepLines/>
      <w:suppressAutoHyphens/>
      <w:spacing w:after="120"/>
      <w:ind w:left="1701"/>
      <w:jc w:val="both"/>
    </w:pPr>
    <w:rPr>
      <w:sz w:val="20"/>
      <w:szCs w:val="20"/>
      <w:lang w:eastAsia="en-AU"/>
    </w:rPr>
  </w:style>
  <w:style w:type="paragraph" w:customStyle="1" w:styleId="table-blockquote1">
    <w:name w:val="table-blockquote1"/>
    <w:basedOn w:val="tablebody"/>
    <w:rsid w:val="001D266E"/>
    <w:pPr>
      <w:ind w:left="226"/>
    </w:pPr>
  </w:style>
  <w:style w:type="paragraph" w:customStyle="1" w:styleId="table-blockquote2">
    <w:name w:val="table-blockquote2"/>
    <w:basedOn w:val="tablebody"/>
    <w:rsid w:val="001D266E"/>
    <w:pPr>
      <w:ind w:left="340"/>
    </w:pPr>
  </w:style>
  <w:style w:type="paragraph" w:customStyle="1" w:styleId="table-blockquote3">
    <w:name w:val="table-blockquote3"/>
    <w:basedOn w:val="tablebody"/>
    <w:rsid w:val="001D266E"/>
    <w:pPr>
      <w:ind w:left="453"/>
    </w:pPr>
  </w:style>
  <w:style w:type="character" w:customStyle="1" w:styleId="A2SChar">
    <w:name w:val="A2S Char"/>
    <w:aliases w:val="Schedule Inst Amendment Char"/>
    <w:link w:val="A2S"/>
    <w:locked/>
    <w:rsid w:val="001D266E"/>
    <w:rPr>
      <w:i/>
      <w:iCs/>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D266E"/>
    <w:pPr>
      <w:spacing w:after="160" w:line="240" w:lineRule="exact"/>
    </w:pPr>
    <w:rPr>
      <w:rFonts w:ascii="Verdana" w:eastAsia="MS Mincho" w:hAnsi="Verdana" w:cs="Verdana"/>
      <w:sz w:val="20"/>
      <w:szCs w:val="20"/>
      <w:lang w:val="en-US"/>
    </w:rPr>
  </w:style>
  <w:style w:type="numbering" w:styleId="ArticleSection">
    <w:name w:val="Outline List 3"/>
    <w:basedOn w:val="NoList"/>
    <w:rsid w:val="001D266E"/>
    <w:pPr>
      <w:numPr>
        <w:numId w:val="1"/>
      </w:numPr>
    </w:pPr>
  </w:style>
  <w:style w:type="numbering" w:styleId="111111">
    <w:name w:val="Outline List 2"/>
    <w:basedOn w:val="NoList"/>
    <w:rsid w:val="001D266E"/>
    <w:pPr>
      <w:numPr>
        <w:numId w:val="2"/>
      </w:numPr>
    </w:pPr>
  </w:style>
  <w:style w:type="numbering" w:styleId="1ai">
    <w:name w:val="Outline List 1"/>
    <w:basedOn w:val="NoList"/>
    <w:rsid w:val="001D266E"/>
    <w:pPr>
      <w:numPr>
        <w:numId w:val="3"/>
      </w:numPr>
    </w:pPr>
  </w:style>
  <w:style w:type="table" w:customStyle="1" w:styleId="TableGrid20">
    <w:name w:val="Table Grid2"/>
    <w:basedOn w:val="TableNormal"/>
    <w:next w:val="TableGrid"/>
    <w:rsid w:val="001D266E"/>
    <w:tblPr/>
  </w:style>
  <w:style w:type="paragraph" w:customStyle="1" w:styleId="xl22">
    <w:name w:val="xl22"/>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n-US"/>
    </w:rPr>
  </w:style>
  <w:style w:type="paragraph" w:customStyle="1" w:styleId="xl23">
    <w:name w:val="xl23"/>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24">
    <w:name w:val="xl24"/>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rPr>
  </w:style>
  <w:style w:type="paragraph" w:customStyle="1" w:styleId="xl25">
    <w:name w:val="xl25"/>
    <w:basedOn w:val="Normal"/>
    <w:rsid w:val="001D266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rPr>
  </w:style>
  <w:style w:type="paragraph" w:customStyle="1" w:styleId="xl26">
    <w:name w:val="xl26"/>
    <w:basedOn w:val="Normal"/>
    <w:rsid w:val="001D266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color w:val="FF0000"/>
      <w:lang w:val="en-US"/>
    </w:rPr>
  </w:style>
  <w:style w:type="paragraph" w:customStyle="1" w:styleId="xl27">
    <w:name w:val="xl27"/>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28">
    <w:name w:val="xl28"/>
    <w:basedOn w:val="Normal"/>
    <w:rsid w:val="001D266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rPr>
  </w:style>
  <w:style w:type="paragraph" w:customStyle="1" w:styleId="xl29">
    <w:name w:val="xl29"/>
    <w:basedOn w:val="Normal"/>
    <w:rsid w:val="001D266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color w:val="FF0000"/>
      <w:lang w:val="en-US"/>
    </w:rPr>
  </w:style>
  <w:style w:type="paragraph" w:customStyle="1" w:styleId="xl30">
    <w:name w:val="xl30"/>
    <w:basedOn w:val="Normal"/>
    <w:rsid w:val="001D266E"/>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color w:val="FF0000"/>
      <w:lang w:val="en-US"/>
    </w:rPr>
  </w:style>
  <w:style w:type="paragraph" w:customStyle="1" w:styleId="list1para">
    <w:name w:val="list1para"/>
    <w:basedOn w:val="list1"/>
    <w:rsid w:val="001D266E"/>
    <w:pPr>
      <w:suppressAutoHyphens w:val="0"/>
      <w:spacing w:after="120"/>
      <w:ind w:firstLine="0"/>
    </w:pPr>
    <w:rPr>
      <w:sz w:val="24"/>
      <w:szCs w:val="24"/>
    </w:rPr>
  </w:style>
  <w:style w:type="paragraph" w:customStyle="1" w:styleId="a1s0">
    <w:name w:val="a1s"/>
    <w:basedOn w:val="Normal"/>
    <w:rsid w:val="001D266E"/>
    <w:pPr>
      <w:spacing w:before="100" w:beforeAutospacing="1" w:after="100" w:afterAutospacing="1"/>
    </w:pPr>
    <w:rPr>
      <w:lang w:val="en-US"/>
    </w:rPr>
  </w:style>
  <w:style w:type="paragraph" w:customStyle="1" w:styleId="a2s0">
    <w:name w:val="a2s"/>
    <w:basedOn w:val="Normal"/>
    <w:rsid w:val="001D266E"/>
    <w:pPr>
      <w:spacing w:before="100" w:beforeAutospacing="1" w:after="100" w:afterAutospacing="1"/>
    </w:pPr>
    <w:rPr>
      <w:lang w:val="en-US"/>
    </w:rPr>
  </w:style>
  <w:style w:type="paragraph" w:customStyle="1" w:styleId="a3s0">
    <w:name w:val="a3s"/>
    <w:basedOn w:val="Normal"/>
    <w:rsid w:val="001D266E"/>
    <w:pPr>
      <w:spacing w:before="100" w:beforeAutospacing="1" w:after="100" w:afterAutospacing="1"/>
    </w:pPr>
    <w:rPr>
      <w:lang w:val="en-US"/>
    </w:rPr>
  </w:style>
  <w:style w:type="character" w:customStyle="1" w:styleId="CharChar6">
    <w:name w:val="Char Char6"/>
    <w:locked/>
    <w:rsid w:val="001D266E"/>
    <w:rPr>
      <w:rFonts w:ascii="Arial" w:hAnsi="Arial" w:cs="Times New Roman"/>
      <w:b/>
      <w:bCs/>
      <w:color w:val="000000"/>
      <w:sz w:val="28"/>
      <w:szCs w:val="28"/>
      <w:lang w:val="en-AU" w:eastAsia="x-none"/>
    </w:rPr>
  </w:style>
  <w:style w:type="character" w:customStyle="1" w:styleId="CharChar5">
    <w:name w:val="Char Char5"/>
    <w:locked/>
    <w:rsid w:val="001D266E"/>
    <w:rPr>
      <w:rFonts w:ascii="Arial" w:hAnsi="Arial" w:cs="Times New Roman"/>
      <w:bCs/>
      <w:color w:val="000000"/>
      <w:sz w:val="26"/>
      <w:szCs w:val="26"/>
      <w:lang w:val="en-AU" w:eastAsia="x-none"/>
    </w:rPr>
  </w:style>
  <w:style w:type="character" w:customStyle="1" w:styleId="CharChar4">
    <w:name w:val="Char Char4"/>
    <w:locked/>
    <w:rsid w:val="001D266E"/>
    <w:rPr>
      <w:rFonts w:ascii="Cambria" w:eastAsia="SimSun" w:hAnsi="Cambria" w:cs="Times New Roman"/>
      <w:b/>
      <w:bCs/>
      <w:color w:val="000000"/>
      <w:sz w:val="24"/>
    </w:rPr>
  </w:style>
  <w:style w:type="character" w:customStyle="1" w:styleId="CharChar3">
    <w:name w:val="Char Char3"/>
    <w:locked/>
    <w:rsid w:val="001D266E"/>
    <w:rPr>
      <w:rFonts w:ascii="Cambria" w:eastAsia="SimSun" w:hAnsi="Cambria" w:cs="Times New Roman"/>
      <w:b/>
      <w:bCs/>
      <w:i/>
      <w:iCs/>
      <w:color w:val="000000"/>
      <w:sz w:val="20"/>
    </w:rPr>
  </w:style>
  <w:style w:type="character" w:customStyle="1" w:styleId="CharChar2">
    <w:name w:val="Char Char2"/>
    <w:semiHidden/>
    <w:locked/>
    <w:rsid w:val="001D266E"/>
    <w:rPr>
      <w:rFonts w:ascii="Tahoma" w:hAnsi="Tahoma" w:cs="Tahoma"/>
      <w:sz w:val="16"/>
      <w:szCs w:val="16"/>
    </w:rPr>
  </w:style>
  <w:style w:type="character" w:customStyle="1" w:styleId="CharChar1">
    <w:name w:val="Char Char1"/>
    <w:locked/>
    <w:rsid w:val="001D266E"/>
    <w:rPr>
      <w:rFonts w:cs="Times New Roman"/>
    </w:rPr>
  </w:style>
  <w:style w:type="character" w:customStyle="1" w:styleId="CharChar">
    <w:name w:val="Char Char"/>
    <w:locked/>
    <w:rsid w:val="001D266E"/>
    <w:rPr>
      <w:rFonts w:cs="Times New Roman"/>
    </w:rPr>
  </w:style>
  <w:style w:type="table" w:customStyle="1" w:styleId="HeadingTable">
    <w:name w:val="HeadingTable"/>
    <w:basedOn w:val="TableGrid"/>
    <w:rsid w:val="001D266E"/>
    <w:rPr>
      <w:rFonts w:ascii="Calibri" w:eastAsia="SimSun" w:hAnsi="Calibri"/>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Style1">
    <w:name w:val="Style1"/>
    <w:basedOn w:val="TableNormal"/>
    <w:rsid w:val="001D266E"/>
    <w:rPr>
      <w:rFonts w:ascii="Calibri" w:eastAsia="SimSun" w:hAnsi="Calibri"/>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paragraph" w:customStyle="1" w:styleId="TableCell-Name">
    <w:name w:val="TableCell-Name"/>
    <w:basedOn w:val="Normal"/>
    <w:qFormat/>
    <w:rsid w:val="001D266E"/>
    <w:pPr>
      <w:spacing w:after="60"/>
      <w:ind w:left="113" w:hanging="113"/>
    </w:pPr>
    <w:rPr>
      <w:rFonts w:ascii="Arial" w:eastAsia="SimSun" w:hAnsi="Arial"/>
      <w:sz w:val="16"/>
      <w:szCs w:val="22"/>
      <w:lang w:eastAsia="zh-CN"/>
    </w:rPr>
  </w:style>
  <w:style w:type="table" w:customStyle="1" w:styleId="Table-LI-schedule-1">
    <w:name w:val="Table-LI-schedule-1"/>
    <w:basedOn w:val="TableNormal"/>
    <w:rsid w:val="001D266E"/>
    <w:pPr>
      <w:spacing w:before="60" w:after="60"/>
    </w:pPr>
    <w:rPr>
      <w:rFonts w:ascii="Arial" w:hAnsi="Arial" w:cs="Arial"/>
      <w:sz w:val="16"/>
      <w:szCs w:val="16"/>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Default">
    <w:name w:val="Default"/>
    <w:rsid w:val="001D266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1D266E"/>
    <w:rPr>
      <w:sz w:val="24"/>
      <w:szCs w:val="24"/>
    </w:rPr>
  </w:style>
  <w:style w:type="paragraph" w:customStyle="1" w:styleId="Definition0">
    <w:name w:val="Definition"/>
    <w:aliases w:val="dd"/>
    <w:basedOn w:val="Normal"/>
    <w:rsid w:val="001D266E"/>
    <w:pPr>
      <w:spacing w:before="180"/>
      <w:ind w:left="1134"/>
    </w:pPr>
    <w:rPr>
      <w:sz w:val="22"/>
      <w:szCs w:val="20"/>
      <w:lang w:eastAsia="en-AU"/>
    </w:rPr>
  </w:style>
  <w:style w:type="paragraph" w:customStyle="1" w:styleId="notetext">
    <w:name w:val="note(text)"/>
    <w:aliases w:val="n"/>
    <w:basedOn w:val="Normal"/>
    <w:rsid w:val="001D266E"/>
    <w:pPr>
      <w:spacing w:before="122" w:line="198" w:lineRule="exact"/>
      <w:ind w:left="1985" w:hanging="851"/>
    </w:pPr>
    <w:rPr>
      <w:sz w:val="18"/>
      <w:szCs w:val="20"/>
      <w:lang w:eastAsia="en-AU"/>
    </w:rPr>
  </w:style>
  <w:style w:type="table" w:customStyle="1" w:styleId="TableGrid30">
    <w:name w:val="Table Grid3"/>
    <w:basedOn w:val="TableNormal"/>
    <w:next w:val="TableGrid"/>
    <w:uiPriority w:val="59"/>
    <w:rsid w:val="004C3B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chedule-5">
    <w:name w:val="Table-LI-schedule-5"/>
    <w:basedOn w:val="Table-LI-schedule-1"/>
    <w:uiPriority w:val="99"/>
    <w:rsid w:val="009E17E7"/>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item">
    <w:name w:val="item"/>
    <w:basedOn w:val="DefaultParagraphFont"/>
    <w:uiPriority w:val="1"/>
    <w:qFormat/>
    <w:rsid w:val="009E17E7"/>
    <w:rPr>
      <w:vanish/>
      <w:color w:val="C00000"/>
    </w:rPr>
  </w:style>
  <w:style w:type="table" w:customStyle="1" w:styleId="Table-LI-schedule-4">
    <w:name w:val="Table-LI-schedule-4"/>
    <w:basedOn w:val="Table-LI-schedule-1"/>
    <w:uiPriority w:val="99"/>
    <w:rsid w:val="00930A1D"/>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subsection">
    <w:name w:val="subsection"/>
    <w:aliases w:val="ss"/>
    <w:basedOn w:val="Normal"/>
    <w:rsid w:val="009421DE"/>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9421DE"/>
    <w:pPr>
      <w:tabs>
        <w:tab w:val="right" w:pos="1985"/>
      </w:tabs>
      <w:spacing w:before="40"/>
      <w:ind w:left="2098" w:hanging="2098"/>
    </w:pPr>
    <w:rPr>
      <w:sz w:val="22"/>
      <w:szCs w:val="20"/>
      <w:lang w:eastAsia="en-AU"/>
    </w:rPr>
  </w:style>
  <w:style w:type="paragraph" w:customStyle="1" w:styleId="paragraph">
    <w:name w:val="paragraph"/>
    <w:aliases w:val="a"/>
    <w:basedOn w:val="Normal"/>
    <w:link w:val="paragraphChar"/>
    <w:rsid w:val="009421DE"/>
    <w:pPr>
      <w:tabs>
        <w:tab w:val="right" w:pos="1531"/>
      </w:tabs>
      <w:spacing w:before="40"/>
      <w:ind w:left="1644" w:hanging="1644"/>
    </w:pPr>
    <w:rPr>
      <w:sz w:val="22"/>
      <w:szCs w:val="20"/>
      <w:lang w:eastAsia="en-AU"/>
    </w:rPr>
  </w:style>
  <w:style w:type="paragraph" w:customStyle="1" w:styleId="ActHead2">
    <w:name w:val="ActHead 2"/>
    <w:aliases w:val="p"/>
    <w:basedOn w:val="Normal"/>
    <w:next w:val="Normal"/>
    <w:qFormat/>
    <w:rsid w:val="00EA422F"/>
    <w:pPr>
      <w:keepNext/>
      <w:keepLines/>
      <w:spacing w:before="280"/>
      <w:ind w:left="1134" w:hanging="1134"/>
      <w:outlineLvl w:val="1"/>
    </w:pPr>
    <w:rPr>
      <w:b/>
      <w:kern w:val="28"/>
      <w:sz w:val="32"/>
      <w:szCs w:val="20"/>
      <w:lang w:eastAsia="en-AU"/>
    </w:rPr>
  </w:style>
  <w:style w:type="paragraph" w:customStyle="1" w:styleId="Tabletext0">
    <w:name w:val="Tabletext"/>
    <w:aliases w:val="tt"/>
    <w:basedOn w:val="Normal"/>
    <w:link w:val="TabletextChar"/>
    <w:rsid w:val="009A56EA"/>
    <w:pPr>
      <w:spacing w:before="60" w:after="60"/>
    </w:pPr>
    <w:rPr>
      <w:rFonts w:ascii="Arial" w:hAnsi="Arial"/>
      <w:sz w:val="16"/>
      <w:szCs w:val="20"/>
      <w:lang w:eastAsia="en-AU"/>
    </w:rPr>
  </w:style>
  <w:style w:type="paragraph" w:customStyle="1" w:styleId="TableHeading">
    <w:name w:val="TableHeading"/>
    <w:aliases w:val="th"/>
    <w:basedOn w:val="Normal"/>
    <w:next w:val="Tabletext0"/>
    <w:rsid w:val="00EA422F"/>
    <w:pPr>
      <w:keepNext/>
      <w:spacing w:before="60" w:line="240" w:lineRule="atLeast"/>
    </w:pPr>
    <w:rPr>
      <w:b/>
      <w:sz w:val="20"/>
      <w:szCs w:val="20"/>
      <w:lang w:eastAsia="en-AU"/>
    </w:rPr>
  </w:style>
  <w:style w:type="paragraph" w:customStyle="1" w:styleId="Specials">
    <w:name w:val="Special s"/>
    <w:basedOn w:val="Normal"/>
    <w:link w:val="SpecialsChar"/>
    <w:rsid w:val="00EA422F"/>
    <w:pPr>
      <w:keepNext/>
      <w:keepLines/>
      <w:spacing w:before="280"/>
      <w:ind w:left="1134" w:hanging="1134"/>
    </w:pPr>
    <w:rPr>
      <w:b/>
      <w:kern w:val="28"/>
      <w:szCs w:val="20"/>
      <w:lang w:eastAsia="en-AU"/>
    </w:rPr>
  </w:style>
  <w:style w:type="character" w:customStyle="1" w:styleId="SpecialsChar">
    <w:name w:val="Special s Char"/>
    <w:basedOn w:val="DefaultParagraphFont"/>
    <w:link w:val="Specials"/>
    <w:rsid w:val="00EA422F"/>
    <w:rPr>
      <w:b/>
      <w:kern w:val="28"/>
      <w:sz w:val="24"/>
    </w:rPr>
  </w:style>
  <w:style w:type="paragraph" w:customStyle="1" w:styleId="Amendment1">
    <w:name w:val="Amendment 1"/>
    <w:basedOn w:val="Normal"/>
    <w:link w:val="Amendment1Char"/>
    <w:qFormat/>
    <w:rsid w:val="00522B1E"/>
    <w:pPr>
      <w:widowControl w:val="0"/>
      <w:numPr>
        <w:numId w:val="5"/>
      </w:numPr>
      <w:spacing w:before="120"/>
      <w:outlineLvl w:val="1"/>
    </w:pPr>
    <w:rPr>
      <w:rFonts w:ascii="Arial" w:hAnsi="Arial" w:cs="Arial"/>
      <w:b/>
      <w:bCs/>
      <w:sz w:val="20"/>
      <w:szCs w:val="20"/>
      <w:lang w:eastAsia="en-AU"/>
    </w:rPr>
  </w:style>
  <w:style w:type="paragraph" w:customStyle="1" w:styleId="Amendment2">
    <w:name w:val="Amendment 2"/>
    <w:basedOn w:val="Normal"/>
    <w:link w:val="Amendment2Char"/>
    <w:qFormat/>
    <w:rsid w:val="00ED6DB3"/>
    <w:pPr>
      <w:widowControl w:val="0"/>
      <w:numPr>
        <w:ilvl w:val="1"/>
        <w:numId w:val="5"/>
      </w:numPr>
      <w:spacing w:before="120"/>
      <w:outlineLvl w:val="2"/>
    </w:pPr>
    <w:rPr>
      <w:iCs/>
      <w:sz w:val="20"/>
      <w:szCs w:val="20"/>
      <w:lang w:eastAsia="en-AU"/>
    </w:rPr>
  </w:style>
  <w:style w:type="paragraph" w:customStyle="1" w:styleId="Amendment3">
    <w:name w:val="Amendment 3"/>
    <w:link w:val="Amendment3Char"/>
    <w:qFormat/>
    <w:rsid w:val="00340DB2"/>
    <w:pPr>
      <w:widowControl w:val="0"/>
      <w:numPr>
        <w:ilvl w:val="2"/>
        <w:numId w:val="6"/>
      </w:numPr>
      <w:spacing w:before="60" w:after="60" w:line="260" w:lineRule="exact"/>
      <w:outlineLvl w:val="2"/>
    </w:pPr>
    <w:rPr>
      <w:iCs/>
    </w:rPr>
  </w:style>
  <w:style w:type="character" w:customStyle="1" w:styleId="Amendment1Char">
    <w:name w:val="Amendment 1 Char"/>
    <w:basedOn w:val="DefaultParagraphFont"/>
    <w:link w:val="Amendment1"/>
    <w:rsid w:val="00552250"/>
    <w:rPr>
      <w:rFonts w:ascii="Arial" w:hAnsi="Arial" w:cs="Arial"/>
      <w:b/>
      <w:bCs/>
    </w:rPr>
  </w:style>
  <w:style w:type="character" w:customStyle="1" w:styleId="Amendment2Char">
    <w:name w:val="Amendment 2 Char"/>
    <w:basedOn w:val="DefaultParagraphFont"/>
    <w:link w:val="Amendment2"/>
    <w:rsid w:val="00ED6DB3"/>
    <w:rPr>
      <w:iCs/>
    </w:rPr>
  </w:style>
  <w:style w:type="character" w:customStyle="1" w:styleId="Amendment3Char">
    <w:name w:val="Amendment 3 Char"/>
    <w:basedOn w:val="ListParagraphChar"/>
    <w:link w:val="Amendment3"/>
    <w:rsid w:val="00340DB2"/>
    <w:rPr>
      <w:iCs/>
      <w:sz w:val="24"/>
      <w:szCs w:val="24"/>
      <w:lang w:eastAsia="en-US"/>
    </w:rPr>
  </w:style>
  <w:style w:type="character" w:customStyle="1" w:styleId="ListParagraphChar">
    <w:name w:val="List Paragraph Char"/>
    <w:basedOn w:val="DefaultParagraphFont"/>
    <w:link w:val="ListParagraph"/>
    <w:uiPriority w:val="34"/>
    <w:rsid w:val="00023673"/>
    <w:rPr>
      <w:sz w:val="24"/>
      <w:szCs w:val="24"/>
      <w:lang w:eastAsia="en-US"/>
    </w:rPr>
  </w:style>
  <w:style w:type="table" w:customStyle="1" w:styleId="TableGrid31">
    <w:name w:val="Table Grid31"/>
    <w:basedOn w:val="TableNormal"/>
    <w:next w:val="TableGrid"/>
    <w:uiPriority w:val="59"/>
    <w:rsid w:val="00F900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mendmentInstruction">
    <w:name w:val="Amendment Instruction"/>
    <w:basedOn w:val="NoList"/>
    <w:uiPriority w:val="99"/>
    <w:rsid w:val="00522B1E"/>
    <w:pPr>
      <w:numPr>
        <w:numId w:val="15"/>
      </w:numPr>
    </w:pPr>
  </w:style>
  <w:style w:type="paragraph" w:customStyle="1" w:styleId="LITableText">
    <w:name w:val="LI Table Text"/>
    <w:basedOn w:val="Tabletext0"/>
    <w:link w:val="LITableTextChar"/>
    <w:autoRedefine/>
    <w:qFormat/>
    <w:rsid w:val="004A65B6"/>
  </w:style>
  <w:style w:type="character" w:customStyle="1" w:styleId="TabletextChar">
    <w:name w:val="Tabletext Char"/>
    <w:aliases w:val="tt Char"/>
    <w:basedOn w:val="DefaultParagraphFont"/>
    <w:link w:val="Tabletext0"/>
    <w:rsid w:val="009A56EA"/>
    <w:rPr>
      <w:rFonts w:ascii="Arial" w:hAnsi="Arial"/>
      <w:sz w:val="16"/>
    </w:rPr>
  </w:style>
  <w:style w:type="character" w:customStyle="1" w:styleId="LITableTextChar">
    <w:name w:val="LI Table Text Char"/>
    <w:basedOn w:val="TabletextChar"/>
    <w:link w:val="LITableText"/>
    <w:rsid w:val="004A65B6"/>
    <w:rPr>
      <w:rFonts w:ascii="Arial" w:hAnsi="Arial"/>
      <w:sz w:val="16"/>
    </w:rPr>
  </w:style>
  <w:style w:type="character" w:customStyle="1" w:styleId="AmendmentKeyword">
    <w:name w:val="Amendment Keyword"/>
    <w:basedOn w:val="Amendment3Char"/>
    <w:uiPriority w:val="1"/>
    <w:rsid w:val="00E15E07"/>
    <w:rPr>
      <w:rFonts w:ascii="Arial" w:hAnsi="Arial"/>
      <w:b/>
      <w:i w:val="0"/>
      <w:iCs/>
      <w:sz w:val="20"/>
      <w:szCs w:val="24"/>
      <w:lang w:eastAsia="en-US"/>
    </w:rPr>
  </w:style>
  <w:style w:type="character" w:customStyle="1" w:styleId="psinlw-style-tab">
    <w:name w:val="ps_inl_w-style-tab"/>
    <w:rPr>
      <w:bdr w:val="single" w:sz="4" w:space="0" w:color="D99594" w:themeColor="accent2" w:themeTint="99"/>
    </w:rPr>
  </w:style>
  <w:style w:type="numbering" w:customStyle="1" w:styleId="OPCBodyList">
    <w:name w:val="OPCBodyList"/>
    <w:uiPriority w:val="99"/>
    <w:rsid w:val="0097221D"/>
    <w:pPr>
      <w:numPr>
        <w:numId w:val="7"/>
      </w:numPr>
    </w:pPr>
  </w:style>
  <w:style w:type="paragraph" w:customStyle="1" w:styleId="mps3-data">
    <w:name w:val="mps3-data"/>
    <w:basedOn w:val="Normal"/>
    <w:qFormat/>
    <w:rsid w:val="00BB6121"/>
    <w:pPr>
      <w:spacing w:before="60" w:after="60"/>
    </w:pPr>
    <w:rPr>
      <w:rFonts w:ascii="Arial" w:eastAsia="Arial" w:hAnsi="Arial" w:cs="Arial"/>
      <w:sz w:val="16"/>
      <w:szCs w:val="22"/>
      <w:lang w:eastAsia="zh-CN"/>
    </w:rPr>
  </w:style>
  <w:style w:type="character" w:customStyle="1" w:styleId="Style1Char">
    <w:name w:val="Style1 Char"/>
    <w:basedOn w:val="Amendment3Char"/>
    <w:rsid w:val="005400B7"/>
    <w:rPr>
      <w:i/>
      <w:iCs/>
      <w:sz w:val="24"/>
      <w:szCs w:val="24"/>
      <w:lang w:eastAsia="en-US"/>
    </w:rPr>
  </w:style>
  <w:style w:type="table" w:customStyle="1" w:styleId="Table-LI-schedule-541">
    <w:name w:val="Table-LI-schedule-541"/>
    <w:basedOn w:val="Table-LI-schedule-1"/>
    <w:uiPriority w:val="99"/>
    <w:rsid w:val="006B5CC3"/>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Grid11">
    <w:name w:val="Table Grid11"/>
    <w:basedOn w:val="TableNormal"/>
    <w:next w:val="TableGrid"/>
    <w:rsid w:val="006B5CC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mp">
    <w:name w:val="tmp"/>
    <w:basedOn w:val="DefaultParagraphFont"/>
    <w:rsid w:val="006B5CC3"/>
  </w:style>
  <w:style w:type="paragraph" w:customStyle="1" w:styleId="acthead6">
    <w:name w:val="acthead6"/>
    <w:basedOn w:val="Normal"/>
    <w:rsid w:val="006B5CC3"/>
    <w:pPr>
      <w:spacing w:before="100" w:beforeAutospacing="1" w:after="100" w:afterAutospacing="1"/>
    </w:pPr>
    <w:rPr>
      <w:lang w:eastAsia="en-AU"/>
    </w:rPr>
  </w:style>
  <w:style w:type="character" w:customStyle="1" w:styleId="charamschno0">
    <w:name w:val="charamschno"/>
    <w:basedOn w:val="DefaultParagraphFont"/>
    <w:rsid w:val="006B5CC3"/>
  </w:style>
  <w:style w:type="character" w:customStyle="1" w:styleId="charamschtext0">
    <w:name w:val="charamschtext"/>
    <w:basedOn w:val="DefaultParagraphFont"/>
    <w:rsid w:val="006B5CC3"/>
  </w:style>
  <w:style w:type="paragraph" w:customStyle="1" w:styleId="hr0">
    <w:name w:val="hr"/>
    <w:basedOn w:val="Normal"/>
    <w:rsid w:val="006B5CC3"/>
    <w:pPr>
      <w:spacing w:before="100" w:beforeAutospacing="1" w:after="100" w:afterAutospacing="1"/>
    </w:pPr>
    <w:rPr>
      <w:lang w:eastAsia="en-AU"/>
    </w:rPr>
  </w:style>
  <w:style w:type="paragraph" w:customStyle="1" w:styleId="r10">
    <w:name w:val="r1"/>
    <w:basedOn w:val="Normal"/>
    <w:rsid w:val="006B5CC3"/>
    <w:pPr>
      <w:spacing w:before="100" w:beforeAutospacing="1" w:after="100" w:afterAutospacing="1"/>
    </w:pPr>
    <w:rPr>
      <w:lang w:eastAsia="en-AU"/>
    </w:rPr>
  </w:style>
  <w:style w:type="paragraph" w:customStyle="1" w:styleId="r20">
    <w:name w:val="r2"/>
    <w:basedOn w:val="Normal"/>
    <w:rsid w:val="006B5CC3"/>
    <w:pPr>
      <w:spacing w:before="100" w:beforeAutospacing="1" w:after="100" w:afterAutospacing="1"/>
    </w:pPr>
    <w:rPr>
      <w:lang w:eastAsia="en-AU"/>
    </w:rPr>
  </w:style>
  <w:style w:type="paragraph" w:customStyle="1" w:styleId="amendment10">
    <w:name w:val="amendment1"/>
    <w:basedOn w:val="Normal"/>
    <w:rsid w:val="006B5CC3"/>
    <w:pPr>
      <w:spacing w:before="100" w:beforeAutospacing="1" w:after="100" w:afterAutospacing="1"/>
    </w:pPr>
    <w:rPr>
      <w:lang w:eastAsia="en-AU"/>
    </w:rPr>
  </w:style>
  <w:style w:type="character" w:customStyle="1" w:styleId="charsectno0">
    <w:name w:val="charsectno"/>
    <w:basedOn w:val="DefaultParagraphFont"/>
    <w:rsid w:val="006B5CC3"/>
  </w:style>
  <w:style w:type="character" w:customStyle="1" w:styleId="paragraphChar">
    <w:name w:val="paragraph Char"/>
    <w:aliases w:val="a Char"/>
    <w:link w:val="paragraph"/>
    <w:rsid w:val="00AD68B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77334">
      <w:bodyDiv w:val="1"/>
      <w:marLeft w:val="0"/>
      <w:marRight w:val="0"/>
      <w:marTop w:val="0"/>
      <w:marBottom w:val="0"/>
      <w:divBdr>
        <w:top w:val="none" w:sz="0" w:space="0" w:color="auto"/>
        <w:left w:val="none" w:sz="0" w:space="0" w:color="auto"/>
        <w:bottom w:val="none" w:sz="0" w:space="0" w:color="auto"/>
        <w:right w:val="none" w:sz="0" w:space="0" w:color="auto"/>
      </w:divBdr>
    </w:div>
    <w:div w:id="832914463">
      <w:bodyDiv w:val="1"/>
      <w:marLeft w:val="0"/>
      <w:marRight w:val="0"/>
      <w:marTop w:val="0"/>
      <w:marBottom w:val="0"/>
      <w:divBdr>
        <w:top w:val="none" w:sz="0" w:space="0" w:color="auto"/>
        <w:left w:val="none" w:sz="0" w:space="0" w:color="auto"/>
        <w:bottom w:val="none" w:sz="0" w:space="0" w:color="auto"/>
        <w:right w:val="none" w:sz="0" w:space="0" w:color="auto"/>
      </w:divBdr>
    </w:div>
    <w:div w:id="990063336">
      <w:bodyDiv w:val="1"/>
      <w:marLeft w:val="0"/>
      <w:marRight w:val="0"/>
      <w:marTop w:val="0"/>
      <w:marBottom w:val="0"/>
      <w:divBdr>
        <w:top w:val="none" w:sz="0" w:space="0" w:color="auto"/>
        <w:left w:val="none" w:sz="0" w:space="0" w:color="auto"/>
        <w:bottom w:val="none" w:sz="0" w:space="0" w:color="auto"/>
        <w:right w:val="none" w:sz="0" w:space="0" w:color="auto"/>
      </w:divBdr>
    </w:div>
    <w:div w:id="130241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8330F-E9D2-4819-88D7-900FEA38C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14673</Words>
  <Characters>83588</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Document generated by PageSeeder.</dc:description>
  <cp:lastModifiedBy/>
  <cp:revision>1</cp:revision>
  <dcterms:created xsi:type="dcterms:W3CDTF">2020-04-20T21:36:00Z</dcterms:created>
  <dcterms:modified xsi:type="dcterms:W3CDTF">2020-04-30T00:17:00Z</dcterms:modified>
</cp:coreProperties>
</file>