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0FAC" w14:textId="77777777" w:rsidR="006F1AA9" w:rsidRPr="002D3BBE" w:rsidRDefault="006F1AA9" w:rsidP="00207A13">
      <w:pPr>
        <w:jc w:val="center"/>
      </w:pPr>
      <w:r w:rsidRPr="002D3BBE">
        <w:t>EXPLANATORY STATEMENT</w:t>
      </w:r>
    </w:p>
    <w:p w14:paraId="1884E4B9" w14:textId="77777777" w:rsidR="006F1AA9" w:rsidRPr="002D3BBE" w:rsidRDefault="006F1AA9" w:rsidP="006F1AA9">
      <w:pPr>
        <w:jc w:val="center"/>
      </w:pPr>
    </w:p>
    <w:p w14:paraId="3D473944" w14:textId="77777777" w:rsidR="006F1AA9" w:rsidRPr="002D3BBE" w:rsidRDefault="006F1AA9" w:rsidP="006F1AA9">
      <w:pPr>
        <w:jc w:val="center"/>
        <w:rPr>
          <w:b/>
        </w:rPr>
      </w:pPr>
      <w:r>
        <w:rPr>
          <w:b/>
        </w:rPr>
        <w:t xml:space="preserve">Customs </w:t>
      </w:r>
      <w:r w:rsidRPr="002D3BBE">
        <w:rPr>
          <w:b/>
        </w:rPr>
        <w:t>By-law No.</w:t>
      </w:r>
      <w:r>
        <w:rPr>
          <w:b/>
        </w:rPr>
        <w:t xml:space="preserve"> 20</w:t>
      </w:r>
      <w:r w:rsidR="00C54028">
        <w:rPr>
          <w:b/>
        </w:rPr>
        <w:t>19608</w:t>
      </w:r>
    </w:p>
    <w:p w14:paraId="706CB80C" w14:textId="77777777" w:rsidR="006F1AA9" w:rsidRPr="002D3BBE" w:rsidRDefault="006F1AA9" w:rsidP="006F1AA9">
      <w:pPr>
        <w:rPr>
          <w:b/>
        </w:rPr>
      </w:pPr>
    </w:p>
    <w:p w14:paraId="15DD961A" w14:textId="77777777" w:rsidR="006F1AA9" w:rsidRPr="002D3BBE" w:rsidRDefault="006F1AA9" w:rsidP="006F1AA9">
      <w:pPr>
        <w:jc w:val="center"/>
        <w:rPr>
          <w:b/>
          <w:i/>
        </w:rPr>
      </w:pPr>
      <w:r w:rsidRPr="002D3BBE">
        <w:rPr>
          <w:b/>
          <w:i/>
        </w:rPr>
        <w:t>Customs Act 1901</w:t>
      </w:r>
    </w:p>
    <w:p w14:paraId="70D43317" w14:textId="77777777" w:rsidR="006F1AA9" w:rsidRPr="002D3BBE" w:rsidRDefault="006F1AA9" w:rsidP="006F1AA9">
      <w:pPr>
        <w:jc w:val="center"/>
      </w:pPr>
    </w:p>
    <w:p w14:paraId="17B8FCC8" w14:textId="77777777" w:rsidR="006F1AA9" w:rsidRDefault="006F1AA9" w:rsidP="006F1AA9">
      <w:r w:rsidRPr="002D3BBE">
        <w:t xml:space="preserve">Section 271 of the </w:t>
      </w:r>
      <w:r w:rsidRPr="002D3BBE">
        <w:rPr>
          <w:i/>
        </w:rPr>
        <w:t xml:space="preserve">Customs Act 1901 </w:t>
      </w:r>
      <w:r w:rsidRPr="002D3BBE">
        <w:t xml:space="preserve">(the Act) provides, in part, that where an item of a Customs Tariff is expressed to apply to goods, or to a class or kind of goods, as prescribed by by-law, the </w:t>
      </w:r>
      <w:r>
        <w:t>Comptroller</w:t>
      </w:r>
      <w:r>
        <w:noBreakHyphen/>
        <w:t>General of Customs</w:t>
      </w:r>
      <w:r w:rsidRPr="002D3BBE">
        <w:t xml:space="preserve"> may make by-laws for the purposes of </w:t>
      </w:r>
      <w:bookmarkStart w:id="0" w:name="_GoBack"/>
      <w:bookmarkEnd w:id="0"/>
      <w:r w:rsidRPr="002D3BBE">
        <w:t xml:space="preserve">that item. </w:t>
      </w:r>
    </w:p>
    <w:p w14:paraId="2EC64F36" w14:textId="77777777" w:rsidR="006F1AA9" w:rsidRDefault="006F1AA9" w:rsidP="006F1AA9"/>
    <w:p w14:paraId="08D99A32" w14:textId="77777777" w:rsidR="006F1AA9" w:rsidRDefault="006F1AA9" w:rsidP="006F1AA9">
      <w:r w:rsidRPr="002D3BBE">
        <w:t xml:space="preserve">A Customs Tariff is defined in section 4 of the Act to mean an </w:t>
      </w:r>
      <w:r>
        <w:t>A</w:t>
      </w:r>
      <w:r w:rsidRPr="002D3BBE">
        <w:t xml:space="preserve">ct imposing duties of customs. The </w:t>
      </w:r>
      <w:r w:rsidRPr="002D3BBE">
        <w:rPr>
          <w:i/>
        </w:rPr>
        <w:t xml:space="preserve">Customs Tariff Act 1995 </w:t>
      </w:r>
      <w:r w:rsidRPr="002D3BBE">
        <w:t>(the Customs Tariff Act) is a</w:t>
      </w:r>
      <w:r>
        <w:t>n Act imposing duties of customs, and is therefore a</w:t>
      </w:r>
      <w:r w:rsidRPr="002D3BBE">
        <w:t xml:space="preserve"> Customs Tariff for the purposes of the Act. </w:t>
      </w:r>
    </w:p>
    <w:p w14:paraId="1EFD1FE5" w14:textId="77777777" w:rsidR="006F1AA9" w:rsidRDefault="006F1AA9" w:rsidP="006F1AA9"/>
    <w:p w14:paraId="6FBD62B7" w14:textId="77777777" w:rsidR="006F1AA9" w:rsidRPr="002D3BBE" w:rsidRDefault="006F1AA9" w:rsidP="006F1AA9">
      <w:r>
        <w:t>Section 18 of the Customs Tariff Act provides for calculation of concessional duty.</w:t>
      </w:r>
    </w:p>
    <w:p w14:paraId="4F80EE1B" w14:textId="77777777" w:rsidR="006F1AA9" w:rsidRPr="002D3BBE" w:rsidRDefault="006F1AA9" w:rsidP="006F1AA9"/>
    <w:p w14:paraId="203B63BE" w14:textId="77777777" w:rsidR="006F1AA9" w:rsidRPr="002D3BBE" w:rsidRDefault="006F1AA9" w:rsidP="006F1AA9">
      <w:pPr>
        <w:rPr>
          <w:b/>
        </w:rPr>
      </w:pPr>
      <w:r w:rsidRPr="002D3BBE">
        <w:rPr>
          <w:b/>
        </w:rPr>
        <w:t>Background</w:t>
      </w:r>
    </w:p>
    <w:p w14:paraId="216E3303" w14:textId="164A6FE3" w:rsidR="00BC402E" w:rsidRDefault="006F1AA9" w:rsidP="006F1AA9">
      <w:r>
        <w:t xml:space="preserve">For the purposes of </w:t>
      </w:r>
      <w:r w:rsidR="00EB1337">
        <w:t xml:space="preserve">proposed </w:t>
      </w:r>
      <w:r w:rsidR="00377E5C">
        <w:t>item 57</w:t>
      </w:r>
      <w:r w:rsidRPr="00194ECF">
        <w:t xml:space="preserve"> </w:t>
      </w:r>
      <w:r>
        <w:t xml:space="preserve">to </w:t>
      </w:r>
      <w:r w:rsidRPr="002D3BBE">
        <w:t xml:space="preserve">Schedule 4 </w:t>
      </w:r>
      <w:r>
        <w:t>to the Customs Tariff Act,</w:t>
      </w:r>
      <w:r w:rsidRPr="002D3BBE">
        <w:t xml:space="preserve"> goods, as prescribed by by-law,</w:t>
      </w:r>
      <w:r>
        <w:t xml:space="preserve"> that are </w:t>
      </w:r>
      <w:r w:rsidR="0028003A">
        <w:t>medic</w:t>
      </w:r>
      <w:r w:rsidR="00BC402E">
        <w:t xml:space="preserve">al products or hygiene products, capable of use in combating the </w:t>
      </w:r>
      <w:r w:rsidR="004F55E2">
        <w:t xml:space="preserve">novel </w:t>
      </w:r>
      <w:r w:rsidR="00BC402E">
        <w:t xml:space="preserve">coronavirus </w:t>
      </w:r>
      <w:r w:rsidR="004F55E2">
        <w:t>that causes Coronavirus disease 2019</w:t>
      </w:r>
      <w:r w:rsidR="00BC402E">
        <w:t xml:space="preserve"> </w:t>
      </w:r>
      <w:r w:rsidR="004F55E2">
        <w:t>(</w:t>
      </w:r>
      <w:r w:rsidR="00BC402E">
        <w:t>COVID</w:t>
      </w:r>
      <w:r w:rsidR="00BC402E">
        <w:noBreakHyphen/>
        <w:t>19</w:t>
      </w:r>
      <w:r w:rsidR="004F55E2">
        <w:t>)</w:t>
      </w:r>
      <w:r w:rsidR="00BC402E">
        <w:t xml:space="preserve">, </w:t>
      </w:r>
      <w:r w:rsidR="00BC402E" w:rsidRPr="002D3BBE">
        <w:t>are dutiable at the rate of “Free”.</w:t>
      </w:r>
      <w:r w:rsidR="00BC402E">
        <w:t xml:space="preserve"> Item 57 is a temporary measure covering </w:t>
      </w:r>
      <w:r w:rsidR="00D82C6C">
        <w:t xml:space="preserve">imported </w:t>
      </w:r>
      <w:r w:rsidR="00BC402E">
        <w:t xml:space="preserve">goods </w:t>
      </w:r>
      <w:r w:rsidR="00D82C6C">
        <w:t>where</w:t>
      </w:r>
      <w:r w:rsidR="008862E2">
        <w:t xml:space="preserve"> </w:t>
      </w:r>
      <w:r w:rsidR="00BC402E">
        <w:t xml:space="preserve">the time for working out the rate of duty on the goods is in the period beginning on </w:t>
      </w:r>
      <w:r w:rsidR="00291668">
        <w:t>1 </w:t>
      </w:r>
      <w:r w:rsidR="00BC402E">
        <w:t>February 2020 and ending at the end of 31 July 2020.</w:t>
      </w:r>
    </w:p>
    <w:p w14:paraId="1BA7BC67" w14:textId="77777777" w:rsidR="00BC402E" w:rsidRDefault="00BC402E" w:rsidP="006F1AA9"/>
    <w:p w14:paraId="0CF38BBF" w14:textId="77777777" w:rsidR="006F1AA9" w:rsidRPr="002D3BBE" w:rsidRDefault="006F1AA9" w:rsidP="006F1AA9">
      <w:pPr>
        <w:rPr>
          <w:b/>
        </w:rPr>
      </w:pPr>
      <w:r w:rsidRPr="002D3BBE">
        <w:rPr>
          <w:b/>
        </w:rPr>
        <w:t>Instrument</w:t>
      </w:r>
    </w:p>
    <w:p w14:paraId="7644C712" w14:textId="40B30BEA" w:rsidR="00C353C7" w:rsidRDefault="007F7F61" w:rsidP="007F7F61">
      <w:r w:rsidRPr="00A2427F">
        <w:t xml:space="preserve">By-law 2019608 covers </w:t>
      </w:r>
      <w:r w:rsidR="00CA5C60">
        <w:t xml:space="preserve">certain </w:t>
      </w:r>
      <w:r w:rsidRPr="00A2427F">
        <w:t xml:space="preserve">medical products and hygiene products </w:t>
      </w:r>
      <w:r w:rsidR="00465C98">
        <w:t xml:space="preserve">imported as part of the response the </w:t>
      </w:r>
      <w:r w:rsidRPr="00A2427F">
        <w:t>COVID-19 pandemic</w:t>
      </w:r>
      <w:r w:rsidR="00A42085">
        <w:t xml:space="preserve">. </w:t>
      </w:r>
      <w:r w:rsidR="00C353C7">
        <w:t xml:space="preserve">The by-law </w:t>
      </w:r>
      <w:r w:rsidR="00CA5C60">
        <w:t xml:space="preserve">will reduce to “Free” </w:t>
      </w:r>
      <w:r w:rsidR="00C353C7">
        <w:t xml:space="preserve">the </w:t>
      </w:r>
      <w:r w:rsidR="00CA5C60">
        <w:t xml:space="preserve">rate of </w:t>
      </w:r>
      <w:r w:rsidR="00C353C7">
        <w:t xml:space="preserve">duty on </w:t>
      </w:r>
      <w:r w:rsidR="00CA5C60">
        <w:t xml:space="preserve">prescribed </w:t>
      </w:r>
      <w:r w:rsidR="00C353C7">
        <w:t>medical products or hygiene product</w:t>
      </w:r>
      <w:r w:rsidR="00CA5C60">
        <w:t xml:space="preserve">s </w:t>
      </w:r>
      <w:r w:rsidR="00C353C7">
        <w:t>required in the imm</w:t>
      </w:r>
      <w:r w:rsidR="00B60062">
        <w:t>ediate response to the COVID</w:t>
      </w:r>
      <w:r w:rsidR="00B60062">
        <w:noBreakHyphen/>
      </w:r>
      <w:r w:rsidR="00C353C7">
        <w:t xml:space="preserve">19 pandemic.  As such, </w:t>
      </w:r>
      <w:r w:rsidRPr="00A2427F">
        <w:t>goods listed in th</w:t>
      </w:r>
      <w:r w:rsidR="00A42085">
        <w:t>is</w:t>
      </w:r>
      <w:r w:rsidRPr="00A2427F">
        <w:t xml:space="preserve"> </w:t>
      </w:r>
      <w:r w:rsidR="00CA5C60">
        <w:t>b</w:t>
      </w:r>
      <w:r w:rsidRPr="00A2427F">
        <w:t>y-law are only those goods that have a duty rate</w:t>
      </w:r>
      <w:r w:rsidR="008862E2">
        <w:t xml:space="preserve"> </w:t>
      </w:r>
      <w:r w:rsidRPr="00A2427F">
        <w:t xml:space="preserve">other than </w:t>
      </w:r>
      <w:r w:rsidR="00CA5C60">
        <w:t>“</w:t>
      </w:r>
      <w:r w:rsidR="004F55E2">
        <w:t>F</w:t>
      </w:r>
      <w:r w:rsidRPr="00A2427F">
        <w:t>ree</w:t>
      </w:r>
      <w:r w:rsidR="00CA5C60">
        <w:t>”</w:t>
      </w:r>
      <w:r w:rsidRPr="00A2427F">
        <w:t xml:space="preserve"> in Sched</w:t>
      </w:r>
      <w:r w:rsidR="004B0012">
        <w:t>ule 3 of the Customs Tariff Act</w:t>
      </w:r>
      <w:r w:rsidRPr="00A2427F">
        <w:t xml:space="preserve">, or for which there is no other </w:t>
      </w:r>
      <w:r w:rsidR="00A42085">
        <w:t>Schedule 4 concession available</w:t>
      </w:r>
      <w:r w:rsidR="00C353C7">
        <w:t xml:space="preserve">, including Item 50 Tariff Concession Orders. </w:t>
      </w:r>
    </w:p>
    <w:p w14:paraId="63B99F75" w14:textId="77777777" w:rsidR="00133FDF" w:rsidRDefault="00133FDF" w:rsidP="007F7F61"/>
    <w:p w14:paraId="63273DC5" w14:textId="2FDCEF8B" w:rsidR="00133FDF" w:rsidRDefault="00EB1337" w:rsidP="007F7F61">
      <w:r>
        <w:t>Paragraph 2</w:t>
      </w:r>
      <w:r w:rsidR="00133FDF">
        <w:t xml:space="preserve"> sets out </w:t>
      </w:r>
      <w:r w:rsidR="00372DF0">
        <w:t xml:space="preserve">a </w:t>
      </w:r>
      <w:r w:rsidR="00133FDF">
        <w:t>list of</w:t>
      </w:r>
      <w:r w:rsidR="00372DF0">
        <w:t xml:space="preserve"> the medical or hygiene products </w:t>
      </w:r>
      <w:r w:rsidR="00133FDF">
        <w:t>to which by-law 2019608 applies.</w:t>
      </w:r>
      <w:r w:rsidR="00372DF0">
        <w:t xml:space="preserve"> Par</w:t>
      </w:r>
      <w:r w:rsidR="00871D86">
        <w:t>agraph 2</w:t>
      </w:r>
      <w:r w:rsidR="00372DF0">
        <w:t xml:space="preserve">(a) covers a range of </w:t>
      </w:r>
      <w:r w:rsidR="00291668">
        <w:t xml:space="preserve">Personal </w:t>
      </w:r>
      <w:r w:rsidR="00372DF0">
        <w:t xml:space="preserve">Protective Equipment (PPE) </w:t>
      </w:r>
      <w:r w:rsidR="00CA5C60">
        <w:rPr>
          <w:rFonts w:eastAsia="MS Mincho"/>
        </w:rPr>
        <w:t>capable of limiting the transmission of organisms to humans</w:t>
      </w:r>
      <w:r w:rsidR="004F55E2" w:rsidRPr="008E3606">
        <w:t>.</w:t>
      </w:r>
      <w:r w:rsidR="00372DF0">
        <w:t xml:space="preserve">  Goods covered in this Part include facemasks, gloves, clothes or gowns, goggles, eyeglasses, eye visors or</w:t>
      </w:r>
      <w:r w:rsidR="00871D86">
        <w:t xml:space="preserve"> face shields, of any material</w:t>
      </w:r>
      <w:r w:rsidR="00372DF0">
        <w:t>.</w:t>
      </w:r>
      <w:r w:rsidR="00543C54">
        <w:t xml:space="preserve"> </w:t>
      </w:r>
      <w:r w:rsidR="00372DF0">
        <w:t xml:space="preserve">         </w:t>
      </w:r>
      <w:r w:rsidR="00133FDF">
        <w:t xml:space="preserve">  </w:t>
      </w:r>
    </w:p>
    <w:p w14:paraId="7379887A" w14:textId="77777777" w:rsidR="00133FDF" w:rsidRDefault="00133FDF" w:rsidP="007F7F61"/>
    <w:p w14:paraId="7159CF2A" w14:textId="40B22440" w:rsidR="00D505F9" w:rsidRDefault="00EB1337" w:rsidP="007F7F61">
      <w:r>
        <w:t>Paragraph</w:t>
      </w:r>
      <w:r w:rsidR="00543C54">
        <w:t xml:space="preserve"> </w:t>
      </w:r>
      <w:r>
        <w:t>2</w:t>
      </w:r>
      <w:r w:rsidR="00543C54">
        <w:t xml:space="preserve">(b) </w:t>
      </w:r>
      <w:r w:rsidR="004B0012">
        <w:t>covers disinfectant preparations</w:t>
      </w:r>
      <w:r w:rsidR="00B25521">
        <w:t xml:space="preserve"> </w:t>
      </w:r>
      <w:r w:rsidR="002755C6">
        <w:t>of heading 3808 of the Schedule 3 of the Customs Tariff Act</w:t>
      </w:r>
      <w:r w:rsidR="00291668">
        <w:t>,</w:t>
      </w:r>
      <w:r w:rsidR="00291668" w:rsidRPr="00291668">
        <w:t xml:space="preserve"> </w:t>
      </w:r>
      <w:r w:rsidR="00291668">
        <w:t>excluding hand sanitisers</w:t>
      </w:r>
      <w:r w:rsidR="002755C6">
        <w:t xml:space="preserve">.  </w:t>
      </w:r>
      <w:r w:rsidR="00B25521">
        <w:t xml:space="preserve">The by-law covers disinfectant products able to disinfect surfaces or objects of the novel coronavirus that causes </w:t>
      </w:r>
      <w:r w:rsidR="00B25521" w:rsidRPr="008E3606">
        <w:t>COVID-19</w:t>
      </w:r>
      <w:r w:rsidR="00B25521">
        <w:t xml:space="preserve">, put up in forms or packaging for retail sale. </w:t>
      </w:r>
    </w:p>
    <w:p w14:paraId="077EE372" w14:textId="77777777" w:rsidR="00D505F9" w:rsidRDefault="00D505F9" w:rsidP="007F7F61"/>
    <w:p w14:paraId="1875AF54" w14:textId="53F17047" w:rsidR="00133FDF" w:rsidRDefault="00EB1337" w:rsidP="007F7F61">
      <w:r>
        <w:t>Paragraph 2</w:t>
      </w:r>
      <w:r w:rsidR="00B25521">
        <w:t xml:space="preserve">(b) does not cover disinfectant </w:t>
      </w:r>
      <w:r w:rsidR="00D505F9">
        <w:t xml:space="preserve">products of 3808 capable of disinfecting human skin of the novel coronavirus that causes </w:t>
      </w:r>
      <w:r w:rsidR="00D505F9" w:rsidRPr="008E3606">
        <w:t>COVID-19</w:t>
      </w:r>
      <w:r w:rsidR="00D505F9">
        <w:t xml:space="preserve">, commonly referred to as hand </w:t>
      </w:r>
      <w:r w:rsidR="00291668">
        <w:t>sanitisers</w:t>
      </w:r>
      <w:r w:rsidR="00D505F9">
        <w:t xml:space="preserve">.  </w:t>
      </w:r>
      <w:r w:rsidR="00D06064">
        <w:t>There is currently significant manufacturing capacity in Australia for hand sanitiser. The exclusion of hand sanitiser reflects this capacity and</w:t>
      </w:r>
      <w:r w:rsidR="00D06064">
        <w:t xml:space="preserve"> the fact</w:t>
      </w:r>
      <w:r w:rsidR="00D06064">
        <w:t xml:space="preserve"> that Australian business</w:t>
      </w:r>
      <w:r w:rsidR="00D06064">
        <w:t>es</w:t>
      </w:r>
      <w:r w:rsidR="00D06064">
        <w:t xml:space="preserve"> have refocussed their operations to increase </w:t>
      </w:r>
      <w:r w:rsidR="00D06064">
        <w:t xml:space="preserve">domestic </w:t>
      </w:r>
      <w:r w:rsidR="00D06064">
        <w:t>supply in response to COVID-19.</w:t>
      </w:r>
      <w:r w:rsidR="00D505F9">
        <w:t xml:space="preserve"> </w:t>
      </w:r>
      <w:r w:rsidR="00B25521">
        <w:t xml:space="preserve">   </w:t>
      </w:r>
    </w:p>
    <w:p w14:paraId="798F3442" w14:textId="29D3E38A" w:rsidR="006E4E3C" w:rsidRDefault="006E4E3C" w:rsidP="007F7F61"/>
    <w:p w14:paraId="40CCF8FB" w14:textId="42586135" w:rsidR="006E4E3C" w:rsidRDefault="00EB1337" w:rsidP="007F7F61">
      <w:r>
        <w:lastRenderedPageBreak/>
        <w:t>Paragraph 2</w:t>
      </w:r>
      <w:r w:rsidR="006E4E3C">
        <w:t>(c) covers</w:t>
      </w:r>
      <w:r w:rsidR="00D505F9">
        <w:t xml:space="preserve"> all</w:t>
      </w:r>
      <w:r w:rsidR="006E4E3C">
        <w:t xml:space="preserve"> soap</w:t>
      </w:r>
      <w:r w:rsidR="00D505F9">
        <w:t xml:space="preserve">s of 3401 of Schedule 3 of the Customs Tariff Act. </w:t>
      </w:r>
      <w:r w:rsidR="006E4E3C">
        <w:t xml:space="preserve"> </w:t>
      </w:r>
    </w:p>
    <w:p w14:paraId="73446BF4" w14:textId="77777777" w:rsidR="006E4E3C" w:rsidRDefault="006E4E3C" w:rsidP="006E4E3C"/>
    <w:p w14:paraId="02EF1A62" w14:textId="4A4C3A2D" w:rsidR="006E4E3C" w:rsidRPr="00346176" w:rsidRDefault="00EB1337" w:rsidP="006E4E3C">
      <w:pPr>
        <w:pStyle w:val="PlainText"/>
        <w:tabs>
          <w:tab w:val="left" w:pos="567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Paragraph 2</w:t>
      </w:r>
      <w:r w:rsidR="006E4E3C">
        <w:rPr>
          <w:rFonts w:ascii="Times New Roman" w:eastAsia="MS Mincho" w:hAnsi="Times New Roman" w:cs="Times New Roman"/>
          <w:sz w:val="24"/>
          <w:szCs w:val="24"/>
        </w:rPr>
        <w:t>(d) covers COVID-19 test kits and reagents</w:t>
      </w:r>
      <w:r w:rsidR="003461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46176" w:rsidRPr="00346176">
        <w:rPr>
          <w:rFonts w:ascii="Times New Roman" w:eastAsia="MS Mincho" w:hAnsi="Times New Roman" w:cs="Times New Roman"/>
          <w:sz w:val="24"/>
          <w:szCs w:val="24"/>
        </w:rPr>
        <w:t>used in the procedures to d</w:t>
      </w:r>
      <w:r w:rsidR="00D06064">
        <w:rPr>
          <w:rFonts w:ascii="Times New Roman" w:eastAsia="MS Mincho" w:hAnsi="Times New Roman" w:cs="Times New Roman"/>
          <w:sz w:val="24"/>
          <w:szCs w:val="24"/>
        </w:rPr>
        <w:t>etect</w:t>
      </w:r>
      <w:r w:rsidR="00346176" w:rsidRPr="00346176">
        <w:rPr>
          <w:rFonts w:ascii="Times New Roman" w:eastAsia="MS Mincho" w:hAnsi="Times New Roman" w:cs="Times New Roman"/>
          <w:sz w:val="24"/>
          <w:szCs w:val="24"/>
        </w:rPr>
        <w:t xml:space="preserve"> the</w:t>
      </w:r>
      <w:r w:rsidR="00346176" w:rsidRPr="00346176">
        <w:rPr>
          <w:rFonts w:ascii="Times New Roman" w:hAnsi="Times New Roman" w:cs="Times New Roman"/>
          <w:sz w:val="24"/>
          <w:szCs w:val="24"/>
        </w:rPr>
        <w:t xml:space="preserve"> novel coronavirus that causes COVID-19</w:t>
      </w:r>
      <w:r w:rsidR="006E4E3C" w:rsidRPr="00346176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5D3D87E" w14:textId="77777777" w:rsidR="00133FDF" w:rsidRPr="00346176" w:rsidRDefault="00133FDF" w:rsidP="007F7F61"/>
    <w:p w14:paraId="6AB5AD19" w14:textId="77777777" w:rsidR="006F1AA9" w:rsidRDefault="006F1AA9" w:rsidP="006F1AA9">
      <w:pPr>
        <w:rPr>
          <w:b/>
        </w:rPr>
      </w:pPr>
      <w:r w:rsidRPr="002D3BBE">
        <w:rPr>
          <w:b/>
        </w:rPr>
        <w:t>Consultation</w:t>
      </w:r>
    </w:p>
    <w:p w14:paraId="2BE6A519" w14:textId="4E9AEC82" w:rsidR="004A46C1" w:rsidRDefault="006F1AA9" w:rsidP="006F1AA9">
      <w:r>
        <w:t xml:space="preserve">The </w:t>
      </w:r>
      <w:r w:rsidR="00963FE0">
        <w:t>f</w:t>
      </w:r>
      <w:r w:rsidR="004A46C1">
        <w:t xml:space="preserve">ollowing Australian Government Departments were consulted in relation to </w:t>
      </w:r>
      <w:r w:rsidR="00291668">
        <w:t>by</w:t>
      </w:r>
      <w:r w:rsidR="004A46C1">
        <w:t>-law 2019608</w:t>
      </w:r>
      <w:r w:rsidR="00EE0B89">
        <w:t>.</w:t>
      </w:r>
    </w:p>
    <w:p w14:paraId="15691314" w14:textId="611868FA" w:rsidR="004A46C1" w:rsidRDefault="004A46C1" w:rsidP="00EE0B89">
      <w:pPr>
        <w:pStyle w:val="ListParagraph"/>
        <w:numPr>
          <w:ilvl w:val="0"/>
          <w:numId w:val="9"/>
        </w:numPr>
      </w:pPr>
      <w:r>
        <w:t>Department of</w:t>
      </w:r>
      <w:r w:rsidR="006F1AA9">
        <w:t xml:space="preserve"> Industry</w:t>
      </w:r>
      <w:r>
        <w:t>, Science, Energy and Resources</w:t>
      </w:r>
    </w:p>
    <w:p w14:paraId="68A66C05" w14:textId="77777777" w:rsidR="004A46C1" w:rsidRDefault="004A46C1" w:rsidP="00EE0B89">
      <w:pPr>
        <w:pStyle w:val="ListParagraph"/>
        <w:numPr>
          <w:ilvl w:val="0"/>
          <w:numId w:val="9"/>
        </w:numPr>
      </w:pPr>
      <w:r>
        <w:t>Department of Foreign Affairs and Trade</w:t>
      </w:r>
    </w:p>
    <w:p w14:paraId="1A14013C" w14:textId="77777777" w:rsidR="00EE0B89" w:rsidRDefault="004A46C1" w:rsidP="00EE0B89">
      <w:pPr>
        <w:pStyle w:val="ListParagraph"/>
        <w:numPr>
          <w:ilvl w:val="0"/>
          <w:numId w:val="9"/>
        </w:numPr>
      </w:pPr>
      <w:r>
        <w:t xml:space="preserve">Department of </w:t>
      </w:r>
      <w:r w:rsidR="00EE0B89">
        <w:t>Prime Minister and Cabinet</w:t>
      </w:r>
    </w:p>
    <w:p w14:paraId="4D42F615" w14:textId="77777777" w:rsidR="00EE0B89" w:rsidRDefault="00EE0B89" w:rsidP="00EE0B89">
      <w:pPr>
        <w:pStyle w:val="ListParagraph"/>
        <w:numPr>
          <w:ilvl w:val="0"/>
          <w:numId w:val="9"/>
        </w:numPr>
      </w:pPr>
      <w:r>
        <w:t xml:space="preserve">Department of Health </w:t>
      </w:r>
    </w:p>
    <w:p w14:paraId="7054B22B" w14:textId="77777777" w:rsidR="00EE0B89" w:rsidRPr="00EE0B89" w:rsidRDefault="00EE0B89" w:rsidP="00EE0B89">
      <w:pPr>
        <w:pStyle w:val="ListParagraph"/>
        <w:numPr>
          <w:ilvl w:val="0"/>
          <w:numId w:val="9"/>
        </w:numPr>
        <w:rPr>
          <w:b/>
        </w:rPr>
      </w:pPr>
      <w:r>
        <w:t xml:space="preserve">Department of Agriculture, Water and the Environment </w:t>
      </w:r>
    </w:p>
    <w:p w14:paraId="64980BB9" w14:textId="77777777" w:rsidR="006F1AA9" w:rsidRDefault="006F1AA9" w:rsidP="006F1AA9"/>
    <w:p w14:paraId="6FDE3F5D" w14:textId="77777777" w:rsidR="006F1AA9" w:rsidRDefault="006F1AA9" w:rsidP="006F1AA9"/>
    <w:p w14:paraId="3C31CAF8" w14:textId="77777777" w:rsidR="006F1AA9" w:rsidRPr="002D3BBE" w:rsidRDefault="006F1AA9" w:rsidP="006F1AA9">
      <w:r w:rsidRPr="002D3BBE">
        <w:rPr>
          <w:b/>
        </w:rPr>
        <w:t>Commencement</w:t>
      </w:r>
    </w:p>
    <w:p w14:paraId="260CBC38" w14:textId="2857467E" w:rsidR="00B60062" w:rsidRDefault="006F1AA9" w:rsidP="004A3DD3">
      <w:r w:rsidRPr="002D3BBE">
        <w:t xml:space="preserve">By-law No. </w:t>
      </w:r>
      <w:r w:rsidR="00D034D3">
        <w:t>2019608</w:t>
      </w:r>
      <w:r w:rsidR="00EE0B89">
        <w:t xml:space="preserve"> </w:t>
      </w:r>
      <w:r w:rsidR="00CA5C60">
        <w:t xml:space="preserve">was signed on 29 April 2020 and </w:t>
      </w:r>
      <w:r w:rsidR="00EB1337">
        <w:t>is deemed to have taken</w:t>
      </w:r>
      <w:r w:rsidR="00CA5C60">
        <w:t xml:space="preserve"> effect on </w:t>
      </w:r>
      <w:r w:rsidR="00EB1337">
        <w:t>1 </w:t>
      </w:r>
      <w:r w:rsidR="00EE0B89">
        <w:t xml:space="preserve">February 2020. </w:t>
      </w:r>
    </w:p>
    <w:sectPr w:rsidR="00B60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FDE"/>
    <w:multiLevelType w:val="singleLevel"/>
    <w:tmpl w:val="8DA8D9D6"/>
    <w:lvl w:ilvl="0">
      <w:start w:val="1"/>
      <w:numFmt w:val="decimal"/>
      <w:pStyle w:val="DINumberedParagraph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1" w15:restartNumberingAfterBreak="0">
    <w:nsid w:val="19C25746"/>
    <w:multiLevelType w:val="hybridMultilevel"/>
    <w:tmpl w:val="AB56A6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B25BD"/>
    <w:multiLevelType w:val="hybridMultilevel"/>
    <w:tmpl w:val="0BD8A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649FA"/>
    <w:multiLevelType w:val="hybridMultilevel"/>
    <w:tmpl w:val="708E587A"/>
    <w:lvl w:ilvl="0" w:tplc="D8BC28B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518948EC"/>
    <w:multiLevelType w:val="hybridMultilevel"/>
    <w:tmpl w:val="96A0F9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F5AEB"/>
    <w:multiLevelType w:val="hybridMultilevel"/>
    <w:tmpl w:val="86C4A528"/>
    <w:lvl w:ilvl="0" w:tplc="FD7E94B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47868"/>
    <w:multiLevelType w:val="hybridMultilevel"/>
    <w:tmpl w:val="B02875EC"/>
    <w:lvl w:ilvl="0" w:tplc="A01247AA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AEA634A"/>
    <w:multiLevelType w:val="hybridMultilevel"/>
    <w:tmpl w:val="C908C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E4219"/>
    <w:multiLevelType w:val="hybridMultilevel"/>
    <w:tmpl w:val="DE4E0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9"/>
    <w:rsid w:val="00133FDF"/>
    <w:rsid w:val="00193695"/>
    <w:rsid w:val="00195446"/>
    <w:rsid w:val="00207A13"/>
    <w:rsid w:val="002755C6"/>
    <w:rsid w:val="0028003A"/>
    <w:rsid w:val="00291668"/>
    <w:rsid w:val="002F3C83"/>
    <w:rsid w:val="00330BFB"/>
    <w:rsid w:val="00346176"/>
    <w:rsid w:val="00364360"/>
    <w:rsid w:val="00365F9D"/>
    <w:rsid w:val="00372DF0"/>
    <w:rsid w:val="00377E5C"/>
    <w:rsid w:val="00465C98"/>
    <w:rsid w:val="004A31D5"/>
    <w:rsid w:val="004A3DD3"/>
    <w:rsid w:val="004A46C1"/>
    <w:rsid w:val="004B0012"/>
    <w:rsid w:val="004F55E2"/>
    <w:rsid w:val="00543C54"/>
    <w:rsid w:val="006E4E3C"/>
    <w:rsid w:val="006F1AA9"/>
    <w:rsid w:val="007F7F61"/>
    <w:rsid w:val="00871D86"/>
    <w:rsid w:val="008862E2"/>
    <w:rsid w:val="008E3606"/>
    <w:rsid w:val="00963FE0"/>
    <w:rsid w:val="009D1CF0"/>
    <w:rsid w:val="00A2427F"/>
    <w:rsid w:val="00A42085"/>
    <w:rsid w:val="00AF204A"/>
    <w:rsid w:val="00B10CEF"/>
    <w:rsid w:val="00B25521"/>
    <w:rsid w:val="00B60062"/>
    <w:rsid w:val="00B85A52"/>
    <w:rsid w:val="00BC402E"/>
    <w:rsid w:val="00C353C7"/>
    <w:rsid w:val="00C54028"/>
    <w:rsid w:val="00C7569F"/>
    <w:rsid w:val="00CA5C60"/>
    <w:rsid w:val="00CC35FC"/>
    <w:rsid w:val="00D034D3"/>
    <w:rsid w:val="00D06064"/>
    <w:rsid w:val="00D35624"/>
    <w:rsid w:val="00D505F9"/>
    <w:rsid w:val="00D82C6C"/>
    <w:rsid w:val="00EB1337"/>
    <w:rsid w:val="00EE0B89"/>
    <w:rsid w:val="00F2758A"/>
    <w:rsid w:val="00F421B1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C9B9"/>
  <w15:chartTrackingRefBased/>
  <w15:docId w15:val="{5BD4F7D2-41C1-4E96-84EA-B24DA9A1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AA9"/>
    <w:pPr>
      <w:ind w:left="720"/>
      <w:contextualSpacing/>
    </w:pPr>
  </w:style>
  <w:style w:type="paragraph" w:styleId="PlainText">
    <w:name w:val="Plain Text"/>
    <w:basedOn w:val="Normal"/>
    <w:link w:val="PlainTextChar"/>
    <w:rsid w:val="007F7F61"/>
    <w:pPr>
      <w:spacing w:after="240"/>
    </w:pPr>
    <w:rPr>
      <w:rFonts w:ascii="Courier New" w:hAnsi="Courier New" w:cs="Courier New"/>
      <w:sz w:val="16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F7F61"/>
    <w:rPr>
      <w:rFonts w:ascii="Courier New" w:eastAsia="Times New Roman" w:hAnsi="Courier New" w:cs="Courier New"/>
      <w:sz w:val="16"/>
      <w:szCs w:val="20"/>
    </w:rPr>
  </w:style>
  <w:style w:type="paragraph" w:styleId="CommentText">
    <w:name w:val="annotation text"/>
    <w:basedOn w:val="Normal"/>
    <w:link w:val="CommentTextChar"/>
    <w:rsid w:val="007F7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F6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INumberedParagraph">
    <w:name w:val="DI Numbered Paragraph"/>
    <w:basedOn w:val="Normal"/>
    <w:rsid w:val="00B60062"/>
    <w:pPr>
      <w:numPr>
        <w:numId w:val="7"/>
      </w:numPr>
      <w:tabs>
        <w:tab w:val="left" w:pos="567"/>
      </w:tabs>
      <w:spacing w:after="2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B1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421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1B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THERIN Michael</dc:creator>
  <cp:keywords/>
  <dc:description/>
  <cp:lastModifiedBy>THERIN Michael</cp:lastModifiedBy>
  <cp:revision>2</cp:revision>
  <dcterms:created xsi:type="dcterms:W3CDTF">2020-04-29T06:03:00Z</dcterms:created>
  <dcterms:modified xsi:type="dcterms:W3CDTF">2020-04-29T06:03:00Z</dcterms:modified>
</cp:coreProperties>
</file>