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8464E" w14:textId="77777777" w:rsidR="005C06BC" w:rsidRPr="00A31D39" w:rsidRDefault="005C06BC" w:rsidP="00196B23">
      <w:pPr>
        <w:pStyle w:val="Title"/>
        <w:jc w:val="left"/>
      </w:pPr>
      <w:bookmarkStart w:id="0" w:name="_GoBack"/>
      <w:bookmarkEnd w:id="0"/>
      <w:r w:rsidRPr="00A31D39">
        <w:t>Explanatory Statement</w:t>
      </w:r>
    </w:p>
    <w:p w14:paraId="47DE02AA" w14:textId="77777777" w:rsidR="00641D94" w:rsidRPr="00A53AF6" w:rsidRDefault="00A53AF6" w:rsidP="00641D94">
      <w:pPr>
        <w:pStyle w:val="ShortT"/>
        <w:rPr>
          <w:i/>
          <w:sz w:val="22"/>
          <w:szCs w:val="28"/>
        </w:rPr>
      </w:pPr>
      <w:r w:rsidRPr="00A53AF6">
        <w:rPr>
          <w:i/>
          <w:sz w:val="32"/>
        </w:rPr>
        <w:t>Australian Skills Quality Authority Instrument Fixing Fees Amendment (Refund of Fees) Determination 2020</w:t>
      </w:r>
    </w:p>
    <w:p w14:paraId="2B1915FE" w14:textId="1EC5E6A4" w:rsidR="003349AC" w:rsidRDefault="005C06BC" w:rsidP="000A7B92">
      <w:pPr>
        <w:pStyle w:val="Heading2"/>
        <w:spacing w:after="240"/>
      </w:pPr>
      <w:r w:rsidRPr="00A31D39">
        <w:t xml:space="preserve">Purpose and </w:t>
      </w:r>
      <w:r w:rsidR="00CE110B" w:rsidRPr="00A31D39">
        <w:t>Authority</w:t>
      </w:r>
    </w:p>
    <w:p w14:paraId="7C6D69C4" w14:textId="6F84F8E7" w:rsidR="007B5009" w:rsidRPr="00B6448E" w:rsidRDefault="008A4C02" w:rsidP="000A7B92">
      <w:pPr>
        <w:rPr>
          <w:b/>
        </w:rPr>
      </w:pPr>
      <w:r w:rsidRPr="00B6448E">
        <w:t xml:space="preserve">The </w:t>
      </w:r>
      <w:r w:rsidR="00A53AF6" w:rsidRPr="006A1F60">
        <w:rPr>
          <w:i/>
        </w:rPr>
        <w:t>Australian Skills Quality Authority Instrument Fixing Fees Amendment (Refund of Fees) Determination 2020</w:t>
      </w:r>
      <w:r w:rsidR="00EC76C5" w:rsidRPr="006A1F60">
        <w:rPr>
          <w:i/>
        </w:rPr>
        <w:t xml:space="preserve"> </w:t>
      </w:r>
      <w:r w:rsidR="00E80CC3" w:rsidRPr="00ED65DA">
        <w:t>(Amendment Determination)</w:t>
      </w:r>
      <w:r w:rsidR="00E80CC3">
        <w:t xml:space="preserve"> is</w:t>
      </w:r>
      <w:r w:rsidR="0087485C" w:rsidRPr="00B6448E">
        <w:t xml:space="preserve"> made under subsections </w:t>
      </w:r>
      <w:r w:rsidR="00A53AF6">
        <w:t>232(1) and 232(5)</w:t>
      </w:r>
      <w:r w:rsidRPr="00B6448E">
        <w:t xml:space="preserve"> of the </w:t>
      </w:r>
      <w:r w:rsidR="0087485C" w:rsidRPr="00ED65DA">
        <w:rPr>
          <w:i/>
        </w:rPr>
        <w:t>National Vocational Education a</w:t>
      </w:r>
      <w:r w:rsidR="00A53AF6" w:rsidRPr="00ED65DA">
        <w:rPr>
          <w:i/>
        </w:rPr>
        <w:t xml:space="preserve">nd Training Regulator </w:t>
      </w:r>
      <w:r w:rsidR="0087485C" w:rsidRPr="00ED65DA">
        <w:rPr>
          <w:i/>
        </w:rPr>
        <w:t>Act 201</w:t>
      </w:r>
      <w:r w:rsidR="00A53AF6" w:rsidRPr="00ED65DA">
        <w:rPr>
          <w:i/>
        </w:rPr>
        <w:t>1</w:t>
      </w:r>
      <w:r w:rsidR="00981935" w:rsidRPr="00B6448E">
        <w:t xml:space="preserve"> (</w:t>
      </w:r>
      <w:r w:rsidR="0087485C" w:rsidRPr="00B6448E">
        <w:t>NVETR</w:t>
      </w:r>
      <w:r w:rsidR="00A53AF6">
        <w:t xml:space="preserve"> </w:t>
      </w:r>
      <w:r w:rsidR="00981935" w:rsidRPr="00B6448E">
        <w:t>Act)</w:t>
      </w:r>
      <w:r w:rsidR="00B6448E" w:rsidRPr="00B6448E">
        <w:t>,</w:t>
      </w:r>
      <w:r w:rsidR="00981935" w:rsidRPr="00B6448E">
        <w:t xml:space="preserve"> as construed in accordance with subsection 33(3) of the </w:t>
      </w:r>
      <w:r w:rsidR="00981935" w:rsidRPr="00ED65DA">
        <w:rPr>
          <w:i/>
        </w:rPr>
        <w:t>Acts Interpretation Act 1901</w:t>
      </w:r>
      <w:r w:rsidR="00641D94" w:rsidRPr="00B6448E">
        <w:t xml:space="preserve"> (Acts Interpretation Act)</w:t>
      </w:r>
      <w:r w:rsidR="00981935" w:rsidRPr="00B6448E">
        <w:t xml:space="preserve">. </w:t>
      </w:r>
    </w:p>
    <w:p w14:paraId="0C7F82C3" w14:textId="77777777" w:rsidR="007B5009" w:rsidRDefault="007B5009" w:rsidP="000A7B92"/>
    <w:p w14:paraId="12C81E60" w14:textId="77777777" w:rsidR="00A53AF6" w:rsidRDefault="00217CA4" w:rsidP="000A7B92">
      <w:r>
        <w:t>Among</w:t>
      </w:r>
      <w:r w:rsidR="00981935" w:rsidRPr="00981935">
        <w:t xml:space="preserve"> other things, subsection 33(3) of the Acts Interpretation Act provides that a power to make an instrument of a legislative cha</w:t>
      </w:r>
      <w:r w:rsidR="0087485C">
        <w:t xml:space="preserve">racter </w:t>
      </w:r>
      <w:r w:rsidR="00A53AF6">
        <w:t>(such as under subsections 232(1) and 232(5)</w:t>
      </w:r>
      <w:r w:rsidR="0087485C">
        <w:t xml:space="preserve"> of the NVETR Act)</w:t>
      </w:r>
      <w:r w:rsidR="00981935" w:rsidRPr="00981935">
        <w:t xml:space="preserve"> includes a power to amend such an instrument.</w:t>
      </w:r>
    </w:p>
    <w:p w14:paraId="224210CF" w14:textId="77777777" w:rsidR="00A53AF6" w:rsidRDefault="00A53AF6" w:rsidP="000A7B92"/>
    <w:p w14:paraId="5B8B970F" w14:textId="77777777" w:rsidR="007E5A1E" w:rsidRDefault="00E80CC3" w:rsidP="000A7B92">
      <w:r w:rsidRPr="00A53AF6">
        <w:t>The Amendment Determination</w:t>
      </w:r>
      <w:r w:rsidR="008A4C02" w:rsidRPr="00A53AF6">
        <w:t xml:space="preserve"> amend</w:t>
      </w:r>
      <w:r w:rsidRPr="00A53AF6">
        <w:t>s</w:t>
      </w:r>
      <w:r w:rsidR="008A4C02" w:rsidRPr="00A53AF6">
        <w:t xml:space="preserve"> the </w:t>
      </w:r>
      <w:bookmarkStart w:id="1" w:name="_Toc478567692"/>
      <w:r w:rsidR="00A53AF6" w:rsidRPr="00ED65DA">
        <w:rPr>
          <w:i/>
        </w:rPr>
        <w:t>Australian Skills Quality Authority Instrument Fixing Fees No. 1 of 2013</w:t>
      </w:r>
      <w:bookmarkEnd w:id="1"/>
      <w:r w:rsidR="00A53AF6" w:rsidRPr="00ED65DA">
        <w:rPr>
          <w:i/>
        </w:rPr>
        <w:t xml:space="preserve"> </w:t>
      </w:r>
      <w:r>
        <w:t>(Principal Determination</w:t>
      </w:r>
      <w:r w:rsidR="008A4C02" w:rsidRPr="00A31D39">
        <w:t xml:space="preserve">). </w:t>
      </w:r>
    </w:p>
    <w:p w14:paraId="152F0DB1" w14:textId="77777777" w:rsidR="007E5A1E" w:rsidRDefault="007E5A1E" w:rsidP="000A7B92"/>
    <w:p w14:paraId="492D00B7" w14:textId="77777777" w:rsidR="00B6448E" w:rsidRDefault="007839CC" w:rsidP="000A7B92">
      <w:r>
        <w:t>In summary</w:t>
      </w:r>
      <w:r w:rsidR="00993951">
        <w:t>,</w:t>
      </w:r>
      <w:r w:rsidR="00E80CC3">
        <w:t xml:space="preserve"> the Amendment Determination</w:t>
      </w:r>
      <w:r w:rsidR="0087485C">
        <w:t xml:space="preserve"> implement</w:t>
      </w:r>
      <w:r w:rsidR="00E80CC3">
        <w:t>s</w:t>
      </w:r>
      <w:r w:rsidR="0087485C">
        <w:t xml:space="preserve"> Government policy with respect to the</w:t>
      </w:r>
      <w:r w:rsidR="00CA1050">
        <w:t xml:space="preserve"> refunding and waiver of fees charged to</w:t>
      </w:r>
      <w:r w:rsidR="0087485C">
        <w:t xml:space="preserve"> registered training organisations</w:t>
      </w:r>
      <w:r w:rsidR="003A450B">
        <w:t xml:space="preserve"> and registered providers</w:t>
      </w:r>
      <w:r w:rsidR="0087485C">
        <w:t xml:space="preserve"> by the Australian Skills Quality Authority</w:t>
      </w:r>
      <w:r w:rsidR="00B016E3">
        <w:t xml:space="preserve"> (ASQA)</w:t>
      </w:r>
      <w:r w:rsidR="00B016E3">
        <w:rPr>
          <w:rStyle w:val="FootnoteReference"/>
        </w:rPr>
        <w:footnoteReference w:id="1"/>
      </w:r>
      <w:r w:rsidR="0087485C">
        <w:t>, by</w:t>
      </w:r>
      <w:r w:rsidR="00F52068">
        <w:t>:</w:t>
      </w:r>
    </w:p>
    <w:p w14:paraId="5E8135E9" w14:textId="77777777" w:rsidR="007E5A1E" w:rsidRDefault="007E5A1E" w:rsidP="000A7B92"/>
    <w:p w14:paraId="35E587F2" w14:textId="77777777" w:rsidR="000A7B92" w:rsidRDefault="00CA1050" w:rsidP="000A7B92">
      <w:pPr>
        <w:pStyle w:val="ListParagraph"/>
        <w:numPr>
          <w:ilvl w:val="0"/>
          <w:numId w:val="48"/>
        </w:numPr>
        <w:rPr>
          <w:lang w:eastAsia="en-AU"/>
        </w:rPr>
      </w:pPr>
      <w:r>
        <w:rPr>
          <w:lang w:eastAsia="en-AU"/>
        </w:rPr>
        <w:t xml:space="preserve">ensuring that </w:t>
      </w:r>
      <w:r w:rsidR="00B016E3">
        <w:rPr>
          <w:lang w:eastAsia="en-AU"/>
        </w:rPr>
        <w:t xml:space="preserve">ASQA </w:t>
      </w:r>
      <w:r>
        <w:rPr>
          <w:lang w:eastAsia="en-AU"/>
        </w:rPr>
        <w:t>has capacity to refund fees pai</w:t>
      </w:r>
      <w:r w:rsidR="007E117C">
        <w:rPr>
          <w:lang w:eastAsia="en-AU"/>
        </w:rPr>
        <w:t>d under the NVETR Act and</w:t>
      </w:r>
      <w:r>
        <w:rPr>
          <w:lang w:eastAsia="en-AU"/>
        </w:rPr>
        <w:t xml:space="preserve"> the </w:t>
      </w:r>
      <w:r w:rsidR="007E117C" w:rsidRPr="00ED65DA">
        <w:rPr>
          <w:i/>
          <w:lang w:eastAsia="en-AU"/>
        </w:rPr>
        <w:t>Education Services for Overseas Students Act 2000</w:t>
      </w:r>
      <w:r w:rsidR="007E117C">
        <w:rPr>
          <w:lang w:eastAsia="en-AU"/>
        </w:rPr>
        <w:t xml:space="preserve"> in special or unusual circumstances that cause the fee to be unreasonable or inequitable, including in circumstances related to the COVID-19 pandemic event</w:t>
      </w:r>
    </w:p>
    <w:p w14:paraId="3530B734" w14:textId="2C5E3A0B" w:rsidR="00B6448E" w:rsidRDefault="007E117C" w:rsidP="000A7B92">
      <w:pPr>
        <w:pStyle w:val="ListParagraph"/>
        <w:numPr>
          <w:ilvl w:val="0"/>
          <w:numId w:val="48"/>
        </w:numPr>
        <w:rPr>
          <w:lang w:eastAsia="en-AU"/>
        </w:rPr>
      </w:pPr>
      <w:r>
        <w:rPr>
          <w:lang w:eastAsia="en-AU"/>
        </w:rPr>
        <w:t xml:space="preserve">ensuring that the existing discretionary capacity of ASQA to waive fees payable under the NVETR Act and the </w:t>
      </w:r>
      <w:r w:rsidRPr="00ED65DA">
        <w:rPr>
          <w:i/>
          <w:lang w:eastAsia="en-AU"/>
        </w:rPr>
        <w:t>Education Services for Overseas Students Act 2000</w:t>
      </w:r>
      <w:r>
        <w:rPr>
          <w:lang w:eastAsia="en-AU"/>
        </w:rPr>
        <w:t xml:space="preserve"> in special or unusual circumstances extends to the COVID-19 pandemic event</w:t>
      </w:r>
      <w:r w:rsidR="00B016E3">
        <w:rPr>
          <w:lang w:eastAsia="en-AU"/>
        </w:rPr>
        <w:t>.</w:t>
      </w:r>
    </w:p>
    <w:p w14:paraId="28F10ECC" w14:textId="77777777" w:rsidR="007E5A1E" w:rsidRDefault="007E5A1E" w:rsidP="000A7B92">
      <w:pPr>
        <w:rPr>
          <w:lang w:eastAsia="en-AU"/>
        </w:rPr>
      </w:pPr>
    </w:p>
    <w:p w14:paraId="42D177D5" w14:textId="2BC1FB96" w:rsidR="00B6448E" w:rsidRDefault="00F52068" w:rsidP="000A7B92">
      <w:pPr>
        <w:rPr>
          <w:lang w:eastAsia="en-AU"/>
        </w:rPr>
      </w:pPr>
      <w:r w:rsidRPr="00F52068">
        <w:rPr>
          <w:lang w:eastAsia="en-AU"/>
        </w:rPr>
        <w:t>These amendments are intended to ensure that</w:t>
      </w:r>
      <w:r w:rsidR="00224833">
        <w:rPr>
          <w:lang w:eastAsia="en-AU"/>
        </w:rPr>
        <w:t xml:space="preserve"> Government policy with respect to the refunding </w:t>
      </w:r>
      <w:r w:rsidR="00CA1050">
        <w:rPr>
          <w:lang w:eastAsia="en-AU"/>
        </w:rPr>
        <w:t>and waiver of fees charged to</w:t>
      </w:r>
      <w:r w:rsidR="00224833">
        <w:rPr>
          <w:lang w:eastAsia="en-AU"/>
        </w:rPr>
        <w:t xml:space="preserve"> registered training organisations and registered providers can be implemented. </w:t>
      </w:r>
      <w:r w:rsidRPr="00F52068">
        <w:rPr>
          <w:lang w:eastAsia="en-AU"/>
        </w:rPr>
        <w:t>In combination with other financial assistance me</w:t>
      </w:r>
      <w:r w:rsidR="00224833">
        <w:rPr>
          <w:lang w:eastAsia="en-AU"/>
        </w:rPr>
        <w:t>asures announced by Government relating to the COVID-19 pandemic event</w:t>
      </w:r>
      <w:r>
        <w:rPr>
          <w:lang w:eastAsia="en-AU"/>
        </w:rPr>
        <w:t xml:space="preserve">, </w:t>
      </w:r>
      <w:r w:rsidR="00CA1050">
        <w:rPr>
          <w:lang w:eastAsia="en-AU"/>
        </w:rPr>
        <w:t xml:space="preserve">these measures </w:t>
      </w:r>
      <w:r w:rsidR="00224833">
        <w:rPr>
          <w:lang w:eastAsia="en-AU"/>
        </w:rPr>
        <w:t>help ensure the ongoing sustainability and viability of the vocational education and training sector</w:t>
      </w:r>
      <w:r w:rsidR="00E80CC3">
        <w:rPr>
          <w:lang w:eastAsia="en-AU"/>
        </w:rPr>
        <w:t>,</w:t>
      </w:r>
      <w:r w:rsidR="00224833">
        <w:rPr>
          <w:lang w:eastAsia="en-AU"/>
        </w:rPr>
        <w:t xml:space="preserve"> and</w:t>
      </w:r>
      <w:r w:rsidR="00CA1050">
        <w:rPr>
          <w:lang w:eastAsia="en-AU"/>
        </w:rPr>
        <w:t xml:space="preserve"> help reduce the financial burden for that sector</w:t>
      </w:r>
      <w:r w:rsidR="00224833">
        <w:rPr>
          <w:lang w:eastAsia="en-AU"/>
        </w:rPr>
        <w:t>.</w:t>
      </w:r>
    </w:p>
    <w:p w14:paraId="75E9F06B" w14:textId="77777777" w:rsidR="000A7B92" w:rsidRDefault="000A7B92" w:rsidP="000A7B92">
      <w:pPr>
        <w:rPr>
          <w:lang w:eastAsia="en-AU"/>
        </w:rPr>
      </w:pPr>
    </w:p>
    <w:p w14:paraId="43982E44" w14:textId="77777777" w:rsidR="000A7B92" w:rsidRDefault="008A4C02" w:rsidP="000A7B92">
      <w:pPr>
        <w:pStyle w:val="Heading2"/>
        <w:spacing w:before="0" w:after="240"/>
      </w:pPr>
      <w:r w:rsidRPr="00A31D39">
        <w:t xml:space="preserve">Commencement </w:t>
      </w:r>
    </w:p>
    <w:p w14:paraId="6E264A94" w14:textId="64857A55" w:rsidR="000A7B92" w:rsidRDefault="00902C91" w:rsidP="000A7B92">
      <w:r w:rsidRPr="000A7B92">
        <w:t>The</w:t>
      </w:r>
      <w:r w:rsidR="00E80CC3" w:rsidRPr="000A7B92">
        <w:t xml:space="preserve"> Amendment Determination</w:t>
      </w:r>
      <w:r w:rsidR="00F52068" w:rsidRPr="000A7B92">
        <w:t xml:space="preserve"> </w:t>
      </w:r>
      <w:r w:rsidR="005670D0" w:rsidRPr="000A7B92">
        <w:t>commence</w:t>
      </w:r>
      <w:r w:rsidR="00E80CC3" w:rsidRPr="000A7B92">
        <w:t>s</w:t>
      </w:r>
      <w:r w:rsidR="005670D0" w:rsidRPr="000A7B92">
        <w:t xml:space="preserve"> from</w:t>
      </w:r>
      <w:r w:rsidR="007E117C" w:rsidRPr="000A7B92">
        <w:t xml:space="preserve"> 20 April</w:t>
      </w:r>
      <w:r w:rsidR="00224833" w:rsidRPr="000A7B92">
        <w:t xml:space="preserve"> 2020</w:t>
      </w:r>
      <w:r w:rsidR="00522C9A">
        <w:t>.</w:t>
      </w:r>
      <w:r w:rsidR="005670D0" w:rsidRPr="000A7B92">
        <w:t xml:space="preserve"> </w:t>
      </w:r>
      <w:r w:rsidR="00522C9A">
        <w:rPr>
          <w:lang w:eastAsia="en-AU"/>
        </w:rPr>
        <w:t>T</w:t>
      </w:r>
      <w:r w:rsidR="00B2424F" w:rsidRPr="000A7B92">
        <w:rPr>
          <w:lang w:eastAsia="en-AU"/>
        </w:rPr>
        <w:t xml:space="preserve">his </w:t>
      </w:r>
      <w:r w:rsidR="00537679">
        <w:rPr>
          <w:lang w:eastAsia="en-AU"/>
        </w:rPr>
        <w:t>ensures the additional clarity provided by the amendments regarding COVID-19 circumstances applies to the fees ASQA is currently waiving</w:t>
      </w:r>
      <w:r w:rsidR="00B2424F" w:rsidRPr="000A7B92">
        <w:rPr>
          <w:lang w:eastAsia="en-AU"/>
        </w:rPr>
        <w:t>.</w:t>
      </w:r>
      <w:r w:rsidR="000A7B92">
        <w:rPr>
          <w:lang w:eastAsia="en-AU"/>
        </w:rPr>
        <w:t xml:space="preserve"> </w:t>
      </w:r>
      <w:r w:rsidR="00462C8B" w:rsidRPr="000A7B92">
        <w:t>The</w:t>
      </w:r>
      <w:r w:rsidR="00967291" w:rsidRPr="000A7B92">
        <w:t xml:space="preserve"> measures in the Amendment Determination are</w:t>
      </w:r>
      <w:r w:rsidR="00462C8B" w:rsidRPr="000A7B92">
        <w:t xml:space="preserve"> benefici</w:t>
      </w:r>
      <w:r w:rsidR="00967291" w:rsidRPr="000A7B92">
        <w:t>al</w:t>
      </w:r>
      <w:r w:rsidR="000043F6">
        <w:t xml:space="preserve"> (enabling fee refund and waiver</w:t>
      </w:r>
      <w:r w:rsidR="00B93782">
        <w:t>)</w:t>
      </w:r>
      <w:r w:rsidR="00462C8B" w:rsidRPr="000A7B92">
        <w:t>, impose no new liabilit</w:t>
      </w:r>
      <w:r w:rsidR="00967291" w:rsidRPr="000A7B92">
        <w:t>ies</w:t>
      </w:r>
      <w:r w:rsidR="00462C8B" w:rsidRPr="000A7B92">
        <w:t>,</w:t>
      </w:r>
      <w:r w:rsidR="000A7B92">
        <w:t xml:space="preserve"> </w:t>
      </w:r>
      <w:r w:rsidR="00462C8B" w:rsidRPr="000A7B92">
        <w:t xml:space="preserve">and are justified in response to the </w:t>
      </w:r>
      <w:r w:rsidR="00967291" w:rsidRPr="000A7B92">
        <w:t xml:space="preserve">urgent and unforeseen </w:t>
      </w:r>
      <w:r w:rsidR="00E20325" w:rsidRPr="000A7B92">
        <w:t xml:space="preserve">circumstances of the </w:t>
      </w:r>
      <w:r w:rsidR="00462C8B" w:rsidRPr="000A7B92">
        <w:t>COVID-19 pandemic</w:t>
      </w:r>
      <w:r w:rsidR="00356AF4" w:rsidRPr="000A7B92">
        <w:t xml:space="preserve"> event</w:t>
      </w:r>
      <w:r w:rsidR="00462C8B" w:rsidRPr="000A7B92">
        <w:t>.</w:t>
      </w:r>
      <w:r w:rsidR="000A7B92">
        <w:t xml:space="preserve"> </w:t>
      </w:r>
    </w:p>
    <w:p w14:paraId="49894262" w14:textId="682708BE" w:rsidR="0057455E" w:rsidRDefault="00356AF4" w:rsidP="000A7B92">
      <w:r w:rsidRPr="000A7B92">
        <w:rPr>
          <w:lang w:eastAsia="en-AU"/>
        </w:rPr>
        <w:lastRenderedPageBreak/>
        <w:t>Accordingly,</w:t>
      </w:r>
      <w:r w:rsidR="00AE4ABD" w:rsidRPr="000A7B92">
        <w:rPr>
          <w:lang w:eastAsia="en-AU"/>
        </w:rPr>
        <w:t xml:space="preserve"> </w:t>
      </w:r>
      <w:r w:rsidR="00AE4ABD" w:rsidRPr="000A7B92">
        <w:t xml:space="preserve">the retrospective application of the Amendment Determination does not disadvantage, or give rise to any liabilities of, any registered training organisations or registered providers. </w:t>
      </w:r>
      <w:r w:rsidR="005670D0" w:rsidRPr="000A7B92">
        <w:t>Given</w:t>
      </w:r>
      <w:r w:rsidR="00E404D1" w:rsidRPr="000A7B92">
        <w:t xml:space="preserve"> </w:t>
      </w:r>
      <w:r w:rsidR="005670D0" w:rsidRPr="000A7B92">
        <w:t xml:space="preserve">this, subsection 12(2) of the </w:t>
      </w:r>
      <w:r w:rsidR="005670D0" w:rsidRPr="000A7B92">
        <w:rPr>
          <w:i/>
        </w:rPr>
        <w:t>Legislation Act 2003</w:t>
      </w:r>
      <w:r w:rsidR="005670D0" w:rsidRPr="000A7B92">
        <w:t xml:space="preserve"> </w:t>
      </w:r>
      <w:r w:rsidR="00ED65DA">
        <w:t xml:space="preserve">(Legislation Act) </w:t>
      </w:r>
      <w:r w:rsidR="005670D0" w:rsidRPr="000A7B92">
        <w:t xml:space="preserve">does </w:t>
      </w:r>
      <w:r w:rsidR="00E80CC3" w:rsidRPr="000A7B92">
        <w:t>not apply to the Amendment Determination</w:t>
      </w:r>
      <w:r w:rsidR="005670D0" w:rsidRPr="000A7B92">
        <w:t>.</w:t>
      </w:r>
    </w:p>
    <w:p w14:paraId="6617D2C9" w14:textId="77777777" w:rsidR="000A7B92" w:rsidRPr="000A7B92" w:rsidRDefault="000A7B92" w:rsidP="000A7B92">
      <w:pPr>
        <w:rPr>
          <w:lang w:eastAsia="en-AU"/>
        </w:rPr>
      </w:pPr>
    </w:p>
    <w:p w14:paraId="597C9F6C" w14:textId="77777777" w:rsidR="00AE4ABD" w:rsidRDefault="008A4C02" w:rsidP="000A7B92">
      <w:pPr>
        <w:pStyle w:val="Heading2"/>
        <w:spacing w:before="0" w:after="240"/>
      </w:pPr>
      <w:r w:rsidRPr="00A31D39">
        <w:t>Consultation</w:t>
      </w:r>
    </w:p>
    <w:p w14:paraId="6AD10CA8" w14:textId="4D3FD962" w:rsidR="00204196" w:rsidRPr="00AE4ABD" w:rsidRDefault="00AE4ABD" w:rsidP="006A1F60">
      <w:r>
        <w:t xml:space="preserve">The </w:t>
      </w:r>
      <w:r w:rsidR="003C5CFF" w:rsidRPr="00AE4ABD">
        <w:t xml:space="preserve">Council of Australian Governments (COAG) Skills Council </w:t>
      </w:r>
      <w:r>
        <w:t xml:space="preserve">was consulted on the measures in the Amendment Determination on 17 April 2020, and Skills </w:t>
      </w:r>
      <w:r w:rsidR="003C5CFF" w:rsidRPr="00AE4ABD">
        <w:t>Ministers unanimously agreed to th</w:t>
      </w:r>
      <w:r>
        <w:t>ose measures</w:t>
      </w:r>
      <w:r w:rsidR="003C5CFF" w:rsidRPr="00AE4ABD">
        <w:t>.</w:t>
      </w:r>
    </w:p>
    <w:p w14:paraId="70DF820A" w14:textId="77777777" w:rsidR="00204196" w:rsidRDefault="00204196" w:rsidP="006A1F60"/>
    <w:p w14:paraId="4BE10011" w14:textId="74A6A88C" w:rsidR="00B30353" w:rsidRDefault="00204196" w:rsidP="006A1F60">
      <w:r>
        <w:t xml:space="preserve">ASQA </w:t>
      </w:r>
      <w:r w:rsidR="003C5CFF">
        <w:t>and the Skills Senior Officials Network</w:t>
      </w:r>
      <w:r w:rsidR="00AE4ABD">
        <w:t xml:space="preserve"> (consisting of senior officials from the skills policy portfolios of all States and Territories) were also consulted on the measures in</w:t>
      </w:r>
      <w:r>
        <w:t xml:space="preserve"> the Amendment Determination.</w:t>
      </w:r>
    </w:p>
    <w:p w14:paraId="389CFC52" w14:textId="77777777" w:rsidR="006A1F60" w:rsidRDefault="006A1F60" w:rsidP="006A1F60"/>
    <w:p w14:paraId="11CC735B" w14:textId="73C2888B" w:rsidR="00204196" w:rsidRDefault="00F52068" w:rsidP="006A1F60">
      <w:pPr>
        <w:rPr>
          <w:b/>
          <w:bCs/>
          <w:iCs/>
        </w:rPr>
      </w:pPr>
      <w:r w:rsidRPr="0027143C">
        <w:t>The</w:t>
      </w:r>
      <w:r w:rsidR="00E80CC3">
        <w:t xml:space="preserve"> measures in the Amendment Determination</w:t>
      </w:r>
      <w:r w:rsidRPr="0027143C">
        <w:t xml:space="preserve"> are in response to stakeholder feedback in relation to the </w:t>
      </w:r>
      <w:r w:rsidR="00941F60">
        <w:t xml:space="preserve">impacts of the </w:t>
      </w:r>
      <w:r w:rsidRPr="0027143C">
        <w:t>COVID-19 pandemic</w:t>
      </w:r>
      <w:r w:rsidR="00941F60">
        <w:t xml:space="preserve"> on the vocational education and training sector</w:t>
      </w:r>
      <w:r w:rsidR="00B30353">
        <w:t>.</w:t>
      </w:r>
    </w:p>
    <w:p w14:paraId="08FD4398" w14:textId="77777777" w:rsidR="000A7B92" w:rsidRPr="000A7B92" w:rsidRDefault="000A7B92" w:rsidP="000A7B92"/>
    <w:p w14:paraId="6B72221A" w14:textId="77777777" w:rsidR="008A4C02" w:rsidRPr="00A31D39" w:rsidRDefault="008A4C02" w:rsidP="000A7B92">
      <w:pPr>
        <w:pStyle w:val="Heading2"/>
        <w:spacing w:before="0" w:after="240"/>
      </w:pPr>
      <w:r w:rsidRPr="00A31D39">
        <w:t>Regulation Impact Statement</w:t>
      </w:r>
    </w:p>
    <w:p w14:paraId="3BAB0C64" w14:textId="130D49CD" w:rsidR="00AE4ABD" w:rsidRDefault="00AE4ABD" w:rsidP="006A1F60">
      <w:r>
        <w:t>The Office of Best Practice Regulation (OBPR) has confirmed that the Higher Education Relief Package</w:t>
      </w:r>
      <w:r w:rsidR="00356AF4">
        <w:rPr>
          <w:rStyle w:val="FootnoteReference"/>
          <w:b/>
          <w:color w:val="1E1E1E"/>
          <w:spacing w:val="4"/>
          <w:szCs w:val="25"/>
        </w:rPr>
        <w:footnoteReference w:id="2"/>
      </w:r>
      <w:r>
        <w:t>, which includes the measures in the Amendment Determination, does not require a Regulation Impact Statement (RIS). OBPR reference</w:t>
      </w:r>
      <w:r w:rsidR="00356AF4">
        <w:t>:</w:t>
      </w:r>
      <w:r>
        <w:t xml:space="preserve"> </w:t>
      </w:r>
      <w:r w:rsidR="00356AF4">
        <w:t>26451.</w:t>
      </w:r>
    </w:p>
    <w:p w14:paraId="256BDFDB" w14:textId="77777777" w:rsidR="006A1F60" w:rsidRDefault="006A1F60" w:rsidP="006A1F60"/>
    <w:p w14:paraId="14933A8E" w14:textId="45F364B9" w:rsidR="003A77EB" w:rsidRDefault="00AE4ABD" w:rsidP="006A1F60">
      <w:r>
        <w:t>Further to this, t</w:t>
      </w:r>
      <w:r w:rsidR="006939C9" w:rsidRPr="006939C9">
        <w:t xml:space="preserve">he Prime Minister has granted an exemption from the need to complete regulatory impact analysis in the form of </w:t>
      </w:r>
      <w:r w:rsidR="00356AF4">
        <w:t>RISs</w:t>
      </w:r>
      <w:r w:rsidR="006939C9" w:rsidRPr="006939C9">
        <w:t xml:space="preserve"> for all u</w:t>
      </w:r>
      <w:r w:rsidR="006939C9">
        <w:t xml:space="preserve">rgent and unforeseen </w:t>
      </w:r>
      <w:r w:rsidR="006939C9" w:rsidRPr="006939C9">
        <w:t>Government measures made in response to</w:t>
      </w:r>
      <w:r w:rsidR="00E80CC3">
        <w:t xml:space="preserve"> the</w:t>
      </w:r>
      <w:r w:rsidR="006939C9" w:rsidRPr="006939C9">
        <w:t xml:space="preserve"> COVID-19</w:t>
      </w:r>
      <w:r w:rsidR="006939C9">
        <w:t xml:space="preserve"> pandemic event</w:t>
      </w:r>
      <w:r w:rsidR="005D1BA4">
        <w:rPr>
          <w:rStyle w:val="FootnoteReference"/>
          <w:color w:val="1E1E1E"/>
          <w:spacing w:val="4"/>
          <w:szCs w:val="25"/>
        </w:rPr>
        <w:footnoteReference w:id="3"/>
      </w:r>
      <w:r w:rsidR="006939C9" w:rsidRPr="006939C9">
        <w:t>. </w:t>
      </w:r>
      <w:r w:rsidR="006939C9">
        <w:t xml:space="preserve">The measures </w:t>
      </w:r>
      <w:r w:rsidR="00E80CC3">
        <w:t>in the Amendment Determination</w:t>
      </w:r>
      <w:r w:rsidR="006939C9">
        <w:t xml:space="preserve"> are considered unforeseen and have been made in response to the COVID-19 pandemic event</w:t>
      </w:r>
      <w:r w:rsidR="007E117C">
        <w:t>.</w:t>
      </w:r>
    </w:p>
    <w:p w14:paraId="27171325" w14:textId="77777777" w:rsidR="000A7B92" w:rsidRPr="000A7B92" w:rsidRDefault="000A7B92" w:rsidP="000A7B92"/>
    <w:p w14:paraId="601BA69A" w14:textId="64E46A90" w:rsidR="000A7B92" w:rsidRDefault="009131E0" w:rsidP="000A7B92">
      <w:pPr>
        <w:pStyle w:val="Heading2"/>
        <w:spacing w:before="0" w:after="240"/>
      </w:pPr>
      <w:r>
        <w:t>Disallowance</w:t>
      </w:r>
    </w:p>
    <w:p w14:paraId="06444BAB" w14:textId="5AB8363E" w:rsidR="000A7B92" w:rsidRPr="000A7B92" w:rsidRDefault="00ED65DA" w:rsidP="006A1F60">
      <w:r>
        <w:rPr>
          <w:lang w:eastAsia="en-AU"/>
        </w:rPr>
        <w:t xml:space="preserve">Paragraph 44(2)(b) of the Legislation Act </w:t>
      </w:r>
      <w:r w:rsidR="000A7B92" w:rsidRPr="000A7B92">
        <w:rPr>
          <w:lang w:eastAsia="en-AU"/>
        </w:rPr>
        <w:t>provides that a legislative instrument is not subject to disallowance where it is prescribed by regulation for the purposes of that paragraph. An instrument made under subsection 232(1) of the NVETR Act is prescribed for the purposes of paragraph 44(2)(b) of the Legislation Act (ite</w:t>
      </w:r>
      <w:r w:rsidR="00AB2225">
        <w:rPr>
          <w:lang w:eastAsia="en-AU"/>
        </w:rPr>
        <w:t>m 23A of the table in section</w:t>
      </w:r>
      <w:r w:rsidR="000A7B92" w:rsidRPr="000A7B92">
        <w:rPr>
          <w:lang w:eastAsia="en-AU"/>
        </w:rPr>
        <w:t xml:space="preserve"> 10 of the </w:t>
      </w:r>
      <w:r w:rsidR="000A7B92" w:rsidRPr="000A7B92">
        <w:rPr>
          <w:i/>
          <w:lang w:eastAsia="en-AU"/>
        </w:rPr>
        <w:t>Legislation (Exemptions and Other Matters) Regulation 2015</w:t>
      </w:r>
      <w:r w:rsidR="000A7B92" w:rsidRPr="000A7B92">
        <w:rPr>
          <w:lang w:eastAsia="en-AU"/>
        </w:rPr>
        <w:t>).</w:t>
      </w:r>
    </w:p>
    <w:p w14:paraId="051794B3" w14:textId="77777777" w:rsidR="000A7B92" w:rsidRDefault="000A7B92" w:rsidP="000A7B92">
      <w:pPr>
        <w:rPr>
          <w:szCs w:val="24"/>
          <w:lang w:eastAsia="en-AU"/>
        </w:rPr>
      </w:pPr>
    </w:p>
    <w:p w14:paraId="54386CD4" w14:textId="77777777" w:rsidR="009131E0" w:rsidRDefault="000A7B92" w:rsidP="000A7B92">
      <w:pPr>
        <w:rPr>
          <w:szCs w:val="24"/>
          <w:lang w:eastAsia="en-AU"/>
        </w:rPr>
      </w:pPr>
      <w:r>
        <w:rPr>
          <w:szCs w:val="24"/>
          <w:lang w:eastAsia="en-AU"/>
        </w:rPr>
        <w:t xml:space="preserve">Further, subsection 44(1) </w:t>
      </w:r>
      <w:r w:rsidRPr="00A30DB0">
        <w:rPr>
          <w:szCs w:val="24"/>
          <w:lang w:eastAsia="en-AU"/>
        </w:rPr>
        <w:t xml:space="preserve">of </w:t>
      </w:r>
      <w:r>
        <w:rPr>
          <w:szCs w:val="24"/>
          <w:lang w:eastAsia="en-AU"/>
        </w:rPr>
        <w:t xml:space="preserve">the Legislation Act </w:t>
      </w:r>
      <w:r w:rsidRPr="00A30DB0">
        <w:rPr>
          <w:szCs w:val="24"/>
          <w:lang w:eastAsia="en-AU"/>
        </w:rPr>
        <w:t>provide</w:t>
      </w:r>
      <w:r>
        <w:rPr>
          <w:szCs w:val="24"/>
          <w:lang w:eastAsia="en-AU"/>
        </w:rPr>
        <w:t>s</w:t>
      </w:r>
      <w:r w:rsidRPr="00A30DB0">
        <w:rPr>
          <w:szCs w:val="24"/>
          <w:lang w:eastAsia="en-AU"/>
        </w:rPr>
        <w:t xml:space="preserve"> that </w:t>
      </w:r>
      <w:r>
        <w:rPr>
          <w:szCs w:val="24"/>
          <w:lang w:eastAsia="en-AU"/>
        </w:rPr>
        <w:t>a legislative instrument is</w:t>
      </w:r>
      <w:r w:rsidRPr="00A30DB0">
        <w:rPr>
          <w:szCs w:val="24"/>
          <w:lang w:eastAsia="en-AU"/>
        </w:rPr>
        <w:t xml:space="preserve"> not </w:t>
      </w:r>
      <w:r>
        <w:rPr>
          <w:szCs w:val="24"/>
          <w:lang w:eastAsia="en-AU"/>
        </w:rPr>
        <w:t>subject to disallowance</w:t>
      </w:r>
      <w:r w:rsidRPr="00E80CC3">
        <w:rPr>
          <w:szCs w:val="24"/>
          <w:lang w:eastAsia="en-AU"/>
        </w:rPr>
        <w:t xml:space="preserve"> </w:t>
      </w:r>
      <w:r w:rsidRPr="00A30DB0">
        <w:rPr>
          <w:szCs w:val="24"/>
          <w:lang w:eastAsia="en-AU"/>
        </w:rPr>
        <w:t xml:space="preserve">where the enabling legislation </w:t>
      </w:r>
      <w:r w:rsidRPr="00E80CC3">
        <w:rPr>
          <w:szCs w:val="24"/>
          <w:lang w:eastAsia="en-AU"/>
        </w:rPr>
        <w:t xml:space="preserve">for the instrument </w:t>
      </w:r>
      <w:r w:rsidRPr="00A30DB0">
        <w:rPr>
          <w:szCs w:val="24"/>
          <w:lang w:eastAsia="en-AU"/>
        </w:rPr>
        <w:t>facilitates the establishment or operation of an intergovernmental body or scheme involving the Commonwealth and one or more States</w:t>
      </w:r>
      <w:r w:rsidRPr="00E80CC3">
        <w:rPr>
          <w:szCs w:val="24"/>
          <w:lang w:eastAsia="en-AU"/>
        </w:rPr>
        <w:t xml:space="preserve"> and Territories, and </w:t>
      </w:r>
      <w:r w:rsidRPr="00E80CC3">
        <w:rPr>
          <w:color w:val="000000"/>
          <w:szCs w:val="24"/>
        </w:rPr>
        <w:t>authorises the instrument to be made by the body or for the purposes of the body or scheme</w:t>
      </w:r>
      <w:r w:rsidR="009131E0">
        <w:rPr>
          <w:szCs w:val="24"/>
          <w:lang w:eastAsia="en-AU"/>
        </w:rPr>
        <w:t>.</w:t>
      </w:r>
    </w:p>
    <w:p w14:paraId="593CF9A2" w14:textId="23E5A334" w:rsidR="00ED65DA" w:rsidRDefault="00ED65DA" w:rsidP="000A7B92">
      <w:pPr>
        <w:rPr>
          <w:szCs w:val="24"/>
          <w:lang w:eastAsia="en-AU"/>
        </w:rPr>
      </w:pPr>
    </w:p>
    <w:p w14:paraId="3BB2B6DE" w14:textId="15F7D633" w:rsidR="00ED65DA" w:rsidRDefault="00ED65DA" w:rsidP="000A7B92">
      <w:pPr>
        <w:rPr>
          <w:szCs w:val="24"/>
          <w:lang w:eastAsia="en-AU"/>
        </w:rPr>
      </w:pPr>
    </w:p>
    <w:p w14:paraId="5FE122F7" w14:textId="77777777" w:rsidR="00ED65DA" w:rsidRDefault="00ED65DA" w:rsidP="000A7B92">
      <w:pPr>
        <w:rPr>
          <w:szCs w:val="24"/>
          <w:lang w:eastAsia="en-AU"/>
        </w:rPr>
      </w:pPr>
    </w:p>
    <w:p w14:paraId="369E6657" w14:textId="68BAC341" w:rsidR="000A7B92" w:rsidRPr="009131E0" w:rsidRDefault="000A7B92" w:rsidP="000A7B92">
      <w:pPr>
        <w:rPr>
          <w:szCs w:val="24"/>
          <w:lang w:eastAsia="en-AU"/>
        </w:rPr>
      </w:pPr>
      <w:r w:rsidRPr="00A30DB0">
        <w:rPr>
          <w:lang w:eastAsia="en-AU"/>
        </w:rPr>
        <w:lastRenderedPageBreak/>
        <w:t xml:space="preserve">The </w:t>
      </w:r>
      <w:r w:rsidR="00ED65DA">
        <w:rPr>
          <w:lang w:eastAsia="en-AU"/>
        </w:rPr>
        <w:t>NVETR Act</w:t>
      </w:r>
      <w:r>
        <w:rPr>
          <w:lang w:eastAsia="en-AU"/>
        </w:rPr>
        <w:t xml:space="preserve"> established the Australian Skills Quality Authority (ASQA)</w:t>
      </w:r>
      <w:r w:rsidRPr="00A30DB0">
        <w:rPr>
          <w:lang w:eastAsia="en-AU"/>
        </w:rPr>
        <w:t xml:space="preserve"> to facilitate an intergove</w:t>
      </w:r>
      <w:r>
        <w:rPr>
          <w:lang w:eastAsia="en-AU"/>
        </w:rPr>
        <w:t>rnmental scheme for national vocational education and training</w:t>
      </w:r>
      <w:r w:rsidRPr="00A30DB0">
        <w:rPr>
          <w:lang w:eastAsia="en-AU"/>
        </w:rPr>
        <w:t xml:space="preserve"> regulation, giving effect to the Intergovernmental Agreement fo</w:t>
      </w:r>
      <w:r>
        <w:rPr>
          <w:lang w:eastAsia="en-AU"/>
        </w:rPr>
        <w:t>r Regulatory Reform in Vocational Education and Training</w:t>
      </w:r>
      <w:r w:rsidRPr="00A30DB0">
        <w:rPr>
          <w:lang w:eastAsia="en-AU"/>
        </w:rPr>
        <w:t xml:space="preserve">. </w:t>
      </w:r>
      <w:r>
        <w:rPr>
          <w:lang w:eastAsia="en-AU"/>
        </w:rPr>
        <w:t xml:space="preserve">The NVETR Act enables fees to be set, payable by </w:t>
      </w:r>
      <w:r w:rsidRPr="00A30DB0">
        <w:rPr>
          <w:lang w:eastAsia="en-AU"/>
        </w:rPr>
        <w:t xml:space="preserve">registered training organisations </w:t>
      </w:r>
      <w:r>
        <w:rPr>
          <w:lang w:eastAsia="en-AU"/>
        </w:rPr>
        <w:t>and registered providers, in relation to the performance of ASQA’s</w:t>
      </w:r>
      <w:r w:rsidRPr="00A30DB0">
        <w:rPr>
          <w:lang w:eastAsia="en-AU"/>
        </w:rPr>
        <w:t xml:space="preserve"> func</w:t>
      </w:r>
      <w:r>
        <w:rPr>
          <w:lang w:eastAsia="en-AU"/>
        </w:rPr>
        <w:t xml:space="preserve">tions. </w:t>
      </w:r>
    </w:p>
    <w:p w14:paraId="75C8FACF" w14:textId="77777777" w:rsidR="000A7B92" w:rsidRPr="00A30DB0" w:rsidRDefault="000A7B92" w:rsidP="000A7B92">
      <w:pPr>
        <w:rPr>
          <w:lang w:eastAsia="en-AU"/>
        </w:rPr>
      </w:pPr>
    </w:p>
    <w:p w14:paraId="6F3A1DD8" w14:textId="29609FF6" w:rsidR="008A4C02" w:rsidRPr="009131E0" w:rsidRDefault="009131E0" w:rsidP="00196B23">
      <w:r w:rsidRPr="009131E0">
        <w:rPr>
          <w:szCs w:val="24"/>
          <w:lang w:eastAsia="en-AU"/>
        </w:rPr>
        <w:t xml:space="preserve">Consequently, the </w:t>
      </w:r>
      <w:r w:rsidRPr="009131E0">
        <w:rPr>
          <w:lang w:eastAsia="en-AU"/>
        </w:rPr>
        <w:t xml:space="preserve">Amendment Determination is not subject to disallowance. </w:t>
      </w:r>
      <w:r w:rsidR="008A4C02" w:rsidRPr="009131E0">
        <w:br w:type="page"/>
      </w:r>
    </w:p>
    <w:p w14:paraId="2397D384" w14:textId="77777777" w:rsidR="008148C3" w:rsidRPr="008148C3" w:rsidRDefault="0072746A" w:rsidP="00196B23">
      <w:pPr>
        <w:pStyle w:val="Title"/>
        <w:jc w:val="left"/>
      </w:pPr>
      <w:r w:rsidRPr="00A31D39">
        <w:t xml:space="preserve">Abbreviations used in this Explanatory </w:t>
      </w:r>
      <w:r w:rsidR="00BC410F" w:rsidRPr="00A31D39">
        <w:t>Statement</w:t>
      </w:r>
    </w:p>
    <w:p w14:paraId="129A4619" w14:textId="77777777" w:rsidR="00F52068" w:rsidRPr="00D26941" w:rsidRDefault="00E80CC3" w:rsidP="00F52068">
      <w:r>
        <w:rPr>
          <w:b/>
        </w:rPr>
        <w:t>Amendment Determination</w:t>
      </w:r>
      <w:r w:rsidR="00F52068" w:rsidRPr="00A31D39">
        <w:t xml:space="preserve"> means the</w:t>
      </w:r>
      <w:r w:rsidR="005D1BA4" w:rsidRPr="005D1BA4">
        <w:rPr>
          <w:b/>
          <w:i/>
        </w:rPr>
        <w:t xml:space="preserve"> </w:t>
      </w:r>
      <w:r w:rsidR="005D1BA4" w:rsidRPr="005D1BA4">
        <w:rPr>
          <w:i/>
        </w:rPr>
        <w:t>Australian Skills Quality Authority Instrument Fixing Fees Amendment (Refund of Fees) Determination 2020</w:t>
      </w:r>
      <w:r w:rsidR="00D26941">
        <w:t>.</w:t>
      </w:r>
    </w:p>
    <w:p w14:paraId="437FEA13" w14:textId="77777777" w:rsidR="00D26941" w:rsidRDefault="00D26941" w:rsidP="00F52068"/>
    <w:p w14:paraId="1D43AF33" w14:textId="77777777" w:rsidR="00F52068" w:rsidRDefault="00D26941" w:rsidP="00F52068">
      <w:pPr>
        <w:rPr>
          <w:i/>
        </w:rPr>
      </w:pPr>
      <w:r>
        <w:rPr>
          <w:b/>
        </w:rPr>
        <w:t>NVETR Act</w:t>
      </w:r>
      <w:r>
        <w:t xml:space="preserve"> means the </w:t>
      </w:r>
      <w:r>
        <w:rPr>
          <w:i/>
        </w:rPr>
        <w:t>National Vocational Education and Train</w:t>
      </w:r>
      <w:r w:rsidR="005D1BA4">
        <w:rPr>
          <w:i/>
        </w:rPr>
        <w:t>ing Regulator Act 2011</w:t>
      </w:r>
      <w:r w:rsidR="00E80CC3">
        <w:rPr>
          <w:i/>
        </w:rPr>
        <w:t>.</w:t>
      </w:r>
    </w:p>
    <w:p w14:paraId="48A4F844" w14:textId="77777777" w:rsidR="00D26941" w:rsidRDefault="00D26941" w:rsidP="00F52068"/>
    <w:p w14:paraId="7BD52024" w14:textId="77777777" w:rsidR="00F52068" w:rsidRPr="00D26941" w:rsidRDefault="00F52068" w:rsidP="00F52068">
      <w:r>
        <w:rPr>
          <w:b/>
        </w:rPr>
        <w:t>Principal</w:t>
      </w:r>
      <w:r w:rsidR="00E80CC3">
        <w:rPr>
          <w:b/>
        </w:rPr>
        <w:t xml:space="preserve"> Determination</w:t>
      </w:r>
      <w:r w:rsidRPr="00A31D39">
        <w:t xml:space="preserve"> means the</w:t>
      </w:r>
      <w:r w:rsidR="005D1BA4">
        <w:rPr>
          <w:i/>
        </w:rPr>
        <w:t xml:space="preserve"> </w:t>
      </w:r>
      <w:r w:rsidR="005D1BA4" w:rsidRPr="00A53AF6">
        <w:rPr>
          <w:i/>
        </w:rPr>
        <w:t>Australian Skills Quality Authority Instrument Fixing Fees No. 1 of 2013</w:t>
      </w:r>
      <w:r w:rsidR="00D26941">
        <w:t>.</w:t>
      </w:r>
    </w:p>
    <w:p w14:paraId="3A3F044F" w14:textId="77777777" w:rsidR="00B23859" w:rsidRDefault="00B23859" w:rsidP="00196B23">
      <w:r>
        <w:br w:type="page"/>
      </w:r>
    </w:p>
    <w:p w14:paraId="1E950EA9" w14:textId="77777777" w:rsidR="00B23859" w:rsidRPr="00A31D39" w:rsidRDefault="00B23859" w:rsidP="00196B23">
      <w:pPr>
        <w:pStyle w:val="Title"/>
        <w:jc w:val="left"/>
      </w:pPr>
      <w:r>
        <w:t>Detailed Explanation of Amendments</w:t>
      </w:r>
    </w:p>
    <w:p w14:paraId="57603991" w14:textId="77777777" w:rsidR="0059224F" w:rsidRPr="0059224F" w:rsidRDefault="0059224F" w:rsidP="00196B23">
      <w:pPr>
        <w:shd w:val="clear" w:color="auto" w:fill="FFFFFF"/>
        <w:spacing w:before="240" w:after="240"/>
        <w:rPr>
          <w:szCs w:val="24"/>
          <w:lang w:val="en-US" w:eastAsia="en-AU"/>
        </w:rPr>
      </w:pPr>
      <w:r w:rsidRPr="0059224F">
        <w:rPr>
          <w:b/>
          <w:bCs/>
          <w:szCs w:val="24"/>
          <w:u w:val="single"/>
          <w:lang w:eastAsia="en-AU"/>
        </w:rPr>
        <w:t>Preliminary</w:t>
      </w:r>
    </w:p>
    <w:p w14:paraId="218D5727" w14:textId="77777777" w:rsidR="0059224F" w:rsidRPr="0059224F" w:rsidRDefault="0059224F" w:rsidP="00196B23">
      <w:pPr>
        <w:shd w:val="clear" w:color="auto" w:fill="FFFFFF"/>
        <w:spacing w:before="240" w:after="240"/>
        <w:rPr>
          <w:szCs w:val="24"/>
          <w:lang w:val="en-US" w:eastAsia="en-AU"/>
        </w:rPr>
      </w:pPr>
      <w:r w:rsidRPr="0059224F">
        <w:rPr>
          <w:szCs w:val="24"/>
          <w:lang w:eastAsia="en-AU"/>
        </w:rPr>
        <w:t>Sectio</w:t>
      </w:r>
      <w:r w:rsidR="00E80CC3">
        <w:rPr>
          <w:szCs w:val="24"/>
          <w:lang w:eastAsia="en-AU"/>
        </w:rPr>
        <w:t>ns 1 to 4 of the Amendment Determination</w:t>
      </w:r>
      <w:r w:rsidRPr="0059224F">
        <w:rPr>
          <w:szCs w:val="24"/>
          <w:lang w:eastAsia="en-AU"/>
        </w:rPr>
        <w:t xml:space="preserve"> are formal provisions providing for the name, </w:t>
      </w:r>
      <w:r w:rsidR="00872CBD">
        <w:rPr>
          <w:szCs w:val="24"/>
          <w:lang w:eastAsia="en-AU"/>
        </w:rPr>
        <w:t>commencement, authority and effect of</w:t>
      </w:r>
      <w:r w:rsidRPr="0059224F">
        <w:rPr>
          <w:szCs w:val="24"/>
          <w:lang w:eastAsia="en-AU"/>
        </w:rPr>
        <w:t xml:space="preserve"> the instrument.</w:t>
      </w:r>
    </w:p>
    <w:p w14:paraId="46554716" w14:textId="77777777" w:rsidR="0059224F" w:rsidRPr="0059224F" w:rsidRDefault="0059224F" w:rsidP="00196B23">
      <w:pPr>
        <w:shd w:val="clear" w:color="auto" w:fill="FFFFFF"/>
        <w:spacing w:before="240" w:after="240"/>
        <w:rPr>
          <w:szCs w:val="24"/>
          <w:lang w:val="en-US" w:eastAsia="en-AU"/>
        </w:rPr>
      </w:pPr>
      <w:r w:rsidRPr="0059224F">
        <w:rPr>
          <w:b/>
          <w:bCs/>
          <w:szCs w:val="24"/>
          <w:lang w:eastAsia="en-AU"/>
        </w:rPr>
        <w:t>Section 1</w:t>
      </w:r>
      <w:r w:rsidRPr="0059224F">
        <w:rPr>
          <w:szCs w:val="24"/>
          <w:lang w:eastAsia="en-AU"/>
        </w:rPr>
        <w:t xml:space="preserve"> states the name of the instrument as the</w:t>
      </w:r>
      <w:r w:rsidR="005D1BA4">
        <w:rPr>
          <w:i/>
        </w:rPr>
        <w:t xml:space="preserve"> </w:t>
      </w:r>
      <w:r w:rsidR="005D1BA4" w:rsidRPr="005D1BA4">
        <w:rPr>
          <w:i/>
        </w:rPr>
        <w:t>Australian Skills Quality Authority Instrument Fixing Fees Amendment (Refund of Fees) Determination 2020</w:t>
      </w:r>
      <w:r w:rsidRPr="0059224F">
        <w:rPr>
          <w:szCs w:val="24"/>
        </w:rPr>
        <w:t>.</w:t>
      </w:r>
    </w:p>
    <w:p w14:paraId="5095019D" w14:textId="77777777" w:rsidR="0059224F" w:rsidRPr="0059224F" w:rsidRDefault="0059224F" w:rsidP="00196B23">
      <w:pPr>
        <w:shd w:val="clear" w:color="auto" w:fill="FFFFFF"/>
        <w:spacing w:before="240" w:after="240"/>
        <w:rPr>
          <w:szCs w:val="24"/>
          <w:lang w:val="en-US" w:eastAsia="en-AU"/>
        </w:rPr>
      </w:pPr>
      <w:r w:rsidRPr="0059224F">
        <w:rPr>
          <w:b/>
          <w:bCs/>
          <w:szCs w:val="24"/>
          <w:lang w:eastAsia="en-AU"/>
        </w:rPr>
        <w:t>Section 2</w:t>
      </w:r>
      <w:r w:rsidRPr="0059224F">
        <w:rPr>
          <w:szCs w:val="24"/>
          <w:lang w:eastAsia="en-AU"/>
        </w:rPr>
        <w:t xml:space="preserve"> </w:t>
      </w:r>
      <w:r w:rsidR="00C56E25">
        <w:rPr>
          <w:szCs w:val="24"/>
          <w:lang w:eastAsia="en-AU"/>
        </w:rPr>
        <w:t>provides for</w:t>
      </w:r>
      <w:r w:rsidRPr="0059224F">
        <w:rPr>
          <w:szCs w:val="24"/>
          <w:lang w:eastAsia="en-AU"/>
        </w:rPr>
        <w:t xml:space="preserve"> t</w:t>
      </w:r>
      <w:r w:rsidR="00E80CC3">
        <w:rPr>
          <w:szCs w:val="24"/>
          <w:lang w:eastAsia="en-AU"/>
        </w:rPr>
        <w:t>he Amendment Determination</w:t>
      </w:r>
      <w:r w:rsidRPr="0059224F">
        <w:rPr>
          <w:szCs w:val="24"/>
          <w:lang w:eastAsia="en-AU"/>
        </w:rPr>
        <w:t xml:space="preserve"> </w:t>
      </w:r>
      <w:r w:rsidR="00C56E25">
        <w:rPr>
          <w:szCs w:val="24"/>
          <w:lang w:eastAsia="en-AU"/>
        </w:rPr>
        <w:t xml:space="preserve">to </w:t>
      </w:r>
      <w:r w:rsidRPr="0059224F">
        <w:rPr>
          <w:szCs w:val="24"/>
          <w:lang w:eastAsia="en-AU"/>
        </w:rPr>
        <w:t>commence</w:t>
      </w:r>
      <w:r w:rsidR="005D1BA4">
        <w:rPr>
          <w:szCs w:val="24"/>
          <w:lang w:eastAsia="en-AU"/>
        </w:rPr>
        <w:t xml:space="preserve"> from 20 April</w:t>
      </w:r>
      <w:r w:rsidR="00D26941">
        <w:rPr>
          <w:szCs w:val="24"/>
          <w:lang w:eastAsia="en-AU"/>
        </w:rPr>
        <w:t xml:space="preserve"> 2020</w:t>
      </w:r>
      <w:r w:rsidRPr="0059224F">
        <w:rPr>
          <w:szCs w:val="24"/>
          <w:lang w:eastAsia="en-AU"/>
        </w:rPr>
        <w:t>.</w:t>
      </w:r>
      <w:r w:rsidR="00D26941">
        <w:rPr>
          <w:szCs w:val="24"/>
          <w:lang w:eastAsia="en-AU"/>
        </w:rPr>
        <w:t xml:space="preserve"> </w:t>
      </w:r>
      <w:r w:rsidR="00D26941">
        <w:t>The retrospective application of the Amen</w:t>
      </w:r>
      <w:r w:rsidR="00E80CC3">
        <w:t>dment Determination</w:t>
      </w:r>
      <w:r w:rsidR="00D26941">
        <w:t xml:space="preserve"> do</w:t>
      </w:r>
      <w:r w:rsidR="00E80CC3">
        <w:t>es</w:t>
      </w:r>
      <w:r w:rsidR="00D26941">
        <w:t xml:space="preserve"> not disadvantage, or give rise to any liabilities of, any registered training organisations or registered providers. Given this, subsection 12(2) of the </w:t>
      </w:r>
      <w:r w:rsidR="00D26941">
        <w:rPr>
          <w:i/>
        </w:rPr>
        <w:t>Legislation Act 2003</w:t>
      </w:r>
      <w:r w:rsidR="00D26941">
        <w:t xml:space="preserve"> does </w:t>
      </w:r>
      <w:r w:rsidR="00E80CC3">
        <w:t>not apply to the Amendment Determination</w:t>
      </w:r>
      <w:r w:rsidR="00D26941">
        <w:t>.</w:t>
      </w:r>
    </w:p>
    <w:p w14:paraId="7F6BD014" w14:textId="77777777" w:rsidR="0059224F" w:rsidRPr="0059224F" w:rsidRDefault="0059224F" w:rsidP="00196B23">
      <w:pPr>
        <w:shd w:val="clear" w:color="auto" w:fill="FFFFFF"/>
        <w:spacing w:before="240" w:after="240"/>
        <w:rPr>
          <w:szCs w:val="24"/>
          <w:lang w:val="en-US" w:eastAsia="en-AU"/>
        </w:rPr>
      </w:pPr>
      <w:r w:rsidRPr="0059224F">
        <w:rPr>
          <w:b/>
          <w:bCs/>
          <w:szCs w:val="24"/>
          <w:lang w:eastAsia="en-AU"/>
        </w:rPr>
        <w:t>Section 3</w:t>
      </w:r>
      <w:r w:rsidR="00E80CC3">
        <w:rPr>
          <w:szCs w:val="24"/>
          <w:lang w:eastAsia="en-AU"/>
        </w:rPr>
        <w:t xml:space="preserve"> states that the Amendment Determination is</w:t>
      </w:r>
      <w:r w:rsidRPr="0059224F">
        <w:rPr>
          <w:szCs w:val="24"/>
          <w:lang w:eastAsia="en-AU"/>
        </w:rPr>
        <w:t xml:space="preserve"> made</w:t>
      </w:r>
      <w:r w:rsidR="005D1BA4">
        <w:rPr>
          <w:szCs w:val="24"/>
          <w:lang w:eastAsia="en-AU"/>
        </w:rPr>
        <w:t xml:space="preserve"> under subsection</w:t>
      </w:r>
      <w:r w:rsidR="00F10876">
        <w:rPr>
          <w:szCs w:val="24"/>
          <w:lang w:eastAsia="en-AU"/>
        </w:rPr>
        <w:t>s</w:t>
      </w:r>
      <w:r w:rsidR="005D1BA4">
        <w:rPr>
          <w:szCs w:val="24"/>
          <w:lang w:eastAsia="en-AU"/>
        </w:rPr>
        <w:t xml:space="preserve"> 232(1) and 232(5)</w:t>
      </w:r>
      <w:r w:rsidR="00D26941">
        <w:rPr>
          <w:szCs w:val="24"/>
          <w:lang w:eastAsia="en-AU"/>
        </w:rPr>
        <w:t xml:space="preserve"> of the NVETR Act</w:t>
      </w:r>
      <w:r w:rsidRPr="0059224F">
        <w:rPr>
          <w:szCs w:val="24"/>
          <w:lang w:eastAsia="en-AU"/>
        </w:rPr>
        <w:t>.</w:t>
      </w:r>
    </w:p>
    <w:p w14:paraId="661A8C9E" w14:textId="77777777" w:rsidR="0059224F" w:rsidRPr="0059224F" w:rsidRDefault="0059224F" w:rsidP="00196B23">
      <w:pPr>
        <w:shd w:val="clear" w:color="auto" w:fill="FFFFFF"/>
        <w:spacing w:before="240" w:after="240"/>
        <w:rPr>
          <w:szCs w:val="24"/>
          <w:lang w:eastAsia="en-AU"/>
        </w:rPr>
      </w:pPr>
      <w:r w:rsidRPr="0059224F">
        <w:rPr>
          <w:b/>
          <w:bCs/>
          <w:szCs w:val="24"/>
          <w:lang w:eastAsia="en-AU"/>
        </w:rPr>
        <w:t>Section 4</w:t>
      </w:r>
      <w:r w:rsidRPr="0059224F">
        <w:rPr>
          <w:szCs w:val="24"/>
          <w:lang w:eastAsia="en-AU"/>
        </w:rPr>
        <w:t xml:space="preserve"> provides that the </w:t>
      </w:r>
      <w:r w:rsidR="00E80CC3">
        <w:rPr>
          <w:szCs w:val="24"/>
          <w:lang w:eastAsia="en-AU"/>
        </w:rPr>
        <w:t>Principal Determination is</w:t>
      </w:r>
      <w:r w:rsidRPr="0059224F">
        <w:rPr>
          <w:szCs w:val="24"/>
          <w:lang w:eastAsia="en-AU"/>
        </w:rPr>
        <w:t xml:space="preserve"> amended as set out in the</w:t>
      </w:r>
      <w:r w:rsidR="00E80CC3">
        <w:rPr>
          <w:szCs w:val="24"/>
          <w:lang w:eastAsia="en-AU"/>
        </w:rPr>
        <w:t xml:space="preserve"> Schedule to the Amendment Determination</w:t>
      </w:r>
      <w:r w:rsidRPr="0059224F">
        <w:rPr>
          <w:szCs w:val="24"/>
          <w:lang w:eastAsia="en-AU"/>
        </w:rPr>
        <w:t>.</w:t>
      </w:r>
    </w:p>
    <w:p w14:paraId="23918542" w14:textId="77777777" w:rsidR="009E37BA" w:rsidRDefault="000668B0" w:rsidP="00196B23">
      <w:pPr>
        <w:shd w:val="clear" w:color="auto" w:fill="FFFFFF"/>
        <w:spacing w:before="240" w:after="240"/>
        <w:rPr>
          <w:b/>
          <w:u w:val="single"/>
        </w:rPr>
      </w:pPr>
      <w:r>
        <w:rPr>
          <w:b/>
          <w:u w:val="single"/>
        </w:rPr>
        <w:t>Schedule 1</w:t>
      </w:r>
      <w:r w:rsidR="00D26941">
        <w:rPr>
          <w:b/>
          <w:u w:val="single"/>
        </w:rPr>
        <w:t xml:space="preserve"> – Amendments</w:t>
      </w:r>
    </w:p>
    <w:p w14:paraId="20B1F21F" w14:textId="77777777" w:rsidR="00FF1341" w:rsidRDefault="0041000D" w:rsidP="005D1BA4">
      <w:pPr>
        <w:rPr>
          <w:bCs/>
        </w:rPr>
      </w:pPr>
      <w:r>
        <w:rPr>
          <w:b/>
          <w:bCs/>
        </w:rPr>
        <w:t>Item</w:t>
      </w:r>
      <w:r w:rsidR="00D26941">
        <w:rPr>
          <w:b/>
          <w:bCs/>
        </w:rPr>
        <w:t xml:space="preserve"> </w:t>
      </w:r>
      <w:r w:rsidR="005D1BA4">
        <w:rPr>
          <w:b/>
          <w:bCs/>
        </w:rPr>
        <w:t>1</w:t>
      </w:r>
      <w:r>
        <w:rPr>
          <w:b/>
          <w:bCs/>
        </w:rPr>
        <w:t xml:space="preserve"> </w:t>
      </w:r>
      <w:r w:rsidR="00FF1341">
        <w:rPr>
          <w:bCs/>
        </w:rPr>
        <w:t xml:space="preserve">inserts new </w:t>
      </w:r>
      <w:r w:rsidR="0024443F">
        <w:rPr>
          <w:bCs/>
        </w:rPr>
        <w:t>subsections</w:t>
      </w:r>
      <w:r w:rsidR="00FF1341">
        <w:rPr>
          <w:bCs/>
        </w:rPr>
        <w:t xml:space="preserve"> </w:t>
      </w:r>
      <w:r w:rsidR="0024443F">
        <w:rPr>
          <w:bCs/>
        </w:rPr>
        <w:t>3</w:t>
      </w:r>
      <w:r w:rsidR="00FF1341">
        <w:rPr>
          <w:bCs/>
        </w:rPr>
        <w:t xml:space="preserve">(g) and </w:t>
      </w:r>
      <w:r w:rsidR="0024443F">
        <w:rPr>
          <w:bCs/>
        </w:rPr>
        <w:t>3</w:t>
      </w:r>
      <w:r w:rsidR="00FF1341">
        <w:rPr>
          <w:bCs/>
        </w:rPr>
        <w:t>(h) into section 3 of Schedule B of the Principal Determination.</w:t>
      </w:r>
    </w:p>
    <w:p w14:paraId="65A24B21" w14:textId="77777777" w:rsidR="00FF1341" w:rsidRDefault="00FF1341" w:rsidP="005D1BA4">
      <w:pPr>
        <w:rPr>
          <w:bCs/>
        </w:rPr>
      </w:pPr>
    </w:p>
    <w:p w14:paraId="1E290FDA" w14:textId="77777777" w:rsidR="005D1BA4" w:rsidRDefault="0024443F" w:rsidP="005D1BA4">
      <w:pPr>
        <w:rPr>
          <w:lang w:eastAsia="en-AU"/>
        </w:rPr>
      </w:pPr>
      <w:r>
        <w:rPr>
          <w:bCs/>
        </w:rPr>
        <w:t>New subsection</w:t>
      </w:r>
      <w:r w:rsidR="00FF1341">
        <w:rPr>
          <w:bCs/>
        </w:rPr>
        <w:t xml:space="preserve"> </w:t>
      </w:r>
      <w:r>
        <w:rPr>
          <w:bCs/>
        </w:rPr>
        <w:t>3</w:t>
      </w:r>
      <w:r w:rsidR="00FF1341">
        <w:rPr>
          <w:bCs/>
        </w:rPr>
        <w:t xml:space="preserve">(g) provides ASQA the discretionary </w:t>
      </w:r>
      <w:r w:rsidR="00FF1341">
        <w:rPr>
          <w:lang w:eastAsia="en-AU"/>
        </w:rPr>
        <w:t xml:space="preserve">capacity to refund fees paid under the NVETR Act and the </w:t>
      </w:r>
      <w:r w:rsidR="00FF1341">
        <w:rPr>
          <w:i/>
          <w:lang w:eastAsia="en-AU"/>
        </w:rPr>
        <w:t>Education Services for Overseas Students Act 2000</w:t>
      </w:r>
      <w:r w:rsidR="00F10876">
        <w:rPr>
          <w:lang w:eastAsia="en-AU"/>
        </w:rPr>
        <w:t>,</w:t>
      </w:r>
      <w:r w:rsidR="00FF1341">
        <w:rPr>
          <w:i/>
          <w:lang w:eastAsia="en-AU"/>
        </w:rPr>
        <w:t xml:space="preserve"> </w:t>
      </w:r>
      <w:r w:rsidR="00FF1341">
        <w:rPr>
          <w:lang w:eastAsia="en-AU"/>
        </w:rPr>
        <w:t>in special or unusual circumstances that cause the fee to be unreasonable or inequitable. This ensures that ASQA has discretion to refund fees in circumstances that warrant that refund, and aligns with the existing discretionary capacity of ASQA to waive applicable fees under the Principal Determination.</w:t>
      </w:r>
    </w:p>
    <w:p w14:paraId="2851D006" w14:textId="77777777" w:rsidR="00FF1341" w:rsidRDefault="00FF1341" w:rsidP="005D1BA4">
      <w:pPr>
        <w:rPr>
          <w:lang w:eastAsia="en-AU"/>
        </w:rPr>
      </w:pPr>
    </w:p>
    <w:p w14:paraId="65A64800" w14:textId="77777777" w:rsidR="00FF1341" w:rsidRPr="00FF1341" w:rsidRDefault="0024443F" w:rsidP="005D1BA4">
      <w:pPr>
        <w:rPr>
          <w:lang w:eastAsia="en-AU"/>
        </w:rPr>
      </w:pPr>
      <w:r>
        <w:rPr>
          <w:lang w:eastAsia="en-AU"/>
        </w:rPr>
        <w:t>New subsection</w:t>
      </w:r>
      <w:r w:rsidR="00FF1341">
        <w:rPr>
          <w:lang w:eastAsia="en-AU"/>
        </w:rPr>
        <w:t xml:space="preserve"> </w:t>
      </w:r>
      <w:r>
        <w:rPr>
          <w:lang w:eastAsia="en-AU"/>
        </w:rPr>
        <w:t>3</w:t>
      </w:r>
      <w:r w:rsidR="00FF1341">
        <w:rPr>
          <w:lang w:eastAsia="en-AU"/>
        </w:rPr>
        <w:t xml:space="preserve">(h) </w:t>
      </w:r>
      <w:r w:rsidR="00FF1341">
        <w:rPr>
          <w:bCs/>
        </w:rPr>
        <w:t xml:space="preserve">ensures that the </w:t>
      </w:r>
      <w:r>
        <w:rPr>
          <w:bCs/>
        </w:rPr>
        <w:t xml:space="preserve">operation of new subsection 3(g) </w:t>
      </w:r>
      <w:r w:rsidR="00FF1341">
        <w:rPr>
          <w:lang w:eastAsia="en-AU"/>
        </w:rPr>
        <w:t>extends to circumstances related to the COVID-19</w:t>
      </w:r>
      <w:r>
        <w:rPr>
          <w:lang w:eastAsia="en-AU"/>
        </w:rPr>
        <w:t xml:space="preserve"> pandemic event. Subsection </w:t>
      </w:r>
      <w:r w:rsidR="001E4AE8">
        <w:rPr>
          <w:lang w:eastAsia="en-AU"/>
        </w:rPr>
        <w:t>3(h</w:t>
      </w:r>
      <w:r>
        <w:rPr>
          <w:lang w:eastAsia="en-AU"/>
        </w:rPr>
        <w:t>) is</w:t>
      </w:r>
      <w:r w:rsidR="00FF1341">
        <w:rPr>
          <w:lang w:eastAsia="en-AU"/>
        </w:rPr>
        <w:t xml:space="preserve"> inserted for avoidance of doubt purposes, in order to provide certainty to the vocational education and training secto</w:t>
      </w:r>
      <w:r>
        <w:rPr>
          <w:lang w:eastAsia="en-AU"/>
        </w:rPr>
        <w:t xml:space="preserve">r that the fee refund </w:t>
      </w:r>
      <w:r w:rsidR="00FF1341">
        <w:rPr>
          <w:lang w:eastAsia="en-AU"/>
        </w:rPr>
        <w:t>capacity of ASQA includes circumstances related to the COVID-19 pandemic event.</w:t>
      </w:r>
    </w:p>
    <w:p w14:paraId="37250F54" w14:textId="77777777" w:rsidR="00480651" w:rsidRDefault="00480651" w:rsidP="00196B23">
      <w:pPr>
        <w:rPr>
          <w:lang w:eastAsia="en-AU"/>
        </w:rPr>
      </w:pPr>
    </w:p>
    <w:p w14:paraId="23C9CF80" w14:textId="77777777" w:rsidR="001E4AE8" w:rsidRDefault="005D1BA4" w:rsidP="00196B23">
      <w:pPr>
        <w:rPr>
          <w:lang w:eastAsia="en-AU"/>
        </w:rPr>
      </w:pPr>
      <w:r>
        <w:rPr>
          <w:b/>
          <w:lang w:eastAsia="en-AU"/>
        </w:rPr>
        <w:t xml:space="preserve">Item 2 </w:t>
      </w:r>
      <w:r w:rsidR="0024443F">
        <w:rPr>
          <w:lang w:eastAsia="en-AU"/>
        </w:rPr>
        <w:t xml:space="preserve">inserts </w:t>
      </w:r>
      <w:r w:rsidR="001E4AE8">
        <w:rPr>
          <w:lang w:eastAsia="en-AU"/>
        </w:rPr>
        <w:t>new subsection 5(ea) into section 5 of Schedule B of the Principal Determination.</w:t>
      </w:r>
      <w:r w:rsidR="0024443F">
        <w:rPr>
          <w:lang w:eastAsia="en-AU"/>
        </w:rPr>
        <w:t xml:space="preserve"> </w:t>
      </w:r>
    </w:p>
    <w:p w14:paraId="102A2E01" w14:textId="77777777" w:rsidR="001E4AE8" w:rsidRDefault="001E4AE8" w:rsidP="00196B23">
      <w:pPr>
        <w:rPr>
          <w:lang w:eastAsia="en-AU"/>
        </w:rPr>
      </w:pPr>
    </w:p>
    <w:p w14:paraId="3D33A14C" w14:textId="77777777" w:rsidR="005D1BA4" w:rsidRPr="0024443F" w:rsidRDefault="001E4AE8" w:rsidP="00196B23">
      <w:pPr>
        <w:rPr>
          <w:bCs/>
        </w:rPr>
      </w:pPr>
      <w:r>
        <w:rPr>
          <w:lang w:eastAsia="en-AU"/>
        </w:rPr>
        <w:t xml:space="preserve">New </w:t>
      </w:r>
      <w:r>
        <w:rPr>
          <w:bCs/>
        </w:rPr>
        <w:t xml:space="preserve">subsection 5(ea) ensures that the existing discretionary capacity of ASQA </w:t>
      </w:r>
      <w:r>
        <w:rPr>
          <w:lang w:eastAsia="en-AU"/>
        </w:rPr>
        <w:t xml:space="preserve">to waive fees payable under the NVETR Act and the </w:t>
      </w:r>
      <w:r>
        <w:rPr>
          <w:i/>
          <w:lang w:eastAsia="en-AU"/>
        </w:rPr>
        <w:t xml:space="preserve">Education Services for Overseas Students Act 2000 </w:t>
      </w:r>
      <w:r>
        <w:rPr>
          <w:lang w:eastAsia="en-AU"/>
        </w:rPr>
        <w:t>in special or unusual circumstances</w:t>
      </w:r>
      <w:r w:rsidR="00F10876">
        <w:rPr>
          <w:lang w:eastAsia="en-AU"/>
        </w:rPr>
        <w:t>,</w:t>
      </w:r>
      <w:r>
        <w:rPr>
          <w:lang w:eastAsia="en-AU"/>
        </w:rPr>
        <w:t xml:space="preserve"> extends to the COVID-19 pandemic event. Subsection 5(ea) is inserted for avoidance of doubt purposes, in order to provide certainty to the vocational education and training sector that the discretionary waiver capacity of ASQA includes circumstances related to the COVID-19 pandemic event.</w:t>
      </w:r>
    </w:p>
    <w:p w14:paraId="00BFBEA6" w14:textId="77777777" w:rsidR="005C06BC" w:rsidRPr="00A31D39" w:rsidRDefault="005C06BC" w:rsidP="00196B23">
      <w:r w:rsidRPr="00A31D39">
        <w:br w:type="page"/>
      </w:r>
    </w:p>
    <w:p w14:paraId="57019835" w14:textId="77777777" w:rsidR="00AB1556" w:rsidRPr="00A31D39" w:rsidRDefault="00AB1556" w:rsidP="00196B23">
      <w:pPr>
        <w:pStyle w:val="Title"/>
        <w:jc w:val="left"/>
        <w:rPr>
          <w:rFonts w:eastAsiaTheme="majorEastAsia"/>
        </w:rPr>
      </w:pPr>
      <w:r w:rsidRPr="00A31D39">
        <w:rPr>
          <w:rFonts w:eastAsiaTheme="majorEastAsia"/>
        </w:rPr>
        <w:t>Statement of Compatibility with Human Rights</w:t>
      </w:r>
    </w:p>
    <w:p w14:paraId="3655E9A9" w14:textId="148918FD" w:rsidR="00D06624" w:rsidRPr="00B87450" w:rsidRDefault="00D06624" w:rsidP="00D06624">
      <w:pPr>
        <w:pStyle w:val="Heading2"/>
        <w:jc w:val="center"/>
        <w:rPr>
          <w:b w:val="0"/>
          <w:sz w:val="22"/>
        </w:rPr>
      </w:pPr>
      <w:r w:rsidRPr="00B87450">
        <w:rPr>
          <w:b w:val="0"/>
          <w:i/>
          <w:iCs w:val="0"/>
          <w:color w:val="000000"/>
          <w:sz w:val="24"/>
        </w:rPr>
        <w:t>Prepared in accordance with Part 3 of the Human Rights (Parliamentary Scrutiny) Act 2011</w:t>
      </w:r>
      <w:r w:rsidR="004D152D">
        <w:rPr>
          <w:b w:val="0"/>
          <w:i/>
          <w:iCs w:val="0"/>
          <w:color w:val="000000"/>
          <w:sz w:val="24"/>
        </w:rPr>
        <w:t xml:space="preserve"> and at the request of the Parliamentary Joint Committee on Human Rights</w:t>
      </w:r>
    </w:p>
    <w:p w14:paraId="7BC717A5" w14:textId="05773CDF" w:rsidR="00D06624" w:rsidRPr="00B87450" w:rsidRDefault="00D06624" w:rsidP="00D06624">
      <w:pPr>
        <w:pStyle w:val="Heading2"/>
        <w:spacing w:after="240"/>
        <w:rPr>
          <w:sz w:val="24"/>
        </w:rPr>
      </w:pPr>
      <w:r>
        <w:rPr>
          <w:sz w:val="24"/>
        </w:rPr>
        <w:t>Summary of instrument</w:t>
      </w:r>
    </w:p>
    <w:p w14:paraId="0FCA3820" w14:textId="77777777" w:rsidR="00D06624" w:rsidRPr="00B6448E" w:rsidRDefault="00D06624" w:rsidP="00D06624">
      <w:pPr>
        <w:rPr>
          <w:b/>
        </w:rPr>
      </w:pPr>
      <w:r w:rsidRPr="00B6448E">
        <w:t xml:space="preserve">The </w:t>
      </w:r>
      <w:r w:rsidRPr="006A1F60">
        <w:rPr>
          <w:i/>
        </w:rPr>
        <w:t xml:space="preserve">Australian Skills Quality Authority Instrument Fixing Fees Amendment (Refund of Fees) Determination 2020 </w:t>
      </w:r>
      <w:r w:rsidRPr="00ED65DA">
        <w:t>(Amendment Determination)</w:t>
      </w:r>
      <w:r>
        <w:t xml:space="preserve"> is</w:t>
      </w:r>
      <w:r w:rsidRPr="00B6448E">
        <w:t xml:space="preserve"> made under subsections </w:t>
      </w:r>
      <w:r>
        <w:t>232(1) and 232(5)</w:t>
      </w:r>
      <w:r w:rsidRPr="00B6448E">
        <w:t xml:space="preserve"> of the </w:t>
      </w:r>
      <w:r w:rsidRPr="00ED65DA">
        <w:rPr>
          <w:i/>
        </w:rPr>
        <w:t>National Vocational Education and Training Regulator Act 2011</w:t>
      </w:r>
      <w:r w:rsidRPr="00B6448E">
        <w:t xml:space="preserve"> (NVETR</w:t>
      </w:r>
      <w:r>
        <w:t xml:space="preserve"> </w:t>
      </w:r>
      <w:r w:rsidRPr="00B6448E">
        <w:t xml:space="preserve">Act), as construed in accordance with subsection 33(3) of the </w:t>
      </w:r>
      <w:r w:rsidRPr="00ED65DA">
        <w:rPr>
          <w:i/>
        </w:rPr>
        <w:t>Acts Interpretation Act 1901</w:t>
      </w:r>
      <w:r w:rsidRPr="00B6448E">
        <w:t xml:space="preserve"> (Acts Interpretation Act). </w:t>
      </w:r>
    </w:p>
    <w:p w14:paraId="5BD7CAA9" w14:textId="77777777" w:rsidR="00D06624" w:rsidRDefault="00D06624" w:rsidP="00D06624"/>
    <w:p w14:paraId="0086A797" w14:textId="77777777" w:rsidR="00D06624" w:rsidRDefault="00D06624" w:rsidP="00D06624">
      <w:r>
        <w:t>Among</w:t>
      </w:r>
      <w:r w:rsidRPr="00981935">
        <w:t xml:space="preserve"> other things, subsection 33(3) of the Acts Interpretation Act provides that a power to make an instrument of a legislative cha</w:t>
      </w:r>
      <w:r>
        <w:t>racter (such as under subsections 232(1) and 232(5) of the NVETR Act)</w:t>
      </w:r>
      <w:r w:rsidRPr="00981935">
        <w:t xml:space="preserve"> includes a power to amend such an instrument.</w:t>
      </w:r>
    </w:p>
    <w:p w14:paraId="48D7F870" w14:textId="77777777" w:rsidR="00D06624" w:rsidRDefault="00D06624" w:rsidP="00D06624"/>
    <w:p w14:paraId="2062BD74" w14:textId="77777777" w:rsidR="00D06624" w:rsidRDefault="00D06624" w:rsidP="00D06624">
      <w:r w:rsidRPr="00A53AF6">
        <w:t xml:space="preserve">The Amendment Determination amends the </w:t>
      </w:r>
      <w:r w:rsidRPr="00ED65DA">
        <w:rPr>
          <w:i/>
        </w:rPr>
        <w:t xml:space="preserve">Australian Skills Quality Authority Instrument Fixing Fees No. 1 of 2013 </w:t>
      </w:r>
      <w:r>
        <w:t>(Principal Determination</w:t>
      </w:r>
      <w:r w:rsidRPr="00A31D39">
        <w:t xml:space="preserve">). </w:t>
      </w:r>
    </w:p>
    <w:p w14:paraId="070AC524" w14:textId="77777777" w:rsidR="00D06624" w:rsidRDefault="00D06624" w:rsidP="00D06624"/>
    <w:p w14:paraId="433999D2" w14:textId="77777777" w:rsidR="00D06624" w:rsidRDefault="00D06624" w:rsidP="00D06624">
      <w:r>
        <w:t>In summary, the Amendment Determination implements Government policy with respect to the refunding and waiver of fees charged to registered training organisations and registered providers by the Australian Skills Quality Authority (ASQA)</w:t>
      </w:r>
      <w:r>
        <w:rPr>
          <w:rStyle w:val="FootnoteReference"/>
        </w:rPr>
        <w:footnoteReference w:id="4"/>
      </w:r>
      <w:r>
        <w:t>, by:</w:t>
      </w:r>
    </w:p>
    <w:p w14:paraId="13CED96B" w14:textId="77777777" w:rsidR="00D06624" w:rsidRDefault="00D06624" w:rsidP="00D06624"/>
    <w:p w14:paraId="0177A655" w14:textId="77777777" w:rsidR="00D06624" w:rsidRDefault="00D06624" w:rsidP="00D06624">
      <w:pPr>
        <w:pStyle w:val="ListParagraph"/>
        <w:numPr>
          <w:ilvl w:val="0"/>
          <w:numId w:val="48"/>
        </w:numPr>
        <w:rPr>
          <w:lang w:eastAsia="en-AU"/>
        </w:rPr>
      </w:pPr>
      <w:r>
        <w:rPr>
          <w:lang w:eastAsia="en-AU"/>
        </w:rPr>
        <w:t xml:space="preserve">ensuring that ASQA has capacity to refund fees paid under the NVETR Act and the </w:t>
      </w:r>
      <w:r w:rsidRPr="00ED65DA">
        <w:rPr>
          <w:i/>
          <w:lang w:eastAsia="en-AU"/>
        </w:rPr>
        <w:t>Education Services for Overseas Students Act 2000</w:t>
      </w:r>
      <w:r>
        <w:rPr>
          <w:lang w:eastAsia="en-AU"/>
        </w:rPr>
        <w:t xml:space="preserve"> in special or unusual circumstances that cause the fee to be unreasonable or inequitable, including in circumstances related to the COVID-19 pandemic event</w:t>
      </w:r>
    </w:p>
    <w:p w14:paraId="6634B0CA" w14:textId="77777777" w:rsidR="00D06624" w:rsidRDefault="00D06624" w:rsidP="00D06624">
      <w:pPr>
        <w:pStyle w:val="ListParagraph"/>
        <w:numPr>
          <w:ilvl w:val="0"/>
          <w:numId w:val="48"/>
        </w:numPr>
        <w:rPr>
          <w:lang w:eastAsia="en-AU"/>
        </w:rPr>
      </w:pPr>
      <w:r>
        <w:rPr>
          <w:lang w:eastAsia="en-AU"/>
        </w:rPr>
        <w:t xml:space="preserve">ensuring that the existing discretionary capacity of ASQA to waive fees payable under the NVETR Act and the </w:t>
      </w:r>
      <w:r w:rsidRPr="00ED65DA">
        <w:rPr>
          <w:i/>
          <w:lang w:eastAsia="en-AU"/>
        </w:rPr>
        <w:t>Education Services for Overseas Students Act 2000</w:t>
      </w:r>
      <w:r>
        <w:rPr>
          <w:lang w:eastAsia="en-AU"/>
        </w:rPr>
        <w:t xml:space="preserve"> in special or unusual circumstances extends to the COVID-19 pandemic event.</w:t>
      </w:r>
    </w:p>
    <w:p w14:paraId="0E6F3225" w14:textId="77777777" w:rsidR="00D06624" w:rsidRDefault="00D06624" w:rsidP="00D06624">
      <w:pPr>
        <w:rPr>
          <w:lang w:eastAsia="en-AU"/>
        </w:rPr>
      </w:pPr>
    </w:p>
    <w:p w14:paraId="3FBBFFBD" w14:textId="203CCA6B" w:rsidR="00D06624" w:rsidRPr="00D06624" w:rsidRDefault="00D06624" w:rsidP="00D06624">
      <w:pPr>
        <w:rPr>
          <w:lang w:eastAsia="en-AU"/>
        </w:rPr>
      </w:pPr>
      <w:r w:rsidRPr="00F52068">
        <w:rPr>
          <w:lang w:eastAsia="en-AU"/>
        </w:rPr>
        <w:t>These amendments are intended to ensure that</w:t>
      </w:r>
      <w:r>
        <w:rPr>
          <w:lang w:eastAsia="en-AU"/>
        </w:rPr>
        <w:t xml:space="preserve"> Government policy with respect to the refunding and waiver of fees charged to registered training organisations and registered providers can be implemented. </w:t>
      </w:r>
      <w:r w:rsidRPr="00F52068">
        <w:rPr>
          <w:lang w:eastAsia="en-AU"/>
        </w:rPr>
        <w:t>In combination with other financial assistance me</w:t>
      </w:r>
      <w:r>
        <w:rPr>
          <w:lang w:eastAsia="en-AU"/>
        </w:rPr>
        <w:t>asures announced by Government relating to the COVID-19 pandemic event, these measures help ensure the ongoing sustainability and viability of the vocational education and training sector, and help reduce the financial burden for that sector.</w:t>
      </w:r>
    </w:p>
    <w:p w14:paraId="556E2397" w14:textId="61D83D7E" w:rsidR="00D06624" w:rsidRPr="00D06624" w:rsidRDefault="00D06624" w:rsidP="00D06624">
      <w:pPr>
        <w:pStyle w:val="Heading2"/>
        <w:spacing w:after="240"/>
        <w:rPr>
          <w:sz w:val="24"/>
          <w:szCs w:val="26"/>
        </w:rPr>
      </w:pPr>
      <w:r>
        <w:rPr>
          <w:sz w:val="24"/>
          <w:szCs w:val="26"/>
          <w:lang w:eastAsia="en-AU"/>
        </w:rPr>
        <w:t>T</w:t>
      </w:r>
      <w:r w:rsidRPr="00B87450">
        <w:rPr>
          <w:sz w:val="24"/>
          <w:szCs w:val="26"/>
          <w:lang w:eastAsia="en-AU"/>
        </w:rPr>
        <w:t>he Amen</w:t>
      </w:r>
      <w:r>
        <w:rPr>
          <w:sz w:val="24"/>
          <w:szCs w:val="26"/>
          <w:lang w:eastAsia="en-AU"/>
        </w:rPr>
        <w:t xml:space="preserve">dment Determination does not ordinarily </w:t>
      </w:r>
      <w:r w:rsidRPr="00B87450">
        <w:rPr>
          <w:sz w:val="24"/>
          <w:szCs w:val="26"/>
          <w:lang w:eastAsia="en-AU"/>
        </w:rPr>
        <w:t>require a Statement of C</w:t>
      </w:r>
      <w:r w:rsidRPr="00B87450">
        <w:rPr>
          <w:sz w:val="24"/>
          <w:szCs w:val="26"/>
        </w:rPr>
        <w:t>ompatibility with Human Rights</w:t>
      </w:r>
    </w:p>
    <w:p w14:paraId="0E4877B0" w14:textId="69469FD2" w:rsidR="00A30DB0" w:rsidRDefault="00A30DB0" w:rsidP="00A30DB0">
      <w:pPr>
        <w:rPr>
          <w:lang w:eastAsia="en-AU"/>
        </w:rPr>
      </w:pPr>
      <w:r w:rsidRPr="00A30DB0">
        <w:rPr>
          <w:lang w:eastAsia="en-AU"/>
        </w:rPr>
        <w:t>In accordance with subsection 15J(2) of the</w:t>
      </w:r>
      <w:r w:rsidR="009131E0">
        <w:rPr>
          <w:lang w:eastAsia="en-AU"/>
        </w:rPr>
        <w:t xml:space="preserve"> </w:t>
      </w:r>
      <w:r w:rsidR="009131E0" w:rsidRPr="009131E0">
        <w:rPr>
          <w:i/>
          <w:szCs w:val="24"/>
          <w:lang w:eastAsia="en-AU"/>
        </w:rPr>
        <w:t>Legislation Act 2003</w:t>
      </w:r>
      <w:r w:rsidR="009131E0" w:rsidRPr="009131E0">
        <w:rPr>
          <w:szCs w:val="24"/>
          <w:lang w:eastAsia="en-AU"/>
        </w:rPr>
        <w:t xml:space="preserve"> (Legislation Act)</w:t>
      </w:r>
      <w:r w:rsidR="00B03AB9">
        <w:rPr>
          <w:lang w:eastAsia="en-AU"/>
        </w:rPr>
        <w:t xml:space="preserve">, as the Amendment </w:t>
      </w:r>
      <w:r w:rsidRPr="00A30DB0">
        <w:rPr>
          <w:lang w:eastAsia="en-AU"/>
        </w:rPr>
        <w:t xml:space="preserve">Determination is not a disallowable instrument, a statement of compatibility prepared under subsection 9(1) of the </w:t>
      </w:r>
      <w:r w:rsidRPr="00A30DB0">
        <w:rPr>
          <w:i/>
          <w:lang w:eastAsia="en-AU"/>
        </w:rPr>
        <w:t>Human Rights (Parliamentary Scrutiny) Act 2011</w:t>
      </w:r>
      <w:r w:rsidR="00E80CC3">
        <w:rPr>
          <w:lang w:eastAsia="en-AU"/>
        </w:rPr>
        <w:t xml:space="preserve"> </w:t>
      </w:r>
      <w:r w:rsidRPr="00A30DB0">
        <w:rPr>
          <w:lang w:eastAsia="en-AU"/>
        </w:rPr>
        <w:t>is not required.</w:t>
      </w:r>
    </w:p>
    <w:p w14:paraId="102D2B7C" w14:textId="2696D256" w:rsidR="00D06624" w:rsidRDefault="00D06624" w:rsidP="00A30DB0">
      <w:pPr>
        <w:rPr>
          <w:lang w:eastAsia="en-AU"/>
        </w:rPr>
      </w:pPr>
    </w:p>
    <w:p w14:paraId="2A03499D" w14:textId="154FCB91" w:rsidR="00D06624" w:rsidRDefault="00D06624" w:rsidP="00D06624">
      <w:pPr>
        <w:rPr>
          <w:szCs w:val="24"/>
          <w:lang w:eastAsia="en-AU"/>
        </w:rPr>
      </w:pPr>
      <w:r>
        <w:rPr>
          <w:szCs w:val="24"/>
          <w:lang w:eastAsia="en-AU"/>
        </w:rPr>
        <w:t>However, on 15 April 2020 the Parliamentary Joint Committee on Human Rights wrote to the Secretary of the Department of Education, Skills and Employment stating that, given the potential impact on human rights of legislative instruments dealing with the COVID-19 response, the Committee would appreciate if all such instruments were accompanied by a statement of compatibility. Therefore, this statement of compatibility has been prepared pursuant to that request.</w:t>
      </w:r>
    </w:p>
    <w:p w14:paraId="314139E4" w14:textId="6431F086" w:rsidR="00D06624" w:rsidRDefault="00D06624" w:rsidP="00D06624">
      <w:pPr>
        <w:rPr>
          <w:szCs w:val="24"/>
          <w:lang w:eastAsia="en-AU"/>
        </w:rPr>
      </w:pPr>
    </w:p>
    <w:p w14:paraId="5802883C" w14:textId="77777777" w:rsidR="00E51EEE" w:rsidRPr="007009AB" w:rsidRDefault="00E51EEE" w:rsidP="00E51EEE">
      <w:pPr>
        <w:pStyle w:val="Heading2"/>
        <w:spacing w:before="0" w:after="240"/>
        <w:rPr>
          <w:sz w:val="24"/>
          <w:szCs w:val="24"/>
          <w:lang w:eastAsia="en-AU"/>
        </w:rPr>
      </w:pPr>
      <w:r w:rsidRPr="00B87450">
        <w:rPr>
          <w:sz w:val="24"/>
          <w:szCs w:val="24"/>
          <w:lang w:eastAsia="en-AU"/>
        </w:rPr>
        <w:t>Analysis of h</w:t>
      </w:r>
      <w:r w:rsidRPr="007009AB">
        <w:rPr>
          <w:sz w:val="24"/>
          <w:szCs w:val="24"/>
          <w:lang w:eastAsia="en-AU"/>
        </w:rPr>
        <w:t>uman rights implications</w:t>
      </w:r>
    </w:p>
    <w:p w14:paraId="743153A4" w14:textId="77777777" w:rsidR="00E51EEE" w:rsidRPr="000B5155" w:rsidRDefault="00E51EEE" w:rsidP="00E51EEE">
      <w:pPr>
        <w:rPr>
          <w:b/>
          <w:i/>
          <w:lang w:eastAsia="en-AU"/>
        </w:rPr>
      </w:pPr>
      <w:r w:rsidRPr="000B5155">
        <w:rPr>
          <w:i/>
          <w:szCs w:val="24"/>
          <w:lang w:eastAsia="en-AU"/>
        </w:rPr>
        <w:t>Right</w:t>
      </w:r>
      <w:r w:rsidRPr="000B5155">
        <w:rPr>
          <w:i/>
          <w:lang w:eastAsia="en-AU"/>
        </w:rPr>
        <w:t xml:space="preserve"> to education</w:t>
      </w:r>
    </w:p>
    <w:p w14:paraId="23629F5C" w14:textId="77777777" w:rsidR="00E51EEE" w:rsidRPr="007009AB" w:rsidRDefault="00E51EEE" w:rsidP="00E51EEE">
      <w:pPr>
        <w:spacing w:line="300" w:lineRule="atLeast"/>
        <w:rPr>
          <w:color w:val="000000"/>
          <w:lang w:eastAsia="en-AU"/>
        </w:rPr>
      </w:pPr>
      <w:r w:rsidRPr="007009AB">
        <w:rPr>
          <w:color w:val="000000"/>
          <w:lang w:eastAsia="en-AU"/>
        </w:rPr>
        <w:t>The</w:t>
      </w:r>
      <w:r>
        <w:rPr>
          <w:color w:val="000000"/>
          <w:lang w:eastAsia="en-AU"/>
        </w:rPr>
        <w:t xml:space="preserve"> Amendment</w:t>
      </w:r>
      <w:r w:rsidRPr="007009AB">
        <w:rPr>
          <w:color w:val="000000"/>
          <w:lang w:eastAsia="en-AU"/>
        </w:rPr>
        <w:t xml:space="preserve"> Determination engages the right to education contained in Article 13 of the </w:t>
      </w:r>
      <w:r w:rsidRPr="007009AB">
        <w:rPr>
          <w:i/>
          <w:color w:val="000000"/>
          <w:lang w:eastAsia="en-AU"/>
        </w:rPr>
        <w:t>International Covenant on Economic, Social and Cultural Right</w:t>
      </w:r>
      <w:r>
        <w:rPr>
          <w:i/>
          <w:color w:val="000000"/>
          <w:lang w:eastAsia="en-AU"/>
        </w:rPr>
        <w:t>s</w:t>
      </w:r>
      <w:r>
        <w:rPr>
          <w:color w:val="000000"/>
          <w:lang w:eastAsia="en-AU"/>
        </w:rPr>
        <w:t>.</w:t>
      </w:r>
      <w:r w:rsidRPr="007009AB">
        <w:rPr>
          <w:color w:val="000000"/>
          <w:lang w:eastAsia="en-AU"/>
        </w:rPr>
        <w:t xml:space="preserve"> </w:t>
      </w:r>
    </w:p>
    <w:p w14:paraId="19884BBD" w14:textId="77777777" w:rsidR="00E51EEE" w:rsidRPr="007009AB" w:rsidRDefault="00E51EEE" w:rsidP="00E51EEE">
      <w:pPr>
        <w:spacing w:line="300" w:lineRule="atLeast"/>
        <w:rPr>
          <w:color w:val="000000"/>
          <w:szCs w:val="24"/>
          <w:lang w:eastAsia="en-AU"/>
        </w:rPr>
      </w:pPr>
      <w:r w:rsidRPr="007009AB">
        <w:rPr>
          <w:color w:val="000000"/>
          <w:szCs w:val="24"/>
          <w:lang w:eastAsia="en-AU"/>
        </w:rPr>
        <w:t> </w:t>
      </w:r>
    </w:p>
    <w:p w14:paraId="1CCE57CC" w14:textId="77777777" w:rsidR="00E51EEE" w:rsidRDefault="00E51EEE" w:rsidP="00E51EEE">
      <w:pPr>
        <w:spacing w:line="300" w:lineRule="atLeast"/>
        <w:rPr>
          <w:color w:val="000000"/>
          <w:lang w:eastAsia="en-AU"/>
        </w:rPr>
      </w:pPr>
      <w:r w:rsidRPr="005604B9">
        <w:rPr>
          <w:color w:val="000000"/>
          <w:szCs w:val="24"/>
          <w:lang w:eastAsia="en-AU"/>
        </w:rPr>
        <w:t>Article 13</w:t>
      </w:r>
      <w:r>
        <w:rPr>
          <w:color w:val="000000"/>
          <w:szCs w:val="24"/>
          <w:lang w:eastAsia="en-AU"/>
        </w:rPr>
        <w:t xml:space="preserve"> </w:t>
      </w:r>
      <w:r w:rsidRPr="005604B9">
        <w:rPr>
          <w:color w:val="000000"/>
          <w:szCs w:val="24"/>
          <w:lang w:eastAsia="en-AU"/>
        </w:rPr>
        <w:t>recognises that</w:t>
      </w:r>
      <w:r w:rsidRPr="005604B9">
        <w:rPr>
          <w:color w:val="000000"/>
          <w:szCs w:val="24"/>
        </w:rPr>
        <w:t xml:space="preserve"> education shall be directed to the full development of the human personality and the sense of its dignity, and shall strengthen the respect for human rights and fundamental freedoms</w:t>
      </w:r>
      <w:r>
        <w:rPr>
          <w:rFonts w:ascii="Verdana" w:hAnsi="Verdana"/>
          <w:color w:val="000000"/>
          <w:sz w:val="19"/>
          <w:szCs w:val="19"/>
        </w:rPr>
        <w:t>.</w:t>
      </w:r>
      <w:r>
        <w:rPr>
          <w:color w:val="000000"/>
          <w:lang w:eastAsia="en-AU"/>
        </w:rPr>
        <w:t xml:space="preserve"> </w:t>
      </w:r>
    </w:p>
    <w:p w14:paraId="330AE130" w14:textId="77777777" w:rsidR="00E51EEE" w:rsidRDefault="00E51EEE" w:rsidP="00E51EEE">
      <w:pPr>
        <w:spacing w:line="300" w:lineRule="atLeast"/>
        <w:rPr>
          <w:color w:val="000000"/>
          <w:lang w:eastAsia="en-AU"/>
        </w:rPr>
      </w:pPr>
    </w:p>
    <w:p w14:paraId="436DAB21" w14:textId="77777777" w:rsidR="00E51EEE" w:rsidRPr="007009AB" w:rsidRDefault="00E51EEE" w:rsidP="00E51EEE">
      <w:pPr>
        <w:spacing w:line="300" w:lineRule="atLeast"/>
        <w:rPr>
          <w:color w:val="000000"/>
          <w:lang w:eastAsia="en-AU"/>
        </w:rPr>
      </w:pPr>
      <w:r>
        <w:rPr>
          <w:color w:val="000000"/>
          <w:lang w:eastAsia="en-AU"/>
        </w:rPr>
        <w:t>In addition, paragraph 13(2)(b) recognises</w:t>
      </w:r>
      <w:r w:rsidRPr="007009AB">
        <w:rPr>
          <w:color w:val="000000"/>
          <w:lang w:eastAsia="en-AU"/>
        </w:rPr>
        <w:t xml:space="preserve"> that secondary education, in all its different forms, including technical and vocational secondary education shall be made generally available and accessible to all by every appropriate means and in particular by the progressive introduction of free education.</w:t>
      </w:r>
    </w:p>
    <w:p w14:paraId="614AEFC5" w14:textId="77777777" w:rsidR="00E51EEE" w:rsidRPr="007009AB" w:rsidRDefault="00E51EEE" w:rsidP="00E51EEE">
      <w:pPr>
        <w:spacing w:line="300" w:lineRule="atLeast"/>
        <w:rPr>
          <w:color w:val="000000"/>
          <w:lang w:eastAsia="en-AU"/>
        </w:rPr>
      </w:pPr>
      <w:r w:rsidRPr="007009AB">
        <w:rPr>
          <w:color w:val="000000"/>
          <w:lang w:eastAsia="en-AU"/>
        </w:rPr>
        <w:t> </w:t>
      </w:r>
    </w:p>
    <w:p w14:paraId="12DD5028" w14:textId="77777777" w:rsidR="00E51EEE" w:rsidRDefault="00E51EEE" w:rsidP="00E51EEE">
      <w:pPr>
        <w:spacing w:line="300" w:lineRule="atLeast"/>
        <w:rPr>
          <w:i/>
          <w:color w:val="000000"/>
          <w:lang w:eastAsia="en-AU"/>
        </w:rPr>
      </w:pPr>
      <w:r>
        <w:rPr>
          <w:i/>
          <w:color w:val="000000"/>
          <w:lang w:eastAsia="en-AU"/>
        </w:rPr>
        <w:t>Right to work</w:t>
      </w:r>
    </w:p>
    <w:p w14:paraId="4F58BE1C" w14:textId="77777777" w:rsidR="00E51EEE" w:rsidRDefault="00E51EEE" w:rsidP="00E51EEE">
      <w:pPr>
        <w:spacing w:line="300" w:lineRule="atLeast"/>
        <w:rPr>
          <w:color w:val="000000"/>
          <w:lang w:eastAsia="en-AU"/>
        </w:rPr>
      </w:pPr>
      <w:r>
        <w:rPr>
          <w:color w:val="000000"/>
          <w:lang w:eastAsia="en-AU"/>
        </w:rPr>
        <w:t xml:space="preserve">The Amendment Determination engages the right to work contained in Article 6 of the </w:t>
      </w:r>
      <w:r w:rsidRPr="007009AB">
        <w:rPr>
          <w:i/>
          <w:color w:val="000000"/>
          <w:lang w:eastAsia="en-AU"/>
        </w:rPr>
        <w:t>International Covenant on Economic, Social and Cultural Right</w:t>
      </w:r>
      <w:r>
        <w:rPr>
          <w:i/>
          <w:color w:val="000000"/>
          <w:lang w:eastAsia="en-AU"/>
        </w:rPr>
        <w:t>s</w:t>
      </w:r>
      <w:r>
        <w:rPr>
          <w:color w:val="000000"/>
          <w:lang w:eastAsia="en-AU"/>
        </w:rPr>
        <w:t>.</w:t>
      </w:r>
    </w:p>
    <w:p w14:paraId="1A821F20" w14:textId="77777777" w:rsidR="00E51EEE" w:rsidRDefault="00E51EEE" w:rsidP="00E51EEE">
      <w:pPr>
        <w:spacing w:line="300" w:lineRule="atLeast"/>
        <w:rPr>
          <w:color w:val="000000"/>
          <w:lang w:eastAsia="en-AU"/>
        </w:rPr>
      </w:pPr>
    </w:p>
    <w:p w14:paraId="0CF0D822" w14:textId="77777777" w:rsidR="00E51EEE" w:rsidRDefault="00E51EEE" w:rsidP="00E51EEE">
      <w:pPr>
        <w:spacing w:line="300" w:lineRule="atLeast"/>
        <w:rPr>
          <w:color w:val="000000"/>
          <w:szCs w:val="24"/>
        </w:rPr>
      </w:pPr>
      <w:r w:rsidRPr="00B26C76">
        <w:rPr>
          <w:color w:val="000000"/>
          <w:szCs w:val="24"/>
          <w:lang w:eastAsia="en-AU"/>
        </w:rPr>
        <w:t xml:space="preserve">Article 6 recognises that in order to fully achieve the realisation of the right to work, there should be available </w:t>
      </w:r>
      <w:r w:rsidRPr="00B26C76">
        <w:rPr>
          <w:color w:val="000000"/>
          <w:szCs w:val="24"/>
        </w:rPr>
        <w:t xml:space="preserve">technical and vocational guidance and training programmes, policies and techniques. </w:t>
      </w:r>
    </w:p>
    <w:p w14:paraId="6FFC1425" w14:textId="07FEF1AF" w:rsidR="00E51EEE" w:rsidRDefault="00E51EEE" w:rsidP="00E51EEE">
      <w:pPr>
        <w:spacing w:line="300" w:lineRule="atLeast"/>
        <w:rPr>
          <w:color w:val="000000"/>
          <w:lang w:eastAsia="en-AU"/>
        </w:rPr>
      </w:pPr>
    </w:p>
    <w:p w14:paraId="5D1EECCB" w14:textId="77777777" w:rsidR="004D152D" w:rsidRDefault="00E51EEE" w:rsidP="004D152D">
      <w:pPr>
        <w:rPr>
          <w:lang w:eastAsia="en-AU"/>
        </w:rPr>
      </w:pPr>
      <w:r w:rsidRPr="00E51EEE">
        <w:rPr>
          <w:color w:val="000000"/>
          <w:lang w:eastAsia="en-AU"/>
        </w:rPr>
        <w:t xml:space="preserve">The objective of the Amendment Determination is to ensure </w:t>
      </w:r>
      <w:r>
        <w:rPr>
          <w:lang w:eastAsia="en-AU"/>
        </w:rPr>
        <w:t xml:space="preserve">that ASQA has capacity to refund fees paid under the NVETR Act and the </w:t>
      </w:r>
      <w:r w:rsidRPr="00E51EEE">
        <w:rPr>
          <w:i/>
          <w:lang w:eastAsia="en-AU"/>
        </w:rPr>
        <w:t>Education Services for Overseas Students Act 2000</w:t>
      </w:r>
      <w:r>
        <w:rPr>
          <w:lang w:eastAsia="en-AU"/>
        </w:rPr>
        <w:t xml:space="preserve"> in special or unusual circumstances that cause the fee to be unreasonable or inequitable, including in circumstances related to the COVID-19 pandemic event. It also ensures that the existing discretionary capacity of ASQA to waive fees payable under the NVETR Act and the </w:t>
      </w:r>
      <w:r w:rsidRPr="00ED65DA">
        <w:rPr>
          <w:i/>
          <w:lang w:eastAsia="en-AU"/>
        </w:rPr>
        <w:t>Education Services for Overseas Students Act 2000</w:t>
      </w:r>
      <w:r>
        <w:rPr>
          <w:lang w:eastAsia="en-AU"/>
        </w:rPr>
        <w:t xml:space="preserve"> in special or unusual circumstances extends to the COVID-19 pandemic event.</w:t>
      </w:r>
      <w:r w:rsidR="004D152D">
        <w:rPr>
          <w:lang w:eastAsia="en-AU"/>
        </w:rPr>
        <w:t xml:space="preserve"> </w:t>
      </w:r>
    </w:p>
    <w:p w14:paraId="07D4C2F5" w14:textId="77777777" w:rsidR="004D152D" w:rsidRDefault="004D152D" w:rsidP="004D152D">
      <w:pPr>
        <w:rPr>
          <w:lang w:eastAsia="en-AU"/>
        </w:rPr>
      </w:pPr>
    </w:p>
    <w:p w14:paraId="6BF29268" w14:textId="44A7BDC5" w:rsidR="00E51EEE" w:rsidRPr="004D152D" w:rsidRDefault="004D152D" w:rsidP="004D152D">
      <w:pPr>
        <w:rPr>
          <w:lang w:eastAsia="en-AU"/>
        </w:rPr>
      </w:pPr>
      <w:r>
        <w:rPr>
          <w:lang w:eastAsia="en-AU"/>
        </w:rPr>
        <w:t>Therefore, the Amendment Determination will</w:t>
      </w:r>
      <w:r w:rsidR="00E51EEE">
        <w:rPr>
          <w:color w:val="000000"/>
          <w:lang w:eastAsia="en-AU"/>
        </w:rPr>
        <w:t xml:space="preserve"> </w:t>
      </w:r>
      <w:r w:rsidR="00E51EEE">
        <w:rPr>
          <w:lang w:eastAsia="en-AU"/>
        </w:rPr>
        <w:t xml:space="preserve">help ensure the ongoing sustainability and viability of the vocational education and training sector, and help reduce the financial burden for that sector, during </w:t>
      </w:r>
      <w:r>
        <w:rPr>
          <w:lang w:eastAsia="en-AU"/>
        </w:rPr>
        <w:t xml:space="preserve">the </w:t>
      </w:r>
      <w:r w:rsidR="00E51EEE">
        <w:rPr>
          <w:lang w:eastAsia="en-AU"/>
        </w:rPr>
        <w:t>COVID-19</w:t>
      </w:r>
      <w:r>
        <w:rPr>
          <w:lang w:eastAsia="en-AU"/>
        </w:rPr>
        <w:t xml:space="preserve"> pandemic event</w:t>
      </w:r>
      <w:r w:rsidR="00E51EEE">
        <w:rPr>
          <w:lang w:eastAsia="en-AU"/>
        </w:rPr>
        <w:t>.</w:t>
      </w:r>
    </w:p>
    <w:p w14:paraId="53E79591" w14:textId="77777777" w:rsidR="00E51EEE" w:rsidRDefault="00E51EEE" w:rsidP="00E51EEE">
      <w:pPr>
        <w:spacing w:line="300" w:lineRule="atLeast"/>
        <w:rPr>
          <w:color w:val="000000"/>
          <w:lang w:eastAsia="en-AU"/>
        </w:rPr>
      </w:pPr>
    </w:p>
    <w:p w14:paraId="7661CA31" w14:textId="77777777" w:rsidR="00E51EEE" w:rsidRDefault="00E51EEE" w:rsidP="00E51EEE">
      <w:pPr>
        <w:spacing w:line="300" w:lineRule="atLeast"/>
        <w:rPr>
          <w:color w:val="000000"/>
          <w:lang w:eastAsia="en-AU"/>
        </w:rPr>
      </w:pPr>
      <w:r>
        <w:rPr>
          <w:color w:val="000000"/>
          <w:lang w:eastAsia="en-AU"/>
        </w:rPr>
        <w:t>This objective is aimed at supporting the vocational education and training sector, and therefore promotes both the right to education and the right to work.</w:t>
      </w:r>
    </w:p>
    <w:p w14:paraId="2096B6EF" w14:textId="77777777" w:rsidR="00E51EEE" w:rsidRDefault="00E51EEE" w:rsidP="00E51EEE">
      <w:pPr>
        <w:spacing w:line="300" w:lineRule="atLeast"/>
        <w:rPr>
          <w:color w:val="000000"/>
          <w:lang w:eastAsia="en-AU"/>
        </w:rPr>
      </w:pPr>
    </w:p>
    <w:p w14:paraId="68D12593" w14:textId="77777777" w:rsidR="004D152D" w:rsidRDefault="004D152D" w:rsidP="00E51EEE">
      <w:pPr>
        <w:rPr>
          <w:b/>
        </w:rPr>
      </w:pPr>
    </w:p>
    <w:p w14:paraId="7C02B86B" w14:textId="77777777" w:rsidR="004D152D" w:rsidRDefault="004D152D" w:rsidP="00E51EEE">
      <w:pPr>
        <w:rPr>
          <w:b/>
        </w:rPr>
      </w:pPr>
    </w:p>
    <w:p w14:paraId="7A35B5C8" w14:textId="77777777" w:rsidR="004D152D" w:rsidRDefault="004D152D" w:rsidP="00E51EEE">
      <w:pPr>
        <w:rPr>
          <w:b/>
        </w:rPr>
      </w:pPr>
    </w:p>
    <w:p w14:paraId="50F4AF7D" w14:textId="738CC385" w:rsidR="00E51EEE" w:rsidRDefault="00E51EEE" w:rsidP="00E51EEE">
      <w:pPr>
        <w:rPr>
          <w:b/>
        </w:rPr>
      </w:pPr>
      <w:r>
        <w:rPr>
          <w:b/>
        </w:rPr>
        <w:t>Conclusion</w:t>
      </w:r>
    </w:p>
    <w:p w14:paraId="55FD1EE2" w14:textId="77777777" w:rsidR="00E51EEE" w:rsidRDefault="00E51EEE" w:rsidP="00E51EEE">
      <w:pPr>
        <w:rPr>
          <w:b/>
        </w:rPr>
      </w:pPr>
    </w:p>
    <w:p w14:paraId="6A96A116" w14:textId="77777777" w:rsidR="00E51EEE" w:rsidRPr="00C404B3" w:rsidRDefault="00E51EEE" w:rsidP="00E51EEE">
      <w:pPr>
        <w:rPr>
          <w:color w:val="FF0000"/>
        </w:rPr>
      </w:pPr>
      <w:r>
        <w:rPr>
          <w:color w:val="000000"/>
        </w:rPr>
        <w:t xml:space="preserve">This instrument is compatible with the human rights and freedoms recognised or declared in the international instruments listed in section 3 of the </w:t>
      </w:r>
      <w:r>
        <w:rPr>
          <w:rFonts w:ascii="&amp;quot" w:hAnsi="&amp;quot"/>
          <w:i/>
          <w:iCs/>
          <w:color w:val="000000"/>
        </w:rPr>
        <w:t>Human Rights (Parliamentary Scrutiny) Act 2011</w:t>
      </w:r>
      <w:r>
        <w:rPr>
          <w:color w:val="000000"/>
        </w:rPr>
        <w:t>.</w:t>
      </w:r>
    </w:p>
    <w:p w14:paraId="6AE52E2D" w14:textId="77777777" w:rsidR="00D06624" w:rsidRDefault="00D06624" w:rsidP="00D06624">
      <w:pPr>
        <w:rPr>
          <w:szCs w:val="24"/>
          <w:lang w:eastAsia="en-AU"/>
        </w:rPr>
      </w:pPr>
    </w:p>
    <w:p w14:paraId="308E63FB" w14:textId="1C27EF01" w:rsidR="00D06624" w:rsidRDefault="00D06624" w:rsidP="00D06624">
      <w:pPr>
        <w:rPr>
          <w:szCs w:val="24"/>
          <w:lang w:eastAsia="en-AU"/>
        </w:rPr>
      </w:pPr>
    </w:p>
    <w:p w14:paraId="4308C99D" w14:textId="77777777" w:rsidR="00D06624" w:rsidRDefault="00D06624" w:rsidP="00D06624">
      <w:pPr>
        <w:rPr>
          <w:szCs w:val="24"/>
          <w:lang w:eastAsia="en-AU"/>
        </w:rPr>
      </w:pPr>
    </w:p>
    <w:p w14:paraId="0310025D" w14:textId="77777777" w:rsidR="00D06624" w:rsidRDefault="00D06624" w:rsidP="00A30DB0">
      <w:pPr>
        <w:rPr>
          <w:lang w:eastAsia="en-AU"/>
        </w:rPr>
      </w:pPr>
    </w:p>
    <w:p w14:paraId="0D24535D" w14:textId="77777777" w:rsidR="002C634B" w:rsidRDefault="002C634B" w:rsidP="00A30DB0">
      <w:pPr>
        <w:rPr>
          <w:lang w:eastAsia="en-AU"/>
        </w:rPr>
      </w:pPr>
    </w:p>
    <w:p w14:paraId="459EC1A5" w14:textId="77777777" w:rsidR="002C634B" w:rsidRPr="00A30DB0" w:rsidRDefault="002C634B" w:rsidP="00A30DB0">
      <w:pPr>
        <w:rPr>
          <w:lang w:eastAsia="en-AU"/>
        </w:rPr>
      </w:pPr>
    </w:p>
    <w:p w14:paraId="7677ACE2" w14:textId="77777777" w:rsidR="00AB1CAA" w:rsidRPr="00BC410F" w:rsidRDefault="00AB1CAA" w:rsidP="00196B23"/>
    <w:sectPr w:rsidR="00AB1CAA" w:rsidRPr="00BC410F" w:rsidSect="00B4410E">
      <w:footerReference w:type="default" r:id="rId11"/>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42330" w14:textId="77777777" w:rsidR="00DD3F2E" w:rsidRDefault="00DD3F2E" w:rsidP="00AC09DB">
      <w:r>
        <w:separator/>
      </w:r>
    </w:p>
  </w:endnote>
  <w:endnote w:type="continuationSeparator" w:id="0">
    <w:p w14:paraId="40D9DAD4" w14:textId="77777777" w:rsidR="00DD3F2E" w:rsidRDefault="00DD3F2E" w:rsidP="00AC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F0184" w14:textId="77777777" w:rsidR="001F27E4" w:rsidRDefault="001F27E4" w:rsidP="00AC09DB">
    <w:pPr>
      <w:pStyle w:val="Footer"/>
      <w:pBdr>
        <w:top w:val="single" w:sz="4" w:space="1" w:color="D9D9D9" w:themeColor="background1" w:themeShade="D9"/>
      </w:pBdr>
      <w:jc w:val="center"/>
    </w:pPr>
  </w:p>
  <w:p w14:paraId="11C9E2D9" w14:textId="4EDF7407" w:rsidR="001F27E4" w:rsidRDefault="00ED6C93" w:rsidP="00AC09DB">
    <w:pPr>
      <w:pStyle w:val="Footer"/>
      <w:pBdr>
        <w:top w:val="single" w:sz="4" w:space="1" w:color="D9D9D9" w:themeColor="background1" w:themeShade="D9"/>
      </w:pBdr>
      <w:jc w:val="center"/>
      <w:rPr>
        <w:b/>
        <w:bCs/>
      </w:rPr>
    </w:pPr>
    <w:sdt>
      <w:sdtPr>
        <w:id w:val="-1544350866"/>
        <w:docPartObj>
          <w:docPartGallery w:val="Page Numbers (Bottom of Page)"/>
          <w:docPartUnique/>
        </w:docPartObj>
      </w:sdtPr>
      <w:sdtEndPr>
        <w:rPr>
          <w:color w:val="7F7F7F" w:themeColor="background1" w:themeShade="7F"/>
          <w:spacing w:val="60"/>
        </w:rPr>
      </w:sdtEndPr>
      <w:sdtContent>
        <w:r w:rsidR="001F27E4">
          <w:fldChar w:fldCharType="begin"/>
        </w:r>
        <w:r w:rsidR="001F27E4">
          <w:instrText xml:space="preserve"> PAGE   \* MERGEFORMAT </w:instrText>
        </w:r>
        <w:r w:rsidR="001F27E4">
          <w:fldChar w:fldCharType="separate"/>
        </w:r>
        <w:r w:rsidRPr="00ED6C93">
          <w:rPr>
            <w:b/>
            <w:bCs/>
            <w:noProof/>
          </w:rPr>
          <w:t>1</w:t>
        </w:r>
        <w:r w:rsidR="001F27E4">
          <w:rPr>
            <w:b/>
            <w:bCs/>
            <w:noProof/>
          </w:rPr>
          <w:fldChar w:fldCharType="end"/>
        </w:r>
        <w:r w:rsidR="001F27E4">
          <w:rPr>
            <w:b/>
            <w:bCs/>
          </w:rPr>
          <w:t xml:space="preserve"> </w:t>
        </w:r>
      </w:sdtContent>
    </w:sdt>
  </w:p>
  <w:p w14:paraId="09105F29" w14:textId="77777777" w:rsidR="001F27E4" w:rsidRDefault="001F2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60ECE" w14:textId="77777777" w:rsidR="00DD3F2E" w:rsidRDefault="00DD3F2E" w:rsidP="00AC09DB">
      <w:r>
        <w:separator/>
      </w:r>
    </w:p>
  </w:footnote>
  <w:footnote w:type="continuationSeparator" w:id="0">
    <w:p w14:paraId="39EC5961" w14:textId="77777777" w:rsidR="00DD3F2E" w:rsidRDefault="00DD3F2E" w:rsidP="00AC09DB">
      <w:r>
        <w:continuationSeparator/>
      </w:r>
    </w:p>
  </w:footnote>
  <w:footnote w:id="1">
    <w:p w14:paraId="06184D73" w14:textId="2B629366" w:rsidR="00B016E3" w:rsidRDefault="00B016E3">
      <w:pPr>
        <w:pStyle w:val="FootnoteText"/>
      </w:pPr>
      <w:r>
        <w:rPr>
          <w:rStyle w:val="FootnoteReference"/>
        </w:rPr>
        <w:footnoteRef/>
      </w:r>
      <w:r>
        <w:t xml:space="preserve">  Note that ASQA is the National Vocational Education and Trainin</w:t>
      </w:r>
      <w:r w:rsidR="00356AF4">
        <w:t xml:space="preserve">g Regulator under the NVETR Act </w:t>
      </w:r>
      <w:r w:rsidR="00356AF4">
        <w:rPr>
          <w:lang w:eastAsia="en-AU"/>
        </w:rPr>
        <w:t xml:space="preserve">(see regulation 15 of the </w:t>
      </w:r>
      <w:r w:rsidR="00356AF4">
        <w:rPr>
          <w:i/>
          <w:lang w:eastAsia="en-AU"/>
        </w:rPr>
        <w:t>National Vocational Education and Training Regulator Regulations 2011</w:t>
      </w:r>
      <w:r w:rsidR="00356AF4">
        <w:rPr>
          <w:lang w:eastAsia="en-AU"/>
        </w:rPr>
        <w:t>)</w:t>
      </w:r>
      <w:r w:rsidR="00356AF4">
        <w:t>.</w:t>
      </w:r>
    </w:p>
  </w:footnote>
  <w:footnote w:id="2">
    <w:p w14:paraId="7A9DC955" w14:textId="77164FE5" w:rsidR="00356AF4" w:rsidRDefault="00356AF4">
      <w:pPr>
        <w:pStyle w:val="FootnoteText"/>
      </w:pPr>
      <w:r>
        <w:rPr>
          <w:rStyle w:val="FootnoteReference"/>
        </w:rPr>
        <w:footnoteRef/>
      </w:r>
      <w:r>
        <w:t xml:space="preserve"> </w:t>
      </w:r>
      <w:hyperlink r:id="rId1" w:history="1">
        <w:r w:rsidRPr="00424108">
          <w:rPr>
            <w:rStyle w:val="Hyperlink"/>
          </w:rPr>
          <w:t>https://www.dese.gov.au/covid-19/higher-education/higher-education-faq</w:t>
        </w:r>
      </w:hyperlink>
      <w:r>
        <w:t xml:space="preserve"> </w:t>
      </w:r>
    </w:p>
  </w:footnote>
  <w:footnote w:id="3">
    <w:p w14:paraId="6D5FF3CA" w14:textId="77777777" w:rsidR="005D1BA4" w:rsidRDefault="005D1BA4" w:rsidP="005D1BA4">
      <w:pPr>
        <w:pStyle w:val="FootnoteText"/>
      </w:pPr>
      <w:r>
        <w:rPr>
          <w:rStyle w:val="FootnoteReference"/>
        </w:rPr>
        <w:footnoteRef/>
      </w:r>
      <w:r>
        <w:t xml:space="preserve"> </w:t>
      </w:r>
      <w:hyperlink r:id="rId2" w:history="1">
        <w:r w:rsidRPr="00424108">
          <w:rPr>
            <w:rStyle w:val="Hyperlink"/>
          </w:rPr>
          <w:t>https://ris.pmc.gov.au/2020/03/18/prime-ministers-exemption-–-covid-19-related-measures</w:t>
        </w:r>
      </w:hyperlink>
      <w:r>
        <w:t xml:space="preserve"> </w:t>
      </w:r>
    </w:p>
  </w:footnote>
  <w:footnote w:id="4">
    <w:p w14:paraId="5FB022E3" w14:textId="77777777" w:rsidR="00D06624" w:rsidRDefault="00D06624" w:rsidP="00D06624">
      <w:pPr>
        <w:pStyle w:val="FootnoteText"/>
      </w:pPr>
      <w:r>
        <w:rPr>
          <w:rStyle w:val="FootnoteReference"/>
        </w:rPr>
        <w:footnoteRef/>
      </w:r>
      <w:r>
        <w:t xml:space="preserve">  Note that ASQA is the National Vocational Education and Training Regulator under the NVETR Act </w:t>
      </w:r>
      <w:r>
        <w:rPr>
          <w:lang w:eastAsia="en-AU"/>
        </w:rPr>
        <w:t xml:space="preserve">(see regulation 15 of the </w:t>
      </w:r>
      <w:r>
        <w:rPr>
          <w:i/>
          <w:lang w:eastAsia="en-AU"/>
        </w:rPr>
        <w:t>National Vocational Education and Training Regulator Regulations 2011</w:t>
      </w:r>
      <w:r>
        <w:rPr>
          <w:lang w:eastAsia="en-AU"/>
        </w:rPr>
        <w: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6163"/>
    <w:multiLevelType w:val="hybridMultilevel"/>
    <w:tmpl w:val="BA26DD4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15:restartNumberingAfterBreak="0">
    <w:nsid w:val="02EA7FE6"/>
    <w:multiLevelType w:val="hybridMultilevel"/>
    <w:tmpl w:val="3D02E3B2"/>
    <w:lvl w:ilvl="0" w:tplc="0C090001">
      <w:start w:val="1"/>
      <w:numFmt w:val="bullet"/>
      <w:lvlText w:val=""/>
      <w:lvlJc w:val="left"/>
      <w:pPr>
        <w:ind w:left="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 w15:restartNumberingAfterBreak="0">
    <w:nsid w:val="04891F86"/>
    <w:multiLevelType w:val="hybridMultilevel"/>
    <w:tmpl w:val="087E210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060E0506"/>
    <w:multiLevelType w:val="hybridMultilevel"/>
    <w:tmpl w:val="B21084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0153252"/>
    <w:multiLevelType w:val="hybridMultilevel"/>
    <w:tmpl w:val="F90A795C"/>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130D5F"/>
    <w:multiLevelType w:val="hybridMultilevel"/>
    <w:tmpl w:val="4F7CDF84"/>
    <w:lvl w:ilvl="0" w:tplc="227C70A2">
      <w:start w:val="3"/>
      <w:numFmt w:val="bullet"/>
      <w:lvlText w:val="-"/>
      <w:lvlJc w:val="left"/>
      <w:pPr>
        <w:ind w:left="720" w:hanging="360"/>
      </w:pPr>
      <w:rPr>
        <w:rFonts w:ascii="&amp;quot" w:eastAsia="Times New Roman" w:hAnsi="&amp;quo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EC158B"/>
    <w:multiLevelType w:val="hybridMultilevel"/>
    <w:tmpl w:val="5FB62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D50EC7"/>
    <w:multiLevelType w:val="hybridMultilevel"/>
    <w:tmpl w:val="27FC7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A36A7D"/>
    <w:multiLevelType w:val="hybridMultilevel"/>
    <w:tmpl w:val="034028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72010D"/>
    <w:multiLevelType w:val="hybridMultilevel"/>
    <w:tmpl w:val="14E265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3E1FB7"/>
    <w:multiLevelType w:val="hybridMultilevel"/>
    <w:tmpl w:val="BC045E2A"/>
    <w:lvl w:ilvl="0" w:tplc="13EA7E8A">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256F5C56"/>
    <w:multiLevelType w:val="hybridMultilevel"/>
    <w:tmpl w:val="3F064E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92C42B9"/>
    <w:multiLevelType w:val="hybridMultilevel"/>
    <w:tmpl w:val="F3583B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2A4C5BA7"/>
    <w:multiLevelType w:val="hybridMultilevel"/>
    <w:tmpl w:val="A5461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016FDF"/>
    <w:multiLevelType w:val="hybridMultilevel"/>
    <w:tmpl w:val="277AF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690099"/>
    <w:multiLevelType w:val="hybridMultilevel"/>
    <w:tmpl w:val="FE243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CF488E"/>
    <w:multiLevelType w:val="hybridMultilevel"/>
    <w:tmpl w:val="75466D78"/>
    <w:lvl w:ilvl="0" w:tplc="13EA7E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FD2E4A"/>
    <w:multiLevelType w:val="hybridMultilevel"/>
    <w:tmpl w:val="1DF252FC"/>
    <w:lvl w:ilvl="0" w:tplc="0C090001">
      <w:start w:val="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947EE4"/>
    <w:multiLevelType w:val="hybridMultilevel"/>
    <w:tmpl w:val="7A6CED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3A6701"/>
    <w:multiLevelType w:val="hybridMultilevel"/>
    <w:tmpl w:val="A5B24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D3266D"/>
    <w:multiLevelType w:val="hybridMultilevel"/>
    <w:tmpl w:val="8280CC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E520F1E"/>
    <w:multiLevelType w:val="hybridMultilevel"/>
    <w:tmpl w:val="59E29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605C1E"/>
    <w:multiLevelType w:val="hybridMultilevel"/>
    <w:tmpl w:val="4DBEE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B05D1B"/>
    <w:multiLevelType w:val="hybridMultilevel"/>
    <w:tmpl w:val="1DDA7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8C7998"/>
    <w:multiLevelType w:val="hybridMultilevel"/>
    <w:tmpl w:val="11DEF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BC2314"/>
    <w:multiLevelType w:val="hybridMultilevel"/>
    <w:tmpl w:val="7E3AF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D521C0"/>
    <w:multiLevelType w:val="hybridMultilevel"/>
    <w:tmpl w:val="F762032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6EB40B5"/>
    <w:multiLevelType w:val="hybridMultilevel"/>
    <w:tmpl w:val="1D42D83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9" w15:restartNumberingAfterBreak="0">
    <w:nsid w:val="580335A1"/>
    <w:multiLevelType w:val="hybridMultilevel"/>
    <w:tmpl w:val="678A8A02"/>
    <w:lvl w:ilvl="0" w:tplc="179078D0">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0" w15:restartNumberingAfterBreak="0">
    <w:nsid w:val="58A73B2C"/>
    <w:multiLevelType w:val="hybridMultilevel"/>
    <w:tmpl w:val="A88A5042"/>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31" w15:restartNumberingAfterBreak="0">
    <w:nsid w:val="62B87907"/>
    <w:multiLevelType w:val="hybridMultilevel"/>
    <w:tmpl w:val="A4444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A608B8"/>
    <w:multiLevelType w:val="hybridMultilevel"/>
    <w:tmpl w:val="792E668C"/>
    <w:lvl w:ilvl="0" w:tplc="13EA7E8A">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65DF6494"/>
    <w:multiLevelType w:val="multilevel"/>
    <w:tmpl w:val="A316FE50"/>
    <w:numStyleLink w:val="ChapterList"/>
  </w:abstractNum>
  <w:abstractNum w:abstractNumId="34" w15:restartNumberingAfterBreak="0">
    <w:nsid w:val="67376A5C"/>
    <w:multiLevelType w:val="hybridMultilevel"/>
    <w:tmpl w:val="3E14F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B364D6"/>
    <w:multiLevelType w:val="hybridMultilevel"/>
    <w:tmpl w:val="75E45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40057C"/>
    <w:multiLevelType w:val="hybridMultilevel"/>
    <w:tmpl w:val="18D044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71C30DEB"/>
    <w:multiLevelType w:val="hybridMultilevel"/>
    <w:tmpl w:val="234A403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8" w15:restartNumberingAfterBreak="0">
    <w:nsid w:val="7305605B"/>
    <w:multiLevelType w:val="hybridMultilevel"/>
    <w:tmpl w:val="8FE838D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35B4AA3"/>
    <w:multiLevelType w:val="hybridMultilevel"/>
    <w:tmpl w:val="3404E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272990"/>
    <w:multiLevelType w:val="hybridMultilevel"/>
    <w:tmpl w:val="5E72A82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1" w15:restartNumberingAfterBreak="0">
    <w:nsid w:val="79DE7B6F"/>
    <w:multiLevelType w:val="hybridMultilevel"/>
    <w:tmpl w:val="D7162014"/>
    <w:lvl w:ilvl="0" w:tplc="0C090001">
      <w:start w:val="2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8760EB"/>
    <w:multiLevelType w:val="hybridMultilevel"/>
    <w:tmpl w:val="BC045E2A"/>
    <w:lvl w:ilvl="0" w:tplc="13EA7E8A">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3" w15:restartNumberingAfterBreak="0">
    <w:nsid w:val="7B5113BC"/>
    <w:multiLevelType w:val="hybridMultilevel"/>
    <w:tmpl w:val="A4AE3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F8347F"/>
    <w:multiLevelType w:val="hybridMultilevel"/>
    <w:tmpl w:val="43E4FE78"/>
    <w:lvl w:ilvl="0" w:tplc="10FE260E">
      <w:start w:val="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34"/>
  </w:num>
  <w:num w:numId="3">
    <w:abstractNumId w:val="4"/>
  </w:num>
  <w:num w:numId="4">
    <w:abstractNumId w:val="27"/>
  </w:num>
  <w:num w:numId="5">
    <w:abstractNumId w:val="23"/>
  </w:num>
  <w:num w:numId="6">
    <w:abstractNumId w:val="9"/>
  </w:num>
  <w:num w:numId="7">
    <w:abstractNumId w:val="22"/>
  </w:num>
  <w:num w:numId="8">
    <w:abstractNumId w:val="17"/>
  </w:num>
  <w:num w:numId="9">
    <w:abstractNumId w:val="43"/>
  </w:num>
  <w:num w:numId="10">
    <w:abstractNumId w:val="5"/>
  </w:num>
  <w:num w:numId="11">
    <w:abstractNumId w:val="26"/>
  </w:num>
  <w:num w:numId="12">
    <w:abstractNumId w:val="20"/>
  </w:num>
  <w:num w:numId="13">
    <w:abstractNumId w:val="11"/>
  </w:num>
  <w:num w:numId="14">
    <w:abstractNumId w:val="39"/>
  </w:num>
  <w:num w:numId="15">
    <w:abstractNumId w:val="2"/>
  </w:num>
  <w:num w:numId="16">
    <w:abstractNumId w:val="35"/>
  </w:num>
  <w:num w:numId="17">
    <w:abstractNumId w:val="25"/>
  </w:num>
  <w:num w:numId="18">
    <w:abstractNumId w:val="8"/>
  </w:num>
  <w:num w:numId="19">
    <w:abstractNumId w:val="44"/>
  </w:num>
  <w:num w:numId="20">
    <w:abstractNumId w:val="1"/>
  </w:num>
  <w:num w:numId="21">
    <w:abstractNumId w:val="28"/>
  </w:num>
  <w:num w:numId="22">
    <w:abstractNumId w:val="7"/>
  </w:num>
  <w:num w:numId="23">
    <w:abstractNumId w:val="33"/>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1"/>
  </w:num>
  <w:num w:numId="25">
    <w:abstractNumId w:val="10"/>
  </w:num>
  <w:num w:numId="26">
    <w:abstractNumId w:val="32"/>
  </w:num>
  <w:num w:numId="27">
    <w:abstractNumId w:val="42"/>
  </w:num>
  <w:num w:numId="28">
    <w:abstractNumId w:val="33"/>
  </w:num>
  <w:num w:numId="29">
    <w:abstractNumId w:val="38"/>
  </w:num>
  <w:num w:numId="30">
    <w:abstractNumId w:val="16"/>
  </w:num>
  <w:num w:numId="31">
    <w:abstractNumId w:val="41"/>
  </w:num>
  <w:num w:numId="32">
    <w:abstractNumId w:val="37"/>
  </w:num>
  <w:num w:numId="33">
    <w:abstractNumId w:val="0"/>
  </w:num>
  <w:num w:numId="34">
    <w:abstractNumId w:val="44"/>
  </w:num>
  <w:num w:numId="35">
    <w:abstractNumId w:val="6"/>
  </w:num>
  <w:num w:numId="36">
    <w:abstractNumId w:val="19"/>
  </w:num>
  <w:num w:numId="37">
    <w:abstractNumId w:val="36"/>
  </w:num>
  <w:num w:numId="38">
    <w:abstractNumId w:val="30"/>
  </w:num>
  <w:num w:numId="39">
    <w:abstractNumId w:val="3"/>
  </w:num>
  <w:num w:numId="40">
    <w:abstractNumId w:val="40"/>
  </w:num>
  <w:num w:numId="41">
    <w:abstractNumId w:val="40"/>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5"/>
  </w:num>
  <w:num w:numId="45">
    <w:abstractNumId w:val="12"/>
  </w:num>
  <w:num w:numId="46">
    <w:abstractNumId w:val="13"/>
  </w:num>
  <w:num w:numId="47">
    <w:abstractNumId w:val="24"/>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AC"/>
    <w:rsid w:val="00000A9D"/>
    <w:rsid w:val="00003F6C"/>
    <w:rsid w:val="000043F6"/>
    <w:rsid w:val="000150E6"/>
    <w:rsid w:val="000209EA"/>
    <w:rsid w:val="00025508"/>
    <w:rsid w:val="0002570E"/>
    <w:rsid w:val="000414B8"/>
    <w:rsid w:val="00047182"/>
    <w:rsid w:val="00052757"/>
    <w:rsid w:val="00054018"/>
    <w:rsid w:val="0006026C"/>
    <w:rsid w:val="0006561C"/>
    <w:rsid w:val="000668B0"/>
    <w:rsid w:val="00066DEE"/>
    <w:rsid w:val="00083A2A"/>
    <w:rsid w:val="00086029"/>
    <w:rsid w:val="000927F3"/>
    <w:rsid w:val="00097318"/>
    <w:rsid w:val="000A1F80"/>
    <w:rsid w:val="000A6FE1"/>
    <w:rsid w:val="000A7B92"/>
    <w:rsid w:val="000B092B"/>
    <w:rsid w:val="000B2AF8"/>
    <w:rsid w:val="000B3553"/>
    <w:rsid w:val="000B7C69"/>
    <w:rsid w:val="000C60F9"/>
    <w:rsid w:val="000C622E"/>
    <w:rsid w:val="000E259B"/>
    <w:rsid w:val="000E2E3F"/>
    <w:rsid w:val="000E4693"/>
    <w:rsid w:val="000E5F8D"/>
    <w:rsid w:val="000E6953"/>
    <w:rsid w:val="000F0389"/>
    <w:rsid w:val="000F73DC"/>
    <w:rsid w:val="0010050A"/>
    <w:rsid w:val="00104831"/>
    <w:rsid w:val="00107A00"/>
    <w:rsid w:val="00123EB7"/>
    <w:rsid w:val="001262A7"/>
    <w:rsid w:val="001314B8"/>
    <w:rsid w:val="0013150A"/>
    <w:rsid w:val="00133919"/>
    <w:rsid w:val="00141CB8"/>
    <w:rsid w:val="0014363F"/>
    <w:rsid w:val="00144647"/>
    <w:rsid w:val="001505FF"/>
    <w:rsid w:val="00150BB5"/>
    <w:rsid w:val="00151979"/>
    <w:rsid w:val="001519F2"/>
    <w:rsid w:val="00151B5C"/>
    <w:rsid w:val="00151E72"/>
    <w:rsid w:val="0015355D"/>
    <w:rsid w:val="00163474"/>
    <w:rsid w:val="001721AD"/>
    <w:rsid w:val="00176873"/>
    <w:rsid w:val="00176A40"/>
    <w:rsid w:val="0017719F"/>
    <w:rsid w:val="00196B23"/>
    <w:rsid w:val="001A5938"/>
    <w:rsid w:val="001B1D4E"/>
    <w:rsid w:val="001B56BD"/>
    <w:rsid w:val="001B56C2"/>
    <w:rsid w:val="001B60CC"/>
    <w:rsid w:val="001D3A58"/>
    <w:rsid w:val="001D5FB5"/>
    <w:rsid w:val="001E25F1"/>
    <w:rsid w:val="001E39A5"/>
    <w:rsid w:val="001E4AE8"/>
    <w:rsid w:val="001E6F92"/>
    <w:rsid w:val="001F27E4"/>
    <w:rsid w:val="001F2B72"/>
    <w:rsid w:val="001F3887"/>
    <w:rsid w:val="001F4E62"/>
    <w:rsid w:val="001F5FF2"/>
    <w:rsid w:val="001F6536"/>
    <w:rsid w:val="00201AE7"/>
    <w:rsid w:val="00204196"/>
    <w:rsid w:val="00210A9F"/>
    <w:rsid w:val="00213994"/>
    <w:rsid w:val="00217CA4"/>
    <w:rsid w:val="002246FB"/>
    <w:rsid w:val="00224833"/>
    <w:rsid w:val="00226F77"/>
    <w:rsid w:val="0024443F"/>
    <w:rsid w:val="00253EC7"/>
    <w:rsid w:val="00256897"/>
    <w:rsid w:val="00257B13"/>
    <w:rsid w:val="00260DEC"/>
    <w:rsid w:val="002646A9"/>
    <w:rsid w:val="00266C74"/>
    <w:rsid w:val="00267BFE"/>
    <w:rsid w:val="002739B7"/>
    <w:rsid w:val="00275CE0"/>
    <w:rsid w:val="00277302"/>
    <w:rsid w:val="002813B7"/>
    <w:rsid w:val="00285A27"/>
    <w:rsid w:val="00287BA1"/>
    <w:rsid w:val="00287C07"/>
    <w:rsid w:val="00287FE3"/>
    <w:rsid w:val="00290D7A"/>
    <w:rsid w:val="002A4DD7"/>
    <w:rsid w:val="002A6205"/>
    <w:rsid w:val="002A7332"/>
    <w:rsid w:val="002B0B43"/>
    <w:rsid w:val="002B32FB"/>
    <w:rsid w:val="002C559A"/>
    <w:rsid w:val="002C634B"/>
    <w:rsid w:val="002C6504"/>
    <w:rsid w:val="002C6F75"/>
    <w:rsid w:val="002D4C5C"/>
    <w:rsid w:val="002E0D1E"/>
    <w:rsid w:val="002E6C86"/>
    <w:rsid w:val="002F1E06"/>
    <w:rsid w:val="002F68F2"/>
    <w:rsid w:val="0030101D"/>
    <w:rsid w:val="003035B5"/>
    <w:rsid w:val="00316FA4"/>
    <w:rsid w:val="003249A1"/>
    <w:rsid w:val="003249C0"/>
    <w:rsid w:val="0033240B"/>
    <w:rsid w:val="003349AC"/>
    <w:rsid w:val="00340A35"/>
    <w:rsid w:val="00344A14"/>
    <w:rsid w:val="0035377E"/>
    <w:rsid w:val="00353BFD"/>
    <w:rsid w:val="0035472C"/>
    <w:rsid w:val="00356AF4"/>
    <w:rsid w:val="00363381"/>
    <w:rsid w:val="00376029"/>
    <w:rsid w:val="003772ED"/>
    <w:rsid w:val="003802D0"/>
    <w:rsid w:val="00397423"/>
    <w:rsid w:val="003A14AD"/>
    <w:rsid w:val="003A450B"/>
    <w:rsid w:val="003A69C5"/>
    <w:rsid w:val="003A77EB"/>
    <w:rsid w:val="003B05B5"/>
    <w:rsid w:val="003B204B"/>
    <w:rsid w:val="003B2E60"/>
    <w:rsid w:val="003C5CFF"/>
    <w:rsid w:val="003C7AAB"/>
    <w:rsid w:val="003D5ED0"/>
    <w:rsid w:val="003F60C0"/>
    <w:rsid w:val="003F78FA"/>
    <w:rsid w:val="0040174F"/>
    <w:rsid w:val="00404B01"/>
    <w:rsid w:val="0041000D"/>
    <w:rsid w:val="0042170C"/>
    <w:rsid w:val="00433DF7"/>
    <w:rsid w:val="004437E5"/>
    <w:rsid w:val="00451AAC"/>
    <w:rsid w:val="0045788A"/>
    <w:rsid w:val="00461D73"/>
    <w:rsid w:val="00462C8B"/>
    <w:rsid w:val="00480651"/>
    <w:rsid w:val="00485011"/>
    <w:rsid w:val="00491598"/>
    <w:rsid w:val="004A179A"/>
    <w:rsid w:val="004A76DA"/>
    <w:rsid w:val="004B0427"/>
    <w:rsid w:val="004B15FD"/>
    <w:rsid w:val="004B7259"/>
    <w:rsid w:val="004C171F"/>
    <w:rsid w:val="004D152D"/>
    <w:rsid w:val="004D5A1E"/>
    <w:rsid w:val="004E0952"/>
    <w:rsid w:val="004E1056"/>
    <w:rsid w:val="004E1B70"/>
    <w:rsid w:val="004E7CF2"/>
    <w:rsid w:val="004F1770"/>
    <w:rsid w:val="004F2BEE"/>
    <w:rsid w:val="004F44E2"/>
    <w:rsid w:val="0050347D"/>
    <w:rsid w:val="00504FF6"/>
    <w:rsid w:val="005068EA"/>
    <w:rsid w:val="00512557"/>
    <w:rsid w:val="005126AB"/>
    <w:rsid w:val="005138ED"/>
    <w:rsid w:val="00514303"/>
    <w:rsid w:val="0051514B"/>
    <w:rsid w:val="0051710D"/>
    <w:rsid w:val="00522C9A"/>
    <w:rsid w:val="00523034"/>
    <w:rsid w:val="005244BA"/>
    <w:rsid w:val="00531B76"/>
    <w:rsid w:val="00532B68"/>
    <w:rsid w:val="005335FD"/>
    <w:rsid w:val="005336F0"/>
    <w:rsid w:val="0053555B"/>
    <w:rsid w:val="00537679"/>
    <w:rsid w:val="00537690"/>
    <w:rsid w:val="00553C47"/>
    <w:rsid w:val="00560EAD"/>
    <w:rsid w:val="00566F80"/>
    <w:rsid w:val="005670D0"/>
    <w:rsid w:val="005710E1"/>
    <w:rsid w:val="00573E89"/>
    <w:rsid w:val="00573F34"/>
    <w:rsid w:val="0057455E"/>
    <w:rsid w:val="0057528D"/>
    <w:rsid w:val="00582676"/>
    <w:rsid w:val="005837C6"/>
    <w:rsid w:val="0059224F"/>
    <w:rsid w:val="00597483"/>
    <w:rsid w:val="005A7A87"/>
    <w:rsid w:val="005B2D32"/>
    <w:rsid w:val="005C06BC"/>
    <w:rsid w:val="005C244C"/>
    <w:rsid w:val="005C43D7"/>
    <w:rsid w:val="005D1BA4"/>
    <w:rsid w:val="005D236C"/>
    <w:rsid w:val="005D6291"/>
    <w:rsid w:val="005E194C"/>
    <w:rsid w:val="005E70EF"/>
    <w:rsid w:val="005F1F8B"/>
    <w:rsid w:val="005F42B5"/>
    <w:rsid w:val="005F4587"/>
    <w:rsid w:val="005F7484"/>
    <w:rsid w:val="00600D4B"/>
    <w:rsid w:val="0061113A"/>
    <w:rsid w:val="00614E75"/>
    <w:rsid w:val="006164C4"/>
    <w:rsid w:val="006222AD"/>
    <w:rsid w:val="00623199"/>
    <w:rsid w:val="006305BE"/>
    <w:rsid w:val="006307C9"/>
    <w:rsid w:val="0063442F"/>
    <w:rsid w:val="006372F6"/>
    <w:rsid w:val="00641D94"/>
    <w:rsid w:val="006423C3"/>
    <w:rsid w:val="00645B74"/>
    <w:rsid w:val="00651309"/>
    <w:rsid w:val="0066263C"/>
    <w:rsid w:val="00664E53"/>
    <w:rsid w:val="00671D14"/>
    <w:rsid w:val="00675DD5"/>
    <w:rsid w:val="00680819"/>
    <w:rsid w:val="006866D2"/>
    <w:rsid w:val="006869E9"/>
    <w:rsid w:val="006939C9"/>
    <w:rsid w:val="006A0920"/>
    <w:rsid w:val="006A11EB"/>
    <w:rsid w:val="006A1F60"/>
    <w:rsid w:val="006B26E4"/>
    <w:rsid w:val="006B4EE8"/>
    <w:rsid w:val="006C461C"/>
    <w:rsid w:val="006D11A9"/>
    <w:rsid w:val="006D400F"/>
    <w:rsid w:val="006D5825"/>
    <w:rsid w:val="006D7AC5"/>
    <w:rsid w:val="006E3F5F"/>
    <w:rsid w:val="006F4C0E"/>
    <w:rsid w:val="00723C27"/>
    <w:rsid w:val="007241F7"/>
    <w:rsid w:val="0072746A"/>
    <w:rsid w:val="007308B9"/>
    <w:rsid w:val="00732A1D"/>
    <w:rsid w:val="00732F8A"/>
    <w:rsid w:val="00737AB0"/>
    <w:rsid w:val="00742F1F"/>
    <w:rsid w:val="00745098"/>
    <w:rsid w:val="007466DB"/>
    <w:rsid w:val="00750D51"/>
    <w:rsid w:val="00751025"/>
    <w:rsid w:val="0075486C"/>
    <w:rsid w:val="00762DE4"/>
    <w:rsid w:val="00766811"/>
    <w:rsid w:val="00766987"/>
    <w:rsid w:val="00781474"/>
    <w:rsid w:val="00782F3C"/>
    <w:rsid w:val="007839CC"/>
    <w:rsid w:val="00785FD4"/>
    <w:rsid w:val="00791D05"/>
    <w:rsid w:val="007A2D5B"/>
    <w:rsid w:val="007A33D9"/>
    <w:rsid w:val="007B4348"/>
    <w:rsid w:val="007B5009"/>
    <w:rsid w:val="007B500F"/>
    <w:rsid w:val="007C4801"/>
    <w:rsid w:val="007C6D96"/>
    <w:rsid w:val="007D3DE9"/>
    <w:rsid w:val="007D434E"/>
    <w:rsid w:val="007E117C"/>
    <w:rsid w:val="007E5A1E"/>
    <w:rsid w:val="007F01A2"/>
    <w:rsid w:val="007F6923"/>
    <w:rsid w:val="0080542E"/>
    <w:rsid w:val="00810D5C"/>
    <w:rsid w:val="00811362"/>
    <w:rsid w:val="008148C3"/>
    <w:rsid w:val="00820370"/>
    <w:rsid w:val="00820645"/>
    <w:rsid w:val="00823760"/>
    <w:rsid w:val="0082480E"/>
    <w:rsid w:val="00826A55"/>
    <w:rsid w:val="00827600"/>
    <w:rsid w:val="0083451A"/>
    <w:rsid w:val="00836B27"/>
    <w:rsid w:val="008512EC"/>
    <w:rsid w:val="008533A7"/>
    <w:rsid w:val="00860365"/>
    <w:rsid w:val="008637A9"/>
    <w:rsid w:val="008647C9"/>
    <w:rsid w:val="0086522B"/>
    <w:rsid w:val="00870F7D"/>
    <w:rsid w:val="00872CBD"/>
    <w:rsid w:val="0087485C"/>
    <w:rsid w:val="00880225"/>
    <w:rsid w:val="008912DB"/>
    <w:rsid w:val="008A392F"/>
    <w:rsid w:val="008A3C0D"/>
    <w:rsid w:val="008A4C02"/>
    <w:rsid w:val="008C44A9"/>
    <w:rsid w:val="008E27BF"/>
    <w:rsid w:val="008E75C9"/>
    <w:rsid w:val="008E7EEB"/>
    <w:rsid w:val="008F169A"/>
    <w:rsid w:val="008F4F1F"/>
    <w:rsid w:val="00902C91"/>
    <w:rsid w:val="00903F68"/>
    <w:rsid w:val="00910DDC"/>
    <w:rsid w:val="00911A65"/>
    <w:rsid w:val="009131E0"/>
    <w:rsid w:val="00917C95"/>
    <w:rsid w:val="009205FE"/>
    <w:rsid w:val="00926E47"/>
    <w:rsid w:val="00926FC5"/>
    <w:rsid w:val="00927226"/>
    <w:rsid w:val="00930EA7"/>
    <w:rsid w:val="0093434E"/>
    <w:rsid w:val="00936EB5"/>
    <w:rsid w:val="00941F60"/>
    <w:rsid w:val="009427FB"/>
    <w:rsid w:val="00955A5B"/>
    <w:rsid w:val="00957740"/>
    <w:rsid w:val="00967291"/>
    <w:rsid w:val="009674C1"/>
    <w:rsid w:val="00974EFF"/>
    <w:rsid w:val="00981935"/>
    <w:rsid w:val="009835B9"/>
    <w:rsid w:val="00993951"/>
    <w:rsid w:val="009A26A6"/>
    <w:rsid w:val="009A4B43"/>
    <w:rsid w:val="009A7101"/>
    <w:rsid w:val="009B10DE"/>
    <w:rsid w:val="009B172C"/>
    <w:rsid w:val="009C2985"/>
    <w:rsid w:val="009D1089"/>
    <w:rsid w:val="009D48AB"/>
    <w:rsid w:val="009D67F0"/>
    <w:rsid w:val="009E37BA"/>
    <w:rsid w:val="009F05ED"/>
    <w:rsid w:val="00A13F27"/>
    <w:rsid w:val="00A2153A"/>
    <w:rsid w:val="00A22ADC"/>
    <w:rsid w:val="00A24509"/>
    <w:rsid w:val="00A30DB0"/>
    <w:rsid w:val="00A31D39"/>
    <w:rsid w:val="00A35BAC"/>
    <w:rsid w:val="00A379A5"/>
    <w:rsid w:val="00A42BDB"/>
    <w:rsid w:val="00A453B7"/>
    <w:rsid w:val="00A53AF6"/>
    <w:rsid w:val="00A55D07"/>
    <w:rsid w:val="00A5713B"/>
    <w:rsid w:val="00A64D0D"/>
    <w:rsid w:val="00A84D76"/>
    <w:rsid w:val="00A90354"/>
    <w:rsid w:val="00A91C6E"/>
    <w:rsid w:val="00A92D9E"/>
    <w:rsid w:val="00A94197"/>
    <w:rsid w:val="00A96F3F"/>
    <w:rsid w:val="00AA19D4"/>
    <w:rsid w:val="00AB0442"/>
    <w:rsid w:val="00AB1556"/>
    <w:rsid w:val="00AB1CAA"/>
    <w:rsid w:val="00AB1FDB"/>
    <w:rsid w:val="00AB2225"/>
    <w:rsid w:val="00AB6FB1"/>
    <w:rsid w:val="00AC09DB"/>
    <w:rsid w:val="00AE238A"/>
    <w:rsid w:val="00AE30DF"/>
    <w:rsid w:val="00AE4ABD"/>
    <w:rsid w:val="00AF549F"/>
    <w:rsid w:val="00AF6099"/>
    <w:rsid w:val="00AF6C7C"/>
    <w:rsid w:val="00AF784F"/>
    <w:rsid w:val="00B016E3"/>
    <w:rsid w:val="00B03AB9"/>
    <w:rsid w:val="00B07208"/>
    <w:rsid w:val="00B14E1E"/>
    <w:rsid w:val="00B17D21"/>
    <w:rsid w:val="00B23859"/>
    <w:rsid w:val="00B2424F"/>
    <w:rsid w:val="00B30353"/>
    <w:rsid w:val="00B33675"/>
    <w:rsid w:val="00B43C0F"/>
    <w:rsid w:val="00B4410E"/>
    <w:rsid w:val="00B5460B"/>
    <w:rsid w:val="00B5462F"/>
    <w:rsid w:val="00B556EC"/>
    <w:rsid w:val="00B56F6E"/>
    <w:rsid w:val="00B64431"/>
    <w:rsid w:val="00B6448E"/>
    <w:rsid w:val="00B7301E"/>
    <w:rsid w:val="00B76E4F"/>
    <w:rsid w:val="00B77DCD"/>
    <w:rsid w:val="00B803DF"/>
    <w:rsid w:val="00B86A88"/>
    <w:rsid w:val="00B90DB4"/>
    <w:rsid w:val="00B93782"/>
    <w:rsid w:val="00B95635"/>
    <w:rsid w:val="00BA0A90"/>
    <w:rsid w:val="00BA2E9B"/>
    <w:rsid w:val="00BA3F5B"/>
    <w:rsid w:val="00BA3FC5"/>
    <w:rsid w:val="00BB062B"/>
    <w:rsid w:val="00BB0E95"/>
    <w:rsid w:val="00BC2F50"/>
    <w:rsid w:val="00BC410F"/>
    <w:rsid w:val="00BC79F0"/>
    <w:rsid w:val="00BD5AAF"/>
    <w:rsid w:val="00BD5B73"/>
    <w:rsid w:val="00BD6CF2"/>
    <w:rsid w:val="00BE0C98"/>
    <w:rsid w:val="00BF3223"/>
    <w:rsid w:val="00BF7D20"/>
    <w:rsid w:val="00C04BEB"/>
    <w:rsid w:val="00C04C29"/>
    <w:rsid w:val="00C129D7"/>
    <w:rsid w:val="00C1440A"/>
    <w:rsid w:val="00C15ED9"/>
    <w:rsid w:val="00C17FD9"/>
    <w:rsid w:val="00C20AC1"/>
    <w:rsid w:val="00C312DB"/>
    <w:rsid w:val="00C32C95"/>
    <w:rsid w:val="00C33B8C"/>
    <w:rsid w:val="00C5187F"/>
    <w:rsid w:val="00C5256C"/>
    <w:rsid w:val="00C56E25"/>
    <w:rsid w:val="00C62449"/>
    <w:rsid w:val="00C6617D"/>
    <w:rsid w:val="00C67AB6"/>
    <w:rsid w:val="00C7392B"/>
    <w:rsid w:val="00C73D2A"/>
    <w:rsid w:val="00C74A0B"/>
    <w:rsid w:val="00C7631C"/>
    <w:rsid w:val="00C81ACD"/>
    <w:rsid w:val="00C840A1"/>
    <w:rsid w:val="00CA1050"/>
    <w:rsid w:val="00CA147C"/>
    <w:rsid w:val="00CA4CF1"/>
    <w:rsid w:val="00CA7B05"/>
    <w:rsid w:val="00CB063C"/>
    <w:rsid w:val="00CB78FF"/>
    <w:rsid w:val="00CC120B"/>
    <w:rsid w:val="00CC2A3F"/>
    <w:rsid w:val="00CC42F7"/>
    <w:rsid w:val="00CC7B57"/>
    <w:rsid w:val="00CD298F"/>
    <w:rsid w:val="00CE110B"/>
    <w:rsid w:val="00CE413C"/>
    <w:rsid w:val="00CE671A"/>
    <w:rsid w:val="00D0089F"/>
    <w:rsid w:val="00D03E83"/>
    <w:rsid w:val="00D0411B"/>
    <w:rsid w:val="00D06624"/>
    <w:rsid w:val="00D14573"/>
    <w:rsid w:val="00D16678"/>
    <w:rsid w:val="00D235A6"/>
    <w:rsid w:val="00D23F45"/>
    <w:rsid w:val="00D262CD"/>
    <w:rsid w:val="00D26941"/>
    <w:rsid w:val="00D37391"/>
    <w:rsid w:val="00D37916"/>
    <w:rsid w:val="00D4421A"/>
    <w:rsid w:val="00D51116"/>
    <w:rsid w:val="00D65861"/>
    <w:rsid w:val="00D70983"/>
    <w:rsid w:val="00D727E4"/>
    <w:rsid w:val="00D75CA3"/>
    <w:rsid w:val="00D825AA"/>
    <w:rsid w:val="00D8602A"/>
    <w:rsid w:val="00DA0F19"/>
    <w:rsid w:val="00DA4AAF"/>
    <w:rsid w:val="00DB6769"/>
    <w:rsid w:val="00DB7D8A"/>
    <w:rsid w:val="00DC504E"/>
    <w:rsid w:val="00DC6284"/>
    <w:rsid w:val="00DD1B09"/>
    <w:rsid w:val="00DD3F2E"/>
    <w:rsid w:val="00DD5782"/>
    <w:rsid w:val="00DD7070"/>
    <w:rsid w:val="00DE6DC1"/>
    <w:rsid w:val="00DE7BD7"/>
    <w:rsid w:val="00E1090E"/>
    <w:rsid w:val="00E1560F"/>
    <w:rsid w:val="00E20325"/>
    <w:rsid w:val="00E23614"/>
    <w:rsid w:val="00E25F4E"/>
    <w:rsid w:val="00E276C6"/>
    <w:rsid w:val="00E404D1"/>
    <w:rsid w:val="00E447F7"/>
    <w:rsid w:val="00E5181F"/>
    <w:rsid w:val="00E51EEE"/>
    <w:rsid w:val="00E57EB5"/>
    <w:rsid w:val="00E65DE5"/>
    <w:rsid w:val="00E728E1"/>
    <w:rsid w:val="00E80CC3"/>
    <w:rsid w:val="00E814D1"/>
    <w:rsid w:val="00E82388"/>
    <w:rsid w:val="00E91D26"/>
    <w:rsid w:val="00E934BE"/>
    <w:rsid w:val="00E93CBB"/>
    <w:rsid w:val="00E96F71"/>
    <w:rsid w:val="00EA3EA2"/>
    <w:rsid w:val="00EC58B0"/>
    <w:rsid w:val="00EC76C5"/>
    <w:rsid w:val="00ED28E6"/>
    <w:rsid w:val="00ED65DA"/>
    <w:rsid w:val="00ED6C93"/>
    <w:rsid w:val="00EE245A"/>
    <w:rsid w:val="00EE41A2"/>
    <w:rsid w:val="00EE5C11"/>
    <w:rsid w:val="00EE7081"/>
    <w:rsid w:val="00F000C2"/>
    <w:rsid w:val="00F10876"/>
    <w:rsid w:val="00F2240D"/>
    <w:rsid w:val="00F27217"/>
    <w:rsid w:val="00F30EBB"/>
    <w:rsid w:val="00F428F4"/>
    <w:rsid w:val="00F45B4A"/>
    <w:rsid w:val="00F52068"/>
    <w:rsid w:val="00F56DA5"/>
    <w:rsid w:val="00F574A8"/>
    <w:rsid w:val="00F61AAD"/>
    <w:rsid w:val="00F630D6"/>
    <w:rsid w:val="00F73017"/>
    <w:rsid w:val="00F732F7"/>
    <w:rsid w:val="00F752D7"/>
    <w:rsid w:val="00F816E0"/>
    <w:rsid w:val="00F847CB"/>
    <w:rsid w:val="00F84B6F"/>
    <w:rsid w:val="00F915CB"/>
    <w:rsid w:val="00F94509"/>
    <w:rsid w:val="00FA37D5"/>
    <w:rsid w:val="00FB2109"/>
    <w:rsid w:val="00FB61F7"/>
    <w:rsid w:val="00FB6203"/>
    <w:rsid w:val="00FC0212"/>
    <w:rsid w:val="00FC5755"/>
    <w:rsid w:val="00FD163F"/>
    <w:rsid w:val="00FD16BC"/>
    <w:rsid w:val="00FD1FEE"/>
    <w:rsid w:val="00FD459A"/>
    <w:rsid w:val="00FD6C9D"/>
    <w:rsid w:val="00FE2354"/>
    <w:rsid w:val="00FF1341"/>
    <w:rsid w:val="00FF37A2"/>
    <w:rsid w:val="00FF57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837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10F"/>
    <w:rPr>
      <w:sz w:val="24"/>
      <w:lang w:eastAsia="en-US"/>
    </w:rPr>
  </w:style>
  <w:style w:type="paragraph" w:styleId="Heading1">
    <w:name w:val="heading 1"/>
    <w:basedOn w:val="Normal"/>
    <w:next w:val="Normal"/>
    <w:qFormat/>
    <w:rsid w:val="00AB1556"/>
    <w:pPr>
      <w:keepLines/>
      <w:spacing w:after="240"/>
      <w:jc w:val="center"/>
      <w:outlineLvl w:val="0"/>
    </w:pPr>
    <w:rPr>
      <w:rFonts w:cs="Arial"/>
      <w:b/>
      <w:i/>
      <w:szCs w:val="24"/>
    </w:rPr>
  </w:style>
  <w:style w:type="paragraph" w:styleId="Heading2">
    <w:name w:val="heading 2"/>
    <w:basedOn w:val="Normal"/>
    <w:next w:val="Normal"/>
    <w:link w:val="Heading2Char"/>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AB1556"/>
    <w:pPr>
      <w:keepNext/>
      <w:spacing w:before="240" w:after="60"/>
      <w:outlineLvl w:val="2"/>
    </w:pPr>
    <w:rPr>
      <w:rFonts w:cs="Arial"/>
      <w:b/>
      <w:bCs/>
      <w:szCs w:val="26"/>
    </w:rPr>
  </w:style>
  <w:style w:type="paragraph" w:styleId="Heading4">
    <w:name w:val="heading 4"/>
    <w:basedOn w:val="Normal"/>
    <w:link w:val="Heading4Char"/>
    <w:uiPriority w:val="9"/>
    <w:qFormat/>
    <w:rsid w:val="005F4587"/>
    <w:pPr>
      <w:outlineLvl w:val="3"/>
    </w:pPr>
    <w:rPr>
      <w:b/>
      <w:i/>
    </w:rPr>
  </w:style>
  <w:style w:type="paragraph" w:styleId="Heading5">
    <w:name w:val="heading 5"/>
    <w:basedOn w:val="Normal"/>
    <w:link w:val="Heading5Char"/>
    <w:uiPriority w:val="9"/>
    <w:qFormat/>
    <w:rsid w:val="004A76DA"/>
    <w:pPr>
      <w:spacing w:before="100" w:beforeAutospacing="1" w:after="100" w:afterAutospacing="1"/>
      <w:outlineLvl w:val="4"/>
    </w:pPr>
    <w:rPr>
      <w:b/>
      <w:bCs/>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35B9"/>
    <w:rPr>
      <w:sz w:val="24"/>
    </w:rPr>
  </w:style>
  <w:style w:type="paragraph" w:customStyle="1" w:styleId="Default">
    <w:name w:val="Default"/>
    <w:rsid w:val="00CC7B57"/>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266C74"/>
    <w:pPr>
      <w:spacing w:before="100" w:beforeAutospacing="1" w:after="100" w:afterAutospacing="1"/>
    </w:pPr>
    <w:rPr>
      <w:szCs w:val="24"/>
      <w:lang w:eastAsia="en-AU"/>
    </w:rPr>
  </w:style>
  <w:style w:type="character" w:customStyle="1" w:styleId="Heading4Char">
    <w:name w:val="Heading 4 Char"/>
    <w:basedOn w:val="DefaultParagraphFont"/>
    <w:link w:val="Heading4"/>
    <w:uiPriority w:val="9"/>
    <w:rsid w:val="005F4587"/>
    <w:rPr>
      <w:b/>
      <w:i/>
      <w:sz w:val="22"/>
      <w:lang w:eastAsia="en-US"/>
    </w:rPr>
  </w:style>
  <w:style w:type="character" w:customStyle="1" w:styleId="Heading5Char">
    <w:name w:val="Heading 5 Char"/>
    <w:basedOn w:val="DefaultParagraphFont"/>
    <w:link w:val="Heading5"/>
    <w:uiPriority w:val="9"/>
    <w:rsid w:val="004A76DA"/>
    <w:rPr>
      <w:b/>
      <w:bCs/>
    </w:rPr>
  </w:style>
  <w:style w:type="paragraph" w:styleId="BalloonText">
    <w:name w:val="Balloon Text"/>
    <w:basedOn w:val="Normal"/>
    <w:link w:val="BalloonTextChar"/>
    <w:uiPriority w:val="99"/>
    <w:semiHidden/>
    <w:unhideWhenUsed/>
    <w:rsid w:val="009B10DE"/>
    <w:rPr>
      <w:rFonts w:ascii="Tahoma" w:hAnsi="Tahoma" w:cs="Tahoma"/>
      <w:sz w:val="16"/>
      <w:szCs w:val="16"/>
    </w:rPr>
  </w:style>
  <w:style w:type="character" w:customStyle="1" w:styleId="BalloonTextChar">
    <w:name w:val="Balloon Text Char"/>
    <w:basedOn w:val="DefaultParagraphFont"/>
    <w:link w:val="BalloonText"/>
    <w:uiPriority w:val="99"/>
    <w:semiHidden/>
    <w:rsid w:val="009B10DE"/>
    <w:rPr>
      <w:rFonts w:ascii="Tahoma" w:hAnsi="Tahoma" w:cs="Tahoma"/>
      <w:sz w:val="16"/>
      <w:szCs w:val="16"/>
      <w:lang w:eastAsia="en-US"/>
    </w:rPr>
  </w:style>
  <w:style w:type="paragraph" w:styleId="ListParagraph">
    <w:name w:val="List Paragraph"/>
    <w:aliases w:val="0Bullet,Recommendation,L,List Paragraph1,List Paragraph11,bullet point list,Bullet point,List Paragraph Number,List Bullet 1,Body Bullets 1,Figure_name,Bullet- First level,Listenabsatz1,List Paragraph2,Bullet Point,Bullet points"/>
    <w:basedOn w:val="Normal"/>
    <w:link w:val="ListParagraphChar"/>
    <w:uiPriority w:val="34"/>
    <w:qFormat/>
    <w:rsid w:val="00671D14"/>
    <w:pPr>
      <w:ind w:left="720"/>
      <w:contextualSpacing/>
    </w:pPr>
  </w:style>
  <w:style w:type="paragraph" w:styleId="Title">
    <w:name w:val="Title"/>
    <w:basedOn w:val="Normal"/>
    <w:link w:val="TitleChar"/>
    <w:uiPriority w:val="10"/>
    <w:qFormat/>
    <w:rsid w:val="00AB1556"/>
    <w:pPr>
      <w:pBdr>
        <w:bottom w:val="single" w:sz="4" w:space="4" w:color="auto"/>
      </w:pBdr>
      <w:spacing w:after="300"/>
      <w:contextualSpacing/>
      <w:jc w:val="center"/>
    </w:pPr>
    <w:rPr>
      <w:rFonts w:cs="Arial"/>
      <w:b/>
      <w:spacing w:val="5"/>
      <w:kern w:val="28"/>
      <w:sz w:val="32"/>
      <w:szCs w:val="52"/>
      <w:lang w:eastAsia="en-AU"/>
    </w:rPr>
  </w:style>
  <w:style w:type="character" w:customStyle="1" w:styleId="TitleChar">
    <w:name w:val="Title Char"/>
    <w:basedOn w:val="DefaultParagraphFont"/>
    <w:link w:val="Title"/>
    <w:uiPriority w:val="10"/>
    <w:rsid w:val="00AB1556"/>
    <w:rPr>
      <w:rFonts w:ascii="Arial" w:hAnsi="Arial" w:cs="Arial"/>
      <w:b/>
      <w:spacing w:val="5"/>
      <w:kern w:val="28"/>
      <w:sz w:val="32"/>
      <w:szCs w:val="52"/>
    </w:rPr>
  </w:style>
  <w:style w:type="paragraph" w:styleId="BodyText2">
    <w:name w:val="Body Text 2"/>
    <w:basedOn w:val="Normal"/>
    <w:link w:val="BodyText2Char"/>
    <w:semiHidden/>
    <w:rsid w:val="00AB1556"/>
    <w:pPr>
      <w:spacing w:after="240"/>
      <w:jc w:val="both"/>
    </w:pPr>
    <w:rPr>
      <w:rFonts w:eastAsia="SimSun"/>
    </w:rPr>
  </w:style>
  <w:style w:type="character" w:customStyle="1" w:styleId="BodyText2Char">
    <w:name w:val="Body Text 2 Char"/>
    <w:basedOn w:val="DefaultParagraphFont"/>
    <w:link w:val="BodyText2"/>
    <w:semiHidden/>
    <w:rsid w:val="00AB1556"/>
    <w:rPr>
      <w:rFonts w:eastAsia="SimSun"/>
      <w:sz w:val="24"/>
      <w:lang w:eastAsia="en-US"/>
    </w:rPr>
  </w:style>
  <w:style w:type="character" w:customStyle="1" w:styleId="ListParagraphChar">
    <w:name w:val="List Paragraph Char"/>
    <w:aliases w:val="0Bullet Char,Recommendation Char,L Char,List Paragraph1 Char,List Paragraph11 Char,bullet point list Char,Bullet point Char,List Paragraph Number Char,List Bullet 1 Char,Body Bullets 1 Char,Figure_name Char,Bullet- First level Char"/>
    <w:link w:val="ListParagraph"/>
    <w:uiPriority w:val="34"/>
    <w:locked/>
    <w:rsid w:val="0072746A"/>
    <w:rPr>
      <w:sz w:val="22"/>
      <w:lang w:eastAsia="en-US"/>
    </w:rPr>
  </w:style>
  <w:style w:type="paragraph" w:styleId="Header">
    <w:name w:val="header"/>
    <w:basedOn w:val="Normal"/>
    <w:link w:val="HeaderChar"/>
    <w:uiPriority w:val="99"/>
    <w:unhideWhenUsed/>
    <w:rsid w:val="00AC09DB"/>
    <w:pPr>
      <w:tabs>
        <w:tab w:val="center" w:pos="4513"/>
        <w:tab w:val="right" w:pos="9026"/>
      </w:tabs>
    </w:pPr>
  </w:style>
  <w:style w:type="character" w:customStyle="1" w:styleId="HeaderChar">
    <w:name w:val="Header Char"/>
    <w:basedOn w:val="DefaultParagraphFont"/>
    <w:link w:val="Header"/>
    <w:uiPriority w:val="99"/>
    <w:rsid w:val="00AC09DB"/>
    <w:rPr>
      <w:sz w:val="24"/>
      <w:lang w:eastAsia="en-US"/>
    </w:rPr>
  </w:style>
  <w:style w:type="paragraph" w:styleId="Footer">
    <w:name w:val="footer"/>
    <w:basedOn w:val="Normal"/>
    <w:link w:val="FooterChar"/>
    <w:uiPriority w:val="99"/>
    <w:unhideWhenUsed/>
    <w:rsid w:val="00AC09DB"/>
    <w:pPr>
      <w:tabs>
        <w:tab w:val="center" w:pos="4513"/>
        <w:tab w:val="right" w:pos="9026"/>
      </w:tabs>
    </w:pPr>
  </w:style>
  <w:style w:type="character" w:customStyle="1" w:styleId="FooterChar">
    <w:name w:val="Footer Char"/>
    <w:basedOn w:val="DefaultParagraphFont"/>
    <w:link w:val="Footer"/>
    <w:uiPriority w:val="99"/>
    <w:rsid w:val="00AC09DB"/>
    <w:rPr>
      <w:sz w:val="24"/>
      <w:lang w:eastAsia="en-US"/>
    </w:rPr>
  </w:style>
  <w:style w:type="character" w:styleId="CommentReference">
    <w:name w:val="annotation reference"/>
    <w:basedOn w:val="DefaultParagraphFont"/>
    <w:uiPriority w:val="99"/>
    <w:semiHidden/>
    <w:unhideWhenUsed/>
    <w:rsid w:val="008A4C02"/>
    <w:rPr>
      <w:sz w:val="16"/>
      <w:szCs w:val="16"/>
    </w:rPr>
  </w:style>
  <w:style w:type="paragraph" w:styleId="CommentText">
    <w:name w:val="annotation text"/>
    <w:basedOn w:val="Normal"/>
    <w:link w:val="CommentTextChar"/>
    <w:uiPriority w:val="99"/>
    <w:semiHidden/>
    <w:unhideWhenUsed/>
    <w:rsid w:val="008A4C02"/>
    <w:rPr>
      <w:sz w:val="20"/>
    </w:rPr>
  </w:style>
  <w:style w:type="character" w:customStyle="1" w:styleId="CommentTextChar">
    <w:name w:val="Comment Text Char"/>
    <w:basedOn w:val="DefaultParagraphFont"/>
    <w:link w:val="CommentText"/>
    <w:uiPriority w:val="99"/>
    <w:semiHidden/>
    <w:rsid w:val="008A4C02"/>
    <w:rPr>
      <w:lang w:eastAsia="en-US"/>
    </w:rPr>
  </w:style>
  <w:style w:type="paragraph" w:styleId="CommentSubject">
    <w:name w:val="annotation subject"/>
    <w:basedOn w:val="CommentText"/>
    <w:next w:val="CommentText"/>
    <w:link w:val="CommentSubjectChar"/>
    <w:uiPriority w:val="99"/>
    <w:semiHidden/>
    <w:unhideWhenUsed/>
    <w:rsid w:val="00E814D1"/>
    <w:rPr>
      <w:b/>
      <w:bCs/>
    </w:rPr>
  </w:style>
  <w:style w:type="character" w:customStyle="1" w:styleId="CommentSubjectChar">
    <w:name w:val="Comment Subject Char"/>
    <w:basedOn w:val="CommentTextChar"/>
    <w:link w:val="CommentSubject"/>
    <w:uiPriority w:val="99"/>
    <w:semiHidden/>
    <w:rsid w:val="00E814D1"/>
    <w:rPr>
      <w:b/>
      <w:bCs/>
      <w:lang w:eastAsia="en-US"/>
    </w:rPr>
  </w:style>
  <w:style w:type="character" w:styleId="Hyperlink">
    <w:name w:val="Hyperlink"/>
    <w:basedOn w:val="DefaultParagraphFont"/>
    <w:uiPriority w:val="99"/>
    <w:unhideWhenUsed/>
    <w:rsid w:val="00820370"/>
    <w:rPr>
      <w:color w:val="0563C1"/>
      <w:u w:val="single"/>
    </w:rPr>
  </w:style>
  <w:style w:type="paragraph" w:customStyle="1" w:styleId="base-text-paragraph">
    <w:name w:val="base-text-paragraph"/>
    <w:basedOn w:val="Normal"/>
    <w:link w:val="base-text-paragraphChar"/>
    <w:qFormat/>
    <w:rsid w:val="00D51116"/>
    <w:pPr>
      <w:numPr>
        <w:ilvl w:val="1"/>
        <w:numId w:val="24"/>
      </w:numPr>
      <w:spacing w:before="120" w:after="120"/>
    </w:pPr>
    <w:rPr>
      <w:sz w:val="22"/>
      <w:lang w:eastAsia="en-AU"/>
    </w:rPr>
  </w:style>
  <w:style w:type="paragraph" w:customStyle="1" w:styleId="ChapterHeading">
    <w:name w:val="Chapter Heading"/>
    <w:next w:val="Heading2"/>
    <w:rsid w:val="00D51116"/>
    <w:pPr>
      <w:numPr>
        <w:numId w:val="24"/>
      </w:num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D51116"/>
    <w:pPr>
      <w:numPr>
        <w:numId w:val="24"/>
      </w:numPr>
    </w:pPr>
  </w:style>
  <w:style w:type="paragraph" w:customStyle="1" w:styleId="Diagram">
    <w:name w:val="Diagram"/>
    <w:basedOn w:val="Normal"/>
    <w:next w:val="Normal"/>
    <w:rsid w:val="00D51116"/>
    <w:pPr>
      <w:keepNext/>
      <w:numPr>
        <w:ilvl w:val="2"/>
        <w:numId w:val="24"/>
      </w:numPr>
    </w:pPr>
    <w:rPr>
      <w:b/>
      <w:sz w:val="22"/>
      <w:lang w:eastAsia="en-AU"/>
    </w:rPr>
  </w:style>
  <w:style w:type="paragraph" w:customStyle="1" w:styleId="ExampleHeading">
    <w:name w:val="Example Heading"/>
    <w:basedOn w:val="Normal"/>
    <w:next w:val="Normal"/>
    <w:rsid w:val="00D51116"/>
    <w:pPr>
      <w:keepNext/>
      <w:numPr>
        <w:ilvl w:val="3"/>
        <w:numId w:val="24"/>
      </w:numPr>
      <w:spacing w:before="120" w:after="120"/>
    </w:pPr>
    <w:rPr>
      <w:b/>
      <w:sz w:val="22"/>
      <w:lang w:eastAsia="en-AU"/>
    </w:rPr>
  </w:style>
  <w:style w:type="paragraph" w:customStyle="1" w:styleId="TableHeadingoutsidetable">
    <w:name w:val="Table Heading (outside table)"/>
    <w:basedOn w:val="Heading4"/>
    <w:rsid w:val="00D51116"/>
    <w:pPr>
      <w:keepNext/>
      <w:numPr>
        <w:ilvl w:val="4"/>
        <w:numId w:val="24"/>
      </w:numPr>
      <w:tabs>
        <w:tab w:val="num" w:pos="360"/>
      </w:tabs>
      <w:spacing w:before="120" w:after="200"/>
      <w:ind w:left="0"/>
    </w:pPr>
    <w:rPr>
      <w:b w:val="0"/>
      <w:i w:val="0"/>
      <w:iCs/>
      <w:sz w:val="22"/>
      <w:lang w:eastAsia="en-AU"/>
    </w:rPr>
  </w:style>
  <w:style w:type="character" w:customStyle="1" w:styleId="base-text-paragraphChar">
    <w:name w:val="base-text-paragraph Char"/>
    <w:basedOn w:val="DefaultParagraphFont"/>
    <w:link w:val="base-text-paragraph"/>
    <w:rsid w:val="005F7484"/>
    <w:rPr>
      <w:sz w:val="22"/>
    </w:rPr>
  </w:style>
  <w:style w:type="character" w:customStyle="1" w:styleId="bumpedfont15">
    <w:name w:val="bumpedfont15"/>
    <w:basedOn w:val="DefaultParagraphFont"/>
    <w:rsid w:val="000150E6"/>
  </w:style>
  <w:style w:type="paragraph" w:customStyle="1" w:styleId="subsection">
    <w:name w:val="subsection"/>
    <w:aliases w:val="ss,Subsection"/>
    <w:basedOn w:val="Normal"/>
    <w:link w:val="subsectionChar"/>
    <w:rsid w:val="00257B13"/>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locked/>
    <w:rsid w:val="00257B13"/>
    <w:rPr>
      <w:sz w:val="22"/>
    </w:rPr>
  </w:style>
  <w:style w:type="paragraph" w:customStyle="1" w:styleId="ShortT">
    <w:name w:val="ShortT"/>
    <w:basedOn w:val="Normal"/>
    <w:next w:val="Normal"/>
    <w:qFormat/>
    <w:rsid w:val="00641D94"/>
    <w:rPr>
      <w:b/>
      <w:sz w:val="40"/>
      <w:lang w:eastAsia="en-AU"/>
    </w:rPr>
  </w:style>
  <w:style w:type="paragraph" w:styleId="FootnoteText">
    <w:name w:val="footnote text"/>
    <w:basedOn w:val="Normal"/>
    <w:link w:val="FootnoteTextChar"/>
    <w:uiPriority w:val="99"/>
    <w:semiHidden/>
    <w:unhideWhenUsed/>
    <w:rsid w:val="00B016E3"/>
    <w:rPr>
      <w:sz w:val="20"/>
    </w:rPr>
  </w:style>
  <w:style w:type="character" w:customStyle="1" w:styleId="FootnoteTextChar">
    <w:name w:val="Footnote Text Char"/>
    <w:basedOn w:val="DefaultParagraphFont"/>
    <w:link w:val="FootnoteText"/>
    <w:uiPriority w:val="99"/>
    <w:semiHidden/>
    <w:rsid w:val="00B016E3"/>
    <w:rPr>
      <w:lang w:eastAsia="en-US"/>
    </w:rPr>
  </w:style>
  <w:style w:type="character" w:styleId="FootnoteReference">
    <w:name w:val="footnote reference"/>
    <w:basedOn w:val="DefaultParagraphFont"/>
    <w:uiPriority w:val="99"/>
    <w:semiHidden/>
    <w:unhideWhenUsed/>
    <w:rsid w:val="00B016E3"/>
    <w:rPr>
      <w:vertAlign w:val="superscript"/>
    </w:rPr>
  </w:style>
  <w:style w:type="paragraph" w:customStyle="1" w:styleId="paragraph">
    <w:name w:val="paragraph"/>
    <w:basedOn w:val="Normal"/>
    <w:rsid w:val="00751025"/>
    <w:pPr>
      <w:spacing w:before="100" w:beforeAutospacing="1" w:after="100" w:afterAutospacing="1"/>
    </w:pPr>
    <w:rPr>
      <w:szCs w:val="24"/>
      <w:lang w:eastAsia="en-AU"/>
    </w:rPr>
  </w:style>
  <w:style w:type="paragraph" w:customStyle="1" w:styleId="ActHead9">
    <w:name w:val="ActHead 9"/>
    <w:aliases w:val="aat"/>
    <w:basedOn w:val="Normal"/>
    <w:next w:val="Normal"/>
    <w:qFormat/>
    <w:rsid w:val="00A53AF6"/>
    <w:pPr>
      <w:keepNext/>
      <w:keepLines/>
      <w:spacing w:before="280"/>
      <w:ind w:left="1134" w:hanging="1134"/>
      <w:outlineLvl w:val="8"/>
    </w:pPr>
    <w:rPr>
      <w:b/>
      <w:i/>
      <w:kern w:val="28"/>
      <w:sz w:val="28"/>
      <w:lang w:eastAsia="en-AU"/>
    </w:rPr>
  </w:style>
  <w:style w:type="character" w:customStyle="1" w:styleId="Heading2Char">
    <w:name w:val="Heading 2 Char"/>
    <w:basedOn w:val="DefaultParagraphFont"/>
    <w:link w:val="Heading2"/>
    <w:rsid w:val="00D06624"/>
    <w:rPr>
      <w:rFonts w:cs="Arial"/>
      <w:b/>
      <w:bCs/>
      <w:iCs/>
      <w:sz w:val="2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70400">
      <w:bodyDiv w:val="1"/>
      <w:marLeft w:val="0"/>
      <w:marRight w:val="0"/>
      <w:marTop w:val="0"/>
      <w:marBottom w:val="0"/>
      <w:divBdr>
        <w:top w:val="none" w:sz="0" w:space="0" w:color="auto"/>
        <w:left w:val="none" w:sz="0" w:space="0" w:color="auto"/>
        <w:bottom w:val="none" w:sz="0" w:space="0" w:color="auto"/>
        <w:right w:val="none" w:sz="0" w:space="0" w:color="auto"/>
      </w:divBdr>
      <w:divsChild>
        <w:div w:id="162933443">
          <w:marLeft w:val="0"/>
          <w:marRight w:val="0"/>
          <w:marTop w:val="0"/>
          <w:marBottom w:val="0"/>
          <w:divBdr>
            <w:top w:val="none" w:sz="0" w:space="0" w:color="auto"/>
            <w:left w:val="none" w:sz="0" w:space="0" w:color="auto"/>
            <w:bottom w:val="none" w:sz="0" w:space="0" w:color="auto"/>
            <w:right w:val="none" w:sz="0" w:space="0" w:color="auto"/>
          </w:divBdr>
          <w:divsChild>
            <w:div w:id="1532259139">
              <w:marLeft w:val="0"/>
              <w:marRight w:val="0"/>
              <w:marTop w:val="0"/>
              <w:marBottom w:val="0"/>
              <w:divBdr>
                <w:top w:val="none" w:sz="0" w:space="0" w:color="auto"/>
                <w:left w:val="none" w:sz="0" w:space="0" w:color="auto"/>
                <w:bottom w:val="none" w:sz="0" w:space="0" w:color="auto"/>
                <w:right w:val="none" w:sz="0" w:space="0" w:color="auto"/>
              </w:divBdr>
              <w:divsChild>
                <w:div w:id="1670329166">
                  <w:marLeft w:val="0"/>
                  <w:marRight w:val="0"/>
                  <w:marTop w:val="0"/>
                  <w:marBottom w:val="0"/>
                  <w:divBdr>
                    <w:top w:val="none" w:sz="0" w:space="0" w:color="auto"/>
                    <w:left w:val="none" w:sz="0" w:space="0" w:color="auto"/>
                    <w:bottom w:val="none" w:sz="0" w:space="0" w:color="auto"/>
                    <w:right w:val="none" w:sz="0" w:space="0" w:color="auto"/>
                  </w:divBdr>
                  <w:divsChild>
                    <w:div w:id="1902787541">
                      <w:marLeft w:val="0"/>
                      <w:marRight w:val="0"/>
                      <w:marTop w:val="0"/>
                      <w:marBottom w:val="0"/>
                      <w:divBdr>
                        <w:top w:val="none" w:sz="0" w:space="0" w:color="auto"/>
                        <w:left w:val="none" w:sz="0" w:space="0" w:color="auto"/>
                        <w:bottom w:val="none" w:sz="0" w:space="0" w:color="auto"/>
                        <w:right w:val="none" w:sz="0" w:space="0" w:color="auto"/>
                      </w:divBdr>
                      <w:divsChild>
                        <w:div w:id="2023629809">
                          <w:marLeft w:val="0"/>
                          <w:marRight w:val="0"/>
                          <w:marTop w:val="0"/>
                          <w:marBottom w:val="0"/>
                          <w:divBdr>
                            <w:top w:val="single" w:sz="4" w:space="0" w:color="828282"/>
                            <w:left w:val="single" w:sz="4" w:space="0" w:color="828282"/>
                            <w:bottom w:val="single" w:sz="4" w:space="0" w:color="828282"/>
                            <w:right w:val="single" w:sz="4" w:space="0" w:color="828282"/>
                          </w:divBdr>
                          <w:divsChild>
                            <w:div w:id="1697543436">
                              <w:marLeft w:val="0"/>
                              <w:marRight w:val="0"/>
                              <w:marTop w:val="0"/>
                              <w:marBottom w:val="0"/>
                              <w:divBdr>
                                <w:top w:val="none" w:sz="0" w:space="0" w:color="auto"/>
                                <w:left w:val="none" w:sz="0" w:space="0" w:color="auto"/>
                                <w:bottom w:val="none" w:sz="0" w:space="0" w:color="auto"/>
                                <w:right w:val="none" w:sz="0" w:space="0" w:color="auto"/>
                              </w:divBdr>
                              <w:divsChild>
                                <w:div w:id="170880154">
                                  <w:marLeft w:val="0"/>
                                  <w:marRight w:val="0"/>
                                  <w:marTop w:val="0"/>
                                  <w:marBottom w:val="0"/>
                                  <w:divBdr>
                                    <w:top w:val="none" w:sz="0" w:space="0" w:color="auto"/>
                                    <w:left w:val="none" w:sz="0" w:space="0" w:color="auto"/>
                                    <w:bottom w:val="none" w:sz="0" w:space="0" w:color="auto"/>
                                    <w:right w:val="none" w:sz="0" w:space="0" w:color="auto"/>
                                  </w:divBdr>
                                  <w:divsChild>
                                    <w:div w:id="1393848445">
                                      <w:marLeft w:val="0"/>
                                      <w:marRight w:val="0"/>
                                      <w:marTop w:val="0"/>
                                      <w:marBottom w:val="0"/>
                                      <w:divBdr>
                                        <w:top w:val="none" w:sz="0" w:space="0" w:color="auto"/>
                                        <w:left w:val="none" w:sz="0" w:space="0" w:color="auto"/>
                                        <w:bottom w:val="none" w:sz="0" w:space="0" w:color="auto"/>
                                        <w:right w:val="none" w:sz="0" w:space="0" w:color="auto"/>
                                      </w:divBdr>
                                      <w:divsChild>
                                        <w:div w:id="1798909670">
                                          <w:marLeft w:val="0"/>
                                          <w:marRight w:val="0"/>
                                          <w:marTop w:val="0"/>
                                          <w:marBottom w:val="0"/>
                                          <w:divBdr>
                                            <w:top w:val="none" w:sz="0" w:space="0" w:color="auto"/>
                                            <w:left w:val="none" w:sz="0" w:space="0" w:color="auto"/>
                                            <w:bottom w:val="none" w:sz="0" w:space="0" w:color="auto"/>
                                            <w:right w:val="none" w:sz="0" w:space="0" w:color="auto"/>
                                          </w:divBdr>
                                          <w:divsChild>
                                            <w:div w:id="1254169378">
                                              <w:marLeft w:val="0"/>
                                              <w:marRight w:val="0"/>
                                              <w:marTop w:val="0"/>
                                              <w:marBottom w:val="0"/>
                                              <w:divBdr>
                                                <w:top w:val="none" w:sz="0" w:space="0" w:color="auto"/>
                                                <w:left w:val="none" w:sz="0" w:space="0" w:color="auto"/>
                                                <w:bottom w:val="none" w:sz="0" w:space="0" w:color="auto"/>
                                                <w:right w:val="none" w:sz="0" w:space="0" w:color="auto"/>
                                              </w:divBdr>
                                              <w:divsChild>
                                                <w:div w:id="14031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55709">
      <w:bodyDiv w:val="1"/>
      <w:marLeft w:val="0"/>
      <w:marRight w:val="0"/>
      <w:marTop w:val="0"/>
      <w:marBottom w:val="0"/>
      <w:divBdr>
        <w:top w:val="none" w:sz="0" w:space="0" w:color="auto"/>
        <w:left w:val="none" w:sz="0" w:space="0" w:color="auto"/>
        <w:bottom w:val="none" w:sz="0" w:space="0" w:color="auto"/>
        <w:right w:val="none" w:sz="0" w:space="0" w:color="auto"/>
      </w:divBdr>
      <w:divsChild>
        <w:div w:id="927613543">
          <w:marLeft w:val="0"/>
          <w:marRight w:val="0"/>
          <w:marTop w:val="0"/>
          <w:marBottom w:val="0"/>
          <w:divBdr>
            <w:top w:val="none" w:sz="0" w:space="0" w:color="auto"/>
            <w:left w:val="none" w:sz="0" w:space="0" w:color="auto"/>
            <w:bottom w:val="none" w:sz="0" w:space="0" w:color="auto"/>
            <w:right w:val="none" w:sz="0" w:space="0" w:color="auto"/>
          </w:divBdr>
          <w:divsChild>
            <w:div w:id="699354806">
              <w:marLeft w:val="0"/>
              <w:marRight w:val="0"/>
              <w:marTop w:val="0"/>
              <w:marBottom w:val="0"/>
              <w:divBdr>
                <w:top w:val="none" w:sz="0" w:space="0" w:color="auto"/>
                <w:left w:val="none" w:sz="0" w:space="0" w:color="auto"/>
                <w:bottom w:val="none" w:sz="0" w:space="0" w:color="auto"/>
                <w:right w:val="none" w:sz="0" w:space="0" w:color="auto"/>
              </w:divBdr>
              <w:divsChild>
                <w:div w:id="643391392">
                  <w:marLeft w:val="0"/>
                  <w:marRight w:val="0"/>
                  <w:marTop w:val="0"/>
                  <w:marBottom w:val="0"/>
                  <w:divBdr>
                    <w:top w:val="none" w:sz="0" w:space="0" w:color="auto"/>
                    <w:left w:val="none" w:sz="0" w:space="0" w:color="auto"/>
                    <w:bottom w:val="none" w:sz="0" w:space="0" w:color="auto"/>
                    <w:right w:val="none" w:sz="0" w:space="0" w:color="auto"/>
                  </w:divBdr>
                  <w:divsChild>
                    <w:div w:id="1460339333">
                      <w:marLeft w:val="0"/>
                      <w:marRight w:val="0"/>
                      <w:marTop w:val="0"/>
                      <w:marBottom w:val="0"/>
                      <w:divBdr>
                        <w:top w:val="none" w:sz="0" w:space="0" w:color="auto"/>
                        <w:left w:val="none" w:sz="0" w:space="0" w:color="auto"/>
                        <w:bottom w:val="none" w:sz="0" w:space="0" w:color="auto"/>
                        <w:right w:val="none" w:sz="0" w:space="0" w:color="auto"/>
                      </w:divBdr>
                      <w:divsChild>
                        <w:div w:id="1105421341">
                          <w:marLeft w:val="0"/>
                          <w:marRight w:val="0"/>
                          <w:marTop w:val="0"/>
                          <w:marBottom w:val="0"/>
                          <w:divBdr>
                            <w:top w:val="single" w:sz="4" w:space="0" w:color="828282"/>
                            <w:left w:val="single" w:sz="4" w:space="0" w:color="828282"/>
                            <w:bottom w:val="single" w:sz="4" w:space="0" w:color="828282"/>
                            <w:right w:val="single" w:sz="4" w:space="0" w:color="828282"/>
                          </w:divBdr>
                          <w:divsChild>
                            <w:div w:id="1923181767">
                              <w:marLeft w:val="0"/>
                              <w:marRight w:val="0"/>
                              <w:marTop w:val="0"/>
                              <w:marBottom w:val="0"/>
                              <w:divBdr>
                                <w:top w:val="none" w:sz="0" w:space="0" w:color="auto"/>
                                <w:left w:val="none" w:sz="0" w:space="0" w:color="auto"/>
                                <w:bottom w:val="none" w:sz="0" w:space="0" w:color="auto"/>
                                <w:right w:val="none" w:sz="0" w:space="0" w:color="auto"/>
                              </w:divBdr>
                              <w:divsChild>
                                <w:div w:id="468086097">
                                  <w:marLeft w:val="0"/>
                                  <w:marRight w:val="0"/>
                                  <w:marTop w:val="0"/>
                                  <w:marBottom w:val="0"/>
                                  <w:divBdr>
                                    <w:top w:val="none" w:sz="0" w:space="0" w:color="auto"/>
                                    <w:left w:val="none" w:sz="0" w:space="0" w:color="auto"/>
                                    <w:bottom w:val="none" w:sz="0" w:space="0" w:color="auto"/>
                                    <w:right w:val="none" w:sz="0" w:space="0" w:color="auto"/>
                                  </w:divBdr>
                                  <w:divsChild>
                                    <w:div w:id="1445150585">
                                      <w:marLeft w:val="0"/>
                                      <w:marRight w:val="0"/>
                                      <w:marTop w:val="0"/>
                                      <w:marBottom w:val="0"/>
                                      <w:divBdr>
                                        <w:top w:val="none" w:sz="0" w:space="0" w:color="auto"/>
                                        <w:left w:val="none" w:sz="0" w:space="0" w:color="auto"/>
                                        <w:bottom w:val="none" w:sz="0" w:space="0" w:color="auto"/>
                                        <w:right w:val="none" w:sz="0" w:space="0" w:color="auto"/>
                                      </w:divBdr>
                                      <w:divsChild>
                                        <w:div w:id="479343278">
                                          <w:marLeft w:val="0"/>
                                          <w:marRight w:val="0"/>
                                          <w:marTop w:val="0"/>
                                          <w:marBottom w:val="0"/>
                                          <w:divBdr>
                                            <w:top w:val="none" w:sz="0" w:space="0" w:color="auto"/>
                                            <w:left w:val="none" w:sz="0" w:space="0" w:color="auto"/>
                                            <w:bottom w:val="none" w:sz="0" w:space="0" w:color="auto"/>
                                            <w:right w:val="none" w:sz="0" w:space="0" w:color="auto"/>
                                          </w:divBdr>
                                          <w:divsChild>
                                            <w:div w:id="1512841332">
                                              <w:marLeft w:val="0"/>
                                              <w:marRight w:val="0"/>
                                              <w:marTop w:val="0"/>
                                              <w:marBottom w:val="0"/>
                                              <w:divBdr>
                                                <w:top w:val="none" w:sz="0" w:space="0" w:color="auto"/>
                                                <w:left w:val="none" w:sz="0" w:space="0" w:color="auto"/>
                                                <w:bottom w:val="none" w:sz="0" w:space="0" w:color="auto"/>
                                                <w:right w:val="none" w:sz="0" w:space="0" w:color="auto"/>
                                              </w:divBdr>
                                              <w:divsChild>
                                                <w:div w:id="1000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43446">
      <w:bodyDiv w:val="1"/>
      <w:marLeft w:val="0"/>
      <w:marRight w:val="0"/>
      <w:marTop w:val="0"/>
      <w:marBottom w:val="0"/>
      <w:divBdr>
        <w:top w:val="none" w:sz="0" w:space="0" w:color="auto"/>
        <w:left w:val="none" w:sz="0" w:space="0" w:color="auto"/>
        <w:bottom w:val="none" w:sz="0" w:space="0" w:color="auto"/>
        <w:right w:val="none" w:sz="0" w:space="0" w:color="auto"/>
      </w:divBdr>
      <w:divsChild>
        <w:div w:id="1242326470">
          <w:marLeft w:val="0"/>
          <w:marRight w:val="0"/>
          <w:marTop w:val="0"/>
          <w:marBottom w:val="0"/>
          <w:divBdr>
            <w:top w:val="none" w:sz="0" w:space="0" w:color="auto"/>
            <w:left w:val="none" w:sz="0" w:space="0" w:color="auto"/>
            <w:bottom w:val="none" w:sz="0" w:space="0" w:color="auto"/>
            <w:right w:val="none" w:sz="0" w:space="0" w:color="auto"/>
          </w:divBdr>
          <w:divsChild>
            <w:div w:id="1213661479">
              <w:marLeft w:val="0"/>
              <w:marRight w:val="0"/>
              <w:marTop w:val="0"/>
              <w:marBottom w:val="0"/>
              <w:divBdr>
                <w:top w:val="none" w:sz="0" w:space="0" w:color="auto"/>
                <w:left w:val="none" w:sz="0" w:space="0" w:color="auto"/>
                <w:bottom w:val="none" w:sz="0" w:space="0" w:color="auto"/>
                <w:right w:val="none" w:sz="0" w:space="0" w:color="auto"/>
              </w:divBdr>
              <w:divsChild>
                <w:div w:id="1501193628">
                  <w:marLeft w:val="0"/>
                  <w:marRight w:val="0"/>
                  <w:marTop w:val="0"/>
                  <w:marBottom w:val="0"/>
                  <w:divBdr>
                    <w:top w:val="none" w:sz="0" w:space="0" w:color="auto"/>
                    <w:left w:val="none" w:sz="0" w:space="0" w:color="auto"/>
                    <w:bottom w:val="none" w:sz="0" w:space="0" w:color="auto"/>
                    <w:right w:val="none" w:sz="0" w:space="0" w:color="auto"/>
                  </w:divBdr>
                  <w:divsChild>
                    <w:div w:id="1466581419">
                      <w:marLeft w:val="0"/>
                      <w:marRight w:val="0"/>
                      <w:marTop w:val="0"/>
                      <w:marBottom w:val="0"/>
                      <w:divBdr>
                        <w:top w:val="none" w:sz="0" w:space="0" w:color="auto"/>
                        <w:left w:val="none" w:sz="0" w:space="0" w:color="auto"/>
                        <w:bottom w:val="none" w:sz="0" w:space="0" w:color="auto"/>
                        <w:right w:val="none" w:sz="0" w:space="0" w:color="auto"/>
                      </w:divBdr>
                      <w:divsChild>
                        <w:div w:id="864059123">
                          <w:marLeft w:val="0"/>
                          <w:marRight w:val="0"/>
                          <w:marTop w:val="0"/>
                          <w:marBottom w:val="0"/>
                          <w:divBdr>
                            <w:top w:val="none" w:sz="0" w:space="0" w:color="auto"/>
                            <w:left w:val="none" w:sz="0" w:space="0" w:color="auto"/>
                            <w:bottom w:val="none" w:sz="0" w:space="0" w:color="auto"/>
                            <w:right w:val="none" w:sz="0" w:space="0" w:color="auto"/>
                          </w:divBdr>
                          <w:divsChild>
                            <w:div w:id="132260784">
                              <w:marLeft w:val="0"/>
                              <w:marRight w:val="0"/>
                              <w:marTop w:val="0"/>
                              <w:marBottom w:val="0"/>
                              <w:divBdr>
                                <w:top w:val="none" w:sz="0" w:space="0" w:color="auto"/>
                                <w:left w:val="none" w:sz="0" w:space="0" w:color="auto"/>
                                <w:bottom w:val="none" w:sz="0" w:space="0" w:color="auto"/>
                                <w:right w:val="none" w:sz="0" w:space="0" w:color="auto"/>
                              </w:divBdr>
                              <w:divsChild>
                                <w:div w:id="929117294">
                                  <w:marLeft w:val="0"/>
                                  <w:marRight w:val="0"/>
                                  <w:marTop w:val="0"/>
                                  <w:marBottom w:val="0"/>
                                  <w:divBdr>
                                    <w:top w:val="none" w:sz="0" w:space="0" w:color="auto"/>
                                    <w:left w:val="none" w:sz="0" w:space="0" w:color="auto"/>
                                    <w:bottom w:val="none" w:sz="0" w:space="0" w:color="auto"/>
                                    <w:right w:val="none" w:sz="0" w:space="0" w:color="auto"/>
                                  </w:divBdr>
                                  <w:divsChild>
                                    <w:div w:id="89281416">
                                      <w:marLeft w:val="0"/>
                                      <w:marRight w:val="0"/>
                                      <w:marTop w:val="0"/>
                                      <w:marBottom w:val="0"/>
                                      <w:divBdr>
                                        <w:top w:val="none" w:sz="0" w:space="0" w:color="auto"/>
                                        <w:left w:val="none" w:sz="0" w:space="0" w:color="auto"/>
                                        <w:bottom w:val="none" w:sz="0" w:space="0" w:color="auto"/>
                                        <w:right w:val="none" w:sz="0" w:space="0" w:color="auto"/>
                                      </w:divBdr>
                                      <w:divsChild>
                                        <w:div w:id="831526643">
                                          <w:marLeft w:val="0"/>
                                          <w:marRight w:val="0"/>
                                          <w:marTop w:val="0"/>
                                          <w:marBottom w:val="0"/>
                                          <w:divBdr>
                                            <w:top w:val="none" w:sz="0" w:space="0" w:color="auto"/>
                                            <w:left w:val="none" w:sz="0" w:space="0" w:color="auto"/>
                                            <w:bottom w:val="none" w:sz="0" w:space="0" w:color="auto"/>
                                            <w:right w:val="none" w:sz="0" w:space="0" w:color="auto"/>
                                          </w:divBdr>
                                          <w:divsChild>
                                            <w:div w:id="444808965">
                                              <w:marLeft w:val="0"/>
                                              <w:marRight w:val="0"/>
                                              <w:marTop w:val="0"/>
                                              <w:marBottom w:val="0"/>
                                              <w:divBdr>
                                                <w:top w:val="none" w:sz="0" w:space="0" w:color="auto"/>
                                                <w:left w:val="none" w:sz="0" w:space="0" w:color="auto"/>
                                                <w:bottom w:val="none" w:sz="0" w:space="0" w:color="auto"/>
                                                <w:right w:val="none" w:sz="0" w:space="0" w:color="auto"/>
                                              </w:divBdr>
                                              <w:divsChild>
                                                <w:div w:id="644352982">
                                                  <w:marLeft w:val="0"/>
                                                  <w:marRight w:val="0"/>
                                                  <w:marTop w:val="0"/>
                                                  <w:marBottom w:val="0"/>
                                                  <w:divBdr>
                                                    <w:top w:val="none" w:sz="0" w:space="0" w:color="auto"/>
                                                    <w:left w:val="none" w:sz="0" w:space="0" w:color="auto"/>
                                                    <w:bottom w:val="none" w:sz="0" w:space="0" w:color="auto"/>
                                                    <w:right w:val="none" w:sz="0" w:space="0" w:color="auto"/>
                                                  </w:divBdr>
                                                  <w:divsChild>
                                                    <w:div w:id="1573464041">
                                                      <w:marLeft w:val="0"/>
                                                      <w:marRight w:val="0"/>
                                                      <w:marTop w:val="0"/>
                                                      <w:marBottom w:val="0"/>
                                                      <w:divBdr>
                                                        <w:top w:val="none" w:sz="0" w:space="0" w:color="auto"/>
                                                        <w:left w:val="none" w:sz="0" w:space="0" w:color="auto"/>
                                                        <w:bottom w:val="none" w:sz="0" w:space="0" w:color="auto"/>
                                                        <w:right w:val="none" w:sz="0" w:space="0" w:color="auto"/>
                                                      </w:divBdr>
                                                      <w:divsChild>
                                                        <w:div w:id="18179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4287359">
      <w:bodyDiv w:val="1"/>
      <w:marLeft w:val="0"/>
      <w:marRight w:val="0"/>
      <w:marTop w:val="0"/>
      <w:marBottom w:val="0"/>
      <w:divBdr>
        <w:top w:val="none" w:sz="0" w:space="0" w:color="auto"/>
        <w:left w:val="none" w:sz="0" w:space="0" w:color="auto"/>
        <w:bottom w:val="none" w:sz="0" w:space="0" w:color="auto"/>
        <w:right w:val="none" w:sz="0" w:space="0" w:color="auto"/>
      </w:divBdr>
    </w:div>
    <w:div w:id="339625569">
      <w:bodyDiv w:val="1"/>
      <w:marLeft w:val="0"/>
      <w:marRight w:val="0"/>
      <w:marTop w:val="0"/>
      <w:marBottom w:val="0"/>
      <w:divBdr>
        <w:top w:val="none" w:sz="0" w:space="0" w:color="auto"/>
        <w:left w:val="none" w:sz="0" w:space="0" w:color="auto"/>
        <w:bottom w:val="none" w:sz="0" w:space="0" w:color="auto"/>
        <w:right w:val="none" w:sz="0" w:space="0" w:color="auto"/>
      </w:divBdr>
    </w:div>
    <w:div w:id="443383376">
      <w:bodyDiv w:val="1"/>
      <w:marLeft w:val="0"/>
      <w:marRight w:val="0"/>
      <w:marTop w:val="0"/>
      <w:marBottom w:val="0"/>
      <w:divBdr>
        <w:top w:val="none" w:sz="0" w:space="0" w:color="auto"/>
        <w:left w:val="none" w:sz="0" w:space="0" w:color="auto"/>
        <w:bottom w:val="none" w:sz="0" w:space="0" w:color="auto"/>
        <w:right w:val="none" w:sz="0" w:space="0" w:color="auto"/>
      </w:divBdr>
    </w:div>
    <w:div w:id="465589648">
      <w:bodyDiv w:val="1"/>
      <w:marLeft w:val="0"/>
      <w:marRight w:val="0"/>
      <w:marTop w:val="0"/>
      <w:marBottom w:val="0"/>
      <w:divBdr>
        <w:top w:val="none" w:sz="0" w:space="0" w:color="auto"/>
        <w:left w:val="none" w:sz="0" w:space="0" w:color="auto"/>
        <w:bottom w:val="none" w:sz="0" w:space="0" w:color="auto"/>
        <w:right w:val="none" w:sz="0" w:space="0" w:color="auto"/>
      </w:divBdr>
      <w:divsChild>
        <w:div w:id="1123427304">
          <w:marLeft w:val="0"/>
          <w:marRight w:val="0"/>
          <w:marTop w:val="0"/>
          <w:marBottom w:val="0"/>
          <w:divBdr>
            <w:top w:val="none" w:sz="0" w:space="0" w:color="auto"/>
            <w:left w:val="none" w:sz="0" w:space="0" w:color="auto"/>
            <w:bottom w:val="none" w:sz="0" w:space="0" w:color="auto"/>
            <w:right w:val="none" w:sz="0" w:space="0" w:color="auto"/>
          </w:divBdr>
          <w:divsChild>
            <w:div w:id="412510717">
              <w:marLeft w:val="0"/>
              <w:marRight w:val="0"/>
              <w:marTop w:val="0"/>
              <w:marBottom w:val="0"/>
              <w:divBdr>
                <w:top w:val="none" w:sz="0" w:space="0" w:color="auto"/>
                <w:left w:val="none" w:sz="0" w:space="0" w:color="auto"/>
                <w:bottom w:val="none" w:sz="0" w:space="0" w:color="auto"/>
                <w:right w:val="none" w:sz="0" w:space="0" w:color="auto"/>
              </w:divBdr>
              <w:divsChild>
                <w:div w:id="1225800639">
                  <w:marLeft w:val="0"/>
                  <w:marRight w:val="0"/>
                  <w:marTop w:val="0"/>
                  <w:marBottom w:val="0"/>
                  <w:divBdr>
                    <w:top w:val="none" w:sz="0" w:space="0" w:color="auto"/>
                    <w:left w:val="none" w:sz="0" w:space="0" w:color="auto"/>
                    <w:bottom w:val="none" w:sz="0" w:space="0" w:color="auto"/>
                    <w:right w:val="none" w:sz="0" w:space="0" w:color="auto"/>
                  </w:divBdr>
                  <w:divsChild>
                    <w:div w:id="893351452">
                      <w:marLeft w:val="0"/>
                      <w:marRight w:val="0"/>
                      <w:marTop w:val="0"/>
                      <w:marBottom w:val="0"/>
                      <w:divBdr>
                        <w:top w:val="none" w:sz="0" w:space="0" w:color="auto"/>
                        <w:left w:val="none" w:sz="0" w:space="0" w:color="auto"/>
                        <w:bottom w:val="none" w:sz="0" w:space="0" w:color="auto"/>
                        <w:right w:val="none" w:sz="0" w:space="0" w:color="auto"/>
                      </w:divBdr>
                      <w:divsChild>
                        <w:div w:id="1827090774">
                          <w:marLeft w:val="0"/>
                          <w:marRight w:val="0"/>
                          <w:marTop w:val="0"/>
                          <w:marBottom w:val="0"/>
                          <w:divBdr>
                            <w:top w:val="single" w:sz="4" w:space="0" w:color="828282"/>
                            <w:left w:val="single" w:sz="4" w:space="0" w:color="828282"/>
                            <w:bottom w:val="single" w:sz="4" w:space="0" w:color="828282"/>
                            <w:right w:val="single" w:sz="4" w:space="0" w:color="828282"/>
                          </w:divBdr>
                          <w:divsChild>
                            <w:div w:id="837237026">
                              <w:marLeft w:val="0"/>
                              <w:marRight w:val="0"/>
                              <w:marTop w:val="0"/>
                              <w:marBottom w:val="0"/>
                              <w:divBdr>
                                <w:top w:val="none" w:sz="0" w:space="0" w:color="auto"/>
                                <w:left w:val="none" w:sz="0" w:space="0" w:color="auto"/>
                                <w:bottom w:val="none" w:sz="0" w:space="0" w:color="auto"/>
                                <w:right w:val="none" w:sz="0" w:space="0" w:color="auto"/>
                              </w:divBdr>
                              <w:divsChild>
                                <w:div w:id="1452938049">
                                  <w:marLeft w:val="0"/>
                                  <w:marRight w:val="0"/>
                                  <w:marTop w:val="0"/>
                                  <w:marBottom w:val="0"/>
                                  <w:divBdr>
                                    <w:top w:val="none" w:sz="0" w:space="0" w:color="auto"/>
                                    <w:left w:val="none" w:sz="0" w:space="0" w:color="auto"/>
                                    <w:bottom w:val="none" w:sz="0" w:space="0" w:color="auto"/>
                                    <w:right w:val="none" w:sz="0" w:space="0" w:color="auto"/>
                                  </w:divBdr>
                                  <w:divsChild>
                                    <w:div w:id="1970894381">
                                      <w:marLeft w:val="0"/>
                                      <w:marRight w:val="0"/>
                                      <w:marTop w:val="0"/>
                                      <w:marBottom w:val="0"/>
                                      <w:divBdr>
                                        <w:top w:val="none" w:sz="0" w:space="0" w:color="auto"/>
                                        <w:left w:val="none" w:sz="0" w:space="0" w:color="auto"/>
                                        <w:bottom w:val="none" w:sz="0" w:space="0" w:color="auto"/>
                                        <w:right w:val="none" w:sz="0" w:space="0" w:color="auto"/>
                                      </w:divBdr>
                                      <w:divsChild>
                                        <w:div w:id="620234495">
                                          <w:marLeft w:val="0"/>
                                          <w:marRight w:val="0"/>
                                          <w:marTop w:val="0"/>
                                          <w:marBottom w:val="0"/>
                                          <w:divBdr>
                                            <w:top w:val="none" w:sz="0" w:space="0" w:color="auto"/>
                                            <w:left w:val="none" w:sz="0" w:space="0" w:color="auto"/>
                                            <w:bottom w:val="none" w:sz="0" w:space="0" w:color="auto"/>
                                            <w:right w:val="none" w:sz="0" w:space="0" w:color="auto"/>
                                          </w:divBdr>
                                          <w:divsChild>
                                            <w:div w:id="2026442520">
                                              <w:marLeft w:val="0"/>
                                              <w:marRight w:val="0"/>
                                              <w:marTop w:val="0"/>
                                              <w:marBottom w:val="0"/>
                                              <w:divBdr>
                                                <w:top w:val="none" w:sz="0" w:space="0" w:color="auto"/>
                                                <w:left w:val="none" w:sz="0" w:space="0" w:color="auto"/>
                                                <w:bottom w:val="none" w:sz="0" w:space="0" w:color="auto"/>
                                                <w:right w:val="none" w:sz="0" w:space="0" w:color="auto"/>
                                              </w:divBdr>
                                              <w:divsChild>
                                                <w:div w:id="5264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7056">
      <w:bodyDiv w:val="1"/>
      <w:marLeft w:val="0"/>
      <w:marRight w:val="0"/>
      <w:marTop w:val="0"/>
      <w:marBottom w:val="0"/>
      <w:divBdr>
        <w:top w:val="none" w:sz="0" w:space="0" w:color="auto"/>
        <w:left w:val="none" w:sz="0" w:space="0" w:color="auto"/>
        <w:bottom w:val="none" w:sz="0" w:space="0" w:color="auto"/>
        <w:right w:val="none" w:sz="0" w:space="0" w:color="auto"/>
      </w:divBdr>
      <w:divsChild>
        <w:div w:id="316032736">
          <w:marLeft w:val="0"/>
          <w:marRight w:val="0"/>
          <w:marTop w:val="0"/>
          <w:marBottom w:val="0"/>
          <w:divBdr>
            <w:top w:val="none" w:sz="0" w:space="0" w:color="auto"/>
            <w:left w:val="none" w:sz="0" w:space="0" w:color="auto"/>
            <w:bottom w:val="none" w:sz="0" w:space="0" w:color="auto"/>
            <w:right w:val="none" w:sz="0" w:space="0" w:color="auto"/>
          </w:divBdr>
          <w:divsChild>
            <w:div w:id="411204400">
              <w:marLeft w:val="0"/>
              <w:marRight w:val="0"/>
              <w:marTop w:val="0"/>
              <w:marBottom w:val="0"/>
              <w:divBdr>
                <w:top w:val="none" w:sz="0" w:space="0" w:color="auto"/>
                <w:left w:val="none" w:sz="0" w:space="0" w:color="auto"/>
                <w:bottom w:val="none" w:sz="0" w:space="0" w:color="auto"/>
                <w:right w:val="none" w:sz="0" w:space="0" w:color="auto"/>
              </w:divBdr>
              <w:divsChild>
                <w:div w:id="278267375">
                  <w:marLeft w:val="0"/>
                  <w:marRight w:val="0"/>
                  <w:marTop w:val="0"/>
                  <w:marBottom w:val="0"/>
                  <w:divBdr>
                    <w:top w:val="none" w:sz="0" w:space="0" w:color="auto"/>
                    <w:left w:val="none" w:sz="0" w:space="0" w:color="auto"/>
                    <w:bottom w:val="none" w:sz="0" w:space="0" w:color="auto"/>
                    <w:right w:val="none" w:sz="0" w:space="0" w:color="auto"/>
                  </w:divBdr>
                  <w:divsChild>
                    <w:div w:id="274675553">
                      <w:marLeft w:val="0"/>
                      <w:marRight w:val="0"/>
                      <w:marTop w:val="0"/>
                      <w:marBottom w:val="0"/>
                      <w:divBdr>
                        <w:top w:val="none" w:sz="0" w:space="0" w:color="auto"/>
                        <w:left w:val="none" w:sz="0" w:space="0" w:color="auto"/>
                        <w:bottom w:val="none" w:sz="0" w:space="0" w:color="auto"/>
                        <w:right w:val="none" w:sz="0" w:space="0" w:color="auto"/>
                      </w:divBdr>
                      <w:divsChild>
                        <w:div w:id="1550729297">
                          <w:marLeft w:val="0"/>
                          <w:marRight w:val="0"/>
                          <w:marTop w:val="0"/>
                          <w:marBottom w:val="0"/>
                          <w:divBdr>
                            <w:top w:val="single" w:sz="4" w:space="0" w:color="828282"/>
                            <w:left w:val="single" w:sz="4" w:space="0" w:color="828282"/>
                            <w:bottom w:val="single" w:sz="4" w:space="0" w:color="828282"/>
                            <w:right w:val="single" w:sz="4" w:space="0" w:color="828282"/>
                          </w:divBdr>
                          <w:divsChild>
                            <w:div w:id="1427769907">
                              <w:marLeft w:val="0"/>
                              <w:marRight w:val="0"/>
                              <w:marTop w:val="0"/>
                              <w:marBottom w:val="0"/>
                              <w:divBdr>
                                <w:top w:val="none" w:sz="0" w:space="0" w:color="auto"/>
                                <w:left w:val="none" w:sz="0" w:space="0" w:color="auto"/>
                                <w:bottom w:val="none" w:sz="0" w:space="0" w:color="auto"/>
                                <w:right w:val="none" w:sz="0" w:space="0" w:color="auto"/>
                              </w:divBdr>
                              <w:divsChild>
                                <w:div w:id="440615005">
                                  <w:marLeft w:val="0"/>
                                  <w:marRight w:val="0"/>
                                  <w:marTop w:val="0"/>
                                  <w:marBottom w:val="0"/>
                                  <w:divBdr>
                                    <w:top w:val="none" w:sz="0" w:space="0" w:color="auto"/>
                                    <w:left w:val="none" w:sz="0" w:space="0" w:color="auto"/>
                                    <w:bottom w:val="none" w:sz="0" w:space="0" w:color="auto"/>
                                    <w:right w:val="none" w:sz="0" w:space="0" w:color="auto"/>
                                  </w:divBdr>
                                  <w:divsChild>
                                    <w:div w:id="1967656771">
                                      <w:marLeft w:val="0"/>
                                      <w:marRight w:val="0"/>
                                      <w:marTop w:val="0"/>
                                      <w:marBottom w:val="0"/>
                                      <w:divBdr>
                                        <w:top w:val="none" w:sz="0" w:space="0" w:color="auto"/>
                                        <w:left w:val="none" w:sz="0" w:space="0" w:color="auto"/>
                                        <w:bottom w:val="none" w:sz="0" w:space="0" w:color="auto"/>
                                        <w:right w:val="none" w:sz="0" w:space="0" w:color="auto"/>
                                      </w:divBdr>
                                      <w:divsChild>
                                        <w:div w:id="1410888745">
                                          <w:marLeft w:val="0"/>
                                          <w:marRight w:val="0"/>
                                          <w:marTop w:val="0"/>
                                          <w:marBottom w:val="0"/>
                                          <w:divBdr>
                                            <w:top w:val="none" w:sz="0" w:space="0" w:color="auto"/>
                                            <w:left w:val="none" w:sz="0" w:space="0" w:color="auto"/>
                                            <w:bottom w:val="none" w:sz="0" w:space="0" w:color="auto"/>
                                            <w:right w:val="none" w:sz="0" w:space="0" w:color="auto"/>
                                          </w:divBdr>
                                          <w:divsChild>
                                            <w:div w:id="1138186792">
                                              <w:marLeft w:val="0"/>
                                              <w:marRight w:val="0"/>
                                              <w:marTop w:val="0"/>
                                              <w:marBottom w:val="0"/>
                                              <w:divBdr>
                                                <w:top w:val="none" w:sz="0" w:space="0" w:color="auto"/>
                                                <w:left w:val="none" w:sz="0" w:space="0" w:color="auto"/>
                                                <w:bottom w:val="none" w:sz="0" w:space="0" w:color="auto"/>
                                                <w:right w:val="none" w:sz="0" w:space="0" w:color="auto"/>
                                              </w:divBdr>
                                              <w:divsChild>
                                                <w:div w:id="20772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1645503">
      <w:bodyDiv w:val="1"/>
      <w:marLeft w:val="0"/>
      <w:marRight w:val="0"/>
      <w:marTop w:val="0"/>
      <w:marBottom w:val="0"/>
      <w:divBdr>
        <w:top w:val="none" w:sz="0" w:space="0" w:color="auto"/>
        <w:left w:val="none" w:sz="0" w:space="0" w:color="auto"/>
        <w:bottom w:val="none" w:sz="0" w:space="0" w:color="auto"/>
        <w:right w:val="none" w:sz="0" w:space="0" w:color="auto"/>
      </w:divBdr>
    </w:div>
    <w:div w:id="983198758">
      <w:bodyDiv w:val="1"/>
      <w:marLeft w:val="0"/>
      <w:marRight w:val="0"/>
      <w:marTop w:val="0"/>
      <w:marBottom w:val="0"/>
      <w:divBdr>
        <w:top w:val="none" w:sz="0" w:space="0" w:color="auto"/>
        <w:left w:val="none" w:sz="0" w:space="0" w:color="auto"/>
        <w:bottom w:val="none" w:sz="0" w:space="0" w:color="auto"/>
        <w:right w:val="none" w:sz="0" w:space="0" w:color="auto"/>
      </w:divBdr>
      <w:divsChild>
        <w:div w:id="1023242086">
          <w:marLeft w:val="0"/>
          <w:marRight w:val="0"/>
          <w:marTop w:val="0"/>
          <w:marBottom w:val="0"/>
          <w:divBdr>
            <w:top w:val="none" w:sz="0" w:space="0" w:color="auto"/>
            <w:left w:val="none" w:sz="0" w:space="0" w:color="auto"/>
            <w:bottom w:val="none" w:sz="0" w:space="0" w:color="auto"/>
            <w:right w:val="none" w:sz="0" w:space="0" w:color="auto"/>
          </w:divBdr>
          <w:divsChild>
            <w:div w:id="377510226">
              <w:marLeft w:val="0"/>
              <w:marRight w:val="0"/>
              <w:marTop w:val="0"/>
              <w:marBottom w:val="0"/>
              <w:divBdr>
                <w:top w:val="none" w:sz="0" w:space="0" w:color="auto"/>
                <w:left w:val="none" w:sz="0" w:space="0" w:color="auto"/>
                <w:bottom w:val="none" w:sz="0" w:space="0" w:color="auto"/>
                <w:right w:val="none" w:sz="0" w:space="0" w:color="auto"/>
              </w:divBdr>
              <w:divsChild>
                <w:div w:id="1198155937">
                  <w:marLeft w:val="0"/>
                  <w:marRight w:val="0"/>
                  <w:marTop w:val="0"/>
                  <w:marBottom w:val="0"/>
                  <w:divBdr>
                    <w:top w:val="none" w:sz="0" w:space="0" w:color="auto"/>
                    <w:left w:val="none" w:sz="0" w:space="0" w:color="auto"/>
                    <w:bottom w:val="none" w:sz="0" w:space="0" w:color="auto"/>
                    <w:right w:val="none" w:sz="0" w:space="0" w:color="auto"/>
                  </w:divBdr>
                  <w:divsChild>
                    <w:div w:id="2133354999">
                      <w:marLeft w:val="0"/>
                      <w:marRight w:val="0"/>
                      <w:marTop w:val="0"/>
                      <w:marBottom w:val="0"/>
                      <w:divBdr>
                        <w:top w:val="none" w:sz="0" w:space="0" w:color="auto"/>
                        <w:left w:val="none" w:sz="0" w:space="0" w:color="auto"/>
                        <w:bottom w:val="none" w:sz="0" w:space="0" w:color="auto"/>
                        <w:right w:val="none" w:sz="0" w:space="0" w:color="auto"/>
                      </w:divBdr>
                      <w:divsChild>
                        <w:div w:id="1737241083">
                          <w:marLeft w:val="0"/>
                          <w:marRight w:val="0"/>
                          <w:marTop w:val="0"/>
                          <w:marBottom w:val="0"/>
                          <w:divBdr>
                            <w:top w:val="none" w:sz="0" w:space="0" w:color="auto"/>
                            <w:left w:val="none" w:sz="0" w:space="0" w:color="auto"/>
                            <w:bottom w:val="none" w:sz="0" w:space="0" w:color="auto"/>
                            <w:right w:val="none" w:sz="0" w:space="0" w:color="auto"/>
                          </w:divBdr>
                          <w:divsChild>
                            <w:div w:id="152188547">
                              <w:marLeft w:val="0"/>
                              <w:marRight w:val="0"/>
                              <w:marTop w:val="0"/>
                              <w:marBottom w:val="0"/>
                              <w:divBdr>
                                <w:top w:val="none" w:sz="0" w:space="0" w:color="auto"/>
                                <w:left w:val="none" w:sz="0" w:space="0" w:color="auto"/>
                                <w:bottom w:val="none" w:sz="0" w:space="0" w:color="auto"/>
                                <w:right w:val="none" w:sz="0" w:space="0" w:color="auto"/>
                              </w:divBdr>
                              <w:divsChild>
                                <w:div w:id="108816505">
                                  <w:marLeft w:val="0"/>
                                  <w:marRight w:val="0"/>
                                  <w:marTop w:val="0"/>
                                  <w:marBottom w:val="0"/>
                                  <w:divBdr>
                                    <w:top w:val="none" w:sz="0" w:space="0" w:color="auto"/>
                                    <w:left w:val="none" w:sz="0" w:space="0" w:color="auto"/>
                                    <w:bottom w:val="none" w:sz="0" w:space="0" w:color="auto"/>
                                    <w:right w:val="none" w:sz="0" w:space="0" w:color="auto"/>
                                  </w:divBdr>
                                  <w:divsChild>
                                    <w:div w:id="1720201573">
                                      <w:marLeft w:val="0"/>
                                      <w:marRight w:val="0"/>
                                      <w:marTop w:val="0"/>
                                      <w:marBottom w:val="0"/>
                                      <w:divBdr>
                                        <w:top w:val="none" w:sz="0" w:space="0" w:color="auto"/>
                                        <w:left w:val="none" w:sz="0" w:space="0" w:color="auto"/>
                                        <w:bottom w:val="none" w:sz="0" w:space="0" w:color="auto"/>
                                        <w:right w:val="none" w:sz="0" w:space="0" w:color="auto"/>
                                      </w:divBdr>
                                      <w:divsChild>
                                        <w:div w:id="829173969">
                                          <w:marLeft w:val="0"/>
                                          <w:marRight w:val="0"/>
                                          <w:marTop w:val="0"/>
                                          <w:marBottom w:val="0"/>
                                          <w:divBdr>
                                            <w:top w:val="none" w:sz="0" w:space="0" w:color="auto"/>
                                            <w:left w:val="none" w:sz="0" w:space="0" w:color="auto"/>
                                            <w:bottom w:val="none" w:sz="0" w:space="0" w:color="auto"/>
                                            <w:right w:val="none" w:sz="0" w:space="0" w:color="auto"/>
                                          </w:divBdr>
                                          <w:divsChild>
                                            <w:div w:id="829757640">
                                              <w:marLeft w:val="0"/>
                                              <w:marRight w:val="0"/>
                                              <w:marTop w:val="0"/>
                                              <w:marBottom w:val="0"/>
                                              <w:divBdr>
                                                <w:top w:val="none" w:sz="0" w:space="0" w:color="auto"/>
                                                <w:left w:val="none" w:sz="0" w:space="0" w:color="auto"/>
                                                <w:bottom w:val="none" w:sz="0" w:space="0" w:color="auto"/>
                                                <w:right w:val="none" w:sz="0" w:space="0" w:color="auto"/>
                                              </w:divBdr>
                                              <w:divsChild>
                                                <w:div w:id="993919087">
                                                  <w:marLeft w:val="0"/>
                                                  <w:marRight w:val="0"/>
                                                  <w:marTop w:val="0"/>
                                                  <w:marBottom w:val="0"/>
                                                  <w:divBdr>
                                                    <w:top w:val="none" w:sz="0" w:space="0" w:color="auto"/>
                                                    <w:left w:val="none" w:sz="0" w:space="0" w:color="auto"/>
                                                    <w:bottom w:val="none" w:sz="0" w:space="0" w:color="auto"/>
                                                    <w:right w:val="none" w:sz="0" w:space="0" w:color="auto"/>
                                                  </w:divBdr>
                                                  <w:divsChild>
                                                    <w:div w:id="444270194">
                                                      <w:marLeft w:val="0"/>
                                                      <w:marRight w:val="0"/>
                                                      <w:marTop w:val="0"/>
                                                      <w:marBottom w:val="0"/>
                                                      <w:divBdr>
                                                        <w:top w:val="none" w:sz="0" w:space="0" w:color="auto"/>
                                                        <w:left w:val="none" w:sz="0" w:space="0" w:color="auto"/>
                                                        <w:bottom w:val="none" w:sz="0" w:space="0" w:color="auto"/>
                                                        <w:right w:val="none" w:sz="0" w:space="0" w:color="auto"/>
                                                      </w:divBdr>
                                                      <w:divsChild>
                                                        <w:div w:id="18863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438816">
      <w:bodyDiv w:val="1"/>
      <w:marLeft w:val="0"/>
      <w:marRight w:val="0"/>
      <w:marTop w:val="0"/>
      <w:marBottom w:val="0"/>
      <w:divBdr>
        <w:top w:val="none" w:sz="0" w:space="0" w:color="auto"/>
        <w:left w:val="none" w:sz="0" w:space="0" w:color="auto"/>
        <w:bottom w:val="none" w:sz="0" w:space="0" w:color="auto"/>
        <w:right w:val="none" w:sz="0" w:space="0" w:color="auto"/>
      </w:divBdr>
    </w:div>
    <w:div w:id="1141117044">
      <w:bodyDiv w:val="1"/>
      <w:marLeft w:val="0"/>
      <w:marRight w:val="0"/>
      <w:marTop w:val="0"/>
      <w:marBottom w:val="0"/>
      <w:divBdr>
        <w:top w:val="none" w:sz="0" w:space="0" w:color="auto"/>
        <w:left w:val="none" w:sz="0" w:space="0" w:color="auto"/>
        <w:bottom w:val="none" w:sz="0" w:space="0" w:color="auto"/>
        <w:right w:val="none" w:sz="0" w:space="0" w:color="auto"/>
      </w:divBdr>
    </w:div>
    <w:div w:id="1157572081">
      <w:bodyDiv w:val="1"/>
      <w:marLeft w:val="0"/>
      <w:marRight w:val="0"/>
      <w:marTop w:val="0"/>
      <w:marBottom w:val="0"/>
      <w:divBdr>
        <w:top w:val="none" w:sz="0" w:space="0" w:color="auto"/>
        <w:left w:val="none" w:sz="0" w:space="0" w:color="auto"/>
        <w:bottom w:val="none" w:sz="0" w:space="0" w:color="auto"/>
        <w:right w:val="none" w:sz="0" w:space="0" w:color="auto"/>
      </w:divBdr>
    </w:div>
    <w:div w:id="1171875177">
      <w:bodyDiv w:val="1"/>
      <w:marLeft w:val="0"/>
      <w:marRight w:val="0"/>
      <w:marTop w:val="0"/>
      <w:marBottom w:val="0"/>
      <w:divBdr>
        <w:top w:val="none" w:sz="0" w:space="0" w:color="auto"/>
        <w:left w:val="none" w:sz="0" w:space="0" w:color="auto"/>
        <w:bottom w:val="none" w:sz="0" w:space="0" w:color="auto"/>
        <w:right w:val="none" w:sz="0" w:space="0" w:color="auto"/>
      </w:divBdr>
      <w:divsChild>
        <w:div w:id="2071343706">
          <w:marLeft w:val="0"/>
          <w:marRight w:val="0"/>
          <w:marTop w:val="0"/>
          <w:marBottom w:val="0"/>
          <w:divBdr>
            <w:top w:val="none" w:sz="0" w:space="0" w:color="auto"/>
            <w:left w:val="none" w:sz="0" w:space="0" w:color="auto"/>
            <w:bottom w:val="none" w:sz="0" w:space="0" w:color="auto"/>
            <w:right w:val="none" w:sz="0" w:space="0" w:color="auto"/>
          </w:divBdr>
          <w:divsChild>
            <w:div w:id="298536418">
              <w:marLeft w:val="0"/>
              <w:marRight w:val="0"/>
              <w:marTop w:val="0"/>
              <w:marBottom w:val="0"/>
              <w:divBdr>
                <w:top w:val="none" w:sz="0" w:space="0" w:color="auto"/>
                <w:left w:val="none" w:sz="0" w:space="0" w:color="auto"/>
                <w:bottom w:val="none" w:sz="0" w:space="0" w:color="auto"/>
                <w:right w:val="none" w:sz="0" w:space="0" w:color="auto"/>
              </w:divBdr>
              <w:divsChild>
                <w:div w:id="238054965">
                  <w:marLeft w:val="0"/>
                  <w:marRight w:val="0"/>
                  <w:marTop w:val="0"/>
                  <w:marBottom w:val="0"/>
                  <w:divBdr>
                    <w:top w:val="none" w:sz="0" w:space="0" w:color="auto"/>
                    <w:left w:val="none" w:sz="0" w:space="0" w:color="auto"/>
                    <w:bottom w:val="none" w:sz="0" w:space="0" w:color="auto"/>
                    <w:right w:val="none" w:sz="0" w:space="0" w:color="auto"/>
                  </w:divBdr>
                  <w:divsChild>
                    <w:div w:id="272981386">
                      <w:marLeft w:val="0"/>
                      <w:marRight w:val="0"/>
                      <w:marTop w:val="0"/>
                      <w:marBottom w:val="0"/>
                      <w:divBdr>
                        <w:top w:val="none" w:sz="0" w:space="0" w:color="auto"/>
                        <w:left w:val="none" w:sz="0" w:space="0" w:color="auto"/>
                        <w:bottom w:val="none" w:sz="0" w:space="0" w:color="auto"/>
                        <w:right w:val="none" w:sz="0" w:space="0" w:color="auto"/>
                      </w:divBdr>
                      <w:divsChild>
                        <w:div w:id="456263541">
                          <w:marLeft w:val="0"/>
                          <w:marRight w:val="0"/>
                          <w:marTop w:val="0"/>
                          <w:marBottom w:val="0"/>
                          <w:divBdr>
                            <w:top w:val="single" w:sz="4" w:space="0" w:color="828282"/>
                            <w:left w:val="single" w:sz="4" w:space="0" w:color="828282"/>
                            <w:bottom w:val="single" w:sz="4" w:space="0" w:color="828282"/>
                            <w:right w:val="single" w:sz="4" w:space="0" w:color="828282"/>
                          </w:divBdr>
                          <w:divsChild>
                            <w:div w:id="319308732">
                              <w:marLeft w:val="0"/>
                              <w:marRight w:val="0"/>
                              <w:marTop w:val="0"/>
                              <w:marBottom w:val="0"/>
                              <w:divBdr>
                                <w:top w:val="none" w:sz="0" w:space="0" w:color="auto"/>
                                <w:left w:val="none" w:sz="0" w:space="0" w:color="auto"/>
                                <w:bottom w:val="none" w:sz="0" w:space="0" w:color="auto"/>
                                <w:right w:val="none" w:sz="0" w:space="0" w:color="auto"/>
                              </w:divBdr>
                              <w:divsChild>
                                <w:div w:id="936015007">
                                  <w:marLeft w:val="0"/>
                                  <w:marRight w:val="0"/>
                                  <w:marTop w:val="0"/>
                                  <w:marBottom w:val="0"/>
                                  <w:divBdr>
                                    <w:top w:val="none" w:sz="0" w:space="0" w:color="auto"/>
                                    <w:left w:val="none" w:sz="0" w:space="0" w:color="auto"/>
                                    <w:bottom w:val="none" w:sz="0" w:space="0" w:color="auto"/>
                                    <w:right w:val="none" w:sz="0" w:space="0" w:color="auto"/>
                                  </w:divBdr>
                                  <w:divsChild>
                                    <w:div w:id="1240676080">
                                      <w:marLeft w:val="0"/>
                                      <w:marRight w:val="0"/>
                                      <w:marTop w:val="0"/>
                                      <w:marBottom w:val="0"/>
                                      <w:divBdr>
                                        <w:top w:val="none" w:sz="0" w:space="0" w:color="auto"/>
                                        <w:left w:val="none" w:sz="0" w:space="0" w:color="auto"/>
                                        <w:bottom w:val="none" w:sz="0" w:space="0" w:color="auto"/>
                                        <w:right w:val="none" w:sz="0" w:space="0" w:color="auto"/>
                                      </w:divBdr>
                                      <w:divsChild>
                                        <w:div w:id="1181118117">
                                          <w:marLeft w:val="0"/>
                                          <w:marRight w:val="0"/>
                                          <w:marTop w:val="0"/>
                                          <w:marBottom w:val="0"/>
                                          <w:divBdr>
                                            <w:top w:val="none" w:sz="0" w:space="0" w:color="auto"/>
                                            <w:left w:val="none" w:sz="0" w:space="0" w:color="auto"/>
                                            <w:bottom w:val="none" w:sz="0" w:space="0" w:color="auto"/>
                                            <w:right w:val="none" w:sz="0" w:space="0" w:color="auto"/>
                                          </w:divBdr>
                                          <w:divsChild>
                                            <w:div w:id="2123382483">
                                              <w:marLeft w:val="0"/>
                                              <w:marRight w:val="0"/>
                                              <w:marTop w:val="0"/>
                                              <w:marBottom w:val="0"/>
                                              <w:divBdr>
                                                <w:top w:val="none" w:sz="0" w:space="0" w:color="auto"/>
                                                <w:left w:val="none" w:sz="0" w:space="0" w:color="auto"/>
                                                <w:bottom w:val="none" w:sz="0" w:space="0" w:color="auto"/>
                                                <w:right w:val="none" w:sz="0" w:space="0" w:color="auto"/>
                                              </w:divBdr>
                                              <w:divsChild>
                                                <w:div w:id="9002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795384">
      <w:bodyDiv w:val="1"/>
      <w:marLeft w:val="0"/>
      <w:marRight w:val="0"/>
      <w:marTop w:val="0"/>
      <w:marBottom w:val="0"/>
      <w:divBdr>
        <w:top w:val="none" w:sz="0" w:space="0" w:color="auto"/>
        <w:left w:val="none" w:sz="0" w:space="0" w:color="auto"/>
        <w:bottom w:val="none" w:sz="0" w:space="0" w:color="auto"/>
        <w:right w:val="none" w:sz="0" w:space="0" w:color="auto"/>
      </w:divBdr>
    </w:div>
    <w:div w:id="1374497937">
      <w:bodyDiv w:val="1"/>
      <w:marLeft w:val="0"/>
      <w:marRight w:val="0"/>
      <w:marTop w:val="0"/>
      <w:marBottom w:val="0"/>
      <w:divBdr>
        <w:top w:val="none" w:sz="0" w:space="0" w:color="auto"/>
        <w:left w:val="none" w:sz="0" w:space="0" w:color="auto"/>
        <w:bottom w:val="none" w:sz="0" w:space="0" w:color="auto"/>
        <w:right w:val="none" w:sz="0" w:space="0" w:color="auto"/>
      </w:divBdr>
    </w:div>
    <w:div w:id="1465539395">
      <w:bodyDiv w:val="1"/>
      <w:marLeft w:val="0"/>
      <w:marRight w:val="0"/>
      <w:marTop w:val="0"/>
      <w:marBottom w:val="0"/>
      <w:divBdr>
        <w:top w:val="none" w:sz="0" w:space="0" w:color="auto"/>
        <w:left w:val="none" w:sz="0" w:space="0" w:color="auto"/>
        <w:bottom w:val="none" w:sz="0" w:space="0" w:color="auto"/>
        <w:right w:val="none" w:sz="0" w:space="0" w:color="auto"/>
      </w:divBdr>
      <w:divsChild>
        <w:div w:id="1794248650">
          <w:marLeft w:val="0"/>
          <w:marRight w:val="0"/>
          <w:marTop w:val="0"/>
          <w:marBottom w:val="0"/>
          <w:divBdr>
            <w:top w:val="none" w:sz="0" w:space="0" w:color="auto"/>
            <w:left w:val="none" w:sz="0" w:space="0" w:color="auto"/>
            <w:bottom w:val="none" w:sz="0" w:space="0" w:color="auto"/>
            <w:right w:val="none" w:sz="0" w:space="0" w:color="auto"/>
          </w:divBdr>
          <w:divsChild>
            <w:div w:id="527720811">
              <w:marLeft w:val="0"/>
              <w:marRight w:val="0"/>
              <w:marTop w:val="0"/>
              <w:marBottom w:val="0"/>
              <w:divBdr>
                <w:top w:val="none" w:sz="0" w:space="0" w:color="auto"/>
                <w:left w:val="none" w:sz="0" w:space="0" w:color="auto"/>
                <w:bottom w:val="none" w:sz="0" w:space="0" w:color="auto"/>
                <w:right w:val="none" w:sz="0" w:space="0" w:color="auto"/>
              </w:divBdr>
              <w:divsChild>
                <w:div w:id="1801536341">
                  <w:marLeft w:val="0"/>
                  <w:marRight w:val="0"/>
                  <w:marTop w:val="0"/>
                  <w:marBottom w:val="0"/>
                  <w:divBdr>
                    <w:top w:val="none" w:sz="0" w:space="0" w:color="auto"/>
                    <w:left w:val="none" w:sz="0" w:space="0" w:color="auto"/>
                    <w:bottom w:val="none" w:sz="0" w:space="0" w:color="auto"/>
                    <w:right w:val="none" w:sz="0" w:space="0" w:color="auto"/>
                  </w:divBdr>
                  <w:divsChild>
                    <w:div w:id="1915124180">
                      <w:marLeft w:val="0"/>
                      <w:marRight w:val="0"/>
                      <w:marTop w:val="0"/>
                      <w:marBottom w:val="0"/>
                      <w:divBdr>
                        <w:top w:val="none" w:sz="0" w:space="0" w:color="auto"/>
                        <w:left w:val="none" w:sz="0" w:space="0" w:color="auto"/>
                        <w:bottom w:val="none" w:sz="0" w:space="0" w:color="auto"/>
                        <w:right w:val="none" w:sz="0" w:space="0" w:color="auto"/>
                      </w:divBdr>
                      <w:divsChild>
                        <w:div w:id="1482775768">
                          <w:marLeft w:val="0"/>
                          <w:marRight w:val="0"/>
                          <w:marTop w:val="0"/>
                          <w:marBottom w:val="0"/>
                          <w:divBdr>
                            <w:top w:val="single" w:sz="4" w:space="0" w:color="828282"/>
                            <w:left w:val="single" w:sz="4" w:space="0" w:color="828282"/>
                            <w:bottom w:val="single" w:sz="4" w:space="0" w:color="828282"/>
                            <w:right w:val="single" w:sz="4" w:space="0" w:color="828282"/>
                          </w:divBdr>
                          <w:divsChild>
                            <w:div w:id="2017685064">
                              <w:marLeft w:val="0"/>
                              <w:marRight w:val="0"/>
                              <w:marTop w:val="0"/>
                              <w:marBottom w:val="0"/>
                              <w:divBdr>
                                <w:top w:val="none" w:sz="0" w:space="0" w:color="auto"/>
                                <w:left w:val="none" w:sz="0" w:space="0" w:color="auto"/>
                                <w:bottom w:val="none" w:sz="0" w:space="0" w:color="auto"/>
                                <w:right w:val="none" w:sz="0" w:space="0" w:color="auto"/>
                              </w:divBdr>
                              <w:divsChild>
                                <w:div w:id="1725181331">
                                  <w:marLeft w:val="0"/>
                                  <w:marRight w:val="0"/>
                                  <w:marTop w:val="0"/>
                                  <w:marBottom w:val="0"/>
                                  <w:divBdr>
                                    <w:top w:val="none" w:sz="0" w:space="0" w:color="auto"/>
                                    <w:left w:val="none" w:sz="0" w:space="0" w:color="auto"/>
                                    <w:bottom w:val="none" w:sz="0" w:space="0" w:color="auto"/>
                                    <w:right w:val="none" w:sz="0" w:space="0" w:color="auto"/>
                                  </w:divBdr>
                                  <w:divsChild>
                                    <w:div w:id="1294287489">
                                      <w:marLeft w:val="0"/>
                                      <w:marRight w:val="0"/>
                                      <w:marTop w:val="0"/>
                                      <w:marBottom w:val="0"/>
                                      <w:divBdr>
                                        <w:top w:val="none" w:sz="0" w:space="0" w:color="auto"/>
                                        <w:left w:val="none" w:sz="0" w:space="0" w:color="auto"/>
                                        <w:bottom w:val="none" w:sz="0" w:space="0" w:color="auto"/>
                                        <w:right w:val="none" w:sz="0" w:space="0" w:color="auto"/>
                                      </w:divBdr>
                                      <w:divsChild>
                                        <w:div w:id="1760590455">
                                          <w:marLeft w:val="0"/>
                                          <w:marRight w:val="0"/>
                                          <w:marTop w:val="0"/>
                                          <w:marBottom w:val="0"/>
                                          <w:divBdr>
                                            <w:top w:val="none" w:sz="0" w:space="0" w:color="auto"/>
                                            <w:left w:val="none" w:sz="0" w:space="0" w:color="auto"/>
                                            <w:bottom w:val="none" w:sz="0" w:space="0" w:color="auto"/>
                                            <w:right w:val="none" w:sz="0" w:space="0" w:color="auto"/>
                                          </w:divBdr>
                                          <w:divsChild>
                                            <w:div w:id="734863899">
                                              <w:marLeft w:val="0"/>
                                              <w:marRight w:val="0"/>
                                              <w:marTop w:val="0"/>
                                              <w:marBottom w:val="0"/>
                                              <w:divBdr>
                                                <w:top w:val="none" w:sz="0" w:space="0" w:color="auto"/>
                                                <w:left w:val="none" w:sz="0" w:space="0" w:color="auto"/>
                                                <w:bottom w:val="none" w:sz="0" w:space="0" w:color="auto"/>
                                                <w:right w:val="none" w:sz="0" w:space="0" w:color="auto"/>
                                              </w:divBdr>
                                              <w:divsChild>
                                                <w:div w:id="21311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5891">
      <w:bodyDiv w:val="1"/>
      <w:marLeft w:val="0"/>
      <w:marRight w:val="0"/>
      <w:marTop w:val="0"/>
      <w:marBottom w:val="0"/>
      <w:divBdr>
        <w:top w:val="none" w:sz="0" w:space="0" w:color="auto"/>
        <w:left w:val="none" w:sz="0" w:space="0" w:color="auto"/>
        <w:bottom w:val="none" w:sz="0" w:space="0" w:color="auto"/>
        <w:right w:val="none" w:sz="0" w:space="0" w:color="auto"/>
      </w:divBdr>
    </w:div>
    <w:div w:id="1823695717">
      <w:bodyDiv w:val="1"/>
      <w:marLeft w:val="0"/>
      <w:marRight w:val="0"/>
      <w:marTop w:val="0"/>
      <w:marBottom w:val="0"/>
      <w:divBdr>
        <w:top w:val="none" w:sz="0" w:space="0" w:color="auto"/>
        <w:left w:val="none" w:sz="0" w:space="0" w:color="auto"/>
        <w:bottom w:val="none" w:sz="0" w:space="0" w:color="auto"/>
        <w:right w:val="none" w:sz="0" w:space="0" w:color="auto"/>
      </w:divBdr>
    </w:div>
    <w:div w:id="1898280288">
      <w:bodyDiv w:val="1"/>
      <w:marLeft w:val="0"/>
      <w:marRight w:val="0"/>
      <w:marTop w:val="0"/>
      <w:marBottom w:val="0"/>
      <w:divBdr>
        <w:top w:val="none" w:sz="0" w:space="0" w:color="auto"/>
        <w:left w:val="none" w:sz="0" w:space="0" w:color="auto"/>
        <w:bottom w:val="none" w:sz="0" w:space="0" w:color="auto"/>
        <w:right w:val="none" w:sz="0" w:space="0" w:color="auto"/>
      </w:divBdr>
    </w:div>
    <w:div w:id="2005817789">
      <w:bodyDiv w:val="1"/>
      <w:marLeft w:val="0"/>
      <w:marRight w:val="0"/>
      <w:marTop w:val="0"/>
      <w:marBottom w:val="0"/>
      <w:divBdr>
        <w:top w:val="none" w:sz="0" w:space="0" w:color="auto"/>
        <w:left w:val="none" w:sz="0" w:space="0" w:color="auto"/>
        <w:bottom w:val="none" w:sz="0" w:space="0" w:color="auto"/>
        <w:right w:val="none" w:sz="0" w:space="0" w:color="auto"/>
      </w:divBdr>
      <w:divsChild>
        <w:div w:id="1497767664">
          <w:marLeft w:val="0"/>
          <w:marRight w:val="0"/>
          <w:marTop w:val="0"/>
          <w:marBottom w:val="0"/>
          <w:divBdr>
            <w:top w:val="none" w:sz="0" w:space="0" w:color="auto"/>
            <w:left w:val="none" w:sz="0" w:space="0" w:color="auto"/>
            <w:bottom w:val="none" w:sz="0" w:space="0" w:color="auto"/>
            <w:right w:val="none" w:sz="0" w:space="0" w:color="auto"/>
          </w:divBdr>
          <w:divsChild>
            <w:div w:id="739135886">
              <w:marLeft w:val="0"/>
              <w:marRight w:val="0"/>
              <w:marTop w:val="0"/>
              <w:marBottom w:val="0"/>
              <w:divBdr>
                <w:top w:val="none" w:sz="0" w:space="0" w:color="auto"/>
                <w:left w:val="none" w:sz="0" w:space="0" w:color="auto"/>
                <w:bottom w:val="none" w:sz="0" w:space="0" w:color="auto"/>
                <w:right w:val="none" w:sz="0" w:space="0" w:color="auto"/>
              </w:divBdr>
              <w:divsChild>
                <w:div w:id="1416852869">
                  <w:marLeft w:val="0"/>
                  <w:marRight w:val="0"/>
                  <w:marTop w:val="0"/>
                  <w:marBottom w:val="0"/>
                  <w:divBdr>
                    <w:top w:val="none" w:sz="0" w:space="0" w:color="auto"/>
                    <w:left w:val="none" w:sz="0" w:space="0" w:color="auto"/>
                    <w:bottom w:val="none" w:sz="0" w:space="0" w:color="auto"/>
                    <w:right w:val="none" w:sz="0" w:space="0" w:color="auto"/>
                  </w:divBdr>
                  <w:divsChild>
                    <w:div w:id="784428542">
                      <w:marLeft w:val="0"/>
                      <w:marRight w:val="0"/>
                      <w:marTop w:val="0"/>
                      <w:marBottom w:val="0"/>
                      <w:divBdr>
                        <w:top w:val="none" w:sz="0" w:space="0" w:color="auto"/>
                        <w:left w:val="none" w:sz="0" w:space="0" w:color="auto"/>
                        <w:bottom w:val="none" w:sz="0" w:space="0" w:color="auto"/>
                        <w:right w:val="none" w:sz="0" w:space="0" w:color="auto"/>
                      </w:divBdr>
                      <w:divsChild>
                        <w:div w:id="645012643">
                          <w:marLeft w:val="0"/>
                          <w:marRight w:val="0"/>
                          <w:marTop w:val="0"/>
                          <w:marBottom w:val="0"/>
                          <w:divBdr>
                            <w:top w:val="single" w:sz="4" w:space="0" w:color="828282"/>
                            <w:left w:val="single" w:sz="4" w:space="0" w:color="828282"/>
                            <w:bottom w:val="single" w:sz="4" w:space="0" w:color="828282"/>
                            <w:right w:val="single" w:sz="4" w:space="0" w:color="828282"/>
                          </w:divBdr>
                          <w:divsChild>
                            <w:div w:id="527643606">
                              <w:marLeft w:val="0"/>
                              <w:marRight w:val="0"/>
                              <w:marTop w:val="0"/>
                              <w:marBottom w:val="0"/>
                              <w:divBdr>
                                <w:top w:val="none" w:sz="0" w:space="0" w:color="auto"/>
                                <w:left w:val="none" w:sz="0" w:space="0" w:color="auto"/>
                                <w:bottom w:val="none" w:sz="0" w:space="0" w:color="auto"/>
                                <w:right w:val="none" w:sz="0" w:space="0" w:color="auto"/>
                              </w:divBdr>
                              <w:divsChild>
                                <w:div w:id="890460254">
                                  <w:marLeft w:val="0"/>
                                  <w:marRight w:val="0"/>
                                  <w:marTop w:val="0"/>
                                  <w:marBottom w:val="0"/>
                                  <w:divBdr>
                                    <w:top w:val="none" w:sz="0" w:space="0" w:color="auto"/>
                                    <w:left w:val="none" w:sz="0" w:space="0" w:color="auto"/>
                                    <w:bottom w:val="none" w:sz="0" w:space="0" w:color="auto"/>
                                    <w:right w:val="none" w:sz="0" w:space="0" w:color="auto"/>
                                  </w:divBdr>
                                  <w:divsChild>
                                    <w:div w:id="1249341933">
                                      <w:marLeft w:val="0"/>
                                      <w:marRight w:val="0"/>
                                      <w:marTop w:val="0"/>
                                      <w:marBottom w:val="0"/>
                                      <w:divBdr>
                                        <w:top w:val="none" w:sz="0" w:space="0" w:color="auto"/>
                                        <w:left w:val="none" w:sz="0" w:space="0" w:color="auto"/>
                                        <w:bottom w:val="none" w:sz="0" w:space="0" w:color="auto"/>
                                        <w:right w:val="none" w:sz="0" w:space="0" w:color="auto"/>
                                      </w:divBdr>
                                      <w:divsChild>
                                        <w:div w:id="1449665077">
                                          <w:marLeft w:val="0"/>
                                          <w:marRight w:val="0"/>
                                          <w:marTop w:val="0"/>
                                          <w:marBottom w:val="0"/>
                                          <w:divBdr>
                                            <w:top w:val="none" w:sz="0" w:space="0" w:color="auto"/>
                                            <w:left w:val="none" w:sz="0" w:space="0" w:color="auto"/>
                                            <w:bottom w:val="none" w:sz="0" w:space="0" w:color="auto"/>
                                            <w:right w:val="none" w:sz="0" w:space="0" w:color="auto"/>
                                          </w:divBdr>
                                          <w:divsChild>
                                            <w:div w:id="1709795925">
                                              <w:marLeft w:val="0"/>
                                              <w:marRight w:val="0"/>
                                              <w:marTop w:val="0"/>
                                              <w:marBottom w:val="0"/>
                                              <w:divBdr>
                                                <w:top w:val="none" w:sz="0" w:space="0" w:color="auto"/>
                                                <w:left w:val="none" w:sz="0" w:space="0" w:color="auto"/>
                                                <w:bottom w:val="none" w:sz="0" w:space="0" w:color="auto"/>
                                                <w:right w:val="none" w:sz="0" w:space="0" w:color="auto"/>
                                              </w:divBdr>
                                              <w:divsChild>
                                                <w:div w:id="9877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5103340">
      <w:bodyDiv w:val="1"/>
      <w:marLeft w:val="0"/>
      <w:marRight w:val="0"/>
      <w:marTop w:val="0"/>
      <w:marBottom w:val="0"/>
      <w:divBdr>
        <w:top w:val="none" w:sz="0" w:space="0" w:color="auto"/>
        <w:left w:val="none" w:sz="0" w:space="0" w:color="auto"/>
        <w:bottom w:val="none" w:sz="0" w:space="0" w:color="auto"/>
        <w:right w:val="none" w:sz="0" w:space="0" w:color="auto"/>
      </w:divBdr>
    </w:div>
    <w:div w:id="2104565139">
      <w:bodyDiv w:val="1"/>
      <w:marLeft w:val="0"/>
      <w:marRight w:val="0"/>
      <w:marTop w:val="0"/>
      <w:marBottom w:val="0"/>
      <w:divBdr>
        <w:top w:val="none" w:sz="0" w:space="0" w:color="auto"/>
        <w:left w:val="none" w:sz="0" w:space="0" w:color="auto"/>
        <w:bottom w:val="none" w:sz="0" w:space="0" w:color="auto"/>
        <w:right w:val="none" w:sz="0" w:space="0" w:color="auto"/>
      </w:divBdr>
    </w:div>
    <w:div w:id="2120105853">
      <w:bodyDiv w:val="1"/>
      <w:marLeft w:val="0"/>
      <w:marRight w:val="0"/>
      <w:marTop w:val="0"/>
      <w:marBottom w:val="0"/>
      <w:divBdr>
        <w:top w:val="none" w:sz="0" w:space="0" w:color="auto"/>
        <w:left w:val="none" w:sz="0" w:space="0" w:color="auto"/>
        <w:bottom w:val="none" w:sz="0" w:space="0" w:color="auto"/>
        <w:right w:val="none" w:sz="0" w:space="0" w:color="auto"/>
      </w:divBdr>
    </w:div>
    <w:div w:id="213532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ris.pmc.gov.au/2020/03/18/prime-ministers-exemption-&#8211;-covid-19-related-measures" TargetMode="External"/><Relationship Id="rId1" Type="http://schemas.openxmlformats.org/officeDocument/2006/relationships/hyperlink" Target="https://www.dese.gov.au/covid-19/higher-education/higher-education-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87533B1-FA5D-4064-98F1-7F80588BCC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568FC976122C347801CE4072903EC06" ma:contentTypeVersion="" ma:contentTypeDescription="PDMS Document Site Content Type" ma:contentTypeScope="" ma:versionID="de348d096c3d652f3a22c960d4926d04">
  <xsd:schema xmlns:xsd="http://www.w3.org/2001/XMLSchema" xmlns:xs="http://www.w3.org/2001/XMLSchema" xmlns:p="http://schemas.microsoft.com/office/2006/metadata/properties" xmlns:ns2="387533B1-FA5D-4064-98F1-7F80588BCCE4" targetNamespace="http://schemas.microsoft.com/office/2006/metadata/properties" ma:root="true" ma:fieldsID="fb2c222abe5bf5e6e231a4181e5ef8f0" ns2:_="">
    <xsd:import namespace="387533B1-FA5D-4064-98F1-7F80588BCCE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533B1-FA5D-4064-98F1-7F80588BCCE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F671A-FC98-4580-8131-04B8B01AC47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87533B1-FA5D-4064-98F1-7F80588BCCE4"/>
    <ds:schemaRef ds:uri="http://www.w3.org/XML/1998/namespace"/>
  </ds:schemaRefs>
</ds:datastoreItem>
</file>

<file path=customXml/itemProps2.xml><?xml version="1.0" encoding="utf-8"?>
<ds:datastoreItem xmlns:ds="http://schemas.openxmlformats.org/officeDocument/2006/customXml" ds:itemID="{C34C415E-745E-42B9-871E-8EE48F073C0D}">
  <ds:schemaRefs>
    <ds:schemaRef ds:uri="http://schemas.microsoft.com/sharepoint/v3/contenttype/forms"/>
  </ds:schemaRefs>
</ds:datastoreItem>
</file>

<file path=customXml/itemProps3.xml><?xml version="1.0" encoding="utf-8"?>
<ds:datastoreItem xmlns:ds="http://schemas.openxmlformats.org/officeDocument/2006/customXml" ds:itemID="{EA5DF9D7-11BA-4992-8CE7-7BF137072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533B1-FA5D-4064-98F1-7F80588BC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87F2E8-1B95-4F1B-A908-86A5AE888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7E7B81C</Template>
  <TotalTime>0</TotalTime>
  <Pages>8</Pages>
  <Words>2070</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2020-05-01T00:16:00Z</dcterms:created>
  <dcterms:modified xsi:type="dcterms:W3CDTF">2020-05-01T00:16:00Z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0x010100266966F133664895A6EE3632470D45F500F568FC976122C347801CE4072903EC06</vt:lpwstr>
  </property>
</Properties>
</file>