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60C2328C0C114C46966CC1C5687B907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16161E">
            <w:rPr>
              <w:sz w:val="24"/>
              <w:szCs w:val="24"/>
            </w:rPr>
            <w:t>Treasurer</w:t>
          </w:r>
        </w:sdtContent>
      </w:sdt>
    </w:p>
    <w:p w:rsidR="00F109D4" w:rsidRDefault="0016161E" w:rsidP="003C7907">
      <w:pPr>
        <w:spacing w:before="240" w:after="240"/>
        <w:jc w:val="center"/>
        <w:rPr>
          <w:i/>
        </w:rPr>
      </w:pPr>
      <w:r>
        <w:rPr>
          <w:i/>
        </w:rPr>
        <w:t>Corporations Act 2001</w:t>
      </w:r>
    </w:p>
    <w:p w:rsidR="00F109D4" w:rsidRPr="00503E44" w:rsidRDefault="0016161E" w:rsidP="00AA1689">
      <w:pPr>
        <w:tabs>
          <w:tab w:val="left" w:pos="1418"/>
        </w:tabs>
        <w:spacing w:before="0" w:after="240"/>
        <w:jc w:val="center"/>
        <w:rPr>
          <w:i/>
        </w:rPr>
      </w:pPr>
      <w:r>
        <w:rPr>
          <w:i/>
        </w:rPr>
        <w:t xml:space="preserve">Corporations (Coronavirus Economic Response) Determination </w:t>
      </w:r>
      <w:r w:rsidR="00B71C39">
        <w:rPr>
          <w:i/>
        </w:rPr>
        <w:t>(</w:t>
      </w:r>
      <w:r>
        <w:rPr>
          <w:i/>
        </w:rPr>
        <w:t>No. 1</w:t>
      </w:r>
      <w:r w:rsidR="00B71C39">
        <w:rPr>
          <w:i/>
        </w:rPr>
        <w:t>)</w:t>
      </w:r>
      <w:r w:rsidR="00A01952">
        <w:rPr>
          <w:i/>
        </w:rPr>
        <w:t xml:space="preserve"> 2020</w:t>
      </w:r>
    </w:p>
    <w:p w:rsidR="008A4D01" w:rsidRPr="00DD0F03" w:rsidRDefault="00D04F47" w:rsidP="00647BB7">
      <w:pPr>
        <w:spacing w:before="240"/>
      </w:pPr>
      <w:r>
        <w:t>S</w:t>
      </w:r>
      <w:r w:rsidR="008A4D01">
        <w:t xml:space="preserve">ection 1362A of the </w:t>
      </w:r>
      <w:r w:rsidR="008A4D01" w:rsidRPr="0016161E">
        <w:rPr>
          <w:i/>
        </w:rPr>
        <w:t>Corporations Act 2001</w:t>
      </w:r>
      <w:r w:rsidR="008A4D01">
        <w:t xml:space="preserve"> (the Act) provides that the Minister may, by legislative instrument, exempt specified </w:t>
      </w:r>
      <w:r w:rsidR="00AD2AA2">
        <w:t xml:space="preserve">classes of </w:t>
      </w:r>
      <w:r w:rsidR="008A4D01">
        <w:t xml:space="preserve">persons from the operation of specified provisions of the Act or </w:t>
      </w:r>
      <w:r w:rsidR="008A4D01" w:rsidRPr="008A4D01">
        <w:rPr>
          <w:i/>
        </w:rPr>
        <w:t>Corporations Regulations</w:t>
      </w:r>
      <w:r w:rsidR="008A4D01">
        <w:t xml:space="preserve"> </w:t>
      </w:r>
      <w:r w:rsidR="008A4D01" w:rsidRPr="00A94E81">
        <w:t>2001</w:t>
      </w:r>
      <w:r w:rsidR="000564FB" w:rsidRPr="00A94E81">
        <w:t xml:space="preserve"> </w:t>
      </w:r>
      <w:r w:rsidR="006D56A2" w:rsidRPr="006D56A2">
        <w:t>(the</w:t>
      </w:r>
      <w:r w:rsidR="000564FB" w:rsidRPr="00A94E81">
        <w:t xml:space="preserve"> Regulations)</w:t>
      </w:r>
      <w:r w:rsidR="008A4D01" w:rsidRPr="000564FB">
        <w:t>.</w:t>
      </w:r>
      <w:r w:rsidR="00B86584">
        <w:t xml:space="preserve"> </w:t>
      </w:r>
      <w:r>
        <w:t>S</w:t>
      </w:r>
      <w:r w:rsidR="00C55D29" w:rsidRPr="00503E44">
        <w:t xml:space="preserve">ection </w:t>
      </w:r>
      <w:r w:rsidR="0016161E">
        <w:t xml:space="preserve">1362A of the </w:t>
      </w:r>
      <w:r w:rsidR="008A4D01">
        <w:t xml:space="preserve">Act also </w:t>
      </w:r>
      <w:r w:rsidR="0016161E">
        <w:t xml:space="preserve">provides that the Minister may, by legislative instrument </w:t>
      </w:r>
      <w:r w:rsidR="008A4D01">
        <w:t xml:space="preserve">modify provisions of the Act or </w:t>
      </w:r>
      <w:r w:rsidR="006D56A2">
        <w:t>the</w:t>
      </w:r>
      <w:r w:rsidR="000564FB">
        <w:t xml:space="preserve"> Regulations </w:t>
      </w:r>
      <w:r w:rsidR="00C74C22">
        <w:t>in relation to</w:t>
      </w:r>
      <w:r w:rsidR="00C74C22" w:rsidRPr="00DD0F03">
        <w:t xml:space="preserve"> </w:t>
      </w:r>
      <w:r w:rsidR="00FE41CA" w:rsidRPr="00DD0F03">
        <w:t xml:space="preserve">specified </w:t>
      </w:r>
      <w:r w:rsidR="00AD2AA2">
        <w:t xml:space="preserve">classes of </w:t>
      </w:r>
      <w:r w:rsidR="00FE41CA" w:rsidRPr="00DD0F03">
        <w:t>persons</w:t>
      </w:r>
      <w:r w:rsidR="008A4D01" w:rsidRPr="00DD0F03">
        <w:t xml:space="preserve">. </w:t>
      </w:r>
    </w:p>
    <w:p w:rsidR="00B470B5" w:rsidRPr="00755C5B" w:rsidRDefault="00187898" w:rsidP="007C7310">
      <w:r>
        <w:t>The purpose</w:t>
      </w:r>
      <w:r w:rsidR="00D04F47">
        <w:t xml:space="preserve"> of the </w:t>
      </w:r>
      <w:r w:rsidR="00B31608">
        <w:t>instrument-making</w:t>
      </w:r>
      <w:r w:rsidR="00D04F47">
        <w:t xml:space="preserve"> power</w:t>
      </w:r>
      <w:r>
        <w:t xml:space="preserve"> is to provide the Minister wit</w:t>
      </w:r>
      <w:r w:rsidR="002E6CB9">
        <w:t>h a</w:t>
      </w:r>
      <w:r w:rsidR="00B470B5" w:rsidRPr="00755C5B">
        <w:t xml:space="preserve"> temporary power to </w:t>
      </w:r>
      <w:r w:rsidR="00A35891">
        <w:t>provide short-term regulatory relief</w:t>
      </w:r>
      <w:r w:rsidR="007C7310">
        <w:t xml:space="preserve"> to those who are unable to meet their obligations under the Act or </w:t>
      </w:r>
      <w:r w:rsidR="006D56A2">
        <w:t>the</w:t>
      </w:r>
      <w:r w:rsidR="000564FB">
        <w:t xml:space="preserve"> R</w:t>
      </w:r>
      <w:r w:rsidR="007C7310">
        <w:t>egulations due to the Coronavirus, and short-term regulatory changes to facilitate continuation of business or mitigate the economic impact of Coronavirus.</w:t>
      </w:r>
    </w:p>
    <w:p w:rsidR="00B470B5" w:rsidRPr="00755C5B" w:rsidRDefault="00522C8D" w:rsidP="00123520">
      <w:r>
        <w:t xml:space="preserve">The </w:t>
      </w:r>
      <w:r w:rsidRPr="00A94E81">
        <w:rPr>
          <w:i/>
        </w:rPr>
        <w:t>Corporations (Coronavirus Economic Response) Determination (No. 1) 2020</w:t>
      </w:r>
      <w:r>
        <w:t xml:space="preserve"> (the </w:t>
      </w:r>
      <w:r w:rsidR="00A94E81">
        <w:t>Determination</w:t>
      </w:r>
      <w:r>
        <w:t xml:space="preserve">) </w:t>
      </w:r>
      <w:r w:rsidR="00166522">
        <w:t>deals with</w:t>
      </w:r>
      <w:r w:rsidR="00187898">
        <w:t xml:space="preserve"> </w:t>
      </w:r>
      <w:r w:rsidR="003C27CA">
        <w:t xml:space="preserve">provisions about </w:t>
      </w:r>
      <w:r w:rsidR="00187898">
        <w:t xml:space="preserve">meetings </w:t>
      </w:r>
      <w:r w:rsidR="003C27CA">
        <w:t>and</w:t>
      </w:r>
      <w:r w:rsidR="003C27CA" w:rsidRPr="00755C5B">
        <w:t xml:space="preserve"> </w:t>
      </w:r>
      <w:r w:rsidR="00123520">
        <w:t>document</w:t>
      </w:r>
      <w:r w:rsidR="00D04F47">
        <w:t xml:space="preserve"> signatures</w:t>
      </w:r>
      <w:r w:rsidR="00B470B5" w:rsidRPr="00755C5B">
        <w:t xml:space="preserve"> </w:t>
      </w:r>
      <w:r w:rsidR="003C27CA">
        <w:t>that are</w:t>
      </w:r>
      <w:r w:rsidR="003C27CA" w:rsidRPr="00755C5B">
        <w:t xml:space="preserve"> </w:t>
      </w:r>
      <w:r w:rsidR="00B470B5" w:rsidRPr="00755C5B">
        <w:t xml:space="preserve">not compatible with </w:t>
      </w:r>
      <w:r w:rsidR="003C27CA">
        <w:t xml:space="preserve">public health requirements for </w:t>
      </w:r>
      <w:r w:rsidR="00B470B5" w:rsidRPr="00755C5B">
        <w:t>social distancing</w:t>
      </w:r>
      <w:r w:rsidR="003C27CA">
        <w:t xml:space="preserve"> during the Coronavirus pandemic</w:t>
      </w:r>
      <w:r w:rsidR="00187898">
        <w:t xml:space="preserve">. </w:t>
      </w:r>
      <w:r w:rsidR="003C27CA">
        <w:t>T</w:t>
      </w:r>
      <w:r w:rsidR="00B470B5" w:rsidRPr="00755C5B">
        <w:t xml:space="preserve">he Treasurer </w:t>
      </w:r>
      <w:r w:rsidR="003C27CA">
        <w:t xml:space="preserve">is making this </w:t>
      </w:r>
      <w:r w:rsidR="000564FB">
        <w:t>Determination</w:t>
      </w:r>
      <w:r w:rsidR="003C27CA">
        <w:t xml:space="preserve"> </w:t>
      </w:r>
      <w:r w:rsidR="00B470B5" w:rsidRPr="00755C5B">
        <w:t>to facilitate alternative methods that mean businesses can keep operating</w:t>
      </w:r>
      <w:r w:rsidR="003C27CA">
        <w:t xml:space="preserve"> consistently with public health requirements</w:t>
      </w:r>
      <w:r w:rsidR="00B470B5" w:rsidRPr="00755C5B">
        <w:t xml:space="preserve">. </w:t>
      </w:r>
      <w:r w:rsidR="00123520">
        <w:t xml:space="preserve">The </w:t>
      </w:r>
      <w:r w:rsidR="00525A9E">
        <w:t>Determination</w:t>
      </w:r>
      <w:r w:rsidR="00B470B5" w:rsidRPr="00755C5B">
        <w:t xml:space="preserve"> give</w:t>
      </w:r>
      <w:r w:rsidR="00123520">
        <w:t>s</w:t>
      </w:r>
      <w:r w:rsidR="00B470B5" w:rsidRPr="00755C5B">
        <w:t xml:space="preserve"> </w:t>
      </w:r>
      <w:r w:rsidR="00B470B5" w:rsidRPr="00E10C9A">
        <w:t>companies</w:t>
      </w:r>
      <w:r w:rsidR="00460495" w:rsidRPr="00E10C9A">
        <w:t>, responsible entities</w:t>
      </w:r>
      <w:r w:rsidR="00123520">
        <w:t>,</w:t>
      </w:r>
      <w:r w:rsidR="00460495" w:rsidRPr="00E10C9A">
        <w:t xml:space="preserve"> external administrators</w:t>
      </w:r>
      <w:r w:rsidR="00B470B5" w:rsidRPr="00E10C9A">
        <w:t xml:space="preserve"> </w:t>
      </w:r>
      <w:r w:rsidR="00123520" w:rsidRPr="00E10C9A">
        <w:t xml:space="preserve">and </w:t>
      </w:r>
      <w:r w:rsidR="00123520">
        <w:t xml:space="preserve">other classes of persons </w:t>
      </w:r>
      <w:r w:rsidR="00B470B5" w:rsidRPr="00E10C9A">
        <w:t xml:space="preserve">certainty </w:t>
      </w:r>
      <w:r w:rsidR="007F4B5A" w:rsidRPr="00E10C9A">
        <w:t>about how they can</w:t>
      </w:r>
      <w:r w:rsidR="00B470B5" w:rsidRPr="00E10C9A">
        <w:t xml:space="preserve"> meet their legal obligations </w:t>
      </w:r>
      <w:r w:rsidR="00FE7AB5">
        <w:t>for the next six</w:t>
      </w:r>
      <w:r w:rsidR="00123520">
        <w:t xml:space="preserve"> months while the </w:t>
      </w:r>
      <w:r w:rsidR="00525A9E">
        <w:t>Determination</w:t>
      </w:r>
      <w:r w:rsidR="00123520">
        <w:t xml:space="preserve"> is in effect</w:t>
      </w:r>
      <w:r w:rsidR="00B470B5" w:rsidRPr="00E10C9A">
        <w:t>.</w:t>
      </w:r>
    </w:p>
    <w:p w:rsidR="00B470B5" w:rsidRPr="00755C5B" w:rsidRDefault="008414E9" w:rsidP="00B470B5">
      <w:r>
        <w:t xml:space="preserve">The </w:t>
      </w:r>
      <w:r w:rsidR="00525A9E">
        <w:t>Determination</w:t>
      </w:r>
      <w:r>
        <w:t xml:space="preserve"> ensures that companies and other entities that are requir</w:t>
      </w:r>
      <w:r w:rsidR="00D04F47">
        <w:t xml:space="preserve">ed to or wish to hold </w:t>
      </w:r>
      <w:r w:rsidR="00B1157C">
        <w:t>a meeting, such as an Annual General Meeting</w:t>
      </w:r>
      <w:r w:rsidR="00EE4144">
        <w:t xml:space="preserve"> (AGM)</w:t>
      </w:r>
      <w:r w:rsidR="00B1157C">
        <w:t xml:space="preserve">, </w:t>
      </w:r>
      <w:r>
        <w:t xml:space="preserve">may do so using technology rather than face-to-face meetings. </w:t>
      </w:r>
      <w:r w:rsidR="007C7AC9">
        <w:t xml:space="preserve">The </w:t>
      </w:r>
      <w:r w:rsidR="00525A9E">
        <w:t>Determination</w:t>
      </w:r>
      <w:r>
        <w:t xml:space="preserve"> enables a quorum, votes, notices and </w:t>
      </w:r>
      <w:r w:rsidR="004050F0">
        <w:t xml:space="preserve">the asking of questions to be facilitated electronically. </w:t>
      </w:r>
      <w:r w:rsidR="00D04F47">
        <w:t xml:space="preserve">The </w:t>
      </w:r>
      <w:r w:rsidR="00525A9E">
        <w:t>Determination</w:t>
      </w:r>
      <w:r w:rsidR="00D04F47">
        <w:t xml:space="preserve"> also allows for information required </w:t>
      </w:r>
      <w:r w:rsidR="00B1157C">
        <w:t>for the</w:t>
      </w:r>
      <w:r w:rsidR="00D04F47">
        <w:t xml:space="preserve"> meeting </w:t>
      </w:r>
      <w:r w:rsidR="00B1157C">
        <w:t xml:space="preserve">to be circulated </w:t>
      </w:r>
      <w:r w:rsidR="00377AD2">
        <w:t xml:space="preserve">and accessed </w:t>
      </w:r>
      <w:r w:rsidR="00B1157C">
        <w:t xml:space="preserve">electronically. </w:t>
      </w:r>
      <w:r w:rsidR="00D04F47">
        <w:t xml:space="preserve"> </w:t>
      </w:r>
    </w:p>
    <w:p w:rsidR="00B470B5" w:rsidRPr="00755C5B" w:rsidRDefault="004050F0" w:rsidP="00B470B5">
      <w:r>
        <w:t xml:space="preserve">The </w:t>
      </w:r>
      <w:r w:rsidR="00525A9E">
        <w:t>Determination</w:t>
      </w:r>
      <w:r>
        <w:t xml:space="preserve"> alters the operation of section 127 of the Act to give certainty that when </w:t>
      </w:r>
      <w:r w:rsidR="007678AE">
        <w:t xml:space="preserve">company </w:t>
      </w:r>
      <w:r>
        <w:t>officers sign a document</w:t>
      </w:r>
      <w:r w:rsidR="003430BE">
        <w:t xml:space="preserve"> electronically (including an electronic document)</w:t>
      </w:r>
      <w:r w:rsidR="00833E3C">
        <w:t xml:space="preserve">, </w:t>
      </w:r>
      <w:r w:rsidR="00377AD2">
        <w:t xml:space="preserve">the document has </w:t>
      </w:r>
      <w:r w:rsidR="00C95200">
        <w:t>be</w:t>
      </w:r>
      <w:r w:rsidR="00377AD2">
        <w:t>en</w:t>
      </w:r>
      <w:r w:rsidR="00C95200">
        <w:t xml:space="preserve"> validly executed. </w:t>
      </w:r>
    </w:p>
    <w:p w:rsidR="00B470B5" w:rsidRPr="00755C5B" w:rsidRDefault="004050F0" w:rsidP="00B470B5">
      <w:r>
        <w:t xml:space="preserve">The </w:t>
      </w:r>
      <w:r w:rsidR="00525A9E">
        <w:t>Determination</w:t>
      </w:r>
      <w:r>
        <w:t xml:space="preserve"> </w:t>
      </w:r>
      <w:r w:rsidR="0096177B">
        <w:t xml:space="preserve">has effect </w:t>
      </w:r>
      <w:r>
        <w:t xml:space="preserve">for six months from its commencement. </w:t>
      </w:r>
    </w:p>
    <w:p w:rsidR="00B470B5" w:rsidRDefault="007F1510" w:rsidP="00B470B5">
      <w:r>
        <w:t xml:space="preserve">In making this </w:t>
      </w:r>
      <w:r w:rsidR="00525A9E">
        <w:t>Determination</w:t>
      </w:r>
      <w:r>
        <w:t>, t</w:t>
      </w:r>
      <w:r w:rsidR="00B470B5" w:rsidRPr="00755C5B">
        <w:t xml:space="preserve">he </w:t>
      </w:r>
      <w:r w:rsidR="003151DD">
        <w:t>Treasurer</w:t>
      </w:r>
      <w:r w:rsidR="00B470B5" w:rsidRPr="00755C5B">
        <w:t xml:space="preserve"> </w:t>
      </w:r>
      <w:r w:rsidR="003151DD">
        <w:t>is</w:t>
      </w:r>
      <w:r w:rsidR="003151DD" w:rsidRPr="00755C5B">
        <w:t xml:space="preserve"> </w:t>
      </w:r>
      <w:r w:rsidR="00B470B5" w:rsidRPr="00755C5B">
        <w:t xml:space="preserve">satisfied that it would be unreasonable for persons to comply with the </w:t>
      </w:r>
      <w:r w:rsidR="001E200B">
        <w:t xml:space="preserve">unmodified </w:t>
      </w:r>
      <w:r w:rsidR="00B470B5" w:rsidRPr="00755C5B">
        <w:t xml:space="preserve">provisions due to the impact of the </w:t>
      </w:r>
      <w:r>
        <w:t>Coronavirus</w:t>
      </w:r>
      <w:r w:rsidR="00B470B5" w:rsidRPr="00755C5B">
        <w:t xml:space="preserve">, </w:t>
      </w:r>
      <w:r w:rsidR="003151DD">
        <w:t>and that the</w:t>
      </w:r>
      <w:r w:rsidR="00B470B5" w:rsidRPr="00755C5B">
        <w:t xml:space="preserve"> modification</w:t>
      </w:r>
      <w:r w:rsidR="003151DD">
        <w:t xml:space="preserve">s to the Act set out in this </w:t>
      </w:r>
      <w:r w:rsidR="006D56A2">
        <w:t>Determination</w:t>
      </w:r>
      <w:r w:rsidR="003151DD">
        <w:t xml:space="preserve"> are </w:t>
      </w:r>
      <w:r w:rsidR="00B470B5" w:rsidRPr="00755C5B">
        <w:t xml:space="preserve">necessary or appropriate to facilitate the continuation of business or mitigate the </w:t>
      </w:r>
      <w:r w:rsidR="001E200B">
        <w:t>economic impact of the Coronavirus</w:t>
      </w:r>
      <w:r w:rsidR="00B470B5" w:rsidRPr="00755C5B">
        <w:t>.</w:t>
      </w:r>
    </w:p>
    <w:p w:rsidR="004028BB" w:rsidRPr="00755C5B" w:rsidRDefault="004028BB" w:rsidP="00B470B5">
      <w:r w:rsidRPr="005B468D">
        <w:rPr>
          <w:rStyle w:val="base-text-paragraphChar"/>
        </w:rPr>
        <w:t>An exemption from Regulation Impact Statement requirements was granted by the Prime Minister as there were urgent and unforeseen events.</w:t>
      </w:r>
      <w:bookmarkStart w:id="0" w:name="_GoBack"/>
      <w:bookmarkEnd w:id="0"/>
    </w:p>
    <w:p w:rsidR="00B1157C" w:rsidRDefault="00B1157C" w:rsidP="00647BB7">
      <w:pPr>
        <w:spacing w:before="240"/>
      </w:pPr>
      <w:r>
        <w:t xml:space="preserve">A more detailed explanation of the </w:t>
      </w:r>
      <w:r w:rsidR="006D56A2">
        <w:t>Determination</w:t>
      </w:r>
      <w:r>
        <w:t xml:space="preserve"> is at </w:t>
      </w:r>
      <w:r w:rsidRPr="00B1157C">
        <w:rPr>
          <w:u w:val="single"/>
        </w:rPr>
        <w:t>Attachment A</w:t>
      </w:r>
      <w:r>
        <w:t>.</w:t>
      </w:r>
    </w:p>
    <w:p w:rsidR="00EB2AEF" w:rsidRPr="00013390" w:rsidRDefault="00EB2AEF" w:rsidP="00647BB7">
      <w:pPr>
        <w:spacing w:before="240"/>
      </w:pPr>
      <w:r>
        <w:t xml:space="preserve">A </w:t>
      </w:r>
      <w:r w:rsidR="00ED0E7D">
        <w:t>S</w:t>
      </w:r>
      <w:r>
        <w:t xml:space="preserve">tatement of Compatibility with Human Rights is at </w:t>
      </w:r>
      <w:r w:rsidRPr="000B39A1">
        <w:rPr>
          <w:u w:val="single"/>
        </w:rPr>
        <w:t xml:space="preserve">Attachment </w:t>
      </w:r>
      <w:r w:rsidR="00C666B6">
        <w:rPr>
          <w:u w:val="single"/>
        </w:rPr>
        <w:t>B</w:t>
      </w:r>
      <w:r w:rsidR="000B39A1" w:rsidRPr="000B39A1">
        <w:t>.</w:t>
      </w:r>
    </w:p>
    <w:p w:rsidR="00EA4DD8" w:rsidRDefault="00EA4DD8" w:rsidP="00EA4DD8">
      <w:pPr>
        <w:pageBreakBefore/>
        <w:spacing w:before="240"/>
        <w:jc w:val="right"/>
        <w:rPr>
          <w:b/>
          <w:u w:val="single"/>
        </w:rPr>
      </w:pPr>
      <w:r w:rsidRPr="007B335E">
        <w:rPr>
          <w:b/>
          <w:u w:val="single"/>
        </w:rPr>
        <w:lastRenderedPageBreak/>
        <w:t xml:space="preserve">ATTACHMENT </w:t>
      </w:r>
      <w:r w:rsidR="00C666B6">
        <w:rPr>
          <w:b/>
          <w:u w:val="single"/>
        </w:rPr>
        <w:t>A</w:t>
      </w:r>
    </w:p>
    <w:p w:rsidR="00EA4DD8" w:rsidRDefault="00EA4DD8" w:rsidP="00EA4DD8">
      <w:pPr>
        <w:spacing w:before="240"/>
        <w:ind w:right="91"/>
        <w:rPr>
          <w:b/>
          <w:bCs/>
          <w:szCs w:val="24"/>
          <w:u w:val="single"/>
        </w:rPr>
      </w:pPr>
      <w:r>
        <w:rPr>
          <w:b/>
          <w:bCs/>
          <w:u w:val="single"/>
        </w:rPr>
        <w:t xml:space="preserve">Details of the </w:t>
      </w:r>
      <w:r w:rsidR="00C666B6">
        <w:rPr>
          <w:b/>
          <w:i/>
          <w:u w:val="single"/>
        </w:rPr>
        <w:t>Corp</w:t>
      </w:r>
      <w:r w:rsidR="001E200B">
        <w:rPr>
          <w:b/>
          <w:i/>
          <w:u w:val="single"/>
        </w:rPr>
        <w:t>orations (Coronavirus Economic R</w:t>
      </w:r>
      <w:r w:rsidR="00C666B6">
        <w:rPr>
          <w:b/>
          <w:i/>
          <w:u w:val="single"/>
        </w:rPr>
        <w:t>esponse) Determination </w:t>
      </w:r>
      <w:r w:rsidR="00C37C5B">
        <w:rPr>
          <w:b/>
          <w:i/>
          <w:u w:val="single"/>
        </w:rPr>
        <w:t>(</w:t>
      </w:r>
      <w:r w:rsidR="00C666B6">
        <w:rPr>
          <w:b/>
          <w:i/>
          <w:u w:val="single"/>
        </w:rPr>
        <w:t>No. 1</w:t>
      </w:r>
      <w:r w:rsidR="00C37C5B">
        <w:rPr>
          <w:b/>
          <w:i/>
          <w:u w:val="single"/>
        </w:rPr>
        <w:t>)</w:t>
      </w:r>
      <w:r w:rsidR="00C666B6">
        <w:rPr>
          <w:b/>
          <w:i/>
          <w:u w:val="single"/>
        </w:rPr>
        <w:t xml:space="preserve"> 2020</w:t>
      </w:r>
      <w:r>
        <w:rPr>
          <w:b/>
          <w:bCs/>
          <w:u w:val="single"/>
        </w:rPr>
        <w:t xml:space="preserve"> </w:t>
      </w:r>
    </w:p>
    <w:p w:rsidR="00EA4DD8" w:rsidRDefault="00EA4DD8" w:rsidP="00EA4DD8">
      <w:pPr>
        <w:spacing w:before="240"/>
        <w:rPr>
          <w:rFonts w:ascii="Calibri" w:hAnsi="Calibri"/>
          <w:sz w:val="22"/>
          <w:szCs w:val="22"/>
          <w:u w:val="single"/>
          <w:lang w:eastAsia="en-US"/>
        </w:rPr>
      </w:pPr>
      <w:r>
        <w:rPr>
          <w:u w:val="single"/>
        </w:rPr>
        <w:t xml:space="preserve">Section 1 – Name </w:t>
      </w:r>
    </w:p>
    <w:p w:rsidR="00EA4DD8" w:rsidRDefault="00AC4ADF" w:rsidP="00EA4DD8">
      <w:pPr>
        <w:spacing w:before="240"/>
      </w:pPr>
      <w:r>
        <w:t xml:space="preserve">The title of the </w:t>
      </w:r>
      <w:r w:rsidR="006D56A2">
        <w:t xml:space="preserve">Determination </w:t>
      </w:r>
      <w:r>
        <w:t xml:space="preserve">is the </w:t>
      </w:r>
      <w:r w:rsidRPr="00AC4ADF">
        <w:rPr>
          <w:i/>
        </w:rPr>
        <w:t>Corp</w:t>
      </w:r>
      <w:r w:rsidR="008C3016">
        <w:rPr>
          <w:i/>
        </w:rPr>
        <w:t>orations (Coronavirus Economic R</w:t>
      </w:r>
      <w:r w:rsidRPr="00AC4ADF">
        <w:rPr>
          <w:i/>
        </w:rPr>
        <w:t>esponse) Determination </w:t>
      </w:r>
      <w:r w:rsidR="00C37C5B">
        <w:rPr>
          <w:i/>
        </w:rPr>
        <w:t>(</w:t>
      </w:r>
      <w:r w:rsidRPr="00AC4ADF">
        <w:rPr>
          <w:i/>
        </w:rPr>
        <w:t>No. 1</w:t>
      </w:r>
      <w:r w:rsidR="00C37C5B">
        <w:rPr>
          <w:i/>
        </w:rPr>
        <w:t>)</w:t>
      </w:r>
      <w:r w:rsidRPr="00AC4ADF">
        <w:rPr>
          <w:i/>
        </w:rPr>
        <w:t xml:space="preserve"> 2020</w:t>
      </w:r>
      <w:r>
        <w:rPr>
          <w:i/>
        </w:rPr>
        <w:t xml:space="preserve"> </w:t>
      </w:r>
      <w:r w:rsidRPr="00AC4ADF">
        <w:t xml:space="preserve">(the </w:t>
      </w:r>
      <w:r w:rsidR="00525A9E">
        <w:t>Determination</w:t>
      </w:r>
      <w:r w:rsidRPr="00AC4ADF">
        <w:t>)</w:t>
      </w:r>
      <w:r>
        <w:rPr>
          <w:i/>
        </w:rPr>
        <w:t xml:space="preserve">. </w:t>
      </w:r>
    </w:p>
    <w:p w:rsidR="00EA4DD8" w:rsidRDefault="00EA4DD8" w:rsidP="00EA4DD8">
      <w:pPr>
        <w:spacing w:before="240"/>
        <w:ind w:right="91"/>
        <w:rPr>
          <w:u w:val="single"/>
        </w:rPr>
      </w:pPr>
      <w:r>
        <w:rPr>
          <w:u w:val="single"/>
        </w:rPr>
        <w:t>Section 2 – Commencement</w:t>
      </w:r>
    </w:p>
    <w:p w:rsidR="00EA4DD8" w:rsidRDefault="00AC4ADF" w:rsidP="00EA4DD8">
      <w:pPr>
        <w:spacing w:before="240"/>
        <w:ind w:right="91"/>
      </w:pPr>
      <w:r>
        <w:t xml:space="preserve">This </w:t>
      </w:r>
      <w:r w:rsidR="006D56A2">
        <w:t>Determination</w:t>
      </w:r>
      <w:r>
        <w:t xml:space="preserve"> </w:t>
      </w:r>
      <w:r w:rsidR="002C2DF2">
        <w:t xml:space="preserve">takes effect on </w:t>
      </w:r>
      <w:r>
        <w:t xml:space="preserve">the day after it is registered on the Federal Register of Legislation. </w:t>
      </w:r>
    </w:p>
    <w:p w:rsidR="00EA4DD8" w:rsidRDefault="00EA4DD8" w:rsidP="00EA4DD8">
      <w:pPr>
        <w:spacing w:before="240"/>
        <w:ind w:right="91"/>
        <w:rPr>
          <w:u w:val="single"/>
        </w:rPr>
      </w:pPr>
      <w:r>
        <w:rPr>
          <w:u w:val="single"/>
        </w:rPr>
        <w:t>Section 3 – Authority</w:t>
      </w:r>
    </w:p>
    <w:p w:rsidR="00EA4DD8" w:rsidRDefault="00EA4DD8" w:rsidP="00EA4DD8">
      <w:pPr>
        <w:spacing w:before="240"/>
        <w:ind w:right="91"/>
      </w:pPr>
      <w:r>
        <w:t xml:space="preserve">The </w:t>
      </w:r>
      <w:r w:rsidR="006D56A2">
        <w:t>Determination</w:t>
      </w:r>
      <w:r w:rsidR="00AC4ADF">
        <w:t xml:space="preserve"> is made under </w:t>
      </w:r>
      <w:r w:rsidR="001E200B">
        <w:t>section 1362A</w:t>
      </w:r>
      <w:r w:rsidR="00557B7F" w:rsidRPr="00557B7F">
        <w:t xml:space="preserve"> of </w:t>
      </w:r>
      <w:r w:rsidR="00AC4ADF">
        <w:t xml:space="preserve">the Act. </w:t>
      </w:r>
    </w:p>
    <w:p w:rsidR="00EA4DD8" w:rsidRDefault="00195A62" w:rsidP="00EA4DD8">
      <w:pPr>
        <w:spacing w:before="240"/>
        <w:ind w:right="91"/>
        <w:rPr>
          <w:u w:val="single"/>
        </w:rPr>
      </w:pPr>
      <w:r>
        <w:rPr>
          <w:u w:val="single"/>
        </w:rPr>
        <w:t xml:space="preserve">Section </w:t>
      </w:r>
      <w:r w:rsidR="00557B7F">
        <w:rPr>
          <w:u w:val="single"/>
        </w:rPr>
        <w:t>4 – Interpretation</w:t>
      </w:r>
    </w:p>
    <w:p w:rsidR="00195A62" w:rsidRPr="00755C5B" w:rsidRDefault="00B07467" w:rsidP="00EA4DD8">
      <w:pPr>
        <w:spacing w:before="240"/>
        <w:ind w:right="91"/>
      </w:pPr>
      <w:r>
        <w:t xml:space="preserve">In this </w:t>
      </w:r>
      <w:r w:rsidR="006D56A2">
        <w:t>D</w:t>
      </w:r>
      <w:r w:rsidR="00525A9E">
        <w:t>etermination</w:t>
      </w:r>
      <w:r>
        <w:t xml:space="preserve"> </w:t>
      </w:r>
      <w:r w:rsidRPr="00A94E81">
        <w:rPr>
          <w:b/>
        </w:rPr>
        <w:t>the Act</w:t>
      </w:r>
      <w:r>
        <w:t xml:space="preserve"> means the </w:t>
      </w:r>
      <w:r w:rsidRPr="00B07467">
        <w:rPr>
          <w:i/>
        </w:rPr>
        <w:t>Corporations Act 2001</w:t>
      </w:r>
      <w:r>
        <w:t xml:space="preserve"> and </w:t>
      </w:r>
      <w:r w:rsidRPr="00A94E81">
        <w:rPr>
          <w:b/>
        </w:rPr>
        <w:t>the regulations</w:t>
      </w:r>
      <w:r w:rsidRPr="006D56A2">
        <w:t xml:space="preserve"> </w:t>
      </w:r>
      <w:r>
        <w:t xml:space="preserve">means the </w:t>
      </w:r>
      <w:r w:rsidRPr="00DD0F03">
        <w:rPr>
          <w:i/>
        </w:rPr>
        <w:t>Corporations Regulations 2001</w:t>
      </w:r>
      <w:r w:rsidR="00557B7F" w:rsidRPr="00755C5B">
        <w:t xml:space="preserve">. </w:t>
      </w:r>
    </w:p>
    <w:p w:rsidR="00557B7F" w:rsidRDefault="00557B7F" w:rsidP="00EA4DD8">
      <w:pPr>
        <w:spacing w:before="240"/>
        <w:ind w:right="91"/>
        <w:rPr>
          <w:u w:val="single"/>
        </w:rPr>
      </w:pPr>
      <w:r>
        <w:rPr>
          <w:u w:val="single"/>
        </w:rPr>
        <w:t xml:space="preserve">Section 5 – </w:t>
      </w:r>
      <w:r w:rsidR="00664F78">
        <w:rPr>
          <w:u w:val="single"/>
        </w:rPr>
        <w:t>Provisions about meetings</w:t>
      </w:r>
    </w:p>
    <w:p w:rsidR="001E200B" w:rsidRDefault="001E200B" w:rsidP="00EA4DD8">
      <w:pPr>
        <w:spacing w:before="240"/>
        <w:ind w:right="91"/>
      </w:pPr>
      <w:r>
        <w:t xml:space="preserve">Section 5 modifies </w:t>
      </w:r>
      <w:r w:rsidR="0039099A">
        <w:t xml:space="preserve">any </w:t>
      </w:r>
      <w:r>
        <w:t xml:space="preserve">provision of the Act or the </w:t>
      </w:r>
      <w:r w:rsidR="00525A9E">
        <w:t>R</w:t>
      </w:r>
      <w:r>
        <w:t xml:space="preserve">egulations that requires or permits a meeting to be held, </w:t>
      </w:r>
      <w:r w:rsidR="00074AEA">
        <w:t xml:space="preserve">or </w:t>
      </w:r>
      <w:r>
        <w:t xml:space="preserve">deals with giving a notice of a meeting or the conduct of a meeting. </w:t>
      </w:r>
    </w:p>
    <w:p w:rsidR="00557B7F" w:rsidRDefault="00DB12BF" w:rsidP="00EA4DD8">
      <w:pPr>
        <w:spacing w:before="240"/>
        <w:ind w:right="91"/>
      </w:pPr>
      <w:r w:rsidRPr="00755C5B">
        <w:t xml:space="preserve">Section 5 </w:t>
      </w:r>
      <w:r w:rsidR="00553086">
        <w:t xml:space="preserve">is intended to </w:t>
      </w:r>
      <w:r w:rsidR="00074AEA">
        <w:t>allow</w:t>
      </w:r>
      <w:r w:rsidRPr="00755C5B">
        <w:t xml:space="preserve"> </w:t>
      </w:r>
      <w:r w:rsidR="00DD0F03">
        <w:t>entities</w:t>
      </w:r>
      <w:r w:rsidRPr="00755C5B">
        <w:t xml:space="preserve"> </w:t>
      </w:r>
      <w:r w:rsidR="00074AEA">
        <w:t xml:space="preserve">who are </w:t>
      </w:r>
      <w:r w:rsidRPr="00755C5B">
        <w:t>required</w:t>
      </w:r>
      <w:r w:rsidR="00DD0F03">
        <w:t xml:space="preserve"> </w:t>
      </w:r>
      <w:r w:rsidR="00DD0F03" w:rsidRPr="001E200B">
        <w:t>or permitted</w:t>
      </w:r>
      <w:r w:rsidRPr="001E200B">
        <w:t xml:space="preserve"> to hold </w:t>
      </w:r>
      <w:r w:rsidR="00DD0F03" w:rsidRPr="001E200B">
        <w:t>meeting</w:t>
      </w:r>
      <w:r w:rsidR="00226140" w:rsidRPr="001E200B">
        <w:t>s</w:t>
      </w:r>
      <w:r w:rsidRPr="00755C5B">
        <w:t xml:space="preserve"> </w:t>
      </w:r>
      <w:r w:rsidR="00226140">
        <w:t>to hold those meetings</w:t>
      </w:r>
      <w:r w:rsidR="003414A6">
        <w:t xml:space="preserve"> remotely</w:t>
      </w:r>
      <w:r w:rsidR="00226140">
        <w:t xml:space="preserve"> </w:t>
      </w:r>
      <w:r w:rsidR="006F4A19">
        <w:t>as virtual meetings</w:t>
      </w:r>
      <w:r w:rsidR="003414A6">
        <w:t>, instead of</w:t>
      </w:r>
      <w:r w:rsidR="00226140">
        <w:t xml:space="preserve"> in person</w:t>
      </w:r>
      <w:r w:rsidR="003414A6">
        <w:t>,</w:t>
      </w:r>
      <w:r w:rsidR="00074AEA" w:rsidRPr="00074AEA">
        <w:t xml:space="preserve"> </w:t>
      </w:r>
      <w:r w:rsidR="006F4A19">
        <w:t>while</w:t>
      </w:r>
      <w:r w:rsidR="00074AEA" w:rsidRPr="00755C5B">
        <w:t xml:space="preserve"> public health restriction</w:t>
      </w:r>
      <w:r w:rsidR="00074AEA">
        <w:t>s are in place</w:t>
      </w:r>
      <w:r w:rsidR="00226140">
        <w:t xml:space="preserve">. </w:t>
      </w:r>
    </w:p>
    <w:p w:rsidR="00226140" w:rsidRDefault="009C2C18" w:rsidP="00EA4DD8">
      <w:pPr>
        <w:spacing w:before="240"/>
        <w:ind w:right="91"/>
      </w:pPr>
      <w:r>
        <w:t xml:space="preserve">Many </w:t>
      </w:r>
      <w:r w:rsidR="00DD0F03">
        <w:t>entities</w:t>
      </w:r>
      <w:r>
        <w:t xml:space="preserve"> may </w:t>
      </w:r>
      <w:r w:rsidR="00553086">
        <w:t xml:space="preserve">seek or </w:t>
      </w:r>
      <w:r w:rsidR="00252EED">
        <w:t>be required to</w:t>
      </w:r>
      <w:r>
        <w:t xml:space="preserve"> hold </w:t>
      </w:r>
      <w:r w:rsidR="00252EED">
        <w:t xml:space="preserve">meetings over this period, including </w:t>
      </w:r>
      <w:r>
        <w:t>AGM</w:t>
      </w:r>
      <w:r w:rsidR="00252EED">
        <w:t>s</w:t>
      </w:r>
      <w:r>
        <w:t xml:space="preserve"> </w:t>
      </w:r>
      <w:r w:rsidR="00252EED">
        <w:t xml:space="preserve">and creditors’ meetings. </w:t>
      </w:r>
      <w:r w:rsidR="00553086">
        <w:t xml:space="preserve">The modifications in </w:t>
      </w:r>
      <w:r w:rsidR="00DD24D4">
        <w:t>s</w:t>
      </w:r>
      <w:r w:rsidR="00553086">
        <w:t>ection 5</w:t>
      </w:r>
      <w:r>
        <w:t xml:space="preserve"> allow them to do so using one or more techn</w:t>
      </w:r>
      <w:r w:rsidR="008D1DA3">
        <w:t>ologies to enable participation</w:t>
      </w:r>
      <w:r w:rsidR="00897643">
        <w:t xml:space="preserve"> </w:t>
      </w:r>
      <w:r>
        <w:t xml:space="preserve">without needing to be physically present </w:t>
      </w:r>
      <w:r w:rsidR="00553086">
        <w:t>at</w:t>
      </w:r>
      <w:r w:rsidR="00227ED5">
        <w:t xml:space="preserve"> a venue.</w:t>
      </w:r>
    </w:p>
    <w:p w:rsidR="00553086" w:rsidRDefault="00553086" w:rsidP="00553086">
      <w:pPr>
        <w:spacing w:before="240"/>
        <w:ind w:right="91"/>
      </w:pPr>
      <w:r>
        <w:t xml:space="preserve">Section 5 modifies provisions of the Act so that a requirement for physical attendance for purposes such as achieving a quorum may be met using technology. </w:t>
      </w:r>
      <w:r w:rsidR="008D1DA3">
        <w:t xml:space="preserve">All persons participating in the meeting will be taken to be present at the meeting while participating. </w:t>
      </w:r>
    </w:p>
    <w:p w:rsidR="008D1DA3" w:rsidRDefault="008D1DA3" w:rsidP="00553086">
      <w:pPr>
        <w:spacing w:before="240"/>
        <w:ind w:right="91"/>
      </w:pPr>
      <w:r>
        <w:t xml:space="preserve">Section 5 also modifies a requirement to allow those attending the meeting to speak, </w:t>
      </w:r>
      <w:r w:rsidR="003414A6">
        <w:t xml:space="preserve">so that this can be done </w:t>
      </w:r>
      <w:r w:rsidR="00264646">
        <w:t>using technology</w:t>
      </w:r>
      <w:r>
        <w:t>.</w:t>
      </w:r>
      <w:r w:rsidR="0085602E">
        <w:t xml:space="preserve"> A proxy may also be appointed using technology. </w:t>
      </w:r>
    </w:p>
    <w:p w:rsidR="008D1DA3" w:rsidRDefault="008D1DA3" w:rsidP="00553086">
      <w:pPr>
        <w:spacing w:before="240"/>
        <w:ind w:right="91"/>
      </w:pPr>
      <w:r>
        <w:t>Sect</w:t>
      </w:r>
      <w:r w:rsidR="00C14670">
        <w:t xml:space="preserve">ion 5 modifies requirements about registering a vote. A show of hands may not be used where a meeting is being facilitated using technology. Votes must be taken by a poll </w:t>
      </w:r>
      <w:r w:rsidR="0085602E">
        <w:t xml:space="preserve">and each person entitled to vote must be given the opportunity to vote in real time and if practical ahead of the meeting. </w:t>
      </w:r>
    </w:p>
    <w:p w:rsidR="00553086" w:rsidRDefault="00553086" w:rsidP="00553086">
      <w:pPr>
        <w:spacing w:before="240"/>
        <w:ind w:right="91"/>
      </w:pPr>
      <w:r>
        <w:lastRenderedPageBreak/>
        <w:t>Many meetings governed by the Act</w:t>
      </w:r>
      <w:r w:rsidR="001C092F">
        <w:t xml:space="preserve"> and the </w:t>
      </w:r>
      <w:r w:rsidR="00EE4144">
        <w:t>R</w:t>
      </w:r>
      <w:r w:rsidR="001C092F">
        <w:t>egulations</w:t>
      </w:r>
      <w:r>
        <w:t xml:space="preserve"> require notices to be sent in writing where a member has not provided another means such as an email address. Section 5 modifies those requirements to enable notices to be sent to all those entitled to attend using one or more technologies</w:t>
      </w:r>
      <w:r w:rsidR="00EE23B0">
        <w:t>,</w:t>
      </w:r>
      <w:r>
        <w:t xml:space="preserve"> including where </w:t>
      </w:r>
      <w:r w:rsidR="00EE23B0">
        <w:t>recipients have not provided</w:t>
      </w:r>
      <w:r>
        <w:t xml:space="preserve"> an email address. In that instance, an entity would meet the requirement to </w:t>
      </w:r>
      <w:r w:rsidR="00A77081">
        <w:t xml:space="preserve">give notice and </w:t>
      </w:r>
      <w:r>
        <w:t xml:space="preserve">provide documents (such as various reports or resolutions to be put to the meeting) </w:t>
      </w:r>
      <w:r w:rsidR="00FE7AB5">
        <w:t xml:space="preserve">through </w:t>
      </w:r>
      <w:r>
        <w:t xml:space="preserve">a letter or postcard setting out where the </w:t>
      </w:r>
      <w:r w:rsidR="00FC52FA">
        <w:t xml:space="preserve">recipient </w:t>
      </w:r>
      <w:r>
        <w:t>could view the information online and download it</w:t>
      </w:r>
      <w:r w:rsidR="008D1DA3">
        <w:t xml:space="preserve">. </w:t>
      </w:r>
    </w:p>
    <w:p w:rsidR="009C2C18" w:rsidRDefault="00227ED5" w:rsidP="00EA4DD8">
      <w:pPr>
        <w:spacing w:before="240"/>
        <w:ind w:right="91"/>
      </w:pPr>
      <w:r>
        <w:t xml:space="preserve">Section 5 imposes conditions on </w:t>
      </w:r>
      <w:r w:rsidR="00DD0F03">
        <w:t>entities</w:t>
      </w:r>
      <w:r w:rsidR="008617A6">
        <w:t xml:space="preserve"> accessing the relief</w:t>
      </w:r>
      <w:r w:rsidR="00DD0F03">
        <w:t xml:space="preserve"> including </w:t>
      </w:r>
      <w:r w:rsidR="00B81B06">
        <w:t>that, when giving notice of the meeting, the person required to give the notice must include information about how</w:t>
      </w:r>
      <w:r w:rsidR="00DD0F03">
        <w:t xml:space="preserve"> persons entitled to attend and participate in the meeting </w:t>
      </w:r>
      <w:r w:rsidR="00B81B06">
        <w:t>can do so</w:t>
      </w:r>
      <w:r w:rsidR="00DD0F03">
        <w:t xml:space="preserve"> </w:t>
      </w:r>
      <w:r w:rsidR="00D16981">
        <w:t xml:space="preserve">(including </w:t>
      </w:r>
      <w:r w:rsidR="0029208A">
        <w:t xml:space="preserve">by </w:t>
      </w:r>
      <w:r w:rsidR="00D16981">
        <w:t>proxy)</w:t>
      </w:r>
      <w:r w:rsidR="00DD0F03">
        <w:t xml:space="preserve">. The notice must explain how </w:t>
      </w:r>
      <w:r w:rsidR="00FA0C50">
        <w:t>participants</w:t>
      </w:r>
      <w:r w:rsidR="00DD0F03">
        <w:t xml:space="preserve"> can vote</w:t>
      </w:r>
      <w:r w:rsidR="00014209">
        <w:t xml:space="preserve"> and</w:t>
      </w:r>
      <w:r w:rsidR="00DD0F03">
        <w:t xml:space="preserve"> ask questions and </w:t>
      </w:r>
      <w:r w:rsidR="00014209">
        <w:t xml:space="preserve">must include </w:t>
      </w:r>
      <w:r w:rsidR="00DD0F03">
        <w:t xml:space="preserve">any other information they need to know to participate using technology. </w:t>
      </w:r>
    </w:p>
    <w:p w:rsidR="009C2C18" w:rsidRDefault="005C24AA" w:rsidP="00EA4DD8">
      <w:pPr>
        <w:spacing w:before="240"/>
        <w:ind w:right="91"/>
      </w:pPr>
      <w:r>
        <w:t>If a</w:t>
      </w:r>
      <w:r w:rsidR="003A0ECA">
        <w:t xml:space="preserve"> </w:t>
      </w:r>
      <w:r>
        <w:t>company, responsible entity</w:t>
      </w:r>
      <w:r w:rsidR="00460495">
        <w:t xml:space="preserve"> </w:t>
      </w:r>
      <w:r>
        <w:t>or</w:t>
      </w:r>
      <w:r w:rsidR="00460495">
        <w:t xml:space="preserve"> </w:t>
      </w:r>
      <w:r>
        <w:t>external administrator</w:t>
      </w:r>
      <w:r w:rsidR="003A0ECA" w:rsidRPr="00E10C9A">
        <w:t xml:space="preserve"> </w:t>
      </w:r>
      <w:r>
        <w:t>has</w:t>
      </w:r>
      <w:r w:rsidR="003A0ECA">
        <w:t xml:space="preserve"> already sent out a notice of an AGM </w:t>
      </w:r>
      <w:r w:rsidR="009C2C18">
        <w:t xml:space="preserve">or other meeting </w:t>
      </w:r>
      <w:r w:rsidR="009E0E64">
        <w:t xml:space="preserve">before this </w:t>
      </w:r>
      <w:r w:rsidR="00EE4144">
        <w:t xml:space="preserve">Determination </w:t>
      </w:r>
      <w:r w:rsidR="009E0E64">
        <w:t>came into force</w:t>
      </w:r>
      <w:r>
        <w:t xml:space="preserve">, that person must issue another notice at least </w:t>
      </w:r>
      <w:r w:rsidR="00EE4144">
        <w:t>seven</w:t>
      </w:r>
      <w:r>
        <w:t xml:space="preserve"> days before the meeting with information about how to participate in the meeting electronically. </w:t>
      </w:r>
      <w:r w:rsidR="009E0E64">
        <w:t xml:space="preserve"> </w:t>
      </w:r>
    </w:p>
    <w:p w:rsidR="005C24AA" w:rsidRDefault="005C24AA" w:rsidP="00EA4DD8">
      <w:pPr>
        <w:spacing w:before="240"/>
        <w:ind w:right="91"/>
      </w:pPr>
      <w:r>
        <w:t xml:space="preserve">The </w:t>
      </w:r>
      <w:r w:rsidR="006D56A2">
        <w:t>Determination</w:t>
      </w:r>
      <w:r>
        <w:t xml:space="preserve"> also requires the person conducting the meeting to treat a proxy in the same way the person who appointed the proxy would be treated if that person was attending the meeting. </w:t>
      </w:r>
    </w:p>
    <w:p w:rsidR="00347496" w:rsidRDefault="005C24AA" w:rsidP="00347496">
      <w:pPr>
        <w:spacing w:before="240"/>
        <w:ind w:right="91"/>
      </w:pPr>
      <w:r>
        <w:t xml:space="preserve">The modifications included in </w:t>
      </w:r>
      <w:r w:rsidR="007336A2">
        <w:t>s</w:t>
      </w:r>
      <w:r>
        <w:t xml:space="preserve">ection 5 and described above also </w:t>
      </w:r>
      <w:r w:rsidR="007336A2">
        <w:t>affect the operation of</w:t>
      </w:r>
      <w:r w:rsidR="00347496">
        <w:t xml:space="preserve"> the constitution of a company or registered scheme, or to any other arrangement that requires or permits a meeting to be held, deals with giving a notice of a meeting or the conduct of a meeting. </w:t>
      </w:r>
    </w:p>
    <w:p w:rsidR="00456E08" w:rsidRPr="00755C5B" w:rsidRDefault="009E0E64" w:rsidP="00D16981">
      <w:pPr>
        <w:spacing w:before="240"/>
        <w:ind w:right="91"/>
        <w:rPr>
          <w:u w:val="single"/>
        </w:rPr>
      </w:pPr>
      <w:r w:rsidRPr="00755C5B">
        <w:rPr>
          <w:u w:val="single"/>
        </w:rPr>
        <w:t>Section 6</w:t>
      </w:r>
    </w:p>
    <w:p w:rsidR="008F3534" w:rsidRDefault="00456E08" w:rsidP="00EA4DD8">
      <w:pPr>
        <w:spacing w:before="240"/>
        <w:ind w:right="91"/>
      </w:pPr>
      <w:r>
        <w:t>S</w:t>
      </w:r>
      <w:r w:rsidR="00D16981">
        <w:t>ection 6</w:t>
      </w:r>
      <w:r>
        <w:t xml:space="preserve"> </w:t>
      </w:r>
      <w:r w:rsidR="0057003A">
        <w:t>modifies</w:t>
      </w:r>
      <w:r>
        <w:t xml:space="preserve"> section 127 of the Act </w:t>
      </w:r>
      <w:r w:rsidR="00017537">
        <w:t>for</w:t>
      </w:r>
      <w:r>
        <w:t xml:space="preserve"> </w:t>
      </w:r>
      <w:r w:rsidR="00017537">
        <w:t>companies, directors of companies, company secretaries and any persons that have dealings with companies</w:t>
      </w:r>
      <w:r w:rsidR="006C6D6A">
        <w:t>,</w:t>
      </w:r>
      <w:r w:rsidR="00017537">
        <w:t xml:space="preserve"> to allow </w:t>
      </w:r>
      <w:r w:rsidR="006C6D6A">
        <w:t xml:space="preserve">use of </w:t>
      </w:r>
      <w:r w:rsidR="00017537">
        <w:t xml:space="preserve">an </w:t>
      </w:r>
      <w:r>
        <w:t xml:space="preserve">electronic signature </w:t>
      </w:r>
      <w:r w:rsidR="008F3534">
        <w:t xml:space="preserve">to </w:t>
      </w:r>
      <w:r>
        <w:t>meet</w:t>
      </w:r>
      <w:r w:rsidR="00017537">
        <w:t xml:space="preserve"> </w:t>
      </w:r>
      <w:r>
        <w:t>requirement</w:t>
      </w:r>
      <w:r w:rsidR="008F3534">
        <w:t>s</w:t>
      </w:r>
      <w:r>
        <w:t xml:space="preserve"> for a signature. </w:t>
      </w:r>
    </w:p>
    <w:p w:rsidR="00456E08" w:rsidRDefault="008F3534" w:rsidP="00EA4DD8">
      <w:pPr>
        <w:spacing w:before="240"/>
        <w:ind w:right="91"/>
      </w:pPr>
      <w:r>
        <w:t xml:space="preserve">The </w:t>
      </w:r>
      <w:r w:rsidR="00EE4144">
        <w:t>Determination</w:t>
      </w:r>
      <w:r>
        <w:t xml:space="preserve"> </w:t>
      </w:r>
      <w:r w:rsidR="006C6D6A">
        <w:t xml:space="preserve">extends section 127 of the Act to </w:t>
      </w:r>
      <w:r w:rsidR="004D428F">
        <w:t xml:space="preserve">also </w:t>
      </w:r>
      <w:r w:rsidR="006C6D6A">
        <w:t>cover execution of</w:t>
      </w:r>
      <w:r>
        <w:t xml:space="preserve"> </w:t>
      </w:r>
      <w:r w:rsidR="008D19E1">
        <w:t xml:space="preserve">a </w:t>
      </w:r>
      <w:r w:rsidR="00CD6A21">
        <w:t>document</w:t>
      </w:r>
      <w:r w:rsidR="008D19E1">
        <w:t xml:space="preserve"> in electronic form</w:t>
      </w:r>
      <w:r w:rsidR="00CD6A21">
        <w:t xml:space="preserve">. </w:t>
      </w:r>
    </w:p>
    <w:p w:rsidR="008D19E1" w:rsidRDefault="008539CD" w:rsidP="008539CD">
      <w:pPr>
        <w:spacing w:before="240"/>
        <w:ind w:right="91"/>
      </w:pPr>
      <w:r>
        <w:t xml:space="preserve">Section 6 </w:t>
      </w:r>
      <w:r w:rsidR="008D19E1">
        <w:t xml:space="preserve">provides that a company may execute a document without a common seal if </w:t>
      </w:r>
      <w:r w:rsidR="007A57D8">
        <w:t xml:space="preserve">each </w:t>
      </w:r>
      <w:r w:rsidR="00DF7054">
        <w:t>person required</w:t>
      </w:r>
      <w:r w:rsidR="008D19E1">
        <w:t xml:space="preserve"> to sign the document</w:t>
      </w:r>
      <w:r w:rsidR="007A57D8">
        <w:t xml:space="preserve"> on behalf of the company</w:t>
      </w:r>
      <w:r w:rsidR="008D19E1">
        <w:t xml:space="preserve"> either:</w:t>
      </w:r>
    </w:p>
    <w:p w:rsidR="008D19E1" w:rsidRDefault="007A57D8" w:rsidP="008D19E1">
      <w:pPr>
        <w:pStyle w:val="Dotpoint"/>
      </w:pPr>
      <w:r>
        <w:t>s</w:t>
      </w:r>
      <w:r w:rsidR="00347496">
        <w:t>igns a copy or counterpart</w:t>
      </w:r>
      <w:r w:rsidR="008D19E1">
        <w:t xml:space="preserve"> of the document in physical form; or</w:t>
      </w:r>
    </w:p>
    <w:p w:rsidR="00F445F8" w:rsidRDefault="007A57D8" w:rsidP="001E163B">
      <w:pPr>
        <w:pStyle w:val="Dotpoint"/>
        <w:spacing w:before="240"/>
        <w:ind w:right="91"/>
      </w:pPr>
      <w:r>
        <w:t>u</w:t>
      </w:r>
      <w:r w:rsidR="00023F21">
        <w:t xml:space="preserve">ses </w:t>
      </w:r>
      <w:r w:rsidR="00DF7054">
        <w:t xml:space="preserve">electronic communication </w:t>
      </w:r>
      <w:r w:rsidR="00023F21">
        <w:t>which reliably</w:t>
      </w:r>
      <w:r w:rsidR="00DF7054">
        <w:t xml:space="preserve"> </w:t>
      </w:r>
      <w:r w:rsidR="00023F21">
        <w:t>identifies</w:t>
      </w:r>
      <w:r w:rsidR="00DF7054">
        <w:t xml:space="preserve"> the person and indicate</w:t>
      </w:r>
      <w:r w:rsidR="00F445F8">
        <w:t>s</w:t>
      </w:r>
      <w:r w:rsidR="00DF7054">
        <w:t xml:space="preserve"> the </w:t>
      </w:r>
      <w:r w:rsidR="00F445F8">
        <w:t xml:space="preserve">person’s </w:t>
      </w:r>
      <w:r w:rsidR="00DF7054">
        <w:t xml:space="preserve">intention </w:t>
      </w:r>
      <w:r w:rsidR="00F445F8">
        <w:t>about the</w:t>
      </w:r>
      <w:r w:rsidR="00DF7054">
        <w:t xml:space="preserve"> </w:t>
      </w:r>
      <w:r w:rsidR="00F445F8">
        <w:t xml:space="preserve">contents of the document. </w:t>
      </w:r>
      <w:r w:rsidR="008539CD">
        <w:t xml:space="preserve"> </w:t>
      </w:r>
    </w:p>
    <w:p w:rsidR="00DA7335" w:rsidRDefault="00DA7335" w:rsidP="00F445F8">
      <w:pPr>
        <w:spacing w:before="240"/>
        <w:ind w:right="91"/>
      </w:pPr>
      <w:r>
        <w:t xml:space="preserve">In both cases the physical or electronic communication must include the entire contents of the document but does not need to include the signature of </w:t>
      </w:r>
      <w:r w:rsidR="00347496">
        <w:t>an</w:t>
      </w:r>
      <w:r>
        <w:t>other person signing the document</w:t>
      </w:r>
      <w:r w:rsidR="00F93E92">
        <w:t xml:space="preserve"> physically or electronically</w:t>
      </w:r>
      <w:r>
        <w:t xml:space="preserve">. </w:t>
      </w:r>
    </w:p>
    <w:p w:rsidR="00A94E81" w:rsidRDefault="00A94E81" w:rsidP="00F445F8">
      <w:pPr>
        <w:spacing w:before="240"/>
        <w:ind w:right="91"/>
      </w:pPr>
    </w:p>
    <w:p w:rsidR="009844C8" w:rsidRDefault="009844C8" w:rsidP="009844C8">
      <w:pPr>
        <w:spacing w:before="240"/>
        <w:ind w:right="91"/>
      </w:pPr>
      <w:r>
        <w:t xml:space="preserve">Electronic communication is defined in the </w:t>
      </w:r>
      <w:r w:rsidRPr="00781160">
        <w:rPr>
          <w:i/>
        </w:rPr>
        <w:t>Electronic Transactions Act 1999</w:t>
      </w:r>
      <w:r>
        <w:t xml:space="preserve"> and covers a communication of information in the form of data, text or images by means of guided and/or unguided electromagnetic energy. It also covers electronic voice communication. </w:t>
      </w:r>
    </w:p>
    <w:p w:rsidR="005B4194" w:rsidRDefault="001D08C7" w:rsidP="005B4194">
      <w:pPr>
        <w:spacing w:before="240"/>
        <w:ind w:right="91"/>
      </w:pPr>
      <w:r>
        <w:t xml:space="preserve">In practice, there </w:t>
      </w:r>
      <w:r w:rsidR="005B4194">
        <w:t xml:space="preserve">are a wide variety of </w:t>
      </w:r>
      <w:r>
        <w:t xml:space="preserve">means </w:t>
      </w:r>
      <w:r w:rsidR="005B4194">
        <w:t>by which officers of a company might sign a document</w:t>
      </w:r>
      <w:r w:rsidR="00637CB5">
        <w:t xml:space="preserve"> </w:t>
      </w:r>
      <w:r w:rsidR="00347496">
        <w:t>electronically. These</w:t>
      </w:r>
      <w:r w:rsidR="005B4194">
        <w:t xml:space="preserve"> include:</w:t>
      </w:r>
    </w:p>
    <w:p w:rsidR="005B4194" w:rsidRDefault="005B4194" w:rsidP="00347496">
      <w:pPr>
        <w:pStyle w:val="Dotpoint"/>
      </w:pPr>
      <w:r>
        <w:t>pasting a copy of a signature into a document</w:t>
      </w:r>
      <w:r w:rsidR="00B70919">
        <w:t>;</w:t>
      </w:r>
    </w:p>
    <w:p w:rsidR="005B4194" w:rsidRDefault="005B4194" w:rsidP="00347496">
      <w:pPr>
        <w:pStyle w:val="Dotpoint"/>
      </w:pPr>
      <w:r>
        <w:t xml:space="preserve">signing a PDF on a tablet, smartphone or laptop using a stylus or finger; </w:t>
      </w:r>
    </w:p>
    <w:p w:rsidR="005B4194" w:rsidRDefault="005B4194" w:rsidP="00347496">
      <w:pPr>
        <w:pStyle w:val="Dotpoint"/>
      </w:pPr>
      <w:r>
        <w:t>cloud-based signature platforms like DocuSign.</w:t>
      </w:r>
    </w:p>
    <w:p w:rsidR="00F445F8" w:rsidRDefault="00347496" w:rsidP="00F445F8">
      <w:pPr>
        <w:spacing w:before="240"/>
        <w:ind w:right="91"/>
      </w:pPr>
      <w:r>
        <w:t xml:space="preserve">The modification means that </w:t>
      </w:r>
      <w:r w:rsidR="005B4194" w:rsidRPr="005B4194">
        <w:t xml:space="preserve">signatories do not </w:t>
      </w:r>
      <w:r>
        <w:t xml:space="preserve">need to </w:t>
      </w:r>
      <w:r w:rsidR="005B4194" w:rsidRPr="005B4194">
        <w:t>sign the same physical document</w:t>
      </w:r>
      <w:r>
        <w:t xml:space="preserve">. </w:t>
      </w:r>
      <w:r w:rsidR="00B70919">
        <w:t>Instead,</w:t>
      </w:r>
      <w:r w:rsidR="005B4194">
        <w:t xml:space="preserve"> </w:t>
      </w:r>
      <w:r w:rsidR="005B4194" w:rsidRPr="005B4194">
        <w:t xml:space="preserve">a document </w:t>
      </w:r>
      <w:r w:rsidR="00B70919">
        <w:t>could be</w:t>
      </w:r>
      <w:r w:rsidR="00B70919" w:rsidRPr="005B4194">
        <w:t xml:space="preserve"> </w:t>
      </w:r>
      <w:r w:rsidR="005B4194" w:rsidRPr="005B4194">
        <w:t xml:space="preserve">signed and scanned by the first signatory and then printed and signed by the second signatory, or separate electronic signatures </w:t>
      </w:r>
      <w:r w:rsidR="00B70919">
        <w:t>could be applied</w:t>
      </w:r>
      <w:r w:rsidR="009844C8">
        <w:t xml:space="preserve"> to fully electronic</w:t>
      </w:r>
      <w:r w:rsidR="00B70919">
        <w:t xml:space="preserve"> versions of</w:t>
      </w:r>
      <w:r w:rsidR="009844C8">
        <w:t xml:space="preserve"> </w:t>
      </w:r>
      <w:r w:rsidR="00E040CE">
        <w:t xml:space="preserve">the </w:t>
      </w:r>
      <w:r w:rsidR="009844C8">
        <w:t>document</w:t>
      </w:r>
      <w:r w:rsidR="005B4194" w:rsidRPr="005B4194">
        <w:t>.</w:t>
      </w:r>
      <w:r w:rsidR="005B4194">
        <w:t xml:space="preserve"> </w:t>
      </w:r>
    </w:p>
    <w:p w:rsidR="009844C8" w:rsidRDefault="00790C2F" w:rsidP="009844C8">
      <w:pPr>
        <w:pStyle w:val="base-text-paragraph"/>
        <w:ind w:left="0"/>
      </w:pPr>
      <w:r>
        <w:t>If these elements are satisfied, then an electronic signature applied under section 127 will be effective to execute a document</w:t>
      </w:r>
      <w:r w:rsidR="009844C8">
        <w:t xml:space="preserve">. </w:t>
      </w:r>
    </w:p>
    <w:p w:rsidR="008B544D" w:rsidRDefault="00BB0FEA" w:rsidP="00EA4DD8">
      <w:pPr>
        <w:spacing w:before="240"/>
        <w:ind w:right="91"/>
      </w:pPr>
      <w:r>
        <w:t xml:space="preserve">While the </w:t>
      </w:r>
      <w:r w:rsidR="00EE4144">
        <w:t>Determination</w:t>
      </w:r>
      <w:r>
        <w:t xml:space="preserve"> is in effect, there </w:t>
      </w:r>
      <w:r w:rsidR="008C70E8">
        <w:t xml:space="preserve">is </w:t>
      </w:r>
      <w:r w:rsidR="00CD6A21">
        <w:t xml:space="preserve">no need for a single static document </w:t>
      </w:r>
      <w:r>
        <w:t xml:space="preserve">in order to satisfy </w:t>
      </w:r>
      <w:r w:rsidR="00CD6A21">
        <w:t>section 127 of the Act</w:t>
      </w:r>
      <w:r>
        <w:t>. The entire process of executing a document can be carried out using electronic communications, so</w:t>
      </w:r>
      <w:r w:rsidR="00CD6A21">
        <w:t xml:space="preserve"> long as a method as reliable as appropriate to the circumstances is used to identify </w:t>
      </w:r>
      <w:r w:rsidR="00CC2666">
        <w:t xml:space="preserve">each </w:t>
      </w:r>
      <w:r w:rsidR="00CD6A21">
        <w:t xml:space="preserve">person and </w:t>
      </w:r>
      <w:r w:rsidR="00CC2666">
        <w:t xml:space="preserve">his or her </w:t>
      </w:r>
      <w:r w:rsidR="00CD6A21">
        <w:t>intention</w:t>
      </w:r>
      <w:r w:rsidR="00CC2666">
        <w:t xml:space="preserve"> to execute the document on behalf of the company</w:t>
      </w:r>
      <w:r w:rsidR="00CD6A21">
        <w:t xml:space="preserve">. </w:t>
      </w:r>
    </w:p>
    <w:p w:rsidR="00CD6A21" w:rsidRPr="00CD6A21" w:rsidRDefault="00CD6A21" w:rsidP="00EA4DD8">
      <w:pPr>
        <w:spacing w:before="240"/>
        <w:ind w:right="91"/>
        <w:rPr>
          <w:u w:val="single"/>
        </w:rPr>
      </w:pPr>
      <w:r w:rsidRPr="00CD6A21">
        <w:rPr>
          <w:u w:val="single"/>
        </w:rPr>
        <w:t xml:space="preserve">Section </w:t>
      </w:r>
      <w:r w:rsidR="008C70E8">
        <w:rPr>
          <w:u w:val="single"/>
        </w:rPr>
        <w:t>7</w:t>
      </w:r>
    </w:p>
    <w:p w:rsidR="009844C8" w:rsidRDefault="009844C8" w:rsidP="00EA4DD8">
      <w:pPr>
        <w:spacing w:before="240"/>
        <w:ind w:right="91"/>
      </w:pPr>
      <w:r>
        <w:t xml:space="preserve">Section 7 modifies subsection 129(5) of the Act so that a reference to a document </w:t>
      </w:r>
      <w:r w:rsidR="002D3383">
        <w:t xml:space="preserve">being signed in accordance with subsection 127(1) of the Act, includes a document executed in accordance with the modified provisions included in this instrument. </w:t>
      </w:r>
    </w:p>
    <w:p w:rsidR="008C70E8" w:rsidRDefault="00CD6A21" w:rsidP="00EA4DD8">
      <w:pPr>
        <w:spacing w:before="240"/>
        <w:ind w:right="91"/>
        <w:rPr>
          <w:u w:val="single"/>
        </w:rPr>
      </w:pPr>
      <w:r w:rsidRPr="00CD6A21">
        <w:rPr>
          <w:u w:val="single"/>
        </w:rPr>
        <w:t xml:space="preserve">Section </w:t>
      </w:r>
      <w:r w:rsidR="008C70E8">
        <w:rPr>
          <w:u w:val="single"/>
        </w:rPr>
        <w:t>8</w:t>
      </w:r>
    </w:p>
    <w:p w:rsidR="008C70E8" w:rsidRPr="002D3383" w:rsidRDefault="008C70E8" w:rsidP="00EA4DD8">
      <w:pPr>
        <w:spacing w:before="240"/>
        <w:ind w:right="91"/>
      </w:pPr>
      <w:r w:rsidRPr="002D3383">
        <w:t xml:space="preserve">This provision is intended to give entities </w:t>
      </w:r>
      <w:r w:rsidR="00C70A5B" w:rsidRPr="002D3383">
        <w:t xml:space="preserve">and their members </w:t>
      </w:r>
      <w:r w:rsidRPr="002D3383">
        <w:t xml:space="preserve">the certainty that </w:t>
      </w:r>
      <w:r w:rsidR="00C70A5B" w:rsidRPr="002D3383">
        <w:t>a</w:t>
      </w:r>
      <w:r w:rsidRPr="002D3383">
        <w:t xml:space="preserve">nything done in accordance with the modified operation of provisions modified by this </w:t>
      </w:r>
      <w:r w:rsidR="00EE4144">
        <w:t>Determination</w:t>
      </w:r>
      <w:r w:rsidRPr="002D3383">
        <w:t xml:space="preserve"> is as valid and effective for all purposes as if it had done in accordance with those provisions in their unmodified operation</w:t>
      </w:r>
      <w:r w:rsidR="00C70A5B" w:rsidRPr="002D3383">
        <w:t xml:space="preserve">. </w:t>
      </w:r>
    </w:p>
    <w:p w:rsidR="00CD6A21" w:rsidRPr="00CD6A21" w:rsidRDefault="008C70E8" w:rsidP="00EA4DD8">
      <w:pPr>
        <w:spacing w:before="240"/>
        <w:ind w:right="91"/>
        <w:rPr>
          <w:u w:val="single"/>
        </w:rPr>
      </w:pPr>
      <w:r>
        <w:rPr>
          <w:u w:val="single"/>
        </w:rPr>
        <w:t>Section 9</w:t>
      </w:r>
    </w:p>
    <w:p w:rsidR="00853AB0" w:rsidRDefault="00853AB0" w:rsidP="00EA4DD8">
      <w:pPr>
        <w:spacing w:before="240"/>
        <w:ind w:right="91"/>
      </w:pPr>
      <w:r>
        <w:t xml:space="preserve">The </w:t>
      </w:r>
      <w:r w:rsidR="00EE4144">
        <w:t>Determination</w:t>
      </w:r>
      <w:r>
        <w:t xml:space="preserve"> is repealed </w:t>
      </w:r>
      <w:r w:rsidR="0010138D">
        <w:t xml:space="preserve">at the end of the period of </w:t>
      </w:r>
      <w:r>
        <w:t xml:space="preserve">six months </w:t>
      </w:r>
      <w:r w:rsidR="0010138D">
        <w:t xml:space="preserve">beginning on the day after the </w:t>
      </w:r>
      <w:r w:rsidR="00EE4144">
        <w:t>Determination</w:t>
      </w:r>
      <w:r w:rsidR="0010138D">
        <w:t xml:space="preserve"> </w:t>
      </w:r>
      <w:r w:rsidR="00003CA0">
        <w:t>was made</w:t>
      </w:r>
      <w:r>
        <w:t xml:space="preserve">, in line with the </w:t>
      </w:r>
      <w:r w:rsidR="00614536">
        <w:t>effect of</w:t>
      </w:r>
      <w:r>
        <w:t xml:space="preserve"> </w:t>
      </w:r>
      <w:r w:rsidR="00442124">
        <w:t>paragraph 1362A(4</w:t>
      </w:r>
      <w:r w:rsidRPr="00557B7F">
        <w:t>)</w:t>
      </w:r>
      <w:r w:rsidR="00442124">
        <w:t>(a)</w:t>
      </w:r>
      <w:r w:rsidRPr="00557B7F">
        <w:t xml:space="preserve"> of </w:t>
      </w:r>
      <w:r>
        <w:t>the Act</w:t>
      </w:r>
      <w:r w:rsidR="00442124">
        <w:t>.</w:t>
      </w:r>
      <w:r w:rsidR="0010138D">
        <w:t xml:space="preserve"> </w:t>
      </w:r>
      <w:r w:rsidR="00442124">
        <w:t xml:space="preserve"> </w:t>
      </w:r>
    </w:p>
    <w:p w:rsidR="00A473CA" w:rsidRPr="00755C5B" w:rsidRDefault="00A473CA" w:rsidP="00EA4DD8">
      <w:pPr>
        <w:spacing w:before="240"/>
        <w:ind w:right="91"/>
      </w:pPr>
      <w:r>
        <w:t xml:space="preserve"> </w:t>
      </w:r>
    </w:p>
    <w:p w:rsidR="00EA4DD8" w:rsidRDefault="00EA4DD8" w:rsidP="00EA4DD8">
      <w:pPr>
        <w:spacing w:before="0" w:after="0"/>
        <w:rPr>
          <w:b/>
          <w:kern w:val="28"/>
        </w:rPr>
      </w:pPr>
      <w:r>
        <w:br w:type="page"/>
      </w:r>
    </w:p>
    <w:p w:rsidR="007A55A7" w:rsidRDefault="007A55A7" w:rsidP="00013390">
      <w:pPr>
        <w:pageBreakBefore/>
        <w:spacing w:before="240"/>
        <w:jc w:val="right"/>
        <w:rPr>
          <w:b/>
          <w:u w:val="single"/>
        </w:rPr>
      </w:pPr>
      <w:r w:rsidRPr="007B335E">
        <w:rPr>
          <w:b/>
          <w:u w:val="single"/>
        </w:rPr>
        <w:t xml:space="preserve">ATTACHMENT </w:t>
      </w:r>
      <w:r w:rsidR="00195A62">
        <w:rPr>
          <w:b/>
          <w:u w:val="single"/>
        </w:rPr>
        <w:t>B</w:t>
      </w:r>
    </w:p>
    <w:p w:rsidR="00E4438C" w:rsidRPr="00462095" w:rsidRDefault="00E4438C" w:rsidP="003E1CE3">
      <w:pPr>
        <w:pStyle w:val="Heading3"/>
      </w:pPr>
      <w:r w:rsidRPr="00462095">
        <w:t>Statement of Compatibility with Human Rights</w:t>
      </w:r>
    </w:p>
    <w:p w:rsidR="00E4438C" w:rsidRPr="00647BB7" w:rsidRDefault="00E4438C" w:rsidP="00AC1D15">
      <w:pPr>
        <w:spacing w:before="240"/>
        <w:jc w:val="center"/>
        <w:rPr>
          <w:i/>
        </w:rPr>
      </w:pPr>
      <w:r w:rsidRPr="00647BB7">
        <w:rPr>
          <w:i/>
        </w:rPr>
        <w:t>Prepared in accordance with Part 3 of the Human Rights (Parliamentary Scrutiny) Act 2011</w:t>
      </w:r>
    </w:p>
    <w:p w:rsidR="00E4438C" w:rsidRPr="00195A62" w:rsidRDefault="00195A62" w:rsidP="003E1CE3">
      <w:pPr>
        <w:pStyle w:val="Heading3"/>
        <w:jc w:val="center"/>
      </w:pPr>
      <w:r w:rsidRPr="00195A62">
        <w:rPr>
          <w:b w:val="0"/>
          <w:i/>
        </w:rPr>
        <w:t>Corp</w:t>
      </w:r>
      <w:r w:rsidR="002D3383">
        <w:rPr>
          <w:b w:val="0"/>
          <w:i/>
        </w:rPr>
        <w:t>orations (Coronavirus Economic R</w:t>
      </w:r>
      <w:r w:rsidRPr="00195A62">
        <w:rPr>
          <w:b w:val="0"/>
          <w:i/>
        </w:rPr>
        <w:t>esponse) Determination </w:t>
      </w:r>
      <w:r w:rsidR="005C7127">
        <w:rPr>
          <w:b w:val="0"/>
          <w:i/>
        </w:rPr>
        <w:t>(</w:t>
      </w:r>
      <w:r w:rsidRPr="00195A62">
        <w:rPr>
          <w:b w:val="0"/>
          <w:i/>
        </w:rPr>
        <w:t>No. 1</w:t>
      </w:r>
      <w:r w:rsidR="005C7127">
        <w:rPr>
          <w:b w:val="0"/>
          <w:i/>
        </w:rPr>
        <w:t>)</w:t>
      </w:r>
      <w:r w:rsidRPr="00195A62">
        <w:rPr>
          <w:b w:val="0"/>
          <w:i/>
        </w:rPr>
        <w:t xml:space="preserve"> 2020</w:t>
      </w:r>
    </w:p>
    <w:p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rsidR="00E4438C" w:rsidRPr="00647BB7" w:rsidRDefault="00E4438C" w:rsidP="003E1CE3">
      <w:pPr>
        <w:pStyle w:val="Heading3"/>
      </w:pPr>
      <w:r w:rsidRPr="00647BB7">
        <w:t>Overview of the Legislative Instrument</w:t>
      </w:r>
    </w:p>
    <w:p w:rsidR="00E4438C" w:rsidRDefault="00195A62" w:rsidP="00647BB7">
      <w:pPr>
        <w:spacing w:before="240"/>
      </w:pPr>
      <w:r>
        <w:t xml:space="preserve">The Legislative Instrument modifies certain provisions of the </w:t>
      </w:r>
      <w:r w:rsidRPr="00195A62">
        <w:rPr>
          <w:i/>
        </w:rPr>
        <w:t>Corporations Act 2001</w:t>
      </w:r>
      <w:r>
        <w:t xml:space="preserve"> </w:t>
      </w:r>
      <w:r w:rsidR="0006073F">
        <w:t xml:space="preserve">(the Act) </w:t>
      </w:r>
      <w:r>
        <w:t xml:space="preserve">and </w:t>
      </w:r>
      <w:r w:rsidR="002D3383" w:rsidRPr="008C3016">
        <w:rPr>
          <w:i/>
        </w:rPr>
        <w:t>Corporations Regulations </w:t>
      </w:r>
      <w:r w:rsidR="008C3016" w:rsidRPr="008C3016">
        <w:rPr>
          <w:i/>
        </w:rPr>
        <w:t>2001</w:t>
      </w:r>
      <w:r w:rsidR="008C3016">
        <w:t xml:space="preserve"> </w:t>
      </w:r>
      <w:r w:rsidR="005C7127">
        <w:t>to exempt</w:t>
      </w:r>
      <w:r>
        <w:t xml:space="preserve"> </w:t>
      </w:r>
      <w:r w:rsidR="0006073F">
        <w:t xml:space="preserve">certain persons from the operation of certain provisions where those provisions interfere with the company or person’s </w:t>
      </w:r>
      <w:r w:rsidR="0006073F" w:rsidRPr="0006073F">
        <w:t xml:space="preserve">ability to manage their business through the impacts of </w:t>
      </w:r>
      <w:r w:rsidR="0006073F">
        <w:t>the Coronavirus</w:t>
      </w:r>
      <w:r w:rsidR="0006073F" w:rsidRPr="0006073F">
        <w:t>.</w:t>
      </w:r>
    </w:p>
    <w:p w:rsidR="00E4438C" w:rsidRPr="00647BB7" w:rsidRDefault="00E4438C" w:rsidP="003E1CE3">
      <w:pPr>
        <w:pStyle w:val="Heading3"/>
      </w:pPr>
      <w:r w:rsidRPr="00647BB7">
        <w:t>Human rights implications</w:t>
      </w:r>
    </w:p>
    <w:p w:rsidR="00E4438C" w:rsidRDefault="00E4438C" w:rsidP="00647BB7">
      <w:pPr>
        <w:spacing w:before="240"/>
      </w:pPr>
      <w:r w:rsidRPr="00647BB7">
        <w:t>This Legislative Instrument engage</w:t>
      </w:r>
      <w:r w:rsidR="005C7127">
        <w:t>s Article 12 of the ICESCR – right to health.</w:t>
      </w:r>
    </w:p>
    <w:p w:rsidR="005C7127" w:rsidRDefault="005C7127" w:rsidP="00647BB7">
      <w:pPr>
        <w:spacing w:before="240"/>
      </w:pPr>
      <w:r w:rsidRPr="005C7127">
        <w:t>Article 12 of the International Covenant on Economic, Social and Cultural Rights protects the right of all individuals to enjoy the highest attainable standards of physical and mental health. This includes the application of measures for the prevention, treatment and control of epidemic, endemic, occupational and other diseases.</w:t>
      </w:r>
    </w:p>
    <w:p w:rsidR="005C7127" w:rsidRPr="00647BB7" w:rsidRDefault="005C7127" w:rsidP="00647BB7">
      <w:pPr>
        <w:spacing w:before="240"/>
      </w:pPr>
      <w:r>
        <w:t xml:space="preserve">This Legislative Instrument promotes the right to health by assisting to control the spread of </w:t>
      </w:r>
      <w:r w:rsidRPr="005C7127">
        <w:t>communicable diseases that may cause serious harm to human heal</w:t>
      </w:r>
      <w:r>
        <w:t xml:space="preserve">th. The Act requires or permits companies to hold </w:t>
      </w:r>
      <w:r w:rsidR="00007A21">
        <w:t xml:space="preserve">certain </w:t>
      </w:r>
      <w:r>
        <w:t>meetings</w:t>
      </w:r>
      <w:r w:rsidR="009723EA">
        <w:t xml:space="preserve"> at physical venues. This Legislative Instrument </w:t>
      </w:r>
      <w:r w:rsidR="002A4EA4">
        <w:t xml:space="preserve">modifies the operation of the Act so that companies are permitted to hold meetings </w:t>
      </w:r>
      <w:r w:rsidR="009723EA">
        <w:t>using one or more technologies</w:t>
      </w:r>
      <w:r w:rsidR="002A4EA4">
        <w:t xml:space="preserve">. This allows </w:t>
      </w:r>
      <w:r w:rsidR="009723EA">
        <w:t xml:space="preserve">meetings to proceed, without contributing to the spread of communicable diseases that can occur when large numbers of people gather together. </w:t>
      </w:r>
    </w:p>
    <w:p w:rsidR="00E4438C" w:rsidRPr="00647BB7" w:rsidRDefault="00E4438C" w:rsidP="003E1CE3">
      <w:pPr>
        <w:pStyle w:val="Heading3"/>
      </w:pPr>
      <w:r w:rsidRPr="00647BB7">
        <w:t>Conclusion</w:t>
      </w:r>
    </w:p>
    <w:p w:rsidR="00482B81" w:rsidRDefault="00E4438C" w:rsidP="00647BB7">
      <w:pPr>
        <w:spacing w:before="240"/>
      </w:pPr>
      <w:r w:rsidRPr="00647BB7">
        <w:t>This Legislative Instrument is compatible with human rights as it does not raise any human rights issues.</w:t>
      </w:r>
    </w:p>
    <w:p w:rsidR="00482B81" w:rsidRPr="00EA4DD8" w:rsidRDefault="00482B81" w:rsidP="00EA4DD8">
      <w:pPr>
        <w:spacing w:before="0" w:after="0"/>
      </w:pPr>
    </w:p>
    <w:sectPr w:rsidR="00482B81" w:rsidRPr="00EA4DD8" w:rsidSect="00A94E81">
      <w:footerReference w:type="default" r:id="rId13"/>
      <w:pgSz w:w="11906" w:h="16838"/>
      <w:pgMar w:top="993"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128" w:rsidRDefault="00887128" w:rsidP="00954679">
      <w:pPr>
        <w:spacing w:before="0" w:after="0"/>
      </w:pPr>
      <w:r>
        <w:separator/>
      </w:r>
    </w:p>
  </w:endnote>
  <w:endnote w:type="continuationSeparator" w:id="0">
    <w:p w:rsidR="00887128" w:rsidRDefault="00887128" w:rsidP="00954679">
      <w:pPr>
        <w:spacing w:before="0" w:after="0"/>
      </w:pPr>
      <w:r>
        <w:continuationSeparator/>
      </w:r>
    </w:p>
  </w:endnote>
  <w:endnote w:type="continuationNotice" w:id="1">
    <w:p w:rsidR="00887128" w:rsidRDefault="008871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rsidR="00813CC1" w:rsidRDefault="00813CC1"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028BB">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028BB">
              <w:rPr>
                <w:bCs/>
                <w:noProof/>
              </w:rPr>
              <w:t>5</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128" w:rsidRDefault="00887128" w:rsidP="00954679">
      <w:pPr>
        <w:spacing w:before="0" w:after="0"/>
      </w:pPr>
      <w:r>
        <w:separator/>
      </w:r>
    </w:p>
  </w:footnote>
  <w:footnote w:type="continuationSeparator" w:id="0">
    <w:p w:rsidR="00887128" w:rsidRDefault="00887128" w:rsidP="00954679">
      <w:pPr>
        <w:spacing w:before="0" w:after="0"/>
      </w:pPr>
      <w:r>
        <w:continuationSeparator/>
      </w:r>
    </w:p>
  </w:footnote>
  <w:footnote w:type="continuationNotice" w:id="1">
    <w:p w:rsidR="00887128" w:rsidRDefault="00887128">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pStyle w:val="DoubleDot"/>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hideGrammaticalError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61E"/>
    <w:rsid w:val="000036E6"/>
    <w:rsid w:val="00003CA0"/>
    <w:rsid w:val="00004B36"/>
    <w:rsid w:val="00007A21"/>
    <w:rsid w:val="00013390"/>
    <w:rsid w:val="00014209"/>
    <w:rsid w:val="00016EA2"/>
    <w:rsid w:val="00017537"/>
    <w:rsid w:val="0001758F"/>
    <w:rsid w:val="00023F21"/>
    <w:rsid w:val="00031C92"/>
    <w:rsid w:val="000339BB"/>
    <w:rsid w:val="00042460"/>
    <w:rsid w:val="000564FB"/>
    <w:rsid w:val="0006073F"/>
    <w:rsid w:val="00074AEA"/>
    <w:rsid w:val="00076178"/>
    <w:rsid w:val="00095211"/>
    <w:rsid w:val="000B39A1"/>
    <w:rsid w:val="000C10DF"/>
    <w:rsid w:val="000C6935"/>
    <w:rsid w:val="000D69BC"/>
    <w:rsid w:val="000F423C"/>
    <w:rsid w:val="0010138D"/>
    <w:rsid w:val="00113B45"/>
    <w:rsid w:val="00123520"/>
    <w:rsid w:val="00137FD2"/>
    <w:rsid w:val="0016161E"/>
    <w:rsid w:val="00166522"/>
    <w:rsid w:val="00187898"/>
    <w:rsid w:val="00195A62"/>
    <w:rsid w:val="001A715E"/>
    <w:rsid w:val="001B7535"/>
    <w:rsid w:val="001C092F"/>
    <w:rsid w:val="001D08C7"/>
    <w:rsid w:val="001E200B"/>
    <w:rsid w:val="001E6A74"/>
    <w:rsid w:val="001F41D0"/>
    <w:rsid w:val="002020FF"/>
    <w:rsid w:val="00220F16"/>
    <w:rsid w:val="00224DC3"/>
    <w:rsid w:val="00226140"/>
    <w:rsid w:val="00227ED5"/>
    <w:rsid w:val="00252EED"/>
    <w:rsid w:val="00254C5B"/>
    <w:rsid w:val="00264646"/>
    <w:rsid w:val="002733D3"/>
    <w:rsid w:val="0029208A"/>
    <w:rsid w:val="002A4EA4"/>
    <w:rsid w:val="002A7E1F"/>
    <w:rsid w:val="002C226C"/>
    <w:rsid w:val="002C2DF2"/>
    <w:rsid w:val="002C3FF7"/>
    <w:rsid w:val="002D3383"/>
    <w:rsid w:val="002E6CB9"/>
    <w:rsid w:val="003041FA"/>
    <w:rsid w:val="003151DD"/>
    <w:rsid w:val="00315970"/>
    <w:rsid w:val="0032225E"/>
    <w:rsid w:val="003342CD"/>
    <w:rsid w:val="00335042"/>
    <w:rsid w:val="003414A6"/>
    <w:rsid w:val="003430BE"/>
    <w:rsid w:val="00344A27"/>
    <w:rsid w:val="00347496"/>
    <w:rsid w:val="00347515"/>
    <w:rsid w:val="00362B70"/>
    <w:rsid w:val="00377AD2"/>
    <w:rsid w:val="0039099A"/>
    <w:rsid w:val="003926F7"/>
    <w:rsid w:val="00392BBA"/>
    <w:rsid w:val="003954FD"/>
    <w:rsid w:val="003A0ECA"/>
    <w:rsid w:val="003A6D59"/>
    <w:rsid w:val="003C27CA"/>
    <w:rsid w:val="003C7907"/>
    <w:rsid w:val="003D60D7"/>
    <w:rsid w:val="003E1CE3"/>
    <w:rsid w:val="004028BB"/>
    <w:rsid w:val="004038AC"/>
    <w:rsid w:val="004050F0"/>
    <w:rsid w:val="004208B3"/>
    <w:rsid w:val="00442124"/>
    <w:rsid w:val="00450BB1"/>
    <w:rsid w:val="00456E08"/>
    <w:rsid w:val="00460495"/>
    <w:rsid w:val="00462095"/>
    <w:rsid w:val="004639B5"/>
    <w:rsid w:val="00482B81"/>
    <w:rsid w:val="00482D4C"/>
    <w:rsid w:val="004B3C0F"/>
    <w:rsid w:val="004C05E4"/>
    <w:rsid w:val="004D428F"/>
    <w:rsid w:val="004E30A6"/>
    <w:rsid w:val="004E39E1"/>
    <w:rsid w:val="004F56D0"/>
    <w:rsid w:val="00503E44"/>
    <w:rsid w:val="00515283"/>
    <w:rsid w:val="00522C8D"/>
    <w:rsid w:val="00525A9E"/>
    <w:rsid w:val="00533926"/>
    <w:rsid w:val="00547244"/>
    <w:rsid w:val="00553086"/>
    <w:rsid w:val="0055675D"/>
    <w:rsid w:val="00557B6F"/>
    <w:rsid w:val="00557B7F"/>
    <w:rsid w:val="00566E8F"/>
    <w:rsid w:val="0057003A"/>
    <w:rsid w:val="0057313E"/>
    <w:rsid w:val="0057422E"/>
    <w:rsid w:val="005833BE"/>
    <w:rsid w:val="005B4194"/>
    <w:rsid w:val="005C24AA"/>
    <w:rsid w:val="005C7127"/>
    <w:rsid w:val="005D7D5A"/>
    <w:rsid w:val="005E4BAC"/>
    <w:rsid w:val="0060130D"/>
    <w:rsid w:val="00614536"/>
    <w:rsid w:val="006175C6"/>
    <w:rsid w:val="00637CB5"/>
    <w:rsid w:val="0064129F"/>
    <w:rsid w:val="00647BB7"/>
    <w:rsid w:val="00664F78"/>
    <w:rsid w:val="00680297"/>
    <w:rsid w:val="0068188F"/>
    <w:rsid w:val="006873CE"/>
    <w:rsid w:val="00693F85"/>
    <w:rsid w:val="006A0786"/>
    <w:rsid w:val="006C6D6A"/>
    <w:rsid w:val="006D56A2"/>
    <w:rsid w:val="006F2EF4"/>
    <w:rsid w:val="006F4A19"/>
    <w:rsid w:val="00710E94"/>
    <w:rsid w:val="007132C2"/>
    <w:rsid w:val="00727D8A"/>
    <w:rsid w:val="00731FEA"/>
    <w:rsid w:val="007336A2"/>
    <w:rsid w:val="00736F61"/>
    <w:rsid w:val="00742253"/>
    <w:rsid w:val="00752262"/>
    <w:rsid w:val="00754F61"/>
    <w:rsid w:val="00755C5B"/>
    <w:rsid w:val="007662C7"/>
    <w:rsid w:val="007678AE"/>
    <w:rsid w:val="007722E3"/>
    <w:rsid w:val="00776306"/>
    <w:rsid w:val="00781160"/>
    <w:rsid w:val="00790C2F"/>
    <w:rsid w:val="007A55A7"/>
    <w:rsid w:val="007A57D8"/>
    <w:rsid w:val="007B0E1F"/>
    <w:rsid w:val="007B1F10"/>
    <w:rsid w:val="007B335E"/>
    <w:rsid w:val="007B5F70"/>
    <w:rsid w:val="007C7310"/>
    <w:rsid w:val="007C7AC9"/>
    <w:rsid w:val="007E018D"/>
    <w:rsid w:val="007E474F"/>
    <w:rsid w:val="007F1510"/>
    <w:rsid w:val="007F1B71"/>
    <w:rsid w:val="007F4B5A"/>
    <w:rsid w:val="007F5EE3"/>
    <w:rsid w:val="0080436A"/>
    <w:rsid w:val="00807E7D"/>
    <w:rsid w:val="00813CC1"/>
    <w:rsid w:val="00831675"/>
    <w:rsid w:val="00832B8D"/>
    <w:rsid w:val="00833E3C"/>
    <w:rsid w:val="008414E9"/>
    <w:rsid w:val="00850255"/>
    <w:rsid w:val="008539CD"/>
    <w:rsid w:val="00853AB0"/>
    <w:rsid w:val="0085602E"/>
    <w:rsid w:val="008617A6"/>
    <w:rsid w:val="0088467C"/>
    <w:rsid w:val="00887128"/>
    <w:rsid w:val="00894579"/>
    <w:rsid w:val="00897643"/>
    <w:rsid w:val="008A4D01"/>
    <w:rsid w:val="008A5B67"/>
    <w:rsid w:val="008B544D"/>
    <w:rsid w:val="008B6597"/>
    <w:rsid w:val="008C3016"/>
    <w:rsid w:val="008C70E8"/>
    <w:rsid w:val="008D16F7"/>
    <w:rsid w:val="008D19E1"/>
    <w:rsid w:val="008D1DA3"/>
    <w:rsid w:val="008D3861"/>
    <w:rsid w:val="008E1427"/>
    <w:rsid w:val="008F3534"/>
    <w:rsid w:val="009143A0"/>
    <w:rsid w:val="00936902"/>
    <w:rsid w:val="00954679"/>
    <w:rsid w:val="0096177B"/>
    <w:rsid w:val="009723EA"/>
    <w:rsid w:val="00981F47"/>
    <w:rsid w:val="009844C8"/>
    <w:rsid w:val="009A57D8"/>
    <w:rsid w:val="009C2C18"/>
    <w:rsid w:val="009C6A1E"/>
    <w:rsid w:val="009E0E64"/>
    <w:rsid w:val="009E2F86"/>
    <w:rsid w:val="00A01952"/>
    <w:rsid w:val="00A06EFB"/>
    <w:rsid w:val="00A12209"/>
    <w:rsid w:val="00A1432A"/>
    <w:rsid w:val="00A35891"/>
    <w:rsid w:val="00A35B9A"/>
    <w:rsid w:val="00A36DF3"/>
    <w:rsid w:val="00A473CA"/>
    <w:rsid w:val="00A532DD"/>
    <w:rsid w:val="00A60F65"/>
    <w:rsid w:val="00A77081"/>
    <w:rsid w:val="00A80BCF"/>
    <w:rsid w:val="00A8369C"/>
    <w:rsid w:val="00A9017B"/>
    <w:rsid w:val="00A9284F"/>
    <w:rsid w:val="00A94E81"/>
    <w:rsid w:val="00AA1689"/>
    <w:rsid w:val="00AA5770"/>
    <w:rsid w:val="00AC1D15"/>
    <w:rsid w:val="00AC4ADF"/>
    <w:rsid w:val="00AD2AA2"/>
    <w:rsid w:val="00B07467"/>
    <w:rsid w:val="00B07B0C"/>
    <w:rsid w:val="00B1157C"/>
    <w:rsid w:val="00B20195"/>
    <w:rsid w:val="00B231CC"/>
    <w:rsid w:val="00B25563"/>
    <w:rsid w:val="00B26D48"/>
    <w:rsid w:val="00B31608"/>
    <w:rsid w:val="00B42EE1"/>
    <w:rsid w:val="00B470B5"/>
    <w:rsid w:val="00B70919"/>
    <w:rsid w:val="00B71C39"/>
    <w:rsid w:val="00B81B06"/>
    <w:rsid w:val="00B8293D"/>
    <w:rsid w:val="00B86584"/>
    <w:rsid w:val="00B92478"/>
    <w:rsid w:val="00BA6188"/>
    <w:rsid w:val="00BB0FEA"/>
    <w:rsid w:val="00BB52A3"/>
    <w:rsid w:val="00BD61A2"/>
    <w:rsid w:val="00BE484D"/>
    <w:rsid w:val="00C14670"/>
    <w:rsid w:val="00C3008E"/>
    <w:rsid w:val="00C37C5B"/>
    <w:rsid w:val="00C37E05"/>
    <w:rsid w:val="00C53DBB"/>
    <w:rsid w:val="00C55D29"/>
    <w:rsid w:val="00C56FFF"/>
    <w:rsid w:val="00C666B6"/>
    <w:rsid w:val="00C70A5B"/>
    <w:rsid w:val="00C74C22"/>
    <w:rsid w:val="00C93AA7"/>
    <w:rsid w:val="00C95200"/>
    <w:rsid w:val="00CA0BE9"/>
    <w:rsid w:val="00CA138D"/>
    <w:rsid w:val="00CB1E22"/>
    <w:rsid w:val="00CC2666"/>
    <w:rsid w:val="00CC7641"/>
    <w:rsid w:val="00CD6A21"/>
    <w:rsid w:val="00CE581A"/>
    <w:rsid w:val="00D04F47"/>
    <w:rsid w:val="00D13794"/>
    <w:rsid w:val="00D16981"/>
    <w:rsid w:val="00D24052"/>
    <w:rsid w:val="00D24386"/>
    <w:rsid w:val="00D31575"/>
    <w:rsid w:val="00D34626"/>
    <w:rsid w:val="00D34FB4"/>
    <w:rsid w:val="00D4257A"/>
    <w:rsid w:val="00D45BF6"/>
    <w:rsid w:val="00D62665"/>
    <w:rsid w:val="00D82E47"/>
    <w:rsid w:val="00DA7335"/>
    <w:rsid w:val="00DB12BF"/>
    <w:rsid w:val="00DC0CDE"/>
    <w:rsid w:val="00DC4D72"/>
    <w:rsid w:val="00DC5409"/>
    <w:rsid w:val="00DC6036"/>
    <w:rsid w:val="00DD0F03"/>
    <w:rsid w:val="00DD24D4"/>
    <w:rsid w:val="00DF6D2B"/>
    <w:rsid w:val="00DF7054"/>
    <w:rsid w:val="00E040CE"/>
    <w:rsid w:val="00E0607E"/>
    <w:rsid w:val="00E0624D"/>
    <w:rsid w:val="00E10C9A"/>
    <w:rsid w:val="00E34BDD"/>
    <w:rsid w:val="00E4438C"/>
    <w:rsid w:val="00E457F3"/>
    <w:rsid w:val="00E72EF1"/>
    <w:rsid w:val="00E874CF"/>
    <w:rsid w:val="00EA2A56"/>
    <w:rsid w:val="00EA4DD8"/>
    <w:rsid w:val="00EB2AEF"/>
    <w:rsid w:val="00EB7E71"/>
    <w:rsid w:val="00EC1BFD"/>
    <w:rsid w:val="00ED0E7D"/>
    <w:rsid w:val="00EE23B0"/>
    <w:rsid w:val="00EE4144"/>
    <w:rsid w:val="00EF175C"/>
    <w:rsid w:val="00F109D4"/>
    <w:rsid w:val="00F15EE9"/>
    <w:rsid w:val="00F33413"/>
    <w:rsid w:val="00F445F8"/>
    <w:rsid w:val="00F47585"/>
    <w:rsid w:val="00F53964"/>
    <w:rsid w:val="00F53C58"/>
    <w:rsid w:val="00F53EB4"/>
    <w:rsid w:val="00F85E6F"/>
    <w:rsid w:val="00F93E92"/>
    <w:rsid w:val="00F975A4"/>
    <w:rsid w:val="00FA0C50"/>
    <w:rsid w:val="00FC52FA"/>
    <w:rsid w:val="00FD1769"/>
    <w:rsid w:val="00FE0143"/>
    <w:rsid w:val="00FE04E4"/>
    <w:rsid w:val="00FE41CA"/>
    <w:rsid w:val="00FE73F9"/>
    <w:rsid w:val="00FE7AB5"/>
    <w:rsid w:val="00FF1057"/>
    <w:rsid w:val="00FF3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557F8"/>
  <w15:docId w15:val="{B17ABBBC-DE8B-4C5F-B62A-A3FD0B9D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left" w:pos="851"/>
      </w:tabs>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Revision">
    <w:name w:val="Revision"/>
    <w:hidden/>
    <w:uiPriority w:val="99"/>
    <w:semiHidden/>
    <w:rsid w:val="00460495"/>
    <w:rPr>
      <w:sz w:val="24"/>
    </w:rPr>
  </w:style>
  <w:style w:type="paragraph" w:styleId="FootnoteText">
    <w:name w:val="footnote text"/>
    <w:basedOn w:val="Normal"/>
    <w:link w:val="FootnoteTextChar"/>
    <w:uiPriority w:val="99"/>
    <w:semiHidden/>
    <w:unhideWhenUsed/>
    <w:rsid w:val="00A35891"/>
    <w:pPr>
      <w:spacing w:before="0" w:after="0"/>
    </w:pPr>
    <w:rPr>
      <w:sz w:val="20"/>
    </w:rPr>
  </w:style>
  <w:style w:type="character" w:customStyle="1" w:styleId="FootnoteTextChar">
    <w:name w:val="Footnote Text Char"/>
    <w:basedOn w:val="DefaultParagraphFont"/>
    <w:link w:val="FootnoteText"/>
    <w:uiPriority w:val="99"/>
    <w:semiHidden/>
    <w:rsid w:val="00A35891"/>
  </w:style>
  <w:style w:type="character" w:styleId="FootnoteReference">
    <w:name w:val="footnote reference"/>
    <w:basedOn w:val="DefaultParagraphFont"/>
    <w:uiPriority w:val="99"/>
    <w:semiHidden/>
    <w:unhideWhenUsed/>
    <w:rsid w:val="00A35891"/>
    <w:rPr>
      <w:vertAlign w:val="superscript"/>
    </w:rPr>
  </w:style>
  <w:style w:type="character" w:customStyle="1" w:styleId="base-text-paragraphChar">
    <w:name w:val="base-text-paragraph Char"/>
    <w:basedOn w:val="DefaultParagraphFont"/>
    <w:link w:val="base-text-paragraph"/>
    <w:rsid w:val="004028BB"/>
    <w:rPr>
      <w:sz w:val="24"/>
    </w:rPr>
  </w:style>
  <w:style w:type="numbering" w:customStyle="1" w:styleId="ChapterList">
    <w:name w:val="ChapterList"/>
    <w:uiPriority w:val="99"/>
    <w:rsid w:val="004028B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C2328C0C114C46966CC1C5687B9071"/>
        <w:category>
          <w:name w:val="General"/>
          <w:gallery w:val="placeholder"/>
        </w:category>
        <w:types>
          <w:type w:val="bbPlcHdr"/>
        </w:types>
        <w:behaviors>
          <w:behavior w:val="content"/>
        </w:behaviors>
        <w:guid w:val="{7326CF36-B0E6-4AD3-9036-951AA8310489}"/>
      </w:docPartPr>
      <w:docPartBody>
        <w:p w:rsidR="004E2DE7" w:rsidRDefault="004E2DE7">
          <w:pPr>
            <w:pStyle w:val="60C2328C0C114C46966CC1C5687B907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E7"/>
    <w:rsid w:val="00011C1D"/>
    <w:rsid w:val="001B16E2"/>
    <w:rsid w:val="0021703C"/>
    <w:rsid w:val="004E2DE7"/>
    <w:rsid w:val="0056570E"/>
    <w:rsid w:val="00793409"/>
    <w:rsid w:val="007D64F5"/>
    <w:rsid w:val="00813321"/>
    <w:rsid w:val="00CC54A7"/>
    <w:rsid w:val="00E94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0C2328C0C114C46966CC1C5687B9071">
    <w:name w:val="60C2328C0C114C46966CC1C5687B9071"/>
  </w:style>
  <w:style w:type="paragraph" w:customStyle="1" w:styleId="743DB0894C804B55AF5760288AF64D96">
    <w:name w:val="743DB0894C804B55AF5760288AF64D96"/>
  </w:style>
  <w:style w:type="paragraph" w:customStyle="1" w:styleId="3E592D4523A0464AAB8499023185E6A6">
    <w:name w:val="3E592D4523A0464AAB8499023185E6A6"/>
  </w:style>
  <w:style w:type="paragraph" w:customStyle="1" w:styleId="8F6547AD1EAB443AA50FD3667D060DD5">
    <w:name w:val="8F6547AD1EAB443AA50FD3667D060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8452" ma:contentTypeDescription=" " ma:contentTypeScope="" ma:versionID="a5c4156cff05d7200c7284621459fd09">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7</Value>
    </TaxCatchAll>
    <_dlc_DocId xmlns="0f563589-9cf9-4143-b1eb-fb0534803d38">2020RG-111-14228</_dlc_DocId>
    <_dlc_DocIdUrl xmlns="0f563589-9cf9-4143-b1eb-fb0534803d38">
      <Url>http://tweb/sites/rg/ldp/lmu/_layouts/15/DocIdRedir.aspx?ID=2020RG-111-14228</Url>
      <Description>2020RG-111-14228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25FFB-B6EC-4474-814B-9063F33122E3}"/>
</file>

<file path=customXml/itemProps2.xml><?xml version="1.0" encoding="utf-8"?>
<ds:datastoreItem xmlns:ds="http://schemas.openxmlformats.org/officeDocument/2006/customXml" ds:itemID="{E2DACEA6-DFA1-4B5F-B4DA-D9D70B1E902C}"/>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www.w3.org/XML/1998/namespace"/>
    <ds:schemaRef ds:uri="http://purl.org/dc/dcmitype/"/>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78BB5A09-C4B2-46CA-9A0D-C41D56540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TotalTime>
  <Pages>5</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Schneider Rumble, Anna</dc:creator>
  <cp:lastModifiedBy>Schneider Rumble, Anna</cp:lastModifiedBy>
  <cp:revision>3</cp:revision>
  <cp:lastPrinted>2019-02-17T23:23:00Z</cp:lastPrinted>
  <dcterms:created xsi:type="dcterms:W3CDTF">2020-04-27T23:59:00Z</dcterms:created>
  <dcterms:modified xsi:type="dcterms:W3CDTF">2020-04-28T00:05:00Z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0x01010036BB8DE7EC542E42A8B2E98CC20CB69700D5C18F41BA18FB44827A222ACD6776F5</vt:lpwstr>
  </property>
  <property fmtid="{D5CDD505-2E9C-101B-9397-08002B2CF9AE}" pid="4" name="TSYRecordClass">
    <vt:lpwstr>11</vt:lpwstr>
  </property>
  <property fmtid="{D5CDD505-2E9C-101B-9397-08002B2CF9AE}" pid="5" name="_dlc_DocIdItemGuid">
    <vt:lpwstr>ac98eefc-3f01-4009-a7d7-64dfd89a8065</vt:lpwstr>
  </property>
  <property fmtid="{D5CDD505-2E9C-101B-9397-08002B2CF9AE}" pid="6" name="RecordPoint_WorkflowType">
    <vt:lpwstr>ActiveSubmitStub</vt:lpwstr>
  </property>
  <property fmtid="{D5CDD505-2E9C-101B-9397-08002B2CF9AE}" pid="7" name="RecordPoint_ActiveItemUniqueId">
    <vt:lpwstr>{ac98eefc-3f01-4009-a7d7-64dfd89a8065}</vt:lpwstr>
  </property>
  <property fmtid="{D5CDD505-2E9C-101B-9397-08002B2CF9AE}" pid="8" name="RecordPoint_ActiveItemWebId">
    <vt:lpwstr>{2602612e-a30f-4de0-b9eb-e01e73dc8005}</vt:lpwstr>
  </property>
  <property fmtid="{D5CDD505-2E9C-101B-9397-08002B2CF9AE}" pid="9" name="RecordPoint_ActiveItemSiteId">
    <vt:lpwstr>{5b52b9a5-e5b2-4521-8814-a1e24ca2869d}</vt:lpwstr>
  </property>
  <property fmtid="{D5CDD505-2E9C-101B-9397-08002B2CF9AE}" pid="10" name="RecordPoint_ActiveItemListId">
    <vt:lpwstr>{1a010be9-83b3-4740-abb7-452f2d1120fe}</vt:lpwstr>
  </property>
  <property fmtid="{D5CDD505-2E9C-101B-9397-08002B2CF9AE}" pid="11" name="RecordPoint_RecordNumberSubmitted">
    <vt:lpwstr>R0002260954</vt:lpwstr>
  </property>
  <property fmtid="{D5CDD505-2E9C-101B-9397-08002B2CF9AE}" pid="12" name="RecordPoint_SubmissionCompleted">
    <vt:lpwstr>2020-05-05T14:17:52.9451514+10:00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