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DAA5" w14:textId="77777777" w:rsidR="00FA06CA" w:rsidRPr="00C34D4A" w:rsidRDefault="00FA06CA" w:rsidP="00FA06CA">
      <w:pPr>
        <w:rPr>
          <w:sz w:val="28"/>
        </w:rPr>
      </w:pPr>
      <w:r w:rsidRPr="00C34D4A">
        <w:rPr>
          <w:noProof/>
          <w:lang w:eastAsia="en-AU"/>
        </w:rPr>
        <w:drawing>
          <wp:inline distT="0" distB="0" distL="0" distR="0" wp14:anchorId="31BAAADA" wp14:editId="61394D4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5B393" w14:textId="77777777" w:rsidR="00FA06CA" w:rsidRPr="00C34D4A" w:rsidRDefault="00FA06CA" w:rsidP="00FA06CA">
      <w:pPr>
        <w:rPr>
          <w:sz w:val="19"/>
        </w:rPr>
      </w:pPr>
    </w:p>
    <w:p w14:paraId="20F6DAC2" w14:textId="797A2A07" w:rsidR="00FA06CA" w:rsidRPr="00C34D4A" w:rsidRDefault="00FA77E5" w:rsidP="00FA06CA">
      <w:pPr>
        <w:pStyle w:val="ShortT"/>
      </w:pPr>
      <w:r w:rsidRPr="00C34D4A">
        <w:t xml:space="preserve">Corporations (Coronavirus Economic Response) Determination </w:t>
      </w:r>
      <w:r w:rsidR="00C22059" w:rsidRPr="00C34D4A">
        <w:t>(</w:t>
      </w:r>
      <w:r w:rsidRPr="00C34D4A">
        <w:t>No.</w:t>
      </w:r>
      <w:r w:rsidR="00C34D4A" w:rsidRPr="00C34D4A">
        <w:t> </w:t>
      </w:r>
      <w:r w:rsidRPr="00C34D4A">
        <w:t>1</w:t>
      </w:r>
      <w:r w:rsidR="00C22059" w:rsidRPr="00C34D4A">
        <w:t>)</w:t>
      </w:r>
      <w:r w:rsidRPr="00C34D4A">
        <w:t xml:space="preserve"> 2020</w:t>
      </w:r>
    </w:p>
    <w:p w14:paraId="5B569681" w14:textId="77777777" w:rsidR="005A244A" w:rsidRDefault="005A244A" w:rsidP="00185171">
      <w:pPr>
        <w:pStyle w:val="SignCoverPageStart"/>
        <w:spacing w:before="240"/>
        <w:jc w:val="left"/>
        <w:rPr>
          <w:szCs w:val="22"/>
        </w:rPr>
      </w:pPr>
    </w:p>
    <w:p w14:paraId="5948FE84" w14:textId="04D2D8BB" w:rsidR="00185171" w:rsidRDefault="00FA06CA" w:rsidP="00185171">
      <w:pPr>
        <w:pStyle w:val="SignCoverPageStart"/>
        <w:spacing w:before="240"/>
        <w:jc w:val="left"/>
        <w:rPr>
          <w:szCs w:val="22"/>
        </w:rPr>
      </w:pPr>
      <w:r w:rsidRPr="00C34D4A">
        <w:rPr>
          <w:szCs w:val="22"/>
        </w:rPr>
        <w:t>I,</w:t>
      </w:r>
      <w:r w:rsidR="0002150B" w:rsidRPr="00C34D4A">
        <w:rPr>
          <w:szCs w:val="22"/>
        </w:rPr>
        <w:t xml:space="preserve"> Josh Frydenberg, Treasurer</w:t>
      </w:r>
      <w:r w:rsidR="00FA77E5" w:rsidRPr="00C34D4A">
        <w:rPr>
          <w:szCs w:val="22"/>
        </w:rPr>
        <w:t xml:space="preserve">, make </w:t>
      </w:r>
      <w:r w:rsidR="00185171">
        <w:rPr>
          <w:szCs w:val="22"/>
        </w:rPr>
        <w:t>this</w:t>
      </w:r>
      <w:r w:rsidR="00FA77E5" w:rsidRPr="00C34D4A">
        <w:rPr>
          <w:szCs w:val="22"/>
        </w:rPr>
        <w:t xml:space="preserve"> determination</w:t>
      </w:r>
      <w:r w:rsidR="00185171">
        <w:rPr>
          <w:szCs w:val="22"/>
        </w:rPr>
        <w:t xml:space="preserve"> modifying the operation of provisions of the </w:t>
      </w:r>
      <w:r w:rsidR="005A244A" w:rsidRPr="00C34D4A">
        <w:rPr>
          <w:i/>
        </w:rPr>
        <w:t>Corporations Act 2001</w:t>
      </w:r>
      <w:r w:rsidR="0060484D" w:rsidRPr="0060484D">
        <w:t>,</w:t>
      </w:r>
      <w:r w:rsidR="005A244A" w:rsidRPr="005A244A">
        <w:t xml:space="preserve"> </w:t>
      </w:r>
      <w:r w:rsidR="00185171">
        <w:rPr>
          <w:szCs w:val="22"/>
        </w:rPr>
        <w:t xml:space="preserve">the </w:t>
      </w:r>
      <w:r w:rsidR="008D7E15" w:rsidRPr="00C34D4A">
        <w:rPr>
          <w:i/>
        </w:rPr>
        <w:t>Corporations Regulations 2001</w:t>
      </w:r>
      <w:r w:rsidR="0060484D" w:rsidRPr="0060484D">
        <w:t>,</w:t>
      </w:r>
      <w:r w:rsidR="0060484D">
        <w:t xml:space="preserve"> the Insolvency Practice rules, and the Passport Rules for this jurisdiction,</w:t>
      </w:r>
      <w:r w:rsidR="008D7E15" w:rsidRPr="008D7E15">
        <w:t xml:space="preserve"> </w:t>
      </w:r>
      <w:r w:rsidR="00185171">
        <w:rPr>
          <w:szCs w:val="22"/>
        </w:rPr>
        <w:t>in relation to class</w:t>
      </w:r>
      <w:r w:rsidR="0060484D">
        <w:rPr>
          <w:szCs w:val="22"/>
        </w:rPr>
        <w:t>es of persons.</w:t>
      </w:r>
      <w:r w:rsidR="00185171">
        <w:rPr>
          <w:szCs w:val="22"/>
        </w:rPr>
        <w:t xml:space="preserve"> </w:t>
      </w:r>
      <w:r w:rsidR="0060484D">
        <w:rPr>
          <w:szCs w:val="22"/>
        </w:rPr>
        <w:t>I am</w:t>
      </w:r>
      <w:r w:rsidR="00185171">
        <w:rPr>
          <w:szCs w:val="22"/>
        </w:rPr>
        <w:t xml:space="preserve"> satisfied</w:t>
      </w:r>
      <w:r w:rsidR="008267F8">
        <w:rPr>
          <w:szCs w:val="22"/>
        </w:rPr>
        <w:t xml:space="preserve"> </w:t>
      </w:r>
      <w:r w:rsidR="00185171">
        <w:rPr>
          <w:szCs w:val="22"/>
        </w:rPr>
        <w:t>that:</w:t>
      </w:r>
    </w:p>
    <w:p w14:paraId="392D0DC4" w14:textId="4B4823B0" w:rsidR="00CF7960" w:rsidRDefault="00CF7960" w:rsidP="00CF7960">
      <w:pPr>
        <w:pStyle w:val="subsection"/>
      </w:pPr>
      <w:r>
        <w:tab/>
        <w:t>(a)</w:t>
      </w:r>
      <w:r>
        <w:tab/>
        <w:t xml:space="preserve">it would not be reasonable to expect the persons in those classes to comply with </w:t>
      </w:r>
      <w:r w:rsidR="001A6254">
        <w:t>the provision</w:t>
      </w:r>
      <w:r w:rsidR="0071475B">
        <w:t>s</w:t>
      </w:r>
      <w:r>
        <w:t xml:space="preserve"> because of the impact of the coronavirus known as COVID</w:t>
      </w:r>
      <w:r w:rsidR="00042C44">
        <w:noBreakHyphen/>
      </w:r>
      <w:r>
        <w:t>19</w:t>
      </w:r>
      <w:r w:rsidR="008267F8">
        <w:t xml:space="preserve">; </w:t>
      </w:r>
      <w:r w:rsidR="0071475B">
        <w:t>and</w:t>
      </w:r>
    </w:p>
    <w:p w14:paraId="38C563DD" w14:textId="4A1AD886" w:rsidR="008267F8" w:rsidRDefault="008267F8" w:rsidP="00CF7960">
      <w:pPr>
        <w:pStyle w:val="subsection"/>
      </w:pPr>
      <w:r>
        <w:tab/>
        <w:t>(b)</w:t>
      </w:r>
      <w:r>
        <w:tab/>
      </w:r>
      <w:r w:rsidR="00852D50">
        <w:t>the modification</w:t>
      </w:r>
      <w:r w:rsidR="0071475B">
        <w:t>s</w:t>
      </w:r>
      <w:r w:rsidR="00852D50">
        <w:t xml:space="preserve"> </w:t>
      </w:r>
      <w:r w:rsidR="0071475B">
        <w:t>are</w:t>
      </w:r>
      <w:r w:rsidR="00852D50">
        <w:t xml:space="preserve"> otherwise necessary or appropriate in order to:</w:t>
      </w:r>
    </w:p>
    <w:p w14:paraId="289C2742" w14:textId="298DE47D" w:rsidR="00852D50" w:rsidRDefault="00852D50" w:rsidP="00852D50">
      <w:pPr>
        <w:pStyle w:val="paragraph"/>
      </w:pPr>
      <w:r>
        <w:tab/>
        <w:t>(i)</w:t>
      </w:r>
      <w:r>
        <w:tab/>
        <w:t xml:space="preserve">facilitate continuation of business in circumstances relating to </w:t>
      </w:r>
      <w:r w:rsidR="00174282">
        <w:t>the coronavirus known as COVID</w:t>
      </w:r>
      <w:r w:rsidR="00042C44">
        <w:noBreakHyphen/>
      </w:r>
      <w:r w:rsidR="00174282">
        <w:t xml:space="preserve">19; </w:t>
      </w:r>
      <w:r w:rsidR="0071475B">
        <w:t>and</w:t>
      </w:r>
    </w:p>
    <w:p w14:paraId="31C69A9E" w14:textId="43BF4576" w:rsidR="00174282" w:rsidRDefault="00174282" w:rsidP="00852D50">
      <w:pPr>
        <w:pStyle w:val="paragraph"/>
      </w:pPr>
      <w:r>
        <w:tab/>
        <w:t>(ii)</w:t>
      </w:r>
      <w:r>
        <w:tab/>
        <w:t>mitigate the economic impact of the coronavirus known as COVID</w:t>
      </w:r>
      <w:r w:rsidR="00042C44">
        <w:noBreakHyphen/>
      </w:r>
      <w:r>
        <w:t>19.</w:t>
      </w:r>
    </w:p>
    <w:p w14:paraId="2FB1F89A" w14:textId="143CAB1D" w:rsidR="004212AE" w:rsidRPr="00AC1A9C" w:rsidRDefault="004212AE" w:rsidP="004212AE">
      <w:pPr>
        <w:keepNext/>
        <w:spacing w:before="720" w:line="240" w:lineRule="atLeast"/>
        <w:ind w:right="397"/>
        <w:jc w:val="both"/>
        <w:rPr>
          <w:szCs w:val="22"/>
        </w:rPr>
      </w:pPr>
      <w:r w:rsidRPr="00AC1A9C">
        <w:rPr>
          <w:szCs w:val="22"/>
        </w:rPr>
        <w:t xml:space="preserve">Dated </w:t>
      </w:r>
      <w:r w:rsidRPr="00AC1A9C">
        <w:rPr>
          <w:szCs w:val="22"/>
        </w:rPr>
        <w:tab/>
      </w:r>
      <w:r w:rsidR="004F2AFC">
        <w:rPr>
          <w:szCs w:val="22"/>
        </w:rPr>
        <w:t>5 May 2</w:t>
      </w:r>
      <w:r w:rsidRPr="00AC1A9C">
        <w:rPr>
          <w:szCs w:val="22"/>
        </w:rPr>
        <w:t>020</w:t>
      </w:r>
      <w:bookmarkStart w:id="0" w:name="_GoBack"/>
      <w:bookmarkEnd w:id="0"/>
    </w:p>
    <w:p w14:paraId="61E1D050" w14:textId="77777777" w:rsidR="0002150B" w:rsidRPr="00C34D4A" w:rsidRDefault="0002150B" w:rsidP="00D7525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5C491CF" w14:textId="7D98A636" w:rsidR="00D75256" w:rsidRPr="00AC1A9C" w:rsidRDefault="00D75256" w:rsidP="00D7525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C1A9C">
        <w:rPr>
          <w:szCs w:val="22"/>
        </w:rPr>
        <w:t>Josh Frydenberg</w:t>
      </w:r>
    </w:p>
    <w:p w14:paraId="411AB1A7" w14:textId="77777777" w:rsidR="00FA06CA" w:rsidRPr="00C34D4A" w:rsidRDefault="00FA77E5" w:rsidP="00D75256">
      <w:pPr>
        <w:pStyle w:val="SignCoverPageEnd"/>
        <w:rPr>
          <w:szCs w:val="22"/>
        </w:rPr>
      </w:pPr>
      <w:r w:rsidRPr="00C34D4A">
        <w:rPr>
          <w:szCs w:val="22"/>
        </w:rPr>
        <w:t>Treasurer</w:t>
      </w:r>
    </w:p>
    <w:p w14:paraId="381E2C62" w14:textId="77777777" w:rsidR="00FA06CA" w:rsidRPr="00AC1A9C" w:rsidRDefault="00FA06CA" w:rsidP="0002150B"/>
    <w:p w14:paraId="789987D6" w14:textId="77777777" w:rsidR="00FA06CA" w:rsidRPr="00C34D4A" w:rsidRDefault="00FA06CA" w:rsidP="00FA06CA">
      <w:pPr>
        <w:pStyle w:val="Header"/>
        <w:tabs>
          <w:tab w:val="clear" w:pos="4150"/>
          <w:tab w:val="clear" w:pos="8307"/>
        </w:tabs>
      </w:pPr>
      <w:r w:rsidRPr="00C34D4A">
        <w:rPr>
          <w:rStyle w:val="CharChapNo"/>
        </w:rPr>
        <w:t xml:space="preserve"> </w:t>
      </w:r>
      <w:r w:rsidRPr="00C34D4A">
        <w:rPr>
          <w:rStyle w:val="CharChapText"/>
        </w:rPr>
        <w:t xml:space="preserve"> </w:t>
      </w:r>
    </w:p>
    <w:p w14:paraId="34FD0D96" w14:textId="77777777" w:rsidR="00FA06CA" w:rsidRPr="00C34D4A" w:rsidRDefault="00FA06CA" w:rsidP="00FA06CA">
      <w:pPr>
        <w:pStyle w:val="Header"/>
        <w:tabs>
          <w:tab w:val="clear" w:pos="4150"/>
          <w:tab w:val="clear" w:pos="8307"/>
        </w:tabs>
      </w:pPr>
      <w:r w:rsidRPr="00C34D4A">
        <w:rPr>
          <w:rStyle w:val="CharPartNo"/>
        </w:rPr>
        <w:t xml:space="preserve"> </w:t>
      </w:r>
      <w:r w:rsidRPr="00C34D4A">
        <w:rPr>
          <w:rStyle w:val="CharPartText"/>
        </w:rPr>
        <w:t xml:space="preserve"> </w:t>
      </w:r>
    </w:p>
    <w:p w14:paraId="6AFEFC3F" w14:textId="77777777" w:rsidR="00FA06CA" w:rsidRPr="00C34D4A" w:rsidRDefault="00FA06CA" w:rsidP="00FA06CA">
      <w:pPr>
        <w:pStyle w:val="Header"/>
        <w:tabs>
          <w:tab w:val="clear" w:pos="4150"/>
          <w:tab w:val="clear" w:pos="8307"/>
        </w:tabs>
      </w:pPr>
      <w:r w:rsidRPr="00C34D4A">
        <w:rPr>
          <w:rStyle w:val="CharDivNo"/>
        </w:rPr>
        <w:t xml:space="preserve"> </w:t>
      </w:r>
      <w:r w:rsidRPr="00C34D4A">
        <w:rPr>
          <w:rStyle w:val="CharDivText"/>
        </w:rPr>
        <w:t xml:space="preserve"> </w:t>
      </w:r>
    </w:p>
    <w:p w14:paraId="419CF644" w14:textId="77777777" w:rsidR="00FA06CA" w:rsidRPr="00C34D4A" w:rsidRDefault="00FA06CA" w:rsidP="00FA06CA">
      <w:pPr>
        <w:sectPr w:rsidR="00FA06CA" w:rsidRPr="00C34D4A" w:rsidSect="00C34D4A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A07342" w14:textId="77777777" w:rsidR="00FA06CA" w:rsidRPr="00C34D4A" w:rsidRDefault="00FA06CA" w:rsidP="00C34D4A">
      <w:pPr>
        <w:rPr>
          <w:sz w:val="36"/>
        </w:rPr>
      </w:pPr>
      <w:r w:rsidRPr="00C34D4A">
        <w:rPr>
          <w:sz w:val="36"/>
        </w:rPr>
        <w:lastRenderedPageBreak/>
        <w:t>Contents</w:t>
      </w:r>
    </w:p>
    <w:p w14:paraId="5C691C5F" w14:textId="5DD2AB83" w:rsidR="00E66F9C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4D4A">
        <w:fldChar w:fldCharType="begin"/>
      </w:r>
      <w:r w:rsidRPr="00C34D4A">
        <w:instrText xml:space="preserve"> TOC \o "1-9" </w:instrText>
      </w:r>
      <w:r w:rsidRPr="00C34D4A">
        <w:fldChar w:fldCharType="separate"/>
      </w:r>
      <w:r w:rsidR="00E66F9C">
        <w:rPr>
          <w:noProof/>
        </w:rPr>
        <w:t>Part 1—Preliminary</w:t>
      </w:r>
      <w:r w:rsidR="00E66F9C">
        <w:rPr>
          <w:noProof/>
        </w:rPr>
        <w:tab/>
      </w:r>
      <w:r w:rsidR="00E66F9C">
        <w:rPr>
          <w:noProof/>
        </w:rPr>
        <w:fldChar w:fldCharType="begin"/>
      </w:r>
      <w:r w:rsidR="00E66F9C">
        <w:rPr>
          <w:noProof/>
        </w:rPr>
        <w:instrText xml:space="preserve"> PAGEREF _Toc36476492 \h </w:instrText>
      </w:r>
      <w:r w:rsidR="00E66F9C">
        <w:rPr>
          <w:noProof/>
        </w:rPr>
      </w:r>
      <w:r w:rsidR="00E66F9C">
        <w:rPr>
          <w:noProof/>
        </w:rPr>
        <w:fldChar w:fldCharType="separate"/>
      </w:r>
      <w:r w:rsidR="00F17833">
        <w:rPr>
          <w:noProof/>
        </w:rPr>
        <w:t>1</w:t>
      </w:r>
      <w:r w:rsidR="00E66F9C">
        <w:rPr>
          <w:noProof/>
        </w:rPr>
        <w:fldChar w:fldCharType="end"/>
      </w:r>
    </w:p>
    <w:p w14:paraId="47724CB1" w14:textId="4B5140BF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F17833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_Toc36476493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1</w:t>
      </w:r>
      <w:r>
        <w:rPr>
          <w:noProof/>
        </w:rPr>
        <w:fldChar w:fldCharType="end"/>
      </w:r>
    </w:p>
    <w:p w14:paraId="06F4F686" w14:textId="1F57C239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_Toc36476494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1</w:t>
      </w:r>
      <w:r>
        <w:rPr>
          <w:noProof/>
        </w:rPr>
        <w:fldChar w:fldCharType="end"/>
      </w:r>
    </w:p>
    <w:p w14:paraId="7EA22C72" w14:textId="3CF2B6D1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_Toc36476495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1</w:t>
      </w:r>
      <w:r>
        <w:rPr>
          <w:noProof/>
        </w:rPr>
        <w:fldChar w:fldCharType="end"/>
      </w:r>
    </w:p>
    <w:p w14:paraId="2E901357" w14:textId="5BD78946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_Toc36476496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1</w:t>
      </w:r>
      <w:r>
        <w:rPr>
          <w:noProof/>
        </w:rPr>
        <w:fldChar w:fldCharType="end"/>
      </w:r>
    </w:p>
    <w:p w14:paraId="6842C93E" w14:textId="5D70CE03" w:rsidR="00E66F9C" w:rsidRDefault="00E66F9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2—Meetings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_Toc36476497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2</w:t>
      </w:r>
      <w:r>
        <w:rPr>
          <w:noProof/>
        </w:rPr>
        <w:fldChar w:fldCharType="end"/>
      </w:r>
    </w:p>
    <w:p w14:paraId="652F4B27" w14:textId="424ABB3C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Provisions about meetings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_Toc36476498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2</w:t>
      </w:r>
      <w:r>
        <w:rPr>
          <w:noProof/>
        </w:rPr>
        <w:fldChar w:fldCharType="end"/>
      </w:r>
    </w:p>
    <w:p w14:paraId="62630C21" w14:textId="6BAF046C" w:rsidR="00E66F9C" w:rsidRDefault="00E66F9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3—Execution of company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_Toc36476499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4</w:t>
      </w:r>
      <w:r>
        <w:rPr>
          <w:noProof/>
        </w:rPr>
        <w:fldChar w:fldCharType="end"/>
      </w:r>
    </w:p>
    <w:p w14:paraId="0CD53C96" w14:textId="05696FF6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Methods of executing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_Toc36476500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4</w:t>
      </w:r>
      <w:r>
        <w:rPr>
          <w:noProof/>
        </w:rPr>
        <w:fldChar w:fldCharType="end"/>
      </w:r>
    </w:p>
    <w:p w14:paraId="6B81FDDD" w14:textId="3C8966D3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Assumptions that can be made about execution of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_Toc36476501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4</w:t>
      </w:r>
      <w:r>
        <w:rPr>
          <w:noProof/>
        </w:rPr>
        <w:fldChar w:fldCharType="end"/>
      </w:r>
    </w:p>
    <w:p w14:paraId="74F4EA0A" w14:textId="2809AD25" w:rsidR="00E66F9C" w:rsidRDefault="00E66F9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4—Miscellaneous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_Toc36476502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6</w:t>
      </w:r>
      <w:r>
        <w:rPr>
          <w:noProof/>
        </w:rPr>
        <w:fldChar w:fldCharType="end"/>
      </w:r>
    </w:p>
    <w:p w14:paraId="72C36B0E" w14:textId="4E0E5BC4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Effect of modified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_Toc36476503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6</w:t>
      </w:r>
      <w:r>
        <w:rPr>
          <w:noProof/>
        </w:rPr>
        <w:fldChar w:fldCharType="end"/>
      </w:r>
    </w:p>
    <w:p w14:paraId="4DEEE7CE" w14:textId="565D6219" w:rsidR="00E66F9C" w:rsidRDefault="00E66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Repeal</w:t>
      </w:r>
      <w:r>
        <w:rPr>
          <w:noProof/>
        </w:rPr>
        <w:tab/>
      </w:r>
      <w:r w:rsidR="00F82B3B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_Toc36476504 \h </w:instrText>
      </w:r>
      <w:r>
        <w:rPr>
          <w:noProof/>
        </w:rPr>
      </w:r>
      <w:r>
        <w:rPr>
          <w:noProof/>
        </w:rPr>
        <w:fldChar w:fldCharType="separate"/>
      </w:r>
      <w:r w:rsidR="00F17833">
        <w:rPr>
          <w:noProof/>
        </w:rPr>
        <w:t>6</w:t>
      </w:r>
      <w:r>
        <w:rPr>
          <w:noProof/>
        </w:rPr>
        <w:fldChar w:fldCharType="end"/>
      </w:r>
    </w:p>
    <w:p w14:paraId="59338737" w14:textId="31BA8ABC" w:rsidR="00FA06CA" w:rsidRPr="00C34D4A" w:rsidRDefault="00FA06CA" w:rsidP="00FA06CA">
      <w:r w:rsidRPr="00C34D4A">
        <w:fldChar w:fldCharType="end"/>
      </w:r>
    </w:p>
    <w:p w14:paraId="724B3FDE" w14:textId="77777777" w:rsidR="00FA06CA" w:rsidRPr="00C34D4A" w:rsidRDefault="00FA06CA" w:rsidP="00FA06CA">
      <w:pPr>
        <w:sectPr w:rsidR="00FA06CA" w:rsidRPr="00C34D4A" w:rsidSect="00C34D4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DE17E4" w14:textId="585DFCAB" w:rsidR="00FA06CA" w:rsidRPr="00C34D4A" w:rsidRDefault="00FA06CA" w:rsidP="00FA06CA">
      <w:pPr>
        <w:pStyle w:val="ActHead2"/>
      </w:pPr>
      <w:bookmarkStart w:id="17" w:name="_Toc36471609"/>
      <w:bookmarkStart w:id="18" w:name="_Toc36476492"/>
      <w:r w:rsidRPr="00042C44">
        <w:rPr>
          <w:rStyle w:val="CharPartNo"/>
        </w:rPr>
        <w:t>Part</w:t>
      </w:r>
      <w:r w:rsidR="00C34D4A" w:rsidRPr="00042C44">
        <w:rPr>
          <w:rStyle w:val="CharPartNo"/>
        </w:rPr>
        <w:t> </w:t>
      </w:r>
      <w:r w:rsidRPr="00042C44">
        <w:rPr>
          <w:rStyle w:val="CharPartNo"/>
        </w:rPr>
        <w:t>1</w:t>
      </w:r>
      <w:r w:rsidRPr="00C34D4A">
        <w:t>—</w:t>
      </w:r>
      <w:r w:rsidRPr="00042C44">
        <w:rPr>
          <w:rStyle w:val="CharPartText"/>
        </w:rPr>
        <w:t>Preliminary</w:t>
      </w:r>
      <w:bookmarkEnd w:id="17"/>
      <w:bookmarkEnd w:id="18"/>
    </w:p>
    <w:p w14:paraId="22476391" w14:textId="77777777" w:rsidR="00FA06CA" w:rsidRPr="00C34D4A" w:rsidRDefault="00FA06CA" w:rsidP="00FA06CA">
      <w:pPr>
        <w:pStyle w:val="Header"/>
      </w:pPr>
      <w:r w:rsidRPr="00042C44">
        <w:rPr>
          <w:rStyle w:val="CharDivNo"/>
        </w:rPr>
        <w:t xml:space="preserve"> </w:t>
      </w:r>
      <w:r w:rsidRPr="00042C44">
        <w:rPr>
          <w:rStyle w:val="CharDivText"/>
        </w:rPr>
        <w:t xml:space="preserve"> </w:t>
      </w:r>
    </w:p>
    <w:p w14:paraId="27C36E12" w14:textId="77777777" w:rsidR="00FA06CA" w:rsidRPr="00C34D4A" w:rsidRDefault="00FA06CA" w:rsidP="00FA06CA">
      <w:pPr>
        <w:pStyle w:val="ActHead5"/>
      </w:pPr>
      <w:bookmarkStart w:id="19" w:name="_Toc36471610"/>
      <w:bookmarkStart w:id="20" w:name="_Toc36476493"/>
      <w:r w:rsidRPr="00C34D4A">
        <w:rPr>
          <w:rStyle w:val="CharSectno"/>
        </w:rPr>
        <w:t>1</w:t>
      </w:r>
      <w:r w:rsidRPr="00C34D4A">
        <w:t xml:space="preserve">  Name</w:t>
      </w:r>
      <w:bookmarkEnd w:id="19"/>
      <w:bookmarkEnd w:id="20"/>
    </w:p>
    <w:p w14:paraId="0F626B74" w14:textId="7703FF85" w:rsidR="00FA06CA" w:rsidRPr="00C34D4A" w:rsidRDefault="00FA06CA" w:rsidP="00FA06CA">
      <w:pPr>
        <w:pStyle w:val="subsection"/>
      </w:pPr>
      <w:r w:rsidRPr="00C34D4A">
        <w:tab/>
      </w:r>
      <w:r w:rsidRPr="00C34D4A">
        <w:tab/>
        <w:t>This instrument is the</w:t>
      </w:r>
      <w:r w:rsidR="00B11CFF" w:rsidRPr="00C34D4A">
        <w:t xml:space="preserve"> </w:t>
      </w:r>
      <w:r w:rsidR="00B11CFF" w:rsidRPr="00C34D4A">
        <w:rPr>
          <w:i/>
        </w:rPr>
        <w:t xml:space="preserve">Corporations (Coronavirus Economic Response) Determination </w:t>
      </w:r>
      <w:r w:rsidR="004D1433" w:rsidRPr="00C34D4A">
        <w:rPr>
          <w:i/>
        </w:rPr>
        <w:t>(</w:t>
      </w:r>
      <w:r w:rsidR="00B11CFF" w:rsidRPr="00C34D4A">
        <w:rPr>
          <w:i/>
        </w:rPr>
        <w:t>No.</w:t>
      </w:r>
      <w:r w:rsidR="00C34D4A" w:rsidRPr="00C34D4A">
        <w:rPr>
          <w:i/>
        </w:rPr>
        <w:t> </w:t>
      </w:r>
      <w:r w:rsidR="00B11CFF" w:rsidRPr="00C34D4A">
        <w:rPr>
          <w:i/>
        </w:rPr>
        <w:t>1</w:t>
      </w:r>
      <w:r w:rsidR="004D1433" w:rsidRPr="00C34D4A">
        <w:rPr>
          <w:i/>
        </w:rPr>
        <w:t>)</w:t>
      </w:r>
      <w:r w:rsidR="00B11CFF" w:rsidRPr="00C34D4A">
        <w:rPr>
          <w:i/>
        </w:rPr>
        <w:t xml:space="preserve"> 2020</w:t>
      </w:r>
      <w:r w:rsidRPr="00C34D4A">
        <w:t>.</w:t>
      </w:r>
    </w:p>
    <w:p w14:paraId="4DC0FC7C" w14:textId="77777777" w:rsidR="00FA06CA" w:rsidRPr="00C34D4A" w:rsidRDefault="00FA06CA" w:rsidP="00FA06CA">
      <w:pPr>
        <w:pStyle w:val="ActHead5"/>
      </w:pPr>
      <w:bookmarkStart w:id="21" w:name="_Toc36471611"/>
      <w:bookmarkStart w:id="22" w:name="_Toc36476494"/>
      <w:r w:rsidRPr="00C34D4A">
        <w:rPr>
          <w:rStyle w:val="CharSectno"/>
        </w:rPr>
        <w:t>2</w:t>
      </w:r>
      <w:r w:rsidRPr="00C34D4A">
        <w:t xml:space="preserve">  Commencement</w:t>
      </w:r>
      <w:bookmarkEnd w:id="21"/>
      <w:bookmarkEnd w:id="22"/>
    </w:p>
    <w:p w14:paraId="7FA2F57D" w14:textId="422DB117" w:rsidR="00FA06CA" w:rsidRPr="00C34D4A" w:rsidRDefault="00FA06CA" w:rsidP="00FA06CA">
      <w:pPr>
        <w:pStyle w:val="subsection"/>
      </w:pPr>
      <w:r w:rsidRPr="00C34D4A">
        <w:tab/>
        <w:t>(1)</w:t>
      </w:r>
      <w:r w:rsidRPr="00C34D4A">
        <w:tab/>
        <w:t xml:space="preserve">Each provision of </w:t>
      </w:r>
      <w:r w:rsidR="00654A00" w:rsidRPr="00C34D4A">
        <w:t xml:space="preserve">this </w:t>
      </w:r>
      <w:r w:rsidRPr="00C34D4A">
        <w:t>instrument specified in column 1 of the table commences, or is taken to have commenced, in accordance with column 2 of the table. Any other statement in column 2 has effect according to its terms.</w:t>
      </w:r>
    </w:p>
    <w:p w14:paraId="29B0B173" w14:textId="77777777" w:rsidR="00FA06CA" w:rsidRPr="00C34D4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C34D4A" w14:paraId="2805AB2D" w14:textId="77777777" w:rsidTr="00B11CF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945820" w14:textId="77777777" w:rsidR="00FA06CA" w:rsidRPr="00C34D4A" w:rsidRDefault="00FA06CA" w:rsidP="00945EBE">
            <w:pPr>
              <w:pStyle w:val="TableHeading"/>
            </w:pPr>
            <w:r w:rsidRPr="00C34D4A">
              <w:t>Commencement information</w:t>
            </w:r>
          </w:p>
        </w:tc>
      </w:tr>
      <w:tr w:rsidR="00FA06CA" w:rsidRPr="00C34D4A" w14:paraId="653D1285" w14:textId="77777777" w:rsidTr="00B11CF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84B862" w14:textId="77777777" w:rsidR="00FA06CA" w:rsidRPr="00C34D4A" w:rsidRDefault="00FA06CA" w:rsidP="00945EBE">
            <w:pPr>
              <w:pStyle w:val="TableHeading"/>
            </w:pPr>
            <w:r w:rsidRPr="00C34D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A27C0B" w14:textId="77777777" w:rsidR="00FA06CA" w:rsidRPr="00C34D4A" w:rsidRDefault="00FA06CA" w:rsidP="00945EBE">
            <w:pPr>
              <w:pStyle w:val="TableHeading"/>
            </w:pPr>
            <w:r w:rsidRPr="00C34D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7D6FF7" w14:textId="77777777" w:rsidR="00FA06CA" w:rsidRPr="00C34D4A" w:rsidRDefault="00FA06CA" w:rsidP="00945EBE">
            <w:pPr>
              <w:pStyle w:val="TableHeading"/>
            </w:pPr>
            <w:r w:rsidRPr="00C34D4A">
              <w:t>Column 3</w:t>
            </w:r>
          </w:p>
        </w:tc>
      </w:tr>
      <w:tr w:rsidR="00FA06CA" w:rsidRPr="00C34D4A" w14:paraId="0F2258EE" w14:textId="77777777" w:rsidTr="00B11CF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FC7691" w14:textId="77777777" w:rsidR="00FA06CA" w:rsidRPr="00C34D4A" w:rsidRDefault="00FA06CA" w:rsidP="00945EBE">
            <w:pPr>
              <w:pStyle w:val="TableHeading"/>
            </w:pPr>
            <w:r w:rsidRPr="00C34D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5D9B59" w14:textId="77777777" w:rsidR="00FA06CA" w:rsidRPr="00C34D4A" w:rsidRDefault="00FA06CA" w:rsidP="00945EBE">
            <w:pPr>
              <w:pStyle w:val="TableHeading"/>
            </w:pPr>
            <w:r w:rsidRPr="00C34D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1D9D24" w14:textId="77777777" w:rsidR="00FA06CA" w:rsidRPr="00C34D4A" w:rsidRDefault="00FA06CA" w:rsidP="00945EBE">
            <w:pPr>
              <w:pStyle w:val="TableHeading"/>
            </w:pPr>
            <w:r w:rsidRPr="00C34D4A">
              <w:t>Date/Details</w:t>
            </w:r>
          </w:p>
        </w:tc>
      </w:tr>
      <w:tr w:rsidR="00FA06CA" w:rsidRPr="00C34D4A" w14:paraId="21BF8B51" w14:textId="77777777" w:rsidTr="00B11CF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BA56B0" w14:textId="77777777" w:rsidR="00FA06CA" w:rsidRPr="00C34D4A" w:rsidRDefault="0002150B" w:rsidP="00945EBE">
            <w:pPr>
              <w:pStyle w:val="Tabletext"/>
            </w:pPr>
            <w:r w:rsidRPr="00C34D4A">
              <w:t>1</w:t>
            </w:r>
            <w:r w:rsidR="00FA06CA" w:rsidRPr="00C34D4A">
              <w:t xml:space="preserve">.  </w:t>
            </w:r>
            <w:r w:rsidR="00B11CFF" w:rsidRPr="00C34D4A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E9C6892" w14:textId="77777777" w:rsidR="00FA06CA" w:rsidRPr="00C34D4A" w:rsidRDefault="00B11CFF" w:rsidP="00945EBE">
            <w:pPr>
              <w:pStyle w:val="Tabletext"/>
            </w:pPr>
            <w:r w:rsidRPr="00C34D4A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1645938" w14:textId="77777777" w:rsidR="00FA06CA" w:rsidRPr="00C34D4A" w:rsidRDefault="00FA06CA" w:rsidP="00945EBE">
            <w:pPr>
              <w:pStyle w:val="Tabletext"/>
            </w:pPr>
          </w:p>
        </w:tc>
      </w:tr>
    </w:tbl>
    <w:p w14:paraId="4C507153" w14:textId="77777777" w:rsidR="00FA06CA" w:rsidRPr="00C34D4A" w:rsidRDefault="00FA06CA" w:rsidP="00FA06CA">
      <w:pPr>
        <w:pStyle w:val="notetext"/>
      </w:pPr>
      <w:r w:rsidRPr="00C34D4A">
        <w:rPr>
          <w:snapToGrid w:val="0"/>
          <w:lang w:eastAsia="en-US"/>
        </w:rPr>
        <w:t>Note:</w:t>
      </w:r>
      <w:r w:rsidRPr="00C34D4A">
        <w:rPr>
          <w:snapToGrid w:val="0"/>
          <w:lang w:eastAsia="en-US"/>
        </w:rPr>
        <w:tab/>
        <w:t xml:space="preserve">This table relates only to the provisions of this </w:t>
      </w:r>
      <w:r w:rsidRPr="00C34D4A">
        <w:t xml:space="preserve">instrument </w:t>
      </w:r>
      <w:r w:rsidRPr="00C34D4A">
        <w:rPr>
          <w:snapToGrid w:val="0"/>
          <w:lang w:eastAsia="en-US"/>
        </w:rPr>
        <w:t>as originally made. It will not be amended to deal with any later amendments of this instrument.</w:t>
      </w:r>
    </w:p>
    <w:p w14:paraId="45186142" w14:textId="77777777" w:rsidR="00FA06CA" w:rsidRPr="00C34D4A" w:rsidRDefault="00FA06CA" w:rsidP="00FA06CA">
      <w:pPr>
        <w:pStyle w:val="subsection"/>
      </w:pPr>
      <w:r w:rsidRPr="00C34D4A">
        <w:tab/>
        <w:t>(2)</w:t>
      </w:r>
      <w:r w:rsidRPr="00C34D4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57EE3A" w14:textId="77777777" w:rsidR="00FA06CA" w:rsidRPr="00C34D4A" w:rsidRDefault="00FA06CA" w:rsidP="00FA06CA">
      <w:pPr>
        <w:pStyle w:val="ActHead5"/>
      </w:pPr>
      <w:bookmarkStart w:id="23" w:name="_Toc36471612"/>
      <w:bookmarkStart w:id="24" w:name="_Toc36476495"/>
      <w:r w:rsidRPr="00C34D4A">
        <w:rPr>
          <w:rStyle w:val="CharSectno"/>
        </w:rPr>
        <w:t>3</w:t>
      </w:r>
      <w:r w:rsidRPr="00C34D4A">
        <w:t xml:space="preserve">  Authority</w:t>
      </w:r>
      <w:bookmarkEnd w:id="23"/>
      <w:bookmarkEnd w:id="24"/>
    </w:p>
    <w:p w14:paraId="6F5B0B52" w14:textId="7D47CA4A" w:rsidR="00FA06CA" w:rsidRPr="00C34D4A" w:rsidRDefault="00FA06CA" w:rsidP="00FA06CA">
      <w:pPr>
        <w:pStyle w:val="subsection"/>
      </w:pPr>
      <w:r w:rsidRPr="00C34D4A">
        <w:tab/>
      </w:r>
      <w:r w:rsidRPr="00C34D4A">
        <w:tab/>
        <w:t>T</w:t>
      </w:r>
      <w:r w:rsidR="00B7575B" w:rsidRPr="00C34D4A">
        <w:t>his instrument is made under</w:t>
      </w:r>
      <w:r w:rsidR="00B11CFF" w:rsidRPr="00C34D4A">
        <w:t xml:space="preserve"> </w:t>
      </w:r>
      <w:r w:rsidR="00D0529C" w:rsidRPr="00C34D4A">
        <w:t>section</w:t>
      </w:r>
      <w:r w:rsidR="00C34D4A" w:rsidRPr="00C34D4A">
        <w:t> </w:t>
      </w:r>
      <w:r w:rsidR="00D0529C" w:rsidRPr="00C34D4A">
        <w:t>1362A</w:t>
      </w:r>
      <w:r w:rsidR="00B11CFF" w:rsidRPr="00C34D4A">
        <w:t xml:space="preserve"> of the </w:t>
      </w:r>
      <w:r w:rsidR="00B11CFF" w:rsidRPr="00C34D4A">
        <w:rPr>
          <w:i/>
        </w:rPr>
        <w:t>Corporations Act 2001</w:t>
      </w:r>
      <w:r w:rsidRPr="00C34D4A">
        <w:t>.</w:t>
      </w:r>
    </w:p>
    <w:p w14:paraId="12CE4A58" w14:textId="77777777" w:rsidR="00B7575B" w:rsidRPr="00C34D4A" w:rsidRDefault="00FA06CA" w:rsidP="002C1933">
      <w:pPr>
        <w:pStyle w:val="ActHead5"/>
      </w:pPr>
      <w:bookmarkStart w:id="25" w:name="_Toc36471613"/>
      <w:bookmarkStart w:id="26" w:name="_Toc36476496"/>
      <w:r w:rsidRPr="00C34D4A">
        <w:rPr>
          <w:rStyle w:val="CharSectno"/>
        </w:rPr>
        <w:t>4</w:t>
      </w:r>
      <w:r w:rsidRPr="00C34D4A">
        <w:t xml:space="preserve">  </w:t>
      </w:r>
      <w:r w:rsidR="00B7575B" w:rsidRPr="00C34D4A">
        <w:t>Interpretation</w:t>
      </w:r>
      <w:bookmarkEnd w:id="25"/>
      <w:bookmarkEnd w:id="26"/>
    </w:p>
    <w:p w14:paraId="0F06C7B2" w14:textId="168F7736" w:rsidR="00FA06CA" w:rsidRPr="00C34D4A" w:rsidRDefault="00B7575B" w:rsidP="00B7575B">
      <w:pPr>
        <w:pStyle w:val="notemargin"/>
      </w:pPr>
      <w:r w:rsidRPr="00C34D4A">
        <w:t>Note:</w:t>
      </w:r>
      <w:r w:rsidRPr="00C34D4A">
        <w:tab/>
        <w:t xml:space="preserve">Expressions have the same meaning in this instrument as in the </w:t>
      </w:r>
      <w:r w:rsidRPr="00C34D4A">
        <w:rPr>
          <w:i/>
        </w:rPr>
        <w:t>Corporations Act 2001</w:t>
      </w:r>
      <w:r w:rsidRPr="00C34D4A">
        <w:t xml:space="preserve"> as in force from time to time</w:t>
      </w:r>
      <w:r w:rsidR="00D74119" w:rsidRPr="00C34D4A">
        <w:t xml:space="preserve"> unless the contrary intention appears</w:t>
      </w:r>
      <w:r w:rsidRPr="00C34D4A">
        <w:t>—see paragraph</w:t>
      </w:r>
      <w:r w:rsidR="00C34D4A" w:rsidRPr="00C34D4A">
        <w:t> </w:t>
      </w:r>
      <w:r w:rsidRPr="00C34D4A">
        <w:t xml:space="preserve">13(1)(b) of the </w:t>
      </w:r>
      <w:r w:rsidRPr="00C34D4A">
        <w:rPr>
          <w:i/>
        </w:rPr>
        <w:t>Legislation Act 2003</w:t>
      </w:r>
      <w:r w:rsidR="00D74119" w:rsidRPr="00C34D4A">
        <w:t xml:space="preserve">. </w:t>
      </w:r>
    </w:p>
    <w:p w14:paraId="1227B436" w14:textId="4211D27F" w:rsidR="00B7575B" w:rsidRPr="00C34D4A" w:rsidRDefault="00B7575B" w:rsidP="00D74119">
      <w:pPr>
        <w:pStyle w:val="subsection"/>
        <w:ind w:hanging="113"/>
      </w:pPr>
      <w:r w:rsidRPr="00C34D4A">
        <w:t>In this instrument:</w:t>
      </w:r>
    </w:p>
    <w:p w14:paraId="1839261B" w14:textId="77777777" w:rsidR="00B7575B" w:rsidRPr="00C34D4A" w:rsidRDefault="00B7575B" w:rsidP="009B3DF0">
      <w:pPr>
        <w:pStyle w:val="Definition"/>
      </w:pPr>
      <w:r w:rsidRPr="00C34D4A">
        <w:rPr>
          <w:b/>
          <w:i/>
        </w:rPr>
        <w:t>the Act</w:t>
      </w:r>
      <w:r w:rsidRPr="00C34D4A">
        <w:t xml:space="preserve"> means the </w:t>
      </w:r>
      <w:r w:rsidRPr="00C34D4A">
        <w:rPr>
          <w:i/>
        </w:rPr>
        <w:t>Corporations Act 2001</w:t>
      </w:r>
      <w:r w:rsidRPr="00C34D4A">
        <w:t>.</w:t>
      </w:r>
    </w:p>
    <w:p w14:paraId="63778CE8" w14:textId="74E8D9BD" w:rsidR="00DF516D" w:rsidRPr="00C34D4A" w:rsidRDefault="00DF516D" w:rsidP="009B3DF0">
      <w:pPr>
        <w:pStyle w:val="Definition"/>
      </w:pPr>
      <w:r w:rsidRPr="00C34D4A">
        <w:rPr>
          <w:b/>
          <w:i/>
        </w:rPr>
        <w:t>the regulations</w:t>
      </w:r>
      <w:r w:rsidRPr="00C34D4A">
        <w:t xml:space="preserve"> means the </w:t>
      </w:r>
      <w:r w:rsidRPr="00C34D4A">
        <w:rPr>
          <w:i/>
        </w:rPr>
        <w:t>Corporations Regulations</w:t>
      </w:r>
      <w:r w:rsidR="00C34D4A" w:rsidRPr="00C34D4A">
        <w:rPr>
          <w:i/>
        </w:rPr>
        <w:t> </w:t>
      </w:r>
      <w:r w:rsidRPr="00C34D4A">
        <w:rPr>
          <w:i/>
        </w:rPr>
        <w:t>2001</w:t>
      </w:r>
      <w:r w:rsidRPr="00C34D4A">
        <w:t>.</w:t>
      </w:r>
    </w:p>
    <w:p w14:paraId="7C659BD6" w14:textId="32AF5A47" w:rsidR="002C1933" w:rsidRPr="00C34D4A" w:rsidRDefault="002C1933" w:rsidP="009B3DF0">
      <w:pPr>
        <w:pStyle w:val="ActHead2"/>
        <w:pageBreakBefore/>
        <w:tabs>
          <w:tab w:val="center" w:pos="4156"/>
        </w:tabs>
      </w:pPr>
      <w:bookmarkStart w:id="27" w:name="_Toc36471614"/>
      <w:bookmarkStart w:id="28" w:name="_Toc36476497"/>
      <w:r w:rsidRPr="00042C44">
        <w:rPr>
          <w:rStyle w:val="CharPartNo"/>
        </w:rPr>
        <w:t>Part</w:t>
      </w:r>
      <w:r w:rsidR="00042C44" w:rsidRPr="00042C44">
        <w:rPr>
          <w:rStyle w:val="CharPartNo"/>
        </w:rPr>
        <w:t> </w:t>
      </w:r>
      <w:r w:rsidRPr="00042C44">
        <w:rPr>
          <w:rStyle w:val="CharPartNo"/>
        </w:rPr>
        <w:t>2</w:t>
      </w:r>
      <w:r w:rsidRPr="00C34D4A">
        <w:t>—</w:t>
      </w:r>
      <w:r w:rsidRPr="00042C44">
        <w:rPr>
          <w:rStyle w:val="CharPartText"/>
        </w:rPr>
        <w:t>Meetings</w:t>
      </w:r>
      <w:bookmarkEnd w:id="27"/>
      <w:bookmarkEnd w:id="28"/>
    </w:p>
    <w:p w14:paraId="61184EBC" w14:textId="77777777" w:rsidR="00435E3F" w:rsidRPr="00C34D4A" w:rsidRDefault="00710E97" w:rsidP="0085547E">
      <w:pPr>
        <w:pStyle w:val="ActHead5"/>
      </w:pPr>
      <w:bookmarkStart w:id="29" w:name="_Toc36471615"/>
      <w:bookmarkStart w:id="30" w:name="_Toc36476498"/>
      <w:r w:rsidRPr="00C34D4A">
        <w:rPr>
          <w:rStyle w:val="CharSectno"/>
        </w:rPr>
        <w:t>5</w:t>
      </w:r>
      <w:r w:rsidRPr="00C34D4A">
        <w:t xml:space="preserve"> </w:t>
      </w:r>
      <w:r w:rsidR="00E77A4C" w:rsidRPr="00C34D4A">
        <w:t xml:space="preserve"> </w:t>
      </w:r>
      <w:r w:rsidR="00435E3F" w:rsidRPr="00C34D4A">
        <w:t xml:space="preserve">Provisions </w:t>
      </w:r>
      <w:r w:rsidR="0000743D" w:rsidRPr="00C34D4A">
        <w:t>about</w:t>
      </w:r>
      <w:r w:rsidR="00435E3F" w:rsidRPr="00C34D4A">
        <w:t xml:space="preserve"> meetings</w:t>
      </w:r>
      <w:bookmarkEnd w:id="29"/>
      <w:bookmarkEnd w:id="30"/>
    </w:p>
    <w:p w14:paraId="7C917502" w14:textId="62CE3843" w:rsidR="000937A9" w:rsidRPr="00C34D4A" w:rsidRDefault="00435E3F" w:rsidP="00435E3F">
      <w:pPr>
        <w:pStyle w:val="subsection"/>
      </w:pPr>
      <w:r w:rsidRPr="00C34D4A">
        <w:tab/>
        <w:t>(1)</w:t>
      </w:r>
      <w:r w:rsidRPr="00C34D4A">
        <w:tab/>
        <w:t xml:space="preserve">The operation of </w:t>
      </w:r>
      <w:r w:rsidR="0085173D" w:rsidRPr="00C34D4A">
        <w:t>the</w:t>
      </w:r>
      <w:r w:rsidRPr="00C34D4A">
        <w:t xml:space="preserve"> provision</w:t>
      </w:r>
      <w:r w:rsidR="0085173D" w:rsidRPr="00C34D4A">
        <w:t>s</w:t>
      </w:r>
      <w:r w:rsidRPr="00C34D4A">
        <w:t xml:space="preserve"> specified in </w:t>
      </w:r>
      <w:r w:rsidR="00C34D4A" w:rsidRPr="00C34D4A">
        <w:t>subsection (</w:t>
      </w:r>
      <w:r w:rsidRPr="00C34D4A">
        <w:t xml:space="preserve">2) is modified </w:t>
      </w:r>
      <w:r w:rsidR="00C45A4C" w:rsidRPr="00C34D4A">
        <w:t>as follows</w:t>
      </w:r>
      <w:r w:rsidR="00831656" w:rsidRPr="00C34D4A">
        <w:t>,</w:t>
      </w:r>
      <w:r w:rsidR="000078A7" w:rsidRPr="00C34D4A">
        <w:t xml:space="preserve"> in relation to each class of persons in relation to whom the provisions apply</w:t>
      </w:r>
      <w:r w:rsidR="00831656" w:rsidRPr="00C34D4A">
        <w:t xml:space="preserve">, subject to the conditions set out in </w:t>
      </w:r>
      <w:r w:rsidR="00C34D4A" w:rsidRPr="00C34D4A">
        <w:t>subsection (</w:t>
      </w:r>
      <w:r w:rsidR="00831656" w:rsidRPr="00C34D4A">
        <w:t>3)</w:t>
      </w:r>
      <w:r w:rsidR="000937A9" w:rsidRPr="00C34D4A">
        <w:t>:</w:t>
      </w:r>
    </w:p>
    <w:p w14:paraId="7342D173" w14:textId="481CC2AC" w:rsidR="00435E3F" w:rsidRPr="00C34D4A" w:rsidRDefault="000937A9" w:rsidP="000937A9">
      <w:pPr>
        <w:pStyle w:val="paragraph"/>
      </w:pPr>
      <w:r w:rsidRPr="00C34D4A">
        <w:tab/>
        <w:t>(a)</w:t>
      </w:r>
      <w:r w:rsidRPr="00C34D4A">
        <w:tab/>
      </w:r>
      <w:r w:rsidR="00435E3F" w:rsidRPr="00C34D4A">
        <w:t xml:space="preserve">a meeting </w:t>
      </w:r>
      <w:r w:rsidR="00C44773" w:rsidRPr="00C34D4A">
        <w:t>may</w:t>
      </w:r>
      <w:r w:rsidR="00287C2E" w:rsidRPr="00C34D4A">
        <w:t xml:space="preserve"> be held</w:t>
      </w:r>
      <w:r w:rsidR="00435E3F" w:rsidRPr="00C34D4A">
        <w:t xml:space="preserve"> using one or more technologies that give </w:t>
      </w:r>
      <w:r w:rsidR="00431A25" w:rsidRPr="00C34D4A">
        <w:t xml:space="preserve">all </w:t>
      </w:r>
      <w:r w:rsidR="00897A78" w:rsidRPr="00C34D4A">
        <w:t>persons</w:t>
      </w:r>
      <w:r w:rsidR="00431A25" w:rsidRPr="00C34D4A">
        <w:t xml:space="preserve"> entitled to attend a reasonable opportunity to participate</w:t>
      </w:r>
      <w:r w:rsidR="00AD6816" w:rsidRPr="00C34D4A">
        <w:t xml:space="preserve"> </w:t>
      </w:r>
      <w:r w:rsidR="00897A78" w:rsidRPr="00C34D4A">
        <w:t>without being physically</w:t>
      </w:r>
      <w:r w:rsidR="00BB70B7" w:rsidRPr="00C34D4A">
        <w:t xml:space="preserve"> present in the same place</w:t>
      </w:r>
      <w:r w:rsidR="00380285">
        <w:t>, and paragraphs</w:t>
      </w:r>
      <w:r w:rsidR="00042C44" w:rsidRPr="00042C44">
        <w:t> </w:t>
      </w:r>
      <w:r w:rsidR="00380285">
        <w:t>(b) to (e) of this subsection apply if the meeting is held in that way</w:t>
      </w:r>
      <w:r w:rsidR="00D77655" w:rsidRPr="00C34D4A">
        <w:t>;</w:t>
      </w:r>
    </w:p>
    <w:p w14:paraId="656A0F34" w14:textId="4A24CA5D" w:rsidR="000937A9" w:rsidRPr="00C34D4A" w:rsidRDefault="000937A9" w:rsidP="000937A9">
      <w:pPr>
        <w:pStyle w:val="paragraph"/>
      </w:pPr>
      <w:r w:rsidRPr="00C34D4A">
        <w:tab/>
        <w:t>(b)</w:t>
      </w:r>
      <w:r w:rsidRPr="00C34D4A">
        <w:tab/>
        <w:t>all persons so participating in the meeting are taken</w:t>
      </w:r>
      <w:r w:rsidR="009832D1" w:rsidRPr="00C34D4A">
        <w:t xml:space="preserve"> for all purposes (for example, a quorum requirement)</w:t>
      </w:r>
      <w:r w:rsidRPr="00C34D4A">
        <w:t xml:space="preserve"> to </w:t>
      </w:r>
      <w:r w:rsidR="00287C2E" w:rsidRPr="00C34D4A">
        <w:t>be present at</w:t>
      </w:r>
      <w:r w:rsidRPr="00C34D4A">
        <w:t xml:space="preserve"> the</w:t>
      </w:r>
      <w:r w:rsidR="00C45A4C" w:rsidRPr="00C34D4A">
        <w:t xml:space="preserve"> meeting while so participating; </w:t>
      </w:r>
    </w:p>
    <w:p w14:paraId="30D6236B" w14:textId="0CDDABD1" w:rsidR="00C45A4C" w:rsidRPr="00C34D4A" w:rsidRDefault="00C45A4C" w:rsidP="000937A9">
      <w:pPr>
        <w:pStyle w:val="paragraph"/>
      </w:pPr>
      <w:r w:rsidRPr="00C34D4A">
        <w:tab/>
        <w:t>(c)</w:t>
      </w:r>
      <w:r w:rsidRPr="00C34D4A">
        <w:tab/>
        <w:t>a vote taken at the meeting</w:t>
      </w:r>
      <w:r w:rsidR="00F466AF" w:rsidRPr="00C34D4A">
        <w:t xml:space="preserve"> must be taken on a poll, and not on a show of hands,</w:t>
      </w:r>
      <w:r w:rsidRPr="00C34D4A">
        <w:t xml:space="preserve"> </w:t>
      </w:r>
      <w:r w:rsidR="00D77655" w:rsidRPr="00C34D4A">
        <w:t xml:space="preserve">by </w:t>
      </w:r>
      <w:r w:rsidRPr="00C34D4A">
        <w:t xml:space="preserve">using one or more technologies </w:t>
      </w:r>
      <w:r w:rsidR="00D77655" w:rsidRPr="00C34D4A">
        <w:t>to</w:t>
      </w:r>
      <w:r w:rsidRPr="00C34D4A">
        <w:t xml:space="preserve"> give </w:t>
      </w:r>
      <w:r w:rsidR="00D77655" w:rsidRPr="00C34D4A">
        <w:t>each</w:t>
      </w:r>
      <w:r w:rsidRPr="00C34D4A">
        <w:t xml:space="preserve"> </w:t>
      </w:r>
      <w:r w:rsidR="00D77655" w:rsidRPr="00C34D4A">
        <w:t>person</w:t>
      </w:r>
      <w:r w:rsidR="005F3606" w:rsidRPr="00C34D4A">
        <w:t xml:space="preserve"> </w:t>
      </w:r>
      <w:r w:rsidRPr="00C34D4A">
        <w:t xml:space="preserve">entitled to </w:t>
      </w:r>
      <w:r w:rsidR="000422CA" w:rsidRPr="00C34D4A">
        <w:t>vote</w:t>
      </w:r>
      <w:r w:rsidRPr="00C34D4A">
        <w:t xml:space="preserve"> </w:t>
      </w:r>
      <w:r w:rsidR="00AB0181" w:rsidRPr="00C34D4A">
        <w:t>the</w:t>
      </w:r>
      <w:r w:rsidRPr="00C34D4A">
        <w:t xml:space="preserve"> opportunity to participate</w:t>
      </w:r>
      <w:r w:rsidR="000422CA" w:rsidRPr="00C34D4A">
        <w:t xml:space="preserve"> in the vote in real time </w:t>
      </w:r>
      <w:r w:rsidR="00287C2E" w:rsidRPr="00C34D4A">
        <w:t>and</w:t>
      </w:r>
      <w:r w:rsidR="00D77655" w:rsidRPr="00C34D4A">
        <w:t>, where practicable,</w:t>
      </w:r>
      <w:r w:rsidR="000422CA" w:rsidRPr="00C34D4A">
        <w:t xml:space="preserve"> </w:t>
      </w:r>
      <w:r w:rsidR="00D77655" w:rsidRPr="00C34D4A">
        <w:t>by</w:t>
      </w:r>
      <w:r w:rsidR="000422CA" w:rsidRPr="00C34D4A">
        <w:t xml:space="preserve"> record</w:t>
      </w:r>
      <w:r w:rsidR="00D77655" w:rsidRPr="00C34D4A">
        <w:t>ing</w:t>
      </w:r>
      <w:r w:rsidR="000422CA" w:rsidRPr="00C34D4A">
        <w:t xml:space="preserve"> their</w:t>
      </w:r>
      <w:r w:rsidR="00AB0181" w:rsidRPr="00C34D4A">
        <w:t xml:space="preserve"> vote in advance of the meeting; </w:t>
      </w:r>
    </w:p>
    <w:p w14:paraId="22199E6F" w14:textId="4BB788FC" w:rsidR="00AB0181" w:rsidRPr="00C34D4A" w:rsidRDefault="00AB0181" w:rsidP="000937A9">
      <w:pPr>
        <w:pStyle w:val="paragraph"/>
      </w:pPr>
      <w:r w:rsidRPr="00C34D4A">
        <w:tab/>
        <w:t>(d)</w:t>
      </w:r>
      <w:r w:rsidRPr="00C34D4A">
        <w:tab/>
        <w:t>a requirement to allow a</w:t>
      </w:r>
      <w:r w:rsidR="00114FD9" w:rsidRPr="00C34D4A">
        <w:t>n opportunity for</w:t>
      </w:r>
      <w:r w:rsidRPr="00C34D4A">
        <w:t xml:space="preserve"> person</w:t>
      </w:r>
      <w:r w:rsidR="00E164B9" w:rsidRPr="00C34D4A">
        <w:t>s</w:t>
      </w:r>
      <w:r w:rsidRPr="00C34D4A">
        <w:t xml:space="preserve"> attending the meeting to </w:t>
      </w:r>
      <w:r w:rsidR="00114FD9" w:rsidRPr="00C34D4A">
        <w:t xml:space="preserve">speak (for example, by </w:t>
      </w:r>
      <w:r w:rsidRPr="00C34D4A">
        <w:t>ask</w:t>
      </w:r>
      <w:r w:rsidR="00E164B9" w:rsidRPr="00C34D4A">
        <w:t xml:space="preserve">ing </w:t>
      </w:r>
      <w:r w:rsidRPr="00C34D4A">
        <w:t>question</w:t>
      </w:r>
      <w:r w:rsidR="00E164B9" w:rsidRPr="00C34D4A">
        <w:t>s)</w:t>
      </w:r>
      <w:r w:rsidRPr="00C34D4A">
        <w:t xml:space="preserve"> may be complied with by using one or more technologies that </w:t>
      </w:r>
      <w:r w:rsidR="00E164B9" w:rsidRPr="00C34D4A">
        <w:t>allow that opportunity</w:t>
      </w:r>
      <w:r w:rsidR="009A02C3" w:rsidRPr="00C34D4A">
        <w:t>;</w:t>
      </w:r>
    </w:p>
    <w:p w14:paraId="5B0F1259" w14:textId="4C43205F" w:rsidR="0002673E" w:rsidRPr="00C34D4A" w:rsidRDefault="0002673E" w:rsidP="000937A9">
      <w:pPr>
        <w:pStyle w:val="paragraph"/>
      </w:pPr>
      <w:r w:rsidRPr="00C34D4A">
        <w:tab/>
      </w:r>
      <w:r w:rsidR="003A70C7" w:rsidRPr="00C34D4A">
        <w:t>(e</w:t>
      </w:r>
      <w:r w:rsidRPr="00C34D4A">
        <w:t>)</w:t>
      </w:r>
      <w:r w:rsidRPr="00C34D4A">
        <w:tab/>
        <w:t xml:space="preserve">a proxy may be appointed using one or more technologies specified in </w:t>
      </w:r>
      <w:r w:rsidR="00AF3F50">
        <w:t xml:space="preserve">the </w:t>
      </w:r>
      <w:r w:rsidRPr="00C34D4A">
        <w:t>notice of the meeting;</w:t>
      </w:r>
    </w:p>
    <w:p w14:paraId="52E977E1" w14:textId="59E45225" w:rsidR="00765AC3" w:rsidRPr="00C34D4A" w:rsidRDefault="003A70C7" w:rsidP="000937A9">
      <w:pPr>
        <w:pStyle w:val="paragraph"/>
      </w:pPr>
      <w:r w:rsidRPr="00C34D4A">
        <w:tab/>
        <w:t>(f</w:t>
      </w:r>
      <w:r w:rsidR="005B4F76" w:rsidRPr="00C34D4A">
        <w:t>)</w:t>
      </w:r>
      <w:r w:rsidR="005B4F76" w:rsidRPr="00C34D4A">
        <w:tab/>
        <w:t xml:space="preserve">notice of a meeting may be </w:t>
      </w:r>
      <w:r w:rsidR="00E76E9E" w:rsidRPr="00C34D4A">
        <w:t xml:space="preserve">given, and </w:t>
      </w:r>
      <w:r w:rsidR="00A23DD5" w:rsidRPr="00C34D4A">
        <w:t xml:space="preserve">any other information to be provided with notice of a meeting, or at or in relation to a meeting, may be provided, </w:t>
      </w:r>
      <w:r w:rsidR="005B4F76" w:rsidRPr="00C34D4A">
        <w:t xml:space="preserve">using one or more technologies to </w:t>
      </w:r>
      <w:r w:rsidR="00A81938" w:rsidRPr="00C34D4A">
        <w:t xml:space="preserve">communicate </w:t>
      </w:r>
      <w:r w:rsidR="0088020C" w:rsidRPr="00C34D4A">
        <w:t>to those entitled to receive notice of the meeting</w:t>
      </w:r>
      <w:r w:rsidR="00765AC3" w:rsidRPr="00C34D4A">
        <w:t>:</w:t>
      </w:r>
    </w:p>
    <w:p w14:paraId="4BDFC4A4" w14:textId="25422152" w:rsidR="005B4F76" w:rsidRPr="00C34D4A" w:rsidRDefault="00765AC3" w:rsidP="00765AC3">
      <w:pPr>
        <w:pStyle w:val="paragraphsub"/>
      </w:pPr>
      <w:r w:rsidRPr="00C34D4A">
        <w:tab/>
        <w:t>(i)</w:t>
      </w:r>
      <w:r w:rsidRPr="00C34D4A">
        <w:tab/>
      </w:r>
      <w:r w:rsidR="00A81938" w:rsidRPr="00C34D4A">
        <w:t>the contents of the notice</w:t>
      </w:r>
      <w:r w:rsidR="0088020C" w:rsidRPr="00C34D4A">
        <w:t xml:space="preserve"> and </w:t>
      </w:r>
      <w:r w:rsidR="00A23DD5" w:rsidRPr="00C34D4A">
        <w:t>the</w:t>
      </w:r>
      <w:r w:rsidR="0088020C" w:rsidRPr="00C34D4A">
        <w:t xml:space="preserve"> other information</w:t>
      </w:r>
      <w:r w:rsidR="00A81938" w:rsidRPr="00C34D4A">
        <w:t>;</w:t>
      </w:r>
      <w:r w:rsidRPr="00C34D4A">
        <w:t xml:space="preserve"> or</w:t>
      </w:r>
    </w:p>
    <w:p w14:paraId="2D2AA564" w14:textId="25E7F425" w:rsidR="00765AC3" w:rsidRPr="00C34D4A" w:rsidRDefault="00765AC3" w:rsidP="00765AC3">
      <w:pPr>
        <w:pStyle w:val="paragraphsub"/>
      </w:pPr>
      <w:r w:rsidRPr="00C34D4A">
        <w:tab/>
        <w:t>(ii)</w:t>
      </w:r>
      <w:r w:rsidRPr="00C34D4A">
        <w:tab/>
        <w:t xml:space="preserve">details of an online location where the items covered by </w:t>
      </w:r>
      <w:r w:rsidR="00C34D4A" w:rsidRPr="00C34D4A">
        <w:t>subparagraph (</w:t>
      </w:r>
      <w:r w:rsidRPr="00C34D4A">
        <w:t>i) can be viewed or from where they can be downloaded;</w:t>
      </w:r>
    </w:p>
    <w:p w14:paraId="03F23F28" w14:textId="49FB60AE" w:rsidR="002462AD" w:rsidRPr="00C34D4A" w:rsidRDefault="002462AD" w:rsidP="00016D8B">
      <w:pPr>
        <w:pStyle w:val="notepara"/>
        <w:ind w:left="2552" w:hanging="851"/>
      </w:pPr>
      <w:r w:rsidRPr="00C34D4A">
        <w:t>Example:</w:t>
      </w:r>
      <w:r w:rsidRPr="00C34D4A">
        <w:tab/>
      </w:r>
      <w:r w:rsidR="00016D8B" w:rsidRPr="00C34D4A">
        <w:t xml:space="preserve">A company </w:t>
      </w:r>
      <w:r w:rsidR="000045BD" w:rsidRPr="00C34D4A">
        <w:t xml:space="preserve">has email addresses for some of its members. </w:t>
      </w:r>
      <w:r w:rsidR="005F118A" w:rsidRPr="00C34D4A">
        <w:t>Under this paragraph the company could send</w:t>
      </w:r>
      <w:r w:rsidR="000045BD" w:rsidRPr="00C34D4A">
        <w:t xml:space="preserve"> those members an email setting out or attaching notice of a meeting, and other </w:t>
      </w:r>
      <w:r w:rsidR="00BB5F0E">
        <w:t>material</w:t>
      </w:r>
      <w:r w:rsidR="000045BD" w:rsidRPr="00C34D4A">
        <w:t xml:space="preserve"> relating to the meeting, or providing a link to where the notice </w:t>
      </w:r>
      <w:r w:rsidR="005F118A" w:rsidRPr="00C34D4A">
        <w:t xml:space="preserve">and other </w:t>
      </w:r>
      <w:r w:rsidR="00BB5F0E">
        <w:t>material</w:t>
      </w:r>
      <w:r w:rsidR="005F118A" w:rsidRPr="00C34D4A">
        <w:t xml:space="preserve"> can be viewed or downloaded. To the other members the company could send a letter or postcard setting out a URL for viewing </w:t>
      </w:r>
      <w:r w:rsidR="00B10D9F" w:rsidRPr="00C34D4A">
        <w:t>or</w:t>
      </w:r>
      <w:r w:rsidR="005F118A" w:rsidRPr="00C34D4A">
        <w:t xml:space="preserve"> downloading the notice and other </w:t>
      </w:r>
      <w:r w:rsidR="00BB5F0E">
        <w:t>material</w:t>
      </w:r>
      <w:r w:rsidR="005F118A" w:rsidRPr="00C34D4A">
        <w:t>.</w:t>
      </w:r>
    </w:p>
    <w:p w14:paraId="73C463EF" w14:textId="7FE95C2C" w:rsidR="000C7BC8" w:rsidRPr="00C34D4A" w:rsidRDefault="00DF516D" w:rsidP="00435E3F">
      <w:pPr>
        <w:pStyle w:val="subsection"/>
      </w:pPr>
      <w:r w:rsidRPr="00C34D4A">
        <w:tab/>
        <w:t>(2)</w:t>
      </w:r>
      <w:r w:rsidRPr="00C34D4A">
        <w:tab/>
        <w:t xml:space="preserve">The provisions </w:t>
      </w:r>
      <w:r w:rsidR="005B0FF9" w:rsidRPr="00C34D4A">
        <w:t xml:space="preserve">specified are each provision </w:t>
      </w:r>
      <w:r w:rsidR="00672321" w:rsidRPr="00C34D4A">
        <w:t>of the Act</w:t>
      </w:r>
      <w:r w:rsidR="00444D6C">
        <w:t>,</w:t>
      </w:r>
      <w:r w:rsidR="00672321" w:rsidRPr="00C34D4A">
        <w:t xml:space="preserve"> the r</w:t>
      </w:r>
      <w:r w:rsidR="005B0FF9" w:rsidRPr="00C34D4A">
        <w:t>egulations</w:t>
      </w:r>
      <w:r w:rsidR="00444D6C">
        <w:t>, the Insolvency Practice rules, and the Passport Rules for this jurisdiction,</w:t>
      </w:r>
      <w:r w:rsidR="005B0FF9" w:rsidRPr="00C34D4A">
        <w:t xml:space="preserve"> that</w:t>
      </w:r>
      <w:r w:rsidR="000C7BC8" w:rsidRPr="00C34D4A">
        <w:t>:</w:t>
      </w:r>
    </w:p>
    <w:p w14:paraId="098D28EF" w14:textId="53D68998" w:rsidR="00DF516D" w:rsidRPr="00C34D4A" w:rsidRDefault="009B111B" w:rsidP="009B111B">
      <w:pPr>
        <w:pStyle w:val="paragraph"/>
      </w:pPr>
      <w:r w:rsidRPr="00C34D4A">
        <w:tab/>
        <w:t>(a)</w:t>
      </w:r>
      <w:r w:rsidRPr="00C34D4A">
        <w:tab/>
      </w:r>
      <w:r w:rsidR="00936C17" w:rsidRPr="00C34D4A">
        <w:t xml:space="preserve">requires </w:t>
      </w:r>
      <w:r w:rsidR="005B0FF9" w:rsidRPr="00C34D4A">
        <w:t xml:space="preserve">or </w:t>
      </w:r>
      <w:r w:rsidR="00936C17" w:rsidRPr="00C34D4A">
        <w:t xml:space="preserve">permits </w:t>
      </w:r>
      <w:r w:rsidR="005B0FF9" w:rsidRPr="00C34D4A">
        <w:t>a meeting to be held</w:t>
      </w:r>
      <w:r w:rsidR="00936C17" w:rsidRPr="00C34D4A">
        <w:t>,</w:t>
      </w:r>
      <w:r w:rsidR="005B0FF9" w:rsidRPr="00C34D4A">
        <w:t xml:space="preserve"> or regulates giving notice of a meet</w:t>
      </w:r>
      <w:r w:rsidRPr="00C34D4A">
        <w:t>ing or the conduct of a meeting; or</w:t>
      </w:r>
    </w:p>
    <w:p w14:paraId="68696FCC" w14:textId="31876C0E" w:rsidR="009B111B" w:rsidRPr="00C34D4A" w:rsidRDefault="009B111B" w:rsidP="009B111B">
      <w:pPr>
        <w:pStyle w:val="paragraph"/>
      </w:pPr>
      <w:r w:rsidRPr="00C34D4A">
        <w:tab/>
        <w:t>(b)</w:t>
      </w:r>
      <w:r w:rsidRPr="00C34D4A">
        <w:tab/>
        <w:t>gives effect to, or provides a means of enforcing, a provision in the constitution of a company or registered scheme, or in any other arrangement, that requires or permits a meeting to be held, or regulates giving notice of a meeting or the conduct of a meeting.</w:t>
      </w:r>
    </w:p>
    <w:p w14:paraId="7AE034BF" w14:textId="44E08AEF" w:rsidR="00831656" w:rsidRPr="00C34D4A" w:rsidRDefault="00831656" w:rsidP="00831656">
      <w:pPr>
        <w:pStyle w:val="subsection"/>
      </w:pPr>
      <w:r w:rsidRPr="00C34D4A">
        <w:tab/>
        <w:t>(3)</w:t>
      </w:r>
      <w:r w:rsidRPr="00C34D4A">
        <w:tab/>
        <w:t xml:space="preserve">The modifications in </w:t>
      </w:r>
      <w:r w:rsidR="00C34D4A" w:rsidRPr="00C34D4A">
        <w:t>subsection (</w:t>
      </w:r>
      <w:r w:rsidRPr="00C34D4A">
        <w:t>1) are subject to the following conditions:</w:t>
      </w:r>
    </w:p>
    <w:p w14:paraId="0654817F" w14:textId="24CFD602" w:rsidR="00231E8F" w:rsidRPr="00C34D4A" w:rsidRDefault="00831656" w:rsidP="00831656">
      <w:pPr>
        <w:pStyle w:val="paragraph"/>
      </w:pPr>
      <w:r w:rsidRPr="00C34D4A">
        <w:tab/>
        <w:t>(a)</w:t>
      </w:r>
      <w:r w:rsidRPr="00C34D4A">
        <w:tab/>
      </w:r>
      <w:r w:rsidR="00231E8F" w:rsidRPr="00C34D4A">
        <w:t xml:space="preserve">the person required </w:t>
      </w:r>
      <w:r w:rsidR="0091426F" w:rsidRPr="00C34D4A">
        <w:t xml:space="preserve">or permitted </w:t>
      </w:r>
      <w:r w:rsidR="00231E8F" w:rsidRPr="00C34D4A">
        <w:t xml:space="preserve">to give notice of </w:t>
      </w:r>
      <w:r w:rsidR="00380285">
        <w:t>a</w:t>
      </w:r>
      <w:r w:rsidR="00231E8F" w:rsidRPr="00C34D4A">
        <w:t xml:space="preserve"> meeting</w:t>
      </w:r>
      <w:r w:rsidR="00380285">
        <w:t xml:space="preserve"> that is held as mentioned in paragraph</w:t>
      </w:r>
      <w:r w:rsidR="00042C44" w:rsidRPr="00042C44">
        <w:t> </w:t>
      </w:r>
      <w:r w:rsidR="00380285">
        <w:t>(1)(a)</w:t>
      </w:r>
      <w:r w:rsidR="00636F83" w:rsidRPr="00C34D4A">
        <w:t xml:space="preserve"> must </w:t>
      </w:r>
      <w:r w:rsidR="005B4F76" w:rsidRPr="00C34D4A">
        <w:t>include in the notice</w:t>
      </w:r>
      <w:r w:rsidR="00636F83" w:rsidRPr="00C34D4A">
        <w:t xml:space="preserve"> information about how </w:t>
      </w:r>
      <w:r w:rsidR="005B4F76" w:rsidRPr="00C34D4A">
        <w:t>those entitled to attend</w:t>
      </w:r>
      <w:r w:rsidR="00636F83" w:rsidRPr="00C34D4A">
        <w:t xml:space="preserve"> can participate in the meeting (including how they can participate in a vote taken at the meeting, and speak at the meeting, to the extent they are entitled to do so);</w:t>
      </w:r>
    </w:p>
    <w:p w14:paraId="72F88D38" w14:textId="60CF2D7B" w:rsidR="00831656" w:rsidRPr="00C34D4A" w:rsidRDefault="00231E8F" w:rsidP="00831656">
      <w:pPr>
        <w:pStyle w:val="paragraph"/>
      </w:pPr>
      <w:r w:rsidRPr="00C34D4A">
        <w:tab/>
        <w:t>(</w:t>
      </w:r>
      <w:r w:rsidR="00B24F90" w:rsidRPr="00C34D4A">
        <w:t>b</w:t>
      </w:r>
      <w:r w:rsidRPr="00C34D4A">
        <w:t>)</w:t>
      </w:r>
      <w:r w:rsidRPr="00C34D4A">
        <w:tab/>
      </w:r>
      <w:r w:rsidR="004D42B7" w:rsidRPr="00C34D4A">
        <w:t xml:space="preserve">if notice of the meeting had already been given before the commencement of this section, </w:t>
      </w:r>
      <w:r w:rsidR="00741926" w:rsidRPr="00C34D4A">
        <w:t xml:space="preserve">the person required </w:t>
      </w:r>
      <w:r w:rsidR="0091426F" w:rsidRPr="00C34D4A">
        <w:t xml:space="preserve">or permitted </w:t>
      </w:r>
      <w:r w:rsidR="00741926" w:rsidRPr="00C34D4A">
        <w:t>to give notice of the meeting must</w:t>
      </w:r>
      <w:r w:rsidR="00D42C7B" w:rsidRPr="00C34D4A">
        <w:t>, at least 7 days before the meeting is held,</w:t>
      </w:r>
      <w:r w:rsidR="00741926" w:rsidRPr="00C34D4A">
        <w:t xml:space="preserve"> </w:t>
      </w:r>
      <w:r w:rsidR="00002339" w:rsidRPr="00C34D4A">
        <w:t xml:space="preserve">give a fresh notice of the meeting that </w:t>
      </w:r>
      <w:r w:rsidR="005B4F76" w:rsidRPr="00C34D4A">
        <w:t>includes the information referred to in</w:t>
      </w:r>
      <w:r w:rsidR="00AC71FF" w:rsidRPr="00C34D4A">
        <w:t xml:space="preserve"> </w:t>
      </w:r>
      <w:r w:rsidR="00C34D4A" w:rsidRPr="00C34D4A">
        <w:t>paragraph (</w:t>
      </w:r>
      <w:r w:rsidR="00AC71FF" w:rsidRPr="00C34D4A">
        <w:t>a</w:t>
      </w:r>
      <w:r w:rsidR="00741926" w:rsidRPr="00C34D4A">
        <w:t xml:space="preserve">) </w:t>
      </w:r>
      <w:r w:rsidR="00AC71FF" w:rsidRPr="00C34D4A">
        <w:t>of this subsection</w:t>
      </w:r>
      <w:r w:rsidR="00831656" w:rsidRPr="00C34D4A">
        <w:t>;</w:t>
      </w:r>
    </w:p>
    <w:p w14:paraId="444EA45D" w14:textId="67D1C374" w:rsidR="00D05D04" w:rsidRPr="00C34D4A" w:rsidRDefault="00D05D04" w:rsidP="00831656">
      <w:pPr>
        <w:pStyle w:val="paragraph"/>
      </w:pPr>
      <w:r w:rsidRPr="00C34D4A">
        <w:tab/>
        <w:t>(</w:t>
      </w:r>
      <w:r w:rsidR="00B24F90" w:rsidRPr="00C34D4A">
        <w:t>c</w:t>
      </w:r>
      <w:r w:rsidRPr="00C34D4A">
        <w:t>)</w:t>
      </w:r>
      <w:r w:rsidRPr="00C34D4A">
        <w:tab/>
        <w:t xml:space="preserve">if a person (the </w:t>
      </w:r>
      <w:r w:rsidRPr="00C34D4A">
        <w:rPr>
          <w:b/>
          <w:i/>
        </w:rPr>
        <w:t>appointer</w:t>
      </w:r>
      <w:r w:rsidRPr="00C34D4A">
        <w:t xml:space="preserve">) is entitled to attend the meeting, or to vote at the meeting, by proxy, the person conducting the meeting must treat a duly appointed </w:t>
      </w:r>
      <w:r w:rsidR="00D571B1" w:rsidRPr="00C34D4A">
        <w:t xml:space="preserve">proxy </w:t>
      </w:r>
      <w:r w:rsidRPr="00C34D4A">
        <w:t>in the same way as the appointer would be entitled or required to be treated if he or she attended the meeting in person.</w:t>
      </w:r>
    </w:p>
    <w:p w14:paraId="180469EA" w14:textId="07B7DAE4" w:rsidR="002C1933" w:rsidRPr="00C34D4A" w:rsidRDefault="002C1933" w:rsidP="00201D69">
      <w:pPr>
        <w:pStyle w:val="ActHead2"/>
        <w:pageBreakBefore/>
      </w:pPr>
      <w:bookmarkStart w:id="31" w:name="_Toc36471616"/>
      <w:bookmarkStart w:id="32" w:name="_Toc36476499"/>
      <w:r w:rsidRPr="00042C44">
        <w:rPr>
          <w:rStyle w:val="CharPartNo"/>
        </w:rPr>
        <w:t>Part</w:t>
      </w:r>
      <w:r w:rsidR="00C34D4A" w:rsidRPr="00042C44">
        <w:rPr>
          <w:rStyle w:val="CharPartNo"/>
        </w:rPr>
        <w:t> </w:t>
      </w:r>
      <w:r w:rsidRPr="00042C44">
        <w:rPr>
          <w:rStyle w:val="CharPartNo"/>
        </w:rPr>
        <w:t>3</w:t>
      </w:r>
      <w:r w:rsidRPr="00C34D4A">
        <w:t>—</w:t>
      </w:r>
      <w:r w:rsidRPr="00042C44">
        <w:rPr>
          <w:rStyle w:val="CharPartText"/>
        </w:rPr>
        <w:t>Execution of company documents</w:t>
      </w:r>
      <w:bookmarkEnd w:id="31"/>
      <w:bookmarkEnd w:id="32"/>
    </w:p>
    <w:p w14:paraId="0C058390" w14:textId="1F2EB1E9" w:rsidR="00297D92" w:rsidRPr="00042C44" w:rsidRDefault="00297D92" w:rsidP="00297D92">
      <w:pPr>
        <w:pStyle w:val="Header"/>
      </w:pPr>
      <w:r w:rsidRPr="00042C44">
        <w:rPr>
          <w:rStyle w:val="CharDivNo"/>
        </w:rPr>
        <w:t xml:space="preserve"> </w:t>
      </w:r>
      <w:r w:rsidRPr="00042C44">
        <w:rPr>
          <w:rStyle w:val="CharDivText"/>
        </w:rPr>
        <w:t xml:space="preserve"> </w:t>
      </w:r>
    </w:p>
    <w:p w14:paraId="7C5FFF96" w14:textId="77777777" w:rsidR="002C1933" w:rsidRPr="00C34D4A" w:rsidRDefault="00614813" w:rsidP="00201D69">
      <w:pPr>
        <w:pStyle w:val="ActHead5"/>
      </w:pPr>
      <w:bookmarkStart w:id="33" w:name="_Toc36471617"/>
      <w:bookmarkStart w:id="34" w:name="_Toc36476500"/>
      <w:r w:rsidRPr="00C34D4A">
        <w:rPr>
          <w:rStyle w:val="CharSectno"/>
        </w:rPr>
        <w:t>6</w:t>
      </w:r>
      <w:r w:rsidR="002C1933" w:rsidRPr="00C34D4A">
        <w:t xml:space="preserve">  </w:t>
      </w:r>
      <w:r w:rsidR="00256012" w:rsidRPr="00C34D4A">
        <w:t>Methods of executing document</w:t>
      </w:r>
      <w:bookmarkEnd w:id="33"/>
      <w:bookmarkEnd w:id="34"/>
    </w:p>
    <w:p w14:paraId="09DD0592" w14:textId="63593B3F" w:rsidR="001B1F39" w:rsidRPr="00C34D4A" w:rsidRDefault="00201D69" w:rsidP="001B1F39">
      <w:pPr>
        <w:pStyle w:val="subsection"/>
      </w:pPr>
      <w:r w:rsidRPr="00C34D4A">
        <w:tab/>
      </w:r>
      <w:r w:rsidR="002C1933" w:rsidRPr="00C34D4A">
        <w:t>(1)</w:t>
      </w:r>
      <w:r w:rsidR="002C1933" w:rsidRPr="00C34D4A">
        <w:tab/>
      </w:r>
      <w:r w:rsidR="00A02E90" w:rsidRPr="00C34D4A">
        <w:t xml:space="preserve">The operation of </w:t>
      </w:r>
      <w:r w:rsidR="00055C3D" w:rsidRPr="00C34D4A">
        <w:t>sub</w:t>
      </w:r>
      <w:r w:rsidR="00A02E90" w:rsidRPr="00C34D4A">
        <w:t>section</w:t>
      </w:r>
      <w:r w:rsidR="00042C44" w:rsidRPr="00042C44">
        <w:t> </w:t>
      </w:r>
      <w:r w:rsidR="00A02E90" w:rsidRPr="00C34D4A">
        <w:t>127</w:t>
      </w:r>
      <w:r w:rsidR="00055C3D" w:rsidRPr="00C34D4A">
        <w:t>(1)</w:t>
      </w:r>
      <w:r w:rsidR="00A02E90" w:rsidRPr="00C34D4A">
        <w:t xml:space="preserve"> of the Act </w:t>
      </w:r>
      <w:r w:rsidR="001B1F39" w:rsidRPr="00C34D4A">
        <w:t>is modified</w:t>
      </w:r>
      <w:r w:rsidR="00D01AF5" w:rsidRPr="00C34D4A">
        <w:t>,</w:t>
      </w:r>
      <w:r w:rsidR="001B1F39" w:rsidRPr="00C34D4A">
        <w:t xml:space="preserve"> as </w:t>
      </w:r>
      <w:r w:rsidR="002C15A7" w:rsidRPr="00C34D4A">
        <w:t>set out in this section</w:t>
      </w:r>
      <w:r w:rsidR="001B1F39" w:rsidRPr="00C34D4A">
        <w:t xml:space="preserve">, in relation to </w:t>
      </w:r>
      <w:r w:rsidR="00A02E90" w:rsidRPr="00C34D4A">
        <w:t xml:space="preserve">companies, directors of companies, company secretaries, and </w:t>
      </w:r>
      <w:r w:rsidR="001B1F39" w:rsidRPr="00C34D4A">
        <w:t xml:space="preserve">persons </w:t>
      </w:r>
      <w:r w:rsidR="00FD2477" w:rsidRPr="00C34D4A">
        <w:t>having dealings with</w:t>
      </w:r>
      <w:r w:rsidR="00805648" w:rsidRPr="00C34D4A">
        <w:t xml:space="preserve"> companies</w:t>
      </w:r>
      <w:r w:rsidR="002C15A7" w:rsidRPr="00C34D4A">
        <w:t>.</w:t>
      </w:r>
    </w:p>
    <w:p w14:paraId="7F2B710D" w14:textId="77777777" w:rsidR="00AA1066" w:rsidRPr="00C34D4A" w:rsidRDefault="001B1F39" w:rsidP="00AA1066">
      <w:pPr>
        <w:pStyle w:val="subsection"/>
      </w:pPr>
      <w:r w:rsidRPr="00C34D4A">
        <w:tab/>
        <w:t>(</w:t>
      </w:r>
      <w:r w:rsidR="002C15A7" w:rsidRPr="00C34D4A">
        <w:t>2</w:t>
      </w:r>
      <w:r w:rsidRPr="00C34D4A">
        <w:t>)</w:t>
      </w:r>
      <w:r w:rsidRPr="00C34D4A">
        <w:tab/>
      </w:r>
      <w:r w:rsidR="00AA1066" w:rsidRPr="00C34D4A">
        <w:t>In this section:</w:t>
      </w:r>
    </w:p>
    <w:p w14:paraId="409CF6B6" w14:textId="77777777" w:rsidR="00AA1066" w:rsidRPr="00C34D4A" w:rsidRDefault="00AA1066" w:rsidP="00AA1066">
      <w:pPr>
        <w:pStyle w:val="Definition"/>
      </w:pPr>
      <w:r w:rsidRPr="00C34D4A">
        <w:rPr>
          <w:b/>
          <w:i/>
        </w:rPr>
        <w:t>document</w:t>
      </w:r>
      <w:r w:rsidRPr="00C34D4A">
        <w:t xml:space="preserve"> include</w:t>
      </w:r>
      <w:r w:rsidR="008F78E8" w:rsidRPr="00C34D4A">
        <w:t>s a document in electronic form.</w:t>
      </w:r>
    </w:p>
    <w:p w14:paraId="60B168AD" w14:textId="527EC674" w:rsidR="000D5213" w:rsidRPr="00C34D4A" w:rsidRDefault="00AA1066" w:rsidP="002C15A7">
      <w:pPr>
        <w:pStyle w:val="subsection"/>
      </w:pPr>
      <w:r w:rsidRPr="00C34D4A">
        <w:tab/>
        <w:t>(3)</w:t>
      </w:r>
      <w:r w:rsidRPr="00C34D4A">
        <w:tab/>
      </w:r>
      <w:r w:rsidR="002C15A7" w:rsidRPr="00C34D4A">
        <w:t>A</w:t>
      </w:r>
      <w:r w:rsidR="007A26F1" w:rsidRPr="00C34D4A">
        <w:t xml:space="preserve"> company may </w:t>
      </w:r>
      <w:r w:rsidR="00E606F5" w:rsidRPr="00C34D4A">
        <w:t xml:space="preserve">also </w:t>
      </w:r>
      <w:r w:rsidR="007A26F1" w:rsidRPr="00C34D4A">
        <w:t xml:space="preserve">execute a document without using a common seal if each </w:t>
      </w:r>
      <w:r w:rsidR="00AF725E" w:rsidRPr="00C34D4A">
        <w:t xml:space="preserve">person </w:t>
      </w:r>
      <w:r w:rsidR="007A26F1" w:rsidRPr="00C34D4A">
        <w:t>specified in paragraph</w:t>
      </w:r>
      <w:r w:rsidR="00042C44" w:rsidRPr="00042C44">
        <w:t xml:space="preserve"> </w:t>
      </w:r>
      <w:r w:rsidR="007A26F1" w:rsidRPr="00C34D4A">
        <w:t>127(1)(a), (b) or (c), as the case requires</w:t>
      </w:r>
      <w:r w:rsidR="003342A5" w:rsidRPr="00C34D4A">
        <w:t xml:space="preserve">, </w:t>
      </w:r>
      <w:r w:rsidRPr="00C34D4A">
        <w:t xml:space="preserve">of the Act </w:t>
      </w:r>
      <w:r w:rsidR="003342A5" w:rsidRPr="00C34D4A">
        <w:t>either</w:t>
      </w:r>
      <w:r w:rsidR="000D5213" w:rsidRPr="00C34D4A">
        <w:t>:</w:t>
      </w:r>
    </w:p>
    <w:p w14:paraId="11099668" w14:textId="77777777" w:rsidR="000D5213" w:rsidRPr="00C34D4A" w:rsidRDefault="000D5213" w:rsidP="002C15A7">
      <w:pPr>
        <w:pStyle w:val="paragraph"/>
      </w:pPr>
      <w:r w:rsidRPr="00C34D4A">
        <w:tab/>
        <w:t>(</w:t>
      </w:r>
      <w:r w:rsidR="002C15A7" w:rsidRPr="00C34D4A">
        <w:t>a</w:t>
      </w:r>
      <w:r w:rsidRPr="00C34D4A">
        <w:t>)</w:t>
      </w:r>
      <w:r w:rsidRPr="00C34D4A">
        <w:tab/>
        <w:t xml:space="preserve">signs a copy </w:t>
      </w:r>
      <w:r w:rsidR="002E0D0E" w:rsidRPr="00C34D4A">
        <w:t xml:space="preserve">or counterpart </w:t>
      </w:r>
      <w:r w:rsidRPr="00C34D4A">
        <w:t>of the document</w:t>
      </w:r>
      <w:r w:rsidR="002E0D0E" w:rsidRPr="00C34D4A">
        <w:t xml:space="preserve"> that is in a physical form</w:t>
      </w:r>
      <w:r w:rsidRPr="00C34D4A">
        <w:t>; or</w:t>
      </w:r>
    </w:p>
    <w:p w14:paraId="37DBDA4A" w14:textId="472824B7" w:rsidR="00B011FC" w:rsidRPr="00C34D4A" w:rsidRDefault="000D5213" w:rsidP="002C15A7">
      <w:pPr>
        <w:pStyle w:val="paragraph"/>
      </w:pPr>
      <w:r w:rsidRPr="00C34D4A">
        <w:tab/>
        <w:t>(</w:t>
      </w:r>
      <w:r w:rsidR="002C15A7" w:rsidRPr="00C34D4A">
        <w:t>b</w:t>
      </w:r>
      <w:r w:rsidRPr="00C34D4A">
        <w:t>)</w:t>
      </w:r>
      <w:r w:rsidRPr="00C34D4A">
        <w:tab/>
        <w:t>complies with</w:t>
      </w:r>
      <w:r w:rsidR="0077118E" w:rsidRPr="00C34D4A">
        <w:t xml:space="preserve"> </w:t>
      </w:r>
      <w:r w:rsidR="00C34D4A" w:rsidRPr="00C34D4A">
        <w:t>subsection (</w:t>
      </w:r>
      <w:r w:rsidR="0077118E" w:rsidRPr="00C34D4A">
        <w:t>4</w:t>
      </w:r>
      <w:r w:rsidR="002C15A7" w:rsidRPr="00C34D4A">
        <w:t>)</w:t>
      </w:r>
      <w:r w:rsidR="005C5D0B" w:rsidRPr="00C34D4A">
        <w:t xml:space="preserve"> of this section</w:t>
      </w:r>
      <w:r w:rsidRPr="00C34D4A">
        <w:t xml:space="preserve"> in relation to an electronic communication (within the meaning of the </w:t>
      </w:r>
      <w:r w:rsidRPr="00C34D4A">
        <w:rPr>
          <w:i/>
        </w:rPr>
        <w:t>Electronic Transactions Act 1999</w:t>
      </w:r>
      <w:r w:rsidRPr="00C34D4A">
        <w:t>)</w:t>
      </w:r>
      <w:r w:rsidR="00AA1066" w:rsidRPr="00C34D4A">
        <w:t>.</w:t>
      </w:r>
    </w:p>
    <w:p w14:paraId="08521FCE" w14:textId="4F621708" w:rsidR="001B1F39" w:rsidRPr="00C34D4A" w:rsidRDefault="00B011FC" w:rsidP="00B011FC">
      <w:pPr>
        <w:pStyle w:val="subsection2"/>
      </w:pPr>
      <w:r w:rsidRPr="00C34D4A">
        <w:t>The copy</w:t>
      </w:r>
      <w:r w:rsidR="003B1981">
        <w:t>, counterpart</w:t>
      </w:r>
      <w:r w:rsidRPr="00C34D4A">
        <w:t xml:space="preserve"> or electronic communication must</w:t>
      </w:r>
      <w:r w:rsidR="000D5213" w:rsidRPr="00C34D4A">
        <w:t xml:space="preserve"> </w:t>
      </w:r>
      <w:r w:rsidRPr="00C34D4A">
        <w:t>include</w:t>
      </w:r>
      <w:r w:rsidR="002C15A7" w:rsidRPr="00C34D4A">
        <w:t xml:space="preserve"> the </w:t>
      </w:r>
      <w:r w:rsidR="001C32CC" w:rsidRPr="00C34D4A">
        <w:t>entire contents of the document</w:t>
      </w:r>
      <w:r w:rsidRPr="00C34D4A">
        <w:t xml:space="preserve">, </w:t>
      </w:r>
      <w:r w:rsidR="0090365C" w:rsidRPr="00C34D4A">
        <w:t>but need not include</w:t>
      </w:r>
      <w:r w:rsidR="002C15A7" w:rsidRPr="00C34D4A">
        <w:t xml:space="preserve"> the signature of anoth</w:t>
      </w:r>
      <w:r w:rsidR="001C32CC" w:rsidRPr="00C34D4A">
        <w:t xml:space="preserve">er person signing the document </w:t>
      </w:r>
      <w:r w:rsidR="00AA1066" w:rsidRPr="00C34D4A">
        <w:t>nor</w:t>
      </w:r>
      <w:r w:rsidR="001C32CC" w:rsidRPr="00C34D4A">
        <w:t xml:space="preserve"> </w:t>
      </w:r>
      <w:r w:rsidR="002C15A7" w:rsidRPr="00C34D4A">
        <w:t>any material included in the doc</w:t>
      </w:r>
      <w:r w:rsidR="000B143F" w:rsidRPr="00C34D4A">
        <w:t xml:space="preserve">ument because of </w:t>
      </w:r>
      <w:r w:rsidR="00C34D4A" w:rsidRPr="00C34D4A">
        <w:t>subsection (</w:t>
      </w:r>
      <w:r w:rsidR="000B143F" w:rsidRPr="00C34D4A">
        <w:t>4</w:t>
      </w:r>
      <w:r w:rsidR="002C15A7" w:rsidRPr="00C34D4A">
        <w:t>)</w:t>
      </w:r>
      <w:r w:rsidRPr="00C34D4A">
        <w:t xml:space="preserve"> of this section</w:t>
      </w:r>
      <w:r w:rsidR="002C15A7" w:rsidRPr="00C34D4A">
        <w:t>.</w:t>
      </w:r>
    </w:p>
    <w:p w14:paraId="519AC9EC" w14:textId="77777777" w:rsidR="001B1F39" w:rsidRPr="00C34D4A" w:rsidRDefault="0077118E" w:rsidP="00201D69">
      <w:pPr>
        <w:pStyle w:val="subsection"/>
      </w:pPr>
      <w:r w:rsidRPr="00C34D4A">
        <w:tab/>
        <w:t>(4</w:t>
      </w:r>
      <w:r w:rsidR="00AF725E" w:rsidRPr="00C34D4A">
        <w:t>)</w:t>
      </w:r>
      <w:r w:rsidR="00AF725E" w:rsidRPr="00C34D4A">
        <w:tab/>
      </w:r>
      <w:r w:rsidR="004A6D10" w:rsidRPr="00C34D4A">
        <w:t xml:space="preserve">A person complies with this </w:t>
      </w:r>
      <w:r w:rsidR="004F31E4" w:rsidRPr="00C34D4A">
        <w:t>sub</w:t>
      </w:r>
      <w:r w:rsidR="004A6D10" w:rsidRPr="00C34D4A">
        <w:t>section if:</w:t>
      </w:r>
    </w:p>
    <w:p w14:paraId="3A414364" w14:textId="77777777" w:rsidR="004A6D10" w:rsidRPr="00C34D4A" w:rsidRDefault="004A6D10" w:rsidP="004A6D10">
      <w:pPr>
        <w:pStyle w:val="paragraph"/>
      </w:pPr>
      <w:r w:rsidRPr="00C34D4A">
        <w:tab/>
        <w:t>(a)</w:t>
      </w:r>
      <w:r w:rsidRPr="00C34D4A">
        <w:tab/>
        <w:t>a method is used to identify the person</w:t>
      </w:r>
      <w:r w:rsidR="00A94708" w:rsidRPr="00C34D4A">
        <w:t xml:space="preserve"> in the electronic communication</w:t>
      </w:r>
      <w:r w:rsidRPr="00C34D4A">
        <w:t xml:space="preserve"> and to indicate the person’s intention in respect of the contents of the document; and</w:t>
      </w:r>
    </w:p>
    <w:p w14:paraId="74C3394D" w14:textId="77777777" w:rsidR="004A6D10" w:rsidRPr="00C34D4A" w:rsidRDefault="004A6D10" w:rsidP="004A6D10">
      <w:pPr>
        <w:pStyle w:val="paragraph"/>
      </w:pPr>
      <w:r w:rsidRPr="00C34D4A">
        <w:tab/>
        <w:t>(b)</w:t>
      </w:r>
      <w:r w:rsidRPr="00C34D4A">
        <w:tab/>
        <w:t>the method:</w:t>
      </w:r>
    </w:p>
    <w:p w14:paraId="007A4759" w14:textId="77777777" w:rsidR="004A6D10" w:rsidRPr="00C34D4A" w:rsidRDefault="004A6D10" w:rsidP="004A6D10">
      <w:pPr>
        <w:pStyle w:val="paragraphsub"/>
      </w:pPr>
      <w:r w:rsidRPr="00C34D4A">
        <w:tab/>
        <w:t>(i)</w:t>
      </w:r>
      <w:r w:rsidRPr="00C34D4A">
        <w:tab/>
      </w:r>
      <w:r w:rsidR="002B6B6C" w:rsidRPr="00C34D4A">
        <w:t xml:space="preserve">is </w:t>
      </w:r>
      <w:r w:rsidRPr="00C34D4A">
        <w:t>as reliable as appropriate for the purpose for which the company is executing the document, in light of all the circumstances, including any relevant agreement; or</w:t>
      </w:r>
    </w:p>
    <w:p w14:paraId="4D9AFFC1" w14:textId="3751EE23" w:rsidR="00F3565B" w:rsidRPr="00C34D4A" w:rsidRDefault="004A6D10" w:rsidP="001C7351">
      <w:pPr>
        <w:pStyle w:val="paragraphsub"/>
      </w:pPr>
      <w:r w:rsidRPr="00C34D4A">
        <w:tab/>
        <w:t>(ii)</w:t>
      </w:r>
      <w:r w:rsidRPr="00C34D4A">
        <w:tab/>
      </w:r>
      <w:r w:rsidR="002B6B6C" w:rsidRPr="00C34D4A">
        <w:t xml:space="preserve">is </w:t>
      </w:r>
      <w:r w:rsidR="00A94708" w:rsidRPr="00C34D4A">
        <w:t xml:space="preserve">proven in fact to have fulfilled the functions described in </w:t>
      </w:r>
      <w:r w:rsidR="00C34D4A" w:rsidRPr="00C34D4A">
        <w:t>paragraph (</w:t>
      </w:r>
      <w:r w:rsidR="00A94708" w:rsidRPr="00C34D4A">
        <w:t>a), by itself or together with further evidence</w:t>
      </w:r>
      <w:r w:rsidR="0066458B" w:rsidRPr="00C34D4A">
        <w:t>.</w:t>
      </w:r>
    </w:p>
    <w:p w14:paraId="4CF728A2" w14:textId="404D328D" w:rsidR="001C32CC" w:rsidRPr="00C34D4A" w:rsidRDefault="009F1827" w:rsidP="001C32CC">
      <w:pPr>
        <w:pStyle w:val="ActHead5"/>
      </w:pPr>
      <w:bookmarkStart w:id="35" w:name="_Toc36471618"/>
      <w:bookmarkStart w:id="36" w:name="_Toc36476501"/>
      <w:r w:rsidRPr="00A432DC">
        <w:rPr>
          <w:rStyle w:val="CharSectno"/>
        </w:rPr>
        <w:t>7</w:t>
      </w:r>
      <w:r w:rsidR="001C32CC" w:rsidRPr="00C34D4A">
        <w:t xml:space="preserve">  </w:t>
      </w:r>
      <w:r w:rsidR="00701F5F" w:rsidRPr="00C34D4A">
        <w:t>Assumptions that can be made about execution of document</w:t>
      </w:r>
      <w:bookmarkEnd w:id="35"/>
      <w:bookmarkEnd w:id="36"/>
      <w:r w:rsidR="00701F5F" w:rsidRPr="00C34D4A">
        <w:t xml:space="preserve"> </w:t>
      </w:r>
    </w:p>
    <w:p w14:paraId="40DEB6DA" w14:textId="046754C1" w:rsidR="00F13263" w:rsidRPr="00C34D4A" w:rsidRDefault="00F13263" w:rsidP="00F13263">
      <w:pPr>
        <w:pStyle w:val="subsection"/>
      </w:pPr>
      <w:r w:rsidRPr="00C34D4A">
        <w:tab/>
        <w:t>(1)</w:t>
      </w:r>
      <w:r w:rsidRPr="00C34D4A">
        <w:tab/>
        <w:t>The operation of subsection</w:t>
      </w:r>
      <w:r w:rsidR="00C34D4A" w:rsidRPr="00C34D4A">
        <w:t> </w:t>
      </w:r>
      <w:r w:rsidRPr="00C34D4A">
        <w:t>129(5) of the Act is modified, as set out in this section, in relation to companies and persons having dealing</w:t>
      </w:r>
      <w:r w:rsidR="0074190F">
        <w:t>s</w:t>
      </w:r>
      <w:r w:rsidRPr="00C34D4A">
        <w:t xml:space="preserve"> with companies.</w:t>
      </w:r>
    </w:p>
    <w:p w14:paraId="3B19A788" w14:textId="2C870077" w:rsidR="001656BD" w:rsidRPr="00C34D4A" w:rsidRDefault="00F13263" w:rsidP="00F13263">
      <w:pPr>
        <w:pStyle w:val="subsection"/>
      </w:pPr>
      <w:r w:rsidRPr="00C34D4A">
        <w:tab/>
        <w:t>(2)</w:t>
      </w:r>
      <w:r w:rsidRPr="00C34D4A">
        <w:tab/>
        <w:t xml:space="preserve">A </w:t>
      </w:r>
      <w:r w:rsidR="001656BD" w:rsidRPr="00C34D4A">
        <w:t xml:space="preserve">reference to a document </w:t>
      </w:r>
      <w:r w:rsidRPr="00C34D4A">
        <w:t>appearing to have</w:t>
      </w:r>
      <w:r w:rsidR="001656BD" w:rsidRPr="00C34D4A">
        <w:t xml:space="preserve"> been signed in accordance with subsection</w:t>
      </w:r>
      <w:r w:rsidR="00042C44" w:rsidRPr="00042C44">
        <w:t> </w:t>
      </w:r>
      <w:r w:rsidR="001656BD" w:rsidRPr="00C34D4A">
        <w:t xml:space="preserve">127(1) </w:t>
      </w:r>
      <w:r w:rsidR="002E54B6" w:rsidRPr="00C34D4A">
        <w:t xml:space="preserve">of the Act </w:t>
      </w:r>
      <w:r w:rsidR="001656BD" w:rsidRPr="00C34D4A">
        <w:t>includes a reference to a document</w:t>
      </w:r>
      <w:r w:rsidRPr="00C34D4A">
        <w:t xml:space="preserve"> (including a document in electronic form)</w:t>
      </w:r>
      <w:r w:rsidR="001656BD" w:rsidRPr="00C34D4A">
        <w:t xml:space="preserve"> </w:t>
      </w:r>
      <w:r w:rsidRPr="00C34D4A">
        <w:t>appearing to have</w:t>
      </w:r>
      <w:r w:rsidR="001656BD" w:rsidRPr="00C34D4A">
        <w:t xml:space="preserve"> been executed in accordance with </w:t>
      </w:r>
      <w:r w:rsidR="00055C3D" w:rsidRPr="00C34D4A">
        <w:t>sub</w:t>
      </w:r>
      <w:r w:rsidR="002E54B6" w:rsidRPr="00C34D4A">
        <w:t>section</w:t>
      </w:r>
      <w:r w:rsidR="00C34D4A" w:rsidRPr="00C34D4A">
        <w:t> </w:t>
      </w:r>
      <w:r w:rsidR="002E54B6" w:rsidRPr="00C34D4A">
        <w:t>127</w:t>
      </w:r>
      <w:r w:rsidR="00055C3D" w:rsidRPr="00C34D4A">
        <w:t>(1)</w:t>
      </w:r>
      <w:r w:rsidR="002E54B6" w:rsidRPr="00C34D4A">
        <w:t xml:space="preserve"> of the Act </w:t>
      </w:r>
      <w:r w:rsidR="00453AB5" w:rsidRPr="00C34D4A">
        <w:t>operating</w:t>
      </w:r>
      <w:r w:rsidR="00FF147F" w:rsidRPr="00C34D4A">
        <w:t xml:space="preserve"> as modified by</w:t>
      </w:r>
      <w:r w:rsidRPr="00C34D4A">
        <w:t xml:space="preserve"> section</w:t>
      </w:r>
      <w:r w:rsidR="00042C44" w:rsidRPr="00042C44">
        <w:t> </w:t>
      </w:r>
      <w:r w:rsidRPr="00C34D4A">
        <w:t>6 of this instrument.</w:t>
      </w:r>
    </w:p>
    <w:p w14:paraId="623CDA2E" w14:textId="01AA04E1" w:rsidR="009F0133" w:rsidRPr="00C34D4A" w:rsidRDefault="00F13263" w:rsidP="00FD521E">
      <w:pPr>
        <w:pStyle w:val="subsection"/>
      </w:pPr>
      <w:r w:rsidRPr="00C34D4A">
        <w:tab/>
        <w:t>(3)</w:t>
      </w:r>
      <w:r w:rsidRPr="00C34D4A">
        <w:tab/>
      </w:r>
      <w:r w:rsidR="00FD521E" w:rsidRPr="00C34D4A">
        <w:t>F</w:t>
      </w:r>
      <w:r w:rsidR="001871AE" w:rsidRPr="00C34D4A">
        <w:t>or the purposes of making the assumption first referred to in subsection</w:t>
      </w:r>
      <w:r w:rsidR="00C34D4A" w:rsidRPr="00C34D4A">
        <w:t> </w:t>
      </w:r>
      <w:r w:rsidR="001871AE" w:rsidRPr="00C34D4A">
        <w:t xml:space="preserve">129(5) of the Act operating as modified by </w:t>
      </w:r>
      <w:r w:rsidR="00C34D4A" w:rsidRPr="00C34D4A">
        <w:t>subsection (</w:t>
      </w:r>
      <w:r w:rsidR="00FD521E" w:rsidRPr="00C34D4A">
        <w:t>2)</w:t>
      </w:r>
      <w:r w:rsidR="0036630B" w:rsidRPr="00C34D4A">
        <w:t xml:space="preserve"> of this section</w:t>
      </w:r>
      <w:r w:rsidR="001871AE" w:rsidRPr="00C34D4A">
        <w:t xml:space="preserve">, </w:t>
      </w:r>
      <w:r w:rsidR="00E52619" w:rsidRPr="00C34D4A">
        <w:t>a person may</w:t>
      </w:r>
      <w:r w:rsidR="00FD521E" w:rsidRPr="00C34D4A">
        <w:t xml:space="preserve"> also</w:t>
      </w:r>
      <w:r w:rsidR="00E52619" w:rsidRPr="00C34D4A">
        <w:t xml:space="preserve"> </w:t>
      </w:r>
      <w:r w:rsidR="009F0133" w:rsidRPr="00C34D4A">
        <w:t>assume that anyone who:</w:t>
      </w:r>
    </w:p>
    <w:p w14:paraId="538B0561" w14:textId="1F2C4F36" w:rsidR="009F0133" w:rsidRPr="00C34D4A" w:rsidRDefault="009F0133" w:rsidP="00A47B60">
      <w:pPr>
        <w:pStyle w:val="paragraph"/>
      </w:pPr>
      <w:r w:rsidRPr="00C34D4A">
        <w:tab/>
      </w:r>
      <w:r w:rsidR="00F13263" w:rsidRPr="00C34D4A">
        <w:t>(i)</w:t>
      </w:r>
      <w:r w:rsidR="00F13263" w:rsidRPr="00C34D4A">
        <w:tab/>
        <w:t>complies with subsection</w:t>
      </w:r>
      <w:r w:rsidR="00042C44" w:rsidRPr="00042C44">
        <w:t> </w:t>
      </w:r>
      <w:r w:rsidR="00F13263" w:rsidRPr="00C34D4A">
        <w:t>6(4</w:t>
      </w:r>
      <w:r w:rsidRPr="00C34D4A">
        <w:t>) of this instrument</w:t>
      </w:r>
      <w:r w:rsidR="004F31E4" w:rsidRPr="00C34D4A">
        <w:t>; and</w:t>
      </w:r>
    </w:p>
    <w:p w14:paraId="175A3EF2" w14:textId="77777777" w:rsidR="004F31E4" w:rsidRPr="00C34D4A" w:rsidRDefault="004F31E4" w:rsidP="00A47B60">
      <w:pPr>
        <w:pStyle w:val="paragraph"/>
      </w:pPr>
      <w:r w:rsidRPr="00C34D4A">
        <w:tab/>
        <w:t>(ii)</w:t>
      </w:r>
      <w:r w:rsidRPr="00C34D4A">
        <w:tab/>
        <w:t xml:space="preserve">is identified in the electronic communication </w:t>
      </w:r>
      <w:r w:rsidR="002C7957" w:rsidRPr="00C34D4A">
        <w:t>as the sole director</w:t>
      </w:r>
      <w:r w:rsidRPr="00C34D4A">
        <w:t xml:space="preserve"> and sole company secretary of the company;</w:t>
      </w:r>
    </w:p>
    <w:p w14:paraId="7C2D822F" w14:textId="77777777" w:rsidR="004F31E4" w:rsidRPr="00C34D4A" w:rsidRDefault="004F31E4" w:rsidP="00A47B60">
      <w:pPr>
        <w:pStyle w:val="subsection2"/>
      </w:pPr>
      <w:r w:rsidRPr="00C34D4A">
        <w:t>occupies both offices.</w:t>
      </w:r>
    </w:p>
    <w:p w14:paraId="78E82EB8" w14:textId="2C7A6946" w:rsidR="003022CF" w:rsidRPr="00C34D4A" w:rsidRDefault="003022CF" w:rsidP="003022CF">
      <w:pPr>
        <w:pStyle w:val="ActHead2"/>
        <w:pageBreakBefore/>
      </w:pPr>
      <w:bookmarkStart w:id="37" w:name="_Toc36471619"/>
      <w:bookmarkStart w:id="38" w:name="_Toc36476502"/>
      <w:r w:rsidRPr="00042C44">
        <w:rPr>
          <w:rStyle w:val="CharPartNo"/>
        </w:rPr>
        <w:t>Part</w:t>
      </w:r>
      <w:r w:rsidR="00042C44" w:rsidRPr="00042C44">
        <w:rPr>
          <w:rStyle w:val="CharPartNo"/>
        </w:rPr>
        <w:t xml:space="preserve"> </w:t>
      </w:r>
      <w:r w:rsidRPr="00042C44">
        <w:rPr>
          <w:rStyle w:val="CharPartNo"/>
        </w:rPr>
        <w:t>4</w:t>
      </w:r>
      <w:r w:rsidRPr="00C34D4A">
        <w:t>—</w:t>
      </w:r>
      <w:r w:rsidR="00336FD1" w:rsidRPr="00042C44">
        <w:rPr>
          <w:rStyle w:val="CharPartText"/>
        </w:rPr>
        <w:t>Miscellaneous</w:t>
      </w:r>
      <w:bookmarkEnd w:id="37"/>
      <w:bookmarkEnd w:id="38"/>
    </w:p>
    <w:p w14:paraId="0D5A3572" w14:textId="3BEF3807" w:rsidR="00297D92" w:rsidRPr="00042C44" w:rsidRDefault="00297D92" w:rsidP="00297D92">
      <w:pPr>
        <w:pStyle w:val="Header"/>
      </w:pPr>
      <w:r w:rsidRPr="00042C44">
        <w:rPr>
          <w:rStyle w:val="CharDivNo"/>
        </w:rPr>
        <w:t xml:space="preserve"> </w:t>
      </w:r>
      <w:r w:rsidRPr="00042C44">
        <w:rPr>
          <w:rStyle w:val="CharDivText"/>
        </w:rPr>
        <w:t xml:space="preserve"> </w:t>
      </w:r>
    </w:p>
    <w:p w14:paraId="68D7D2C6" w14:textId="044A5CE3" w:rsidR="00336FD1" w:rsidRPr="00C34D4A" w:rsidRDefault="00336FD1" w:rsidP="00336FD1">
      <w:pPr>
        <w:pStyle w:val="ActHead5"/>
      </w:pPr>
      <w:bookmarkStart w:id="39" w:name="_Toc36471620"/>
      <w:bookmarkStart w:id="40" w:name="_Toc36476503"/>
      <w:r w:rsidRPr="00A432DC">
        <w:rPr>
          <w:rStyle w:val="CharSectno"/>
        </w:rPr>
        <w:t>8</w:t>
      </w:r>
      <w:r w:rsidRPr="00C34D4A">
        <w:t xml:space="preserve">  Effect of modified provisions</w:t>
      </w:r>
      <w:bookmarkEnd w:id="39"/>
      <w:bookmarkEnd w:id="40"/>
    </w:p>
    <w:p w14:paraId="161E272A" w14:textId="09448C17" w:rsidR="00336FD1" w:rsidRPr="00C34D4A" w:rsidRDefault="00336FD1" w:rsidP="00336FD1">
      <w:pPr>
        <w:pStyle w:val="subsection"/>
      </w:pPr>
      <w:r w:rsidRPr="00C34D4A">
        <w:tab/>
      </w:r>
      <w:r w:rsidRPr="00C34D4A">
        <w:tab/>
        <w:t xml:space="preserve">Anything done in accordance with the modified operation of provisions modified by this instrument is as valid and effective for all purposes as if it had </w:t>
      </w:r>
      <w:r w:rsidR="00A879DF">
        <w:t xml:space="preserve">been </w:t>
      </w:r>
      <w:r w:rsidRPr="00C34D4A">
        <w:t>done in accordance with those provisions in their unmodified operation.</w:t>
      </w:r>
    </w:p>
    <w:p w14:paraId="7E554D8A" w14:textId="774416F9" w:rsidR="002C1933" w:rsidRPr="00C34D4A" w:rsidRDefault="00336FD1" w:rsidP="003022CF">
      <w:pPr>
        <w:pStyle w:val="ActHead5"/>
      </w:pPr>
      <w:bookmarkStart w:id="41" w:name="_Toc36471621"/>
      <w:bookmarkStart w:id="42" w:name="_Toc36476504"/>
      <w:r w:rsidRPr="00A432DC">
        <w:rPr>
          <w:rStyle w:val="CharSectno"/>
        </w:rPr>
        <w:t>9</w:t>
      </w:r>
      <w:r w:rsidR="002C1933" w:rsidRPr="00C34D4A">
        <w:t xml:space="preserve">  Repeal</w:t>
      </w:r>
      <w:bookmarkEnd w:id="41"/>
      <w:bookmarkEnd w:id="42"/>
    </w:p>
    <w:p w14:paraId="298C9B59" w14:textId="6297F72C" w:rsidR="00FA06CA" w:rsidRPr="00C34D4A" w:rsidRDefault="003022CF" w:rsidP="003022CF">
      <w:pPr>
        <w:pStyle w:val="subsection"/>
        <w:rPr>
          <w:highlight w:val="yellow"/>
        </w:rPr>
      </w:pPr>
      <w:r w:rsidRPr="00C34D4A">
        <w:tab/>
      </w:r>
      <w:r w:rsidR="002C1933" w:rsidRPr="00C34D4A">
        <w:tab/>
        <w:t xml:space="preserve">This instrument is repealed </w:t>
      </w:r>
      <w:r w:rsidR="00240015" w:rsidRPr="00C34D4A">
        <w:t>at the end of the period of 6 months beginning on the day after it was made</w:t>
      </w:r>
      <w:r w:rsidR="002C1933" w:rsidRPr="00C34D4A">
        <w:t>.</w:t>
      </w:r>
    </w:p>
    <w:sectPr w:rsidR="00FA06CA" w:rsidRPr="00C34D4A" w:rsidSect="00C34D4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E9A72" w14:textId="77777777" w:rsidR="0071475B" w:rsidRDefault="0071475B" w:rsidP="00FA06CA">
      <w:pPr>
        <w:spacing w:line="240" w:lineRule="auto"/>
      </w:pPr>
      <w:r>
        <w:separator/>
      </w:r>
    </w:p>
  </w:endnote>
  <w:endnote w:type="continuationSeparator" w:id="0">
    <w:p w14:paraId="7537B1CA" w14:textId="77777777" w:rsidR="0071475B" w:rsidRDefault="0071475B" w:rsidP="00FA06CA">
      <w:pPr>
        <w:spacing w:line="240" w:lineRule="auto"/>
      </w:pPr>
      <w:r>
        <w:continuationSeparator/>
      </w:r>
    </w:p>
  </w:endnote>
  <w:endnote w:type="continuationNotice" w:id="1">
    <w:p w14:paraId="1A020784" w14:textId="77777777" w:rsidR="0071475B" w:rsidRDefault="007147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EB71" w14:textId="1B19A6F0" w:rsidR="0071475B" w:rsidRDefault="0071475B" w:rsidP="00945EBE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07D74386" w14:textId="77777777" w:rsidR="0071475B" w:rsidRPr="007500C8" w:rsidRDefault="0071475B" w:rsidP="00945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7890" w14:textId="77777777" w:rsidR="0071475B" w:rsidRPr="00ED79B6" w:rsidRDefault="0071475B" w:rsidP="00945E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04FD" w14:textId="25D869CB" w:rsidR="0071475B" w:rsidRPr="00E33C1C" w:rsidRDefault="0071475B" w:rsidP="00945E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75B" w14:paraId="5FE903E4" w14:textId="77777777" w:rsidTr="00F504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93851E" w14:textId="77777777" w:rsidR="0071475B" w:rsidRDefault="0071475B" w:rsidP="00945E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6C8D6" w14:textId="1F1F89FC" w:rsidR="0071475B" w:rsidRDefault="0071475B" w:rsidP="00945EB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17833">
            <w:rPr>
              <w:i/>
              <w:noProof/>
              <w:sz w:val="18"/>
            </w:rPr>
            <w:t>Corporations (Coronavirus Economic Response) Determination (No. 1)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3373A9" w14:textId="77777777" w:rsidR="0071475B" w:rsidRDefault="0071475B" w:rsidP="00945EBE">
          <w:pPr>
            <w:spacing w:line="0" w:lineRule="atLeast"/>
            <w:jc w:val="right"/>
            <w:rPr>
              <w:sz w:val="18"/>
            </w:rPr>
          </w:pPr>
        </w:p>
      </w:tc>
    </w:tr>
  </w:tbl>
  <w:p w14:paraId="034A5B27" w14:textId="77777777" w:rsidR="0071475B" w:rsidRPr="00ED79B6" w:rsidRDefault="0071475B" w:rsidP="00945EBE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C001" w14:textId="43DB46F1" w:rsidR="0071475B" w:rsidRPr="00E33C1C" w:rsidRDefault="0071475B" w:rsidP="00945E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1475B" w14:paraId="71373D50" w14:textId="77777777" w:rsidTr="00945E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6B5396" w14:textId="77777777" w:rsidR="0071475B" w:rsidRDefault="0071475B" w:rsidP="00945EB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E725C03" w14:textId="5986EC3A" w:rsidR="0071475B" w:rsidRDefault="0071475B" w:rsidP="00945EB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2AFC">
            <w:rPr>
              <w:i/>
              <w:noProof/>
              <w:sz w:val="18"/>
            </w:rPr>
            <w:t>Corporations (Coronavirus Economic Response) Determination (No. 1)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40B39B" w14:textId="2125993F" w:rsidR="0071475B" w:rsidRDefault="0071475B" w:rsidP="00945E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2A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100099A5" w14:textId="77777777" w:rsidR="0071475B" w:rsidRPr="00ED79B6" w:rsidRDefault="0071475B" w:rsidP="00945EB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CB7D" w14:textId="567E5958" w:rsidR="0071475B" w:rsidRPr="00E33C1C" w:rsidRDefault="0071475B" w:rsidP="00945E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75B" w14:paraId="663AE9BA" w14:textId="77777777" w:rsidTr="00F504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49745A" w14:textId="5E97819E" w:rsidR="0071475B" w:rsidRDefault="0071475B" w:rsidP="00945E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2AF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0186AC" w14:textId="41F52591" w:rsidR="0071475B" w:rsidRDefault="0071475B" w:rsidP="00945EB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2AFC">
            <w:rPr>
              <w:i/>
              <w:noProof/>
              <w:sz w:val="18"/>
            </w:rPr>
            <w:t>Corporations (Coronavirus Economic Response) Determination (No. 1)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8567D" w14:textId="77777777" w:rsidR="0071475B" w:rsidRDefault="0071475B" w:rsidP="00945EBE">
          <w:pPr>
            <w:spacing w:line="0" w:lineRule="atLeast"/>
            <w:jc w:val="right"/>
            <w:rPr>
              <w:sz w:val="18"/>
            </w:rPr>
          </w:pPr>
        </w:p>
      </w:tc>
    </w:tr>
  </w:tbl>
  <w:p w14:paraId="458B58C1" w14:textId="77777777" w:rsidR="0071475B" w:rsidRPr="00ED79B6" w:rsidRDefault="0071475B" w:rsidP="00945E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5914" w14:textId="26B895AD" w:rsidR="0071475B" w:rsidRPr="00E33C1C" w:rsidRDefault="0071475B" w:rsidP="00945E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7" w:name="_Hlk26286453"/>
    <w:bookmarkStart w:id="48" w:name="_Hlk26286454"/>
    <w:bookmarkStart w:id="49" w:name="_Hlk26286457"/>
    <w:bookmarkStart w:id="5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71475B" w14:paraId="0B3F83E5" w14:textId="77777777" w:rsidTr="00F5049E">
      <w:tc>
        <w:tcPr>
          <w:tcW w:w="1358" w:type="dxa"/>
          <w:tcBorders>
            <w:top w:val="nil"/>
            <w:left w:val="nil"/>
            <w:bottom w:val="nil"/>
            <w:right w:val="nil"/>
          </w:tcBorders>
        </w:tcPr>
        <w:p w14:paraId="4AB0B993" w14:textId="77777777" w:rsidR="0071475B" w:rsidRDefault="0071475B" w:rsidP="00945EBE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78CC14BD" w14:textId="57BD6DD3" w:rsidR="0071475B" w:rsidRDefault="0071475B" w:rsidP="00945EB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2AFC">
            <w:rPr>
              <w:i/>
              <w:noProof/>
              <w:sz w:val="18"/>
            </w:rPr>
            <w:t>Corporations (Coronavirus Economic Response) Determination (No. 1)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8449CC8" w14:textId="26058C88" w:rsidR="0071475B" w:rsidRDefault="0071475B" w:rsidP="00945E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2AF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7"/>
    <w:bookmarkEnd w:id="48"/>
    <w:bookmarkEnd w:id="49"/>
    <w:bookmarkEnd w:id="50"/>
  </w:tbl>
  <w:p w14:paraId="4D617AAE" w14:textId="77777777" w:rsidR="0071475B" w:rsidRPr="00ED79B6" w:rsidRDefault="0071475B" w:rsidP="00945E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615E" w14:textId="77777777" w:rsidR="0071475B" w:rsidRPr="00E33C1C" w:rsidRDefault="0071475B" w:rsidP="00945EBE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53" w:name="_Hlk26286455"/>
    <w:bookmarkStart w:id="5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71475B" w14:paraId="11634F12" w14:textId="77777777" w:rsidTr="00F5049E">
      <w:tc>
        <w:tcPr>
          <w:tcW w:w="1358" w:type="dxa"/>
          <w:tcBorders>
            <w:top w:val="nil"/>
            <w:left w:val="nil"/>
            <w:bottom w:val="nil"/>
            <w:right w:val="nil"/>
          </w:tcBorders>
        </w:tcPr>
        <w:p w14:paraId="48FEFB9C" w14:textId="77777777" w:rsidR="0071475B" w:rsidRDefault="0071475B" w:rsidP="00945EBE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79076CCE" w14:textId="4F11BF25" w:rsidR="0071475B" w:rsidRDefault="0071475B" w:rsidP="00945E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7833">
            <w:rPr>
              <w:i/>
              <w:sz w:val="18"/>
            </w:rPr>
            <w:t>Corporations (Coronavirus Economic Response) Determination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CE61293" w14:textId="77777777" w:rsidR="0071475B" w:rsidRDefault="0071475B" w:rsidP="00945E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53"/>
    <w:bookmarkEnd w:id="54"/>
  </w:tbl>
  <w:p w14:paraId="4CEAF792" w14:textId="77777777" w:rsidR="0071475B" w:rsidRPr="00ED79B6" w:rsidRDefault="0071475B" w:rsidP="00945E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599F" w14:textId="77777777" w:rsidR="0071475B" w:rsidRDefault="0071475B" w:rsidP="00FA06CA">
      <w:pPr>
        <w:spacing w:line="240" w:lineRule="auto"/>
      </w:pPr>
      <w:r>
        <w:separator/>
      </w:r>
    </w:p>
  </w:footnote>
  <w:footnote w:type="continuationSeparator" w:id="0">
    <w:p w14:paraId="09A432F3" w14:textId="77777777" w:rsidR="0071475B" w:rsidRDefault="0071475B" w:rsidP="00FA06CA">
      <w:pPr>
        <w:spacing w:line="240" w:lineRule="auto"/>
      </w:pPr>
      <w:r>
        <w:continuationSeparator/>
      </w:r>
    </w:p>
  </w:footnote>
  <w:footnote w:type="continuationNotice" w:id="1">
    <w:p w14:paraId="5F2768A7" w14:textId="77777777" w:rsidR="0071475B" w:rsidRDefault="007147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9B87" w14:textId="3E99DDCF" w:rsidR="0071475B" w:rsidRPr="005F1388" w:rsidRDefault="0071475B" w:rsidP="00945EBE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87E0" w14:textId="745C8999" w:rsidR="0071475B" w:rsidRPr="005F1388" w:rsidRDefault="0071475B" w:rsidP="00945EB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26DC" w14:textId="77777777" w:rsidR="0071475B" w:rsidRPr="005F1388" w:rsidRDefault="0071475B" w:rsidP="00945EBE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E85B" w14:textId="6705CADF" w:rsidR="0071475B" w:rsidRPr="00ED79B6" w:rsidRDefault="0071475B" w:rsidP="00945EB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8981" w14:textId="5A17F066" w:rsidR="0071475B" w:rsidRPr="00ED79B6" w:rsidRDefault="0071475B" w:rsidP="00945EB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BDFC" w14:textId="77777777" w:rsidR="0071475B" w:rsidRPr="00ED79B6" w:rsidRDefault="0071475B" w:rsidP="00945EBE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1EC2" w14:textId="34ABD030" w:rsidR="0071475B" w:rsidRDefault="0071475B" w:rsidP="00945EB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5A169D6" w14:textId="61DD7584" w:rsidR="0071475B" w:rsidRDefault="00E75F26" w:rsidP="00945EB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F2AFC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F2AFC">
      <w:rPr>
        <w:noProof/>
        <w:sz w:val="20"/>
      </w:rPr>
      <w:t>Miscellaneous</w:t>
    </w:r>
    <w:r>
      <w:rPr>
        <w:sz w:val="20"/>
      </w:rPr>
      <w:fldChar w:fldCharType="end"/>
    </w:r>
  </w:p>
  <w:p w14:paraId="2C661E12" w14:textId="73FE929D" w:rsidR="0071475B" w:rsidRPr="007A1328" w:rsidRDefault="0071475B" w:rsidP="00945EB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49C5E85" w14:textId="77777777" w:rsidR="0071475B" w:rsidRPr="007A1328" w:rsidRDefault="0071475B" w:rsidP="00945EBE">
    <w:pPr>
      <w:rPr>
        <w:b/>
        <w:sz w:val="24"/>
      </w:rPr>
    </w:pPr>
  </w:p>
  <w:p w14:paraId="5DE3072E" w14:textId="542CB8A2" w:rsidR="0071475B" w:rsidRPr="007A1328" w:rsidRDefault="0071475B" w:rsidP="00945EB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1783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2AFC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3" w:name="_Hlk26286447"/>
  <w:bookmarkStart w:id="44" w:name="_Hlk26286448"/>
  <w:bookmarkStart w:id="45" w:name="_Hlk26286451"/>
  <w:bookmarkStart w:id="46" w:name="_Hlk26286452"/>
  <w:p w14:paraId="6E8B39C2" w14:textId="75242DCE" w:rsidR="0071475B" w:rsidRPr="007A1328" w:rsidRDefault="0071475B" w:rsidP="00945EB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4E73164" w14:textId="19FA942D" w:rsidR="0071475B" w:rsidRPr="007A1328" w:rsidRDefault="00E75F26" w:rsidP="00945EB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F2AFC">
      <w:rPr>
        <w:sz w:val="20"/>
      </w:rPr>
      <w:fldChar w:fldCharType="separate"/>
    </w:r>
    <w:r w:rsidR="004F2AFC">
      <w:rPr>
        <w:noProof/>
        <w:sz w:val="20"/>
      </w:rPr>
      <w:t>Execution of company documents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F2AFC">
      <w:rPr>
        <w:b/>
        <w:sz w:val="20"/>
      </w:rPr>
      <w:fldChar w:fldCharType="separate"/>
    </w:r>
    <w:r w:rsidR="004F2AFC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745EB572" w14:textId="712039EB" w:rsidR="0071475B" w:rsidRPr="007A1328" w:rsidRDefault="0071475B" w:rsidP="00945EB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063DABC" w14:textId="77777777" w:rsidR="0071475B" w:rsidRPr="007A1328" w:rsidRDefault="0071475B" w:rsidP="00945EBE">
    <w:pPr>
      <w:jc w:val="right"/>
      <w:rPr>
        <w:b/>
        <w:sz w:val="24"/>
      </w:rPr>
    </w:pPr>
  </w:p>
  <w:p w14:paraId="41CB561C" w14:textId="444A1692" w:rsidR="0071475B" w:rsidRPr="007A1328" w:rsidRDefault="0071475B" w:rsidP="00945EB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1783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2AFC">
      <w:rPr>
        <w:noProof/>
        <w:sz w:val="24"/>
      </w:rPr>
      <w:t>7</w:t>
    </w:r>
    <w:r w:rsidRPr="007A1328">
      <w:rPr>
        <w:sz w:val="24"/>
      </w:rPr>
      <w:fldChar w:fldCharType="end"/>
    </w:r>
    <w:bookmarkEnd w:id="43"/>
    <w:bookmarkEnd w:id="44"/>
    <w:bookmarkEnd w:id="45"/>
    <w:bookmarkEnd w:id="4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25D7" w14:textId="77777777" w:rsidR="0071475B" w:rsidRPr="007A1328" w:rsidRDefault="0071475B" w:rsidP="00945EBE">
    <w:bookmarkStart w:id="51" w:name="_Hlk26286449"/>
    <w:bookmarkStart w:id="52" w:name="_Hlk26286450"/>
    <w:bookmarkEnd w:id="51"/>
    <w:bookmarkEnd w:id="5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755AC"/>
    <w:multiLevelType w:val="hybridMultilevel"/>
    <w:tmpl w:val="E56CF156"/>
    <w:lvl w:ilvl="0" w:tplc="6A7CA12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93FD6"/>
    <w:multiLevelType w:val="hybridMultilevel"/>
    <w:tmpl w:val="A038F94C"/>
    <w:lvl w:ilvl="0" w:tplc="262A67F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C7C71AB"/>
    <w:multiLevelType w:val="hybridMultilevel"/>
    <w:tmpl w:val="B80AF640"/>
    <w:lvl w:ilvl="0" w:tplc="094295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23DF4"/>
    <w:multiLevelType w:val="hybridMultilevel"/>
    <w:tmpl w:val="89F4F72C"/>
    <w:lvl w:ilvl="0" w:tplc="D9B4655C">
      <w:start w:val="1"/>
      <w:numFmt w:val="decimal"/>
      <w:lvlText w:val="(%1)"/>
      <w:lvlJc w:val="left"/>
      <w:pPr>
        <w:ind w:left="114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31971EBA"/>
    <w:multiLevelType w:val="hybridMultilevel"/>
    <w:tmpl w:val="A0568336"/>
    <w:lvl w:ilvl="0" w:tplc="8FE251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40593"/>
    <w:multiLevelType w:val="hybridMultilevel"/>
    <w:tmpl w:val="76A618D2"/>
    <w:lvl w:ilvl="0" w:tplc="F506974A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9DF42D3"/>
    <w:multiLevelType w:val="hybridMultilevel"/>
    <w:tmpl w:val="45FE6CCA"/>
    <w:lvl w:ilvl="0" w:tplc="0C846B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EC4960"/>
    <w:multiLevelType w:val="hybridMultilevel"/>
    <w:tmpl w:val="62DCF88A"/>
    <w:lvl w:ilvl="0" w:tplc="21FE4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23A6"/>
    <w:multiLevelType w:val="multilevel"/>
    <w:tmpl w:val="D2C8DB14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1F0316"/>
    <w:multiLevelType w:val="hybridMultilevel"/>
    <w:tmpl w:val="B3509906"/>
    <w:lvl w:ilvl="0" w:tplc="C75EF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A5879"/>
    <w:multiLevelType w:val="hybridMultilevel"/>
    <w:tmpl w:val="F84E7D0E"/>
    <w:lvl w:ilvl="0" w:tplc="5178FB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A74D9"/>
    <w:multiLevelType w:val="hybridMultilevel"/>
    <w:tmpl w:val="2040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2B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701CF"/>
    <w:multiLevelType w:val="hybridMultilevel"/>
    <w:tmpl w:val="819E129A"/>
    <w:lvl w:ilvl="0" w:tplc="686461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0"/>
  </w:num>
  <w:num w:numId="15">
    <w:abstractNumId w:val="21"/>
  </w:num>
  <w:num w:numId="16">
    <w:abstractNumId w:val="22"/>
  </w:num>
  <w:num w:numId="17">
    <w:abstractNumId w:val="13"/>
  </w:num>
  <w:num w:numId="18">
    <w:abstractNumId w:val="19"/>
  </w:num>
  <w:num w:numId="19">
    <w:abstractNumId w:val="14"/>
  </w:num>
  <w:num w:numId="20">
    <w:abstractNumId w:val="16"/>
  </w:num>
  <w:num w:numId="21">
    <w:abstractNumId w:val="24"/>
  </w:num>
  <w:num w:numId="22">
    <w:abstractNumId w:val="18"/>
  </w:num>
  <w:num w:numId="23">
    <w:abstractNumId w:val="23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embedTrueTypeFonts/>
  <w:saveSubsetFonts/>
  <w:attachedTemplate r:id="rId1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E5"/>
    <w:rsid w:val="00002339"/>
    <w:rsid w:val="0000390A"/>
    <w:rsid w:val="000045BD"/>
    <w:rsid w:val="0000743D"/>
    <w:rsid w:val="000078A7"/>
    <w:rsid w:val="00016D8B"/>
    <w:rsid w:val="0002150B"/>
    <w:rsid w:val="0002673E"/>
    <w:rsid w:val="000422CA"/>
    <w:rsid w:val="00042C44"/>
    <w:rsid w:val="00055C3D"/>
    <w:rsid w:val="000937A9"/>
    <w:rsid w:val="000A5056"/>
    <w:rsid w:val="000B143F"/>
    <w:rsid w:val="000C1351"/>
    <w:rsid w:val="000C26F1"/>
    <w:rsid w:val="000C7BC8"/>
    <w:rsid w:val="000D46C5"/>
    <w:rsid w:val="000D5213"/>
    <w:rsid w:val="000D5907"/>
    <w:rsid w:val="000D7E47"/>
    <w:rsid w:val="000F3DE0"/>
    <w:rsid w:val="00112F0E"/>
    <w:rsid w:val="0011334D"/>
    <w:rsid w:val="00114FD9"/>
    <w:rsid w:val="00132789"/>
    <w:rsid w:val="0013705D"/>
    <w:rsid w:val="00140755"/>
    <w:rsid w:val="001656BD"/>
    <w:rsid w:val="00165E49"/>
    <w:rsid w:val="00174282"/>
    <w:rsid w:val="00182CDF"/>
    <w:rsid w:val="00185171"/>
    <w:rsid w:val="001871AE"/>
    <w:rsid w:val="001908D1"/>
    <w:rsid w:val="001A6254"/>
    <w:rsid w:val="001A742E"/>
    <w:rsid w:val="001B1F39"/>
    <w:rsid w:val="001B7FD6"/>
    <w:rsid w:val="001C03C4"/>
    <w:rsid w:val="001C1D92"/>
    <w:rsid w:val="001C32CC"/>
    <w:rsid w:val="001C7351"/>
    <w:rsid w:val="00201D69"/>
    <w:rsid w:val="002256AB"/>
    <w:rsid w:val="00231E8F"/>
    <w:rsid w:val="00240015"/>
    <w:rsid w:val="002462AD"/>
    <w:rsid w:val="00256012"/>
    <w:rsid w:val="002764CC"/>
    <w:rsid w:val="0028280C"/>
    <w:rsid w:val="00287C2E"/>
    <w:rsid w:val="00297088"/>
    <w:rsid w:val="00297D92"/>
    <w:rsid w:val="002A665B"/>
    <w:rsid w:val="002B6B6C"/>
    <w:rsid w:val="002C15A7"/>
    <w:rsid w:val="002C1933"/>
    <w:rsid w:val="002C2EE9"/>
    <w:rsid w:val="002C7957"/>
    <w:rsid w:val="002E0D0E"/>
    <w:rsid w:val="002E1118"/>
    <w:rsid w:val="002E54B6"/>
    <w:rsid w:val="002E7A14"/>
    <w:rsid w:val="002F441A"/>
    <w:rsid w:val="003022CF"/>
    <w:rsid w:val="00312602"/>
    <w:rsid w:val="0032093C"/>
    <w:rsid w:val="003342A5"/>
    <w:rsid w:val="003343F3"/>
    <w:rsid w:val="00336FD1"/>
    <w:rsid w:val="00343A38"/>
    <w:rsid w:val="00345C54"/>
    <w:rsid w:val="00351A59"/>
    <w:rsid w:val="00365997"/>
    <w:rsid w:val="0036630B"/>
    <w:rsid w:val="00375241"/>
    <w:rsid w:val="00380285"/>
    <w:rsid w:val="00385F59"/>
    <w:rsid w:val="003A0BF3"/>
    <w:rsid w:val="003A70C7"/>
    <w:rsid w:val="003B1981"/>
    <w:rsid w:val="003B48F8"/>
    <w:rsid w:val="003B76A0"/>
    <w:rsid w:val="003C2655"/>
    <w:rsid w:val="003C60B2"/>
    <w:rsid w:val="003D2E84"/>
    <w:rsid w:val="003E3257"/>
    <w:rsid w:val="003F06DF"/>
    <w:rsid w:val="003F1CE4"/>
    <w:rsid w:val="003F204F"/>
    <w:rsid w:val="003F7B8B"/>
    <w:rsid w:val="0040745C"/>
    <w:rsid w:val="004212AE"/>
    <w:rsid w:val="00421A57"/>
    <w:rsid w:val="00431A25"/>
    <w:rsid w:val="00435E3F"/>
    <w:rsid w:val="00437A45"/>
    <w:rsid w:val="00444D6C"/>
    <w:rsid w:val="00453AB5"/>
    <w:rsid w:val="004617A0"/>
    <w:rsid w:val="00464440"/>
    <w:rsid w:val="004754FD"/>
    <w:rsid w:val="0049434C"/>
    <w:rsid w:val="004A6D10"/>
    <w:rsid w:val="004B763B"/>
    <w:rsid w:val="004C7892"/>
    <w:rsid w:val="004D1433"/>
    <w:rsid w:val="004D2B3B"/>
    <w:rsid w:val="004D42B7"/>
    <w:rsid w:val="004E4ABA"/>
    <w:rsid w:val="004F2AFC"/>
    <w:rsid w:val="004F31E4"/>
    <w:rsid w:val="004F4F00"/>
    <w:rsid w:val="005241CF"/>
    <w:rsid w:val="00534262"/>
    <w:rsid w:val="005576FC"/>
    <w:rsid w:val="00574AC4"/>
    <w:rsid w:val="005836EC"/>
    <w:rsid w:val="005957D9"/>
    <w:rsid w:val="005A244A"/>
    <w:rsid w:val="005B0FF9"/>
    <w:rsid w:val="005B2FBF"/>
    <w:rsid w:val="005B4E72"/>
    <w:rsid w:val="005B4F76"/>
    <w:rsid w:val="005C232D"/>
    <w:rsid w:val="005C4109"/>
    <w:rsid w:val="005C5D0B"/>
    <w:rsid w:val="005F118A"/>
    <w:rsid w:val="005F3606"/>
    <w:rsid w:val="0060484D"/>
    <w:rsid w:val="00607DA4"/>
    <w:rsid w:val="00614813"/>
    <w:rsid w:val="00636078"/>
    <w:rsid w:val="00636F83"/>
    <w:rsid w:val="00647D3B"/>
    <w:rsid w:val="00652950"/>
    <w:rsid w:val="00654A00"/>
    <w:rsid w:val="00663005"/>
    <w:rsid w:val="00663648"/>
    <w:rsid w:val="0066458B"/>
    <w:rsid w:val="00672321"/>
    <w:rsid w:val="0068037B"/>
    <w:rsid w:val="006A1C11"/>
    <w:rsid w:val="006A6123"/>
    <w:rsid w:val="006E4FD4"/>
    <w:rsid w:val="006F5358"/>
    <w:rsid w:val="00701F5F"/>
    <w:rsid w:val="00707921"/>
    <w:rsid w:val="00710E97"/>
    <w:rsid w:val="0071475B"/>
    <w:rsid w:val="007176D2"/>
    <w:rsid w:val="007345DB"/>
    <w:rsid w:val="0074190F"/>
    <w:rsid w:val="00741926"/>
    <w:rsid w:val="00747DB5"/>
    <w:rsid w:val="00765AC3"/>
    <w:rsid w:val="0077004D"/>
    <w:rsid w:val="0077118E"/>
    <w:rsid w:val="00774254"/>
    <w:rsid w:val="00776D1E"/>
    <w:rsid w:val="007830B4"/>
    <w:rsid w:val="007A26F1"/>
    <w:rsid w:val="007A42CA"/>
    <w:rsid w:val="007B3E62"/>
    <w:rsid w:val="007C411B"/>
    <w:rsid w:val="007E49CC"/>
    <w:rsid w:val="007F1ED2"/>
    <w:rsid w:val="00805648"/>
    <w:rsid w:val="008231B4"/>
    <w:rsid w:val="008267F8"/>
    <w:rsid w:val="00831143"/>
    <w:rsid w:val="00831656"/>
    <w:rsid w:val="00850999"/>
    <w:rsid w:val="0085173D"/>
    <w:rsid w:val="00852D50"/>
    <w:rsid w:val="0085547E"/>
    <w:rsid w:val="00873B79"/>
    <w:rsid w:val="0088020C"/>
    <w:rsid w:val="00897A78"/>
    <w:rsid w:val="008D7E15"/>
    <w:rsid w:val="008E50D3"/>
    <w:rsid w:val="008F78E8"/>
    <w:rsid w:val="0090365C"/>
    <w:rsid w:val="0091426F"/>
    <w:rsid w:val="00917B28"/>
    <w:rsid w:val="00923827"/>
    <w:rsid w:val="00923D5D"/>
    <w:rsid w:val="00931741"/>
    <w:rsid w:val="00936947"/>
    <w:rsid w:val="00936C17"/>
    <w:rsid w:val="00944E3E"/>
    <w:rsid w:val="00945EBE"/>
    <w:rsid w:val="00951E66"/>
    <w:rsid w:val="009832D1"/>
    <w:rsid w:val="00990EBC"/>
    <w:rsid w:val="0099201C"/>
    <w:rsid w:val="009A02C3"/>
    <w:rsid w:val="009A5782"/>
    <w:rsid w:val="009A7457"/>
    <w:rsid w:val="009B111B"/>
    <w:rsid w:val="009B3DF0"/>
    <w:rsid w:val="009C2A1C"/>
    <w:rsid w:val="009F0133"/>
    <w:rsid w:val="009F1827"/>
    <w:rsid w:val="009F6934"/>
    <w:rsid w:val="00A02E90"/>
    <w:rsid w:val="00A17AF1"/>
    <w:rsid w:val="00A22D59"/>
    <w:rsid w:val="00A23DD5"/>
    <w:rsid w:val="00A249A8"/>
    <w:rsid w:val="00A36ADF"/>
    <w:rsid w:val="00A3749C"/>
    <w:rsid w:val="00A432DC"/>
    <w:rsid w:val="00A47B60"/>
    <w:rsid w:val="00A76834"/>
    <w:rsid w:val="00A81938"/>
    <w:rsid w:val="00A879DF"/>
    <w:rsid w:val="00A94708"/>
    <w:rsid w:val="00AA096E"/>
    <w:rsid w:val="00AA1066"/>
    <w:rsid w:val="00AA28D7"/>
    <w:rsid w:val="00AA4840"/>
    <w:rsid w:val="00AB0181"/>
    <w:rsid w:val="00AC71FF"/>
    <w:rsid w:val="00AD6816"/>
    <w:rsid w:val="00AF3F50"/>
    <w:rsid w:val="00AF725E"/>
    <w:rsid w:val="00B011FC"/>
    <w:rsid w:val="00B04DCF"/>
    <w:rsid w:val="00B10D9F"/>
    <w:rsid w:val="00B11CFF"/>
    <w:rsid w:val="00B121AE"/>
    <w:rsid w:val="00B21166"/>
    <w:rsid w:val="00B24F90"/>
    <w:rsid w:val="00B35D83"/>
    <w:rsid w:val="00B4410E"/>
    <w:rsid w:val="00B57AD4"/>
    <w:rsid w:val="00B67A6C"/>
    <w:rsid w:val="00B7575B"/>
    <w:rsid w:val="00B93576"/>
    <w:rsid w:val="00B9516A"/>
    <w:rsid w:val="00BB5F0E"/>
    <w:rsid w:val="00BB70B7"/>
    <w:rsid w:val="00C137DC"/>
    <w:rsid w:val="00C137FC"/>
    <w:rsid w:val="00C1794C"/>
    <w:rsid w:val="00C22059"/>
    <w:rsid w:val="00C34D4A"/>
    <w:rsid w:val="00C44773"/>
    <w:rsid w:val="00C45A4C"/>
    <w:rsid w:val="00C45FD8"/>
    <w:rsid w:val="00C6331F"/>
    <w:rsid w:val="00C9209D"/>
    <w:rsid w:val="00C9224C"/>
    <w:rsid w:val="00C9500F"/>
    <w:rsid w:val="00C95F3E"/>
    <w:rsid w:val="00CB22BE"/>
    <w:rsid w:val="00CD2C8D"/>
    <w:rsid w:val="00CD774B"/>
    <w:rsid w:val="00CE6399"/>
    <w:rsid w:val="00CF02CF"/>
    <w:rsid w:val="00CF0458"/>
    <w:rsid w:val="00CF7960"/>
    <w:rsid w:val="00D01AF5"/>
    <w:rsid w:val="00D0529C"/>
    <w:rsid w:val="00D05D04"/>
    <w:rsid w:val="00D26039"/>
    <w:rsid w:val="00D42C7B"/>
    <w:rsid w:val="00D46C89"/>
    <w:rsid w:val="00D571B1"/>
    <w:rsid w:val="00D651F5"/>
    <w:rsid w:val="00D74119"/>
    <w:rsid w:val="00D75256"/>
    <w:rsid w:val="00D77655"/>
    <w:rsid w:val="00DA03E9"/>
    <w:rsid w:val="00DA497E"/>
    <w:rsid w:val="00DA6626"/>
    <w:rsid w:val="00DC6BF4"/>
    <w:rsid w:val="00DD095F"/>
    <w:rsid w:val="00DF516D"/>
    <w:rsid w:val="00E164B9"/>
    <w:rsid w:val="00E35D23"/>
    <w:rsid w:val="00E52619"/>
    <w:rsid w:val="00E53CCF"/>
    <w:rsid w:val="00E606F5"/>
    <w:rsid w:val="00E66F9C"/>
    <w:rsid w:val="00E71ADB"/>
    <w:rsid w:val="00E75F26"/>
    <w:rsid w:val="00E76E9E"/>
    <w:rsid w:val="00E77A4C"/>
    <w:rsid w:val="00EA5409"/>
    <w:rsid w:val="00EB0003"/>
    <w:rsid w:val="00EB1E1E"/>
    <w:rsid w:val="00EC342D"/>
    <w:rsid w:val="00ED0173"/>
    <w:rsid w:val="00EE0BC1"/>
    <w:rsid w:val="00EE0D31"/>
    <w:rsid w:val="00F03429"/>
    <w:rsid w:val="00F0644D"/>
    <w:rsid w:val="00F13263"/>
    <w:rsid w:val="00F17833"/>
    <w:rsid w:val="00F20319"/>
    <w:rsid w:val="00F21D6A"/>
    <w:rsid w:val="00F3565B"/>
    <w:rsid w:val="00F466AF"/>
    <w:rsid w:val="00F5049E"/>
    <w:rsid w:val="00F82B3B"/>
    <w:rsid w:val="00F93C13"/>
    <w:rsid w:val="00FA06CA"/>
    <w:rsid w:val="00FA3D38"/>
    <w:rsid w:val="00FA77E5"/>
    <w:rsid w:val="00FB20EE"/>
    <w:rsid w:val="00FB3F54"/>
    <w:rsid w:val="00FB4602"/>
    <w:rsid w:val="00FC325D"/>
    <w:rsid w:val="00FD2477"/>
    <w:rsid w:val="00FD521E"/>
    <w:rsid w:val="00FF147F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2729"/>
  <w15:chartTrackingRefBased/>
  <w15:docId w15:val="{A5119182-636C-469F-8C22-7DC1EDD4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4D4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D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D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D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D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D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D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D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D4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4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D4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D4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D4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C34D4A"/>
  </w:style>
  <w:style w:type="paragraph" w:customStyle="1" w:styleId="OPCParaBase">
    <w:name w:val="OPCParaBase"/>
    <w:qFormat/>
    <w:rsid w:val="00C34D4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C34D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4D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4D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4D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4D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4D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4D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4D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4D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4D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4D4A"/>
  </w:style>
  <w:style w:type="paragraph" w:customStyle="1" w:styleId="Blocks">
    <w:name w:val="Blocks"/>
    <w:aliases w:val="bb"/>
    <w:basedOn w:val="OPCParaBase"/>
    <w:qFormat/>
    <w:rsid w:val="00C34D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4D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4D4A"/>
    <w:rPr>
      <w:i/>
    </w:rPr>
  </w:style>
  <w:style w:type="paragraph" w:customStyle="1" w:styleId="BoxList">
    <w:name w:val="BoxList"/>
    <w:aliases w:val="bl"/>
    <w:basedOn w:val="BoxText"/>
    <w:qFormat/>
    <w:rsid w:val="00C34D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4D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4D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4D4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34D4A"/>
  </w:style>
  <w:style w:type="character" w:customStyle="1" w:styleId="CharAmPartText">
    <w:name w:val="CharAmPartText"/>
    <w:basedOn w:val="OPCCharBase"/>
    <w:uiPriority w:val="1"/>
    <w:qFormat/>
    <w:rsid w:val="00C34D4A"/>
  </w:style>
  <w:style w:type="character" w:customStyle="1" w:styleId="CharAmSchNo">
    <w:name w:val="CharAmSchNo"/>
    <w:basedOn w:val="OPCCharBase"/>
    <w:uiPriority w:val="1"/>
    <w:qFormat/>
    <w:rsid w:val="00C34D4A"/>
  </w:style>
  <w:style w:type="character" w:customStyle="1" w:styleId="CharAmSchText">
    <w:name w:val="CharAmSchText"/>
    <w:basedOn w:val="OPCCharBase"/>
    <w:uiPriority w:val="1"/>
    <w:qFormat/>
    <w:rsid w:val="00C34D4A"/>
  </w:style>
  <w:style w:type="character" w:customStyle="1" w:styleId="CharBoldItalic">
    <w:name w:val="CharBoldItalic"/>
    <w:basedOn w:val="OPCCharBase"/>
    <w:uiPriority w:val="1"/>
    <w:qFormat/>
    <w:rsid w:val="00C34D4A"/>
    <w:rPr>
      <w:b/>
      <w:i/>
    </w:rPr>
  </w:style>
  <w:style w:type="character" w:customStyle="1" w:styleId="CharChapNo">
    <w:name w:val="CharChapNo"/>
    <w:basedOn w:val="OPCCharBase"/>
    <w:qFormat/>
    <w:rsid w:val="00C34D4A"/>
  </w:style>
  <w:style w:type="character" w:customStyle="1" w:styleId="CharChapText">
    <w:name w:val="CharChapText"/>
    <w:basedOn w:val="OPCCharBase"/>
    <w:qFormat/>
    <w:rsid w:val="00C34D4A"/>
  </w:style>
  <w:style w:type="character" w:customStyle="1" w:styleId="CharDivNo">
    <w:name w:val="CharDivNo"/>
    <w:basedOn w:val="OPCCharBase"/>
    <w:qFormat/>
    <w:rsid w:val="00C34D4A"/>
  </w:style>
  <w:style w:type="character" w:customStyle="1" w:styleId="CharDivText">
    <w:name w:val="CharDivText"/>
    <w:basedOn w:val="OPCCharBase"/>
    <w:qFormat/>
    <w:rsid w:val="00C34D4A"/>
  </w:style>
  <w:style w:type="character" w:customStyle="1" w:styleId="CharItalic">
    <w:name w:val="CharItalic"/>
    <w:basedOn w:val="OPCCharBase"/>
    <w:uiPriority w:val="1"/>
    <w:qFormat/>
    <w:rsid w:val="00C34D4A"/>
    <w:rPr>
      <w:i/>
    </w:rPr>
  </w:style>
  <w:style w:type="character" w:customStyle="1" w:styleId="CharPartNo">
    <w:name w:val="CharPartNo"/>
    <w:basedOn w:val="OPCCharBase"/>
    <w:qFormat/>
    <w:rsid w:val="00C34D4A"/>
  </w:style>
  <w:style w:type="character" w:customStyle="1" w:styleId="CharPartText">
    <w:name w:val="CharPartText"/>
    <w:basedOn w:val="OPCCharBase"/>
    <w:qFormat/>
    <w:rsid w:val="00C34D4A"/>
  </w:style>
  <w:style w:type="character" w:customStyle="1" w:styleId="CharSectno">
    <w:name w:val="CharSectno"/>
    <w:basedOn w:val="OPCCharBase"/>
    <w:qFormat/>
    <w:rsid w:val="00C34D4A"/>
  </w:style>
  <w:style w:type="character" w:customStyle="1" w:styleId="CharSubdNo">
    <w:name w:val="CharSubdNo"/>
    <w:basedOn w:val="OPCCharBase"/>
    <w:uiPriority w:val="1"/>
    <w:qFormat/>
    <w:rsid w:val="00C34D4A"/>
  </w:style>
  <w:style w:type="character" w:customStyle="1" w:styleId="CharSubdText">
    <w:name w:val="CharSubdText"/>
    <w:basedOn w:val="OPCCharBase"/>
    <w:uiPriority w:val="1"/>
    <w:qFormat/>
    <w:rsid w:val="00C34D4A"/>
  </w:style>
  <w:style w:type="paragraph" w:customStyle="1" w:styleId="CTA--">
    <w:name w:val="CTA --"/>
    <w:basedOn w:val="OPCParaBase"/>
    <w:next w:val="Normal"/>
    <w:rsid w:val="00C34D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4D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4D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4D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4D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4D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4D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4D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4D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4D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4D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4D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4D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4D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4D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4D4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34D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4D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4D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4D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4D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4D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4D4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C34D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4D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4D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4D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4D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4D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4D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4D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4D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4D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4D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4D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4D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4D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4D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4D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4D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4D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4D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4D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4D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4D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4D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4D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4D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4D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4D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4D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4D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4D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4D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4D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34D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4D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4D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34D4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4D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4D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4D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4D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4D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4D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4D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4D4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4D4A"/>
    <w:rPr>
      <w:sz w:val="16"/>
    </w:rPr>
  </w:style>
  <w:style w:type="table" w:customStyle="1" w:styleId="CFlag">
    <w:name w:val="CFlag"/>
    <w:basedOn w:val="TableNormal"/>
    <w:uiPriority w:val="99"/>
    <w:rsid w:val="00C3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4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4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4D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4D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4D4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4D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4D4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4D4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4D4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34D4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34D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4D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34D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4D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4D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4D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4D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4D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4D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4D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4D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4D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4D4A"/>
  </w:style>
  <w:style w:type="character" w:customStyle="1" w:styleId="CharSubPartNoCASA">
    <w:name w:val="CharSubPartNo(CASA)"/>
    <w:basedOn w:val="OPCCharBase"/>
    <w:uiPriority w:val="1"/>
    <w:rsid w:val="00C34D4A"/>
  </w:style>
  <w:style w:type="paragraph" w:customStyle="1" w:styleId="ENoteTTIndentHeadingSub">
    <w:name w:val="ENoteTTIndentHeadingSub"/>
    <w:aliases w:val="enTTHis"/>
    <w:basedOn w:val="OPCParaBase"/>
    <w:rsid w:val="00C34D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4D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4D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4D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4D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C3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C34D4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C34D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4D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4D4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C34D4A"/>
  </w:style>
  <w:style w:type="paragraph" w:customStyle="1" w:styleId="TableHeading">
    <w:name w:val="TableHeading"/>
    <w:aliases w:val="th"/>
    <w:basedOn w:val="OPCParaBase"/>
    <w:next w:val="Tabletext"/>
    <w:rsid w:val="00C34D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4D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4D4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4D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4D4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C34D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4D4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4D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4D4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C34D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4D4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C34D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4D4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4D4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0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0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A7457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7457"/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7176D2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_dlc_DocId xmlns="0f563589-9cf9-4143-b1eb-fb0534803d38">2020RG-111-14227</_dlc_DocId>
    <_dlc_DocIdUrl xmlns="0f563589-9cf9-4143-b1eb-fb0534803d38">
      <Url>http://tweb/sites/rg/ldp/lmu/_layouts/15/DocIdRedir.aspx?ID=2020RG-111-14227</Url>
      <Description>2020RG-111-14227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8452" ma:contentTypeDescription=" " ma:contentTypeScope="" ma:versionID="a5c4156cff05d7200c7284621459fd0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3F1F-A0A8-4B38-A2C2-6D6B184CAEE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E8A4940-5BE4-4528-AE9D-A6B3DBEEF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4F79A-17D8-4FF5-B1DD-015CEFFC2F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680483-1897-41DE-9C80-A3E153AFD5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D2117CC-5E6D-4EA3-BEF8-AB9674D1D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B584F4-9850-4CB2-9984-52087EB7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3906</TotalTime>
  <Pages>10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(CERP)  Inst</dc:title>
  <dc:subject/>
  <dc:creator>Land-Pejoska, Amy</dc:creator>
  <cp:keywords/>
  <dc:description/>
  <cp:lastModifiedBy>Edwards, Sarah</cp:lastModifiedBy>
  <cp:revision>181</cp:revision>
  <cp:lastPrinted>2020-03-30T06:35:00Z</cp:lastPrinted>
  <dcterms:created xsi:type="dcterms:W3CDTF">2020-03-21T08:00:00Z</dcterms:created>
  <dcterms:modified xsi:type="dcterms:W3CDTF">2020-05-05T08:03:00Z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(Coronavirus Economic Response) Determination (No. 1)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11;#TSY RA-9237 - Destroy 5 years after action completed|9f1a030e-81bf-44c5-98eb-4d5d869a40d5</vt:lpwstr>
  </property>
  <property fmtid="{D5CDD505-2E9C-101B-9397-08002B2CF9AE}" pid="14" name="_dlc_DocIdItemGuid">
    <vt:lpwstr>cd921ce2-f99b-4c50-9a4e-d37455bfa936</vt:lpwstr>
  </property>
  <property fmtid="{D5CDD505-2E9C-101B-9397-08002B2CF9AE}" pid="15" name="RecordPoint_WorkflowType">
    <vt:lpwstr>ActiveSubmitStub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{1a010be9-83b3-4740-abb7-452f2d1120fe}</vt:lpwstr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  <property fmtid="{D5CDD505-2E9C-101B-9397-08002B2CF9AE}" pid="22" name="RecordPoint_ActiveItemUniqueId">
    <vt:lpwstr>{cd921ce2-f99b-4c50-9a4e-d37455bfa936}</vt:lpwstr>
  </property>
  <property fmtid="{D5CDD505-2E9C-101B-9397-08002B2CF9AE}" pid="23" name="RecordPoint_RecordNumberSubmitted">
    <vt:lpwstr>R0002260952</vt:lpwstr>
  </property>
  <property fmtid="{D5CDD505-2E9C-101B-9397-08002B2CF9AE}" pid="24" name="RecordPoint_SubmissionCompleted">
    <vt:lpwstr>2020-05-05T14:17:05.3362925+10:00</vt:lpwstr>
  </property>
  <property fmtid="{D5CDD505-2E9C-101B-9397-08002B2CF9AE}" pid="25" name="Classification">
    <vt:lpwstr> </vt:lpwstr>
  </property>
  <property fmtid="{D5CDD505-2E9C-101B-9397-08002B2CF9AE}" pid="26" name="DLM">
    <vt:lpwstr> </vt:lpwstr>
  </property>
  <property fmtid="{D5CDD505-2E9C-101B-9397-08002B2CF9AE}" pid="27" name="Order">
    <vt:r8>1422700</vt:r8>
  </property>
  <property fmtid="{D5CDD505-2E9C-101B-9397-08002B2CF9AE}" pid="28" name="oae75e2df9d943898d59cb03ca0993c5">
    <vt:lpwstr/>
  </property>
  <property fmtid="{D5CDD505-2E9C-101B-9397-08002B2CF9AE}" pid="29" name="Topics">
    <vt:lpwstr/>
  </property>
</Properties>
</file>