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48EF5" w14:textId="77777777" w:rsidR="00F109D4" w:rsidRPr="003771ED" w:rsidRDefault="00F109D4" w:rsidP="003771ED">
      <w:pPr>
        <w:jc w:val="center"/>
        <w:rPr>
          <w:b/>
        </w:rPr>
      </w:pPr>
      <w:r w:rsidRPr="003771ED">
        <w:rPr>
          <w:b/>
        </w:rPr>
        <w:t>EXPLANATORY STATEMENT</w:t>
      </w:r>
    </w:p>
    <w:p w14:paraId="73B070ED" w14:textId="5A786F2F" w:rsidR="003771ED" w:rsidRPr="00344043" w:rsidRDefault="003771ED" w:rsidP="008C5A41">
      <w:pPr>
        <w:jc w:val="center"/>
      </w:pPr>
      <w:r w:rsidRPr="00D75B9A">
        <w:rPr>
          <w:i/>
        </w:rPr>
        <w:t>Federal Financial Relations (</w:t>
      </w:r>
      <w:r w:rsidRPr="00344043">
        <w:rPr>
          <w:i/>
        </w:rPr>
        <w:t xml:space="preserve">National Partnership </w:t>
      </w:r>
      <w:r w:rsidR="00B11926" w:rsidRPr="00344043">
        <w:rPr>
          <w:i/>
        </w:rPr>
        <w:t>P</w:t>
      </w:r>
      <w:r w:rsidRPr="00344043">
        <w:rPr>
          <w:i/>
        </w:rPr>
        <w:t xml:space="preserve">ayments) Determination </w:t>
      </w:r>
      <w:r w:rsidR="00B43001" w:rsidRPr="00344043">
        <w:rPr>
          <w:i/>
        </w:rPr>
        <w:t>N</w:t>
      </w:r>
      <w:r w:rsidRPr="00344043">
        <w:rPr>
          <w:i/>
        </w:rPr>
        <w:t>o</w:t>
      </w:r>
      <w:r w:rsidRPr="00F966EC">
        <w:rPr>
          <w:i/>
        </w:rPr>
        <w:t>.</w:t>
      </w:r>
      <w:r w:rsidR="008C5A41" w:rsidRPr="00F966EC">
        <w:rPr>
          <w:i/>
        </w:rPr>
        <w:t> </w:t>
      </w:r>
      <w:r w:rsidR="00565F86">
        <w:rPr>
          <w:i/>
        </w:rPr>
        <w:t>168</w:t>
      </w:r>
      <w:r w:rsidR="008C5A41" w:rsidRPr="00344043">
        <w:rPr>
          <w:i/>
        </w:rPr>
        <w:t xml:space="preserve"> (</w:t>
      </w:r>
      <w:r w:rsidR="00565F86">
        <w:rPr>
          <w:i/>
        </w:rPr>
        <w:t>May</w:t>
      </w:r>
      <w:r w:rsidR="00C94A91" w:rsidRPr="00344043">
        <w:rPr>
          <w:i/>
        </w:rPr>
        <w:t xml:space="preserve"> 20</w:t>
      </w:r>
      <w:r w:rsidR="00A434B4">
        <w:rPr>
          <w:i/>
        </w:rPr>
        <w:t>20</w:t>
      </w:r>
      <w:r w:rsidR="008C5A41" w:rsidRPr="00344043">
        <w:rPr>
          <w:i/>
        </w:rPr>
        <w:t>)</w:t>
      </w:r>
      <w:r w:rsidR="008C5A41" w:rsidRPr="00344043">
        <w:t xml:space="preserve">  </w:t>
      </w:r>
    </w:p>
    <w:p w14:paraId="3B49AA37" w14:textId="3CB90148" w:rsidR="003771ED" w:rsidRDefault="003771ED" w:rsidP="003771ED">
      <w:r w:rsidRPr="00344043">
        <w:t xml:space="preserve">This determination is made under section 16 of the </w:t>
      </w:r>
      <w:r w:rsidRPr="00344043">
        <w:rPr>
          <w:i/>
        </w:rPr>
        <w:t>Federal Financial Relations Act 2009</w:t>
      </w:r>
      <w:r w:rsidRPr="00344043">
        <w:t xml:space="preserve"> (FFR Act).</w:t>
      </w:r>
      <w:r>
        <w:t xml:space="preserve"> </w:t>
      </w:r>
    </w:p>
    <w:p w14:paraId="49A5248F" w14:textId="5F785C9C" w:rsidR="003771ED" w:rsidRDefault="003771ED" w:rsidP="003771ED">
      <w:pPr>
        <w:pStyle w:val="Heading2"/>
      </w:pPr>
      <w:r>
        <w:t>Background</w:t>
      </w:r>
    </w:p>
    <w:p w14:paraId="22FA7D28" w14:textId="1C38DB05" w:rsidR="003E2254" w:rsidRPr="00306581" w:rsidRDefault="003E2254" w:rsidP="003771ED">
      <w:r>
        <w:t xml:space="preserve">The </w:t>
      </w:r>
      <w:r>
        <w:rPr>
          <w:i/>
        </w:rPr>
        <w:t>Intergovernmental Agreement on Federal Financial Relations</w:t>
      </w:r>
      <w:r w:rsidRPr="00306581">
        <w:t xml:space="preserve"> </w:t>
      </w:r>
      <w:r>
        <w:t xml:space="preserve">(the IGA) </w:t>
      </w:r>
      <w:r w:rsidRPr="00306581">
        <w:t>provides a foundation for collaboration on policy development and service delivery</w:t>
      </w:r>
      <w:r>
        <w:t xml:space="preserve"> be</w:t>
      </w:r>
      <w:r w:rsidR="00145816">
        <w:t>tween the Commonwealth and the states and t</w:t>
      </w:r>
      <w:r>
        <w:t xml:space="preserve">erritories (the </w:t>
      </w:r>
      <w:r w:rsidR="00145816">
        <w:t>s</w:t>
      </w:r>
      <w:r>
        <w:t xml:space="preserve">tates). </w:t>
      </w:r>
      <w:bookmarkStart w:id="0" w:name="_GoBack"/>
      <w:bookmarkEnd w:id="0"/>
    </w:p>
    <w:p w14:paraId="5F332DA8" w14:textId="797D5A70" w:rsidR="003E2254" w:rsidRDefault="004933F1" w:rsidP="003771ED">
      <w:r>
        <w:t>T</w:t>
      </w:r>
      <w:r w:rsidRPr="00306581">
        <w:t xml:space="preserve">he Commonwealth </w:t>
      </w:r>
      <w:r>
        <w:t>has committed to</w:t>
      </w:r>
      <w:r w:rsidRPr="00306581">
        <w:t xml:space="preserve"> the provision of on</w:t>
      </w:r>
      <w:r w:rsidRPr="00306581">
        <w:noBreakHyphen/>
        <w:t>g</w:t>
      </w:r>
      <w:r>
        <w:t>oing financial support for the s</w:t>
      </w:r>
      <w:r w:rsidRPr="00306581">
        <w:t>tates’ service delivery efforts</w:t>
      </w:r>
      <w:r>
        <w:t xml:space="preserve">. This includes the provision of </w:t>
      </w:r>
      <w:r w:rsidRPr="00306581">
        <w:t xml:space="preserve">National Partnership payments </w:t>
      </w:r>
      <w:r>
        <w:t>which</w:t>
      </w:r>
      <w:r w:rsidRPr="00306581">
        <w:t xml:space="preserve"> support the delivery of specified outputs or projects, facilitate reforms</w:t>
      </w:r>
      <w:r>
        <w:t>,</w:t>
      </w:r>
      <w:r w:rsidRPr="00306581">
        <w:t xml:space="preserve"> </w:t>
      </w:r>
      <w:r>
        <w:t>and</w:t>
      </w:r>
      <w:r w:rsidRPr="00306581">
        <w:t xml:space="preserve"> reward jurisdictions that deliver on nationally significant reforms.</w:t>
      </w:r>
      <w:r>
        <w:t xml:space="preserve"> Under the IGA, National Partnership payments are made on the 7</w:t>
      </w:r>
      <w:r w:rsidRPr="00D33378">
        <w:rPr>
          <w:vertAlign w:val="superscript"/>
        </w:rPr>
        <w:t>th</w:t>
      </w:r>
      <w:r>
        <w:t xml:space="preserve"> of each month, or the first business day thereafter. Extraordinary payments can be made if necessary. </w:t>
      </w:r>
    </w:p>
    <w:p w14:paraId="5903665C" w14:textId="6CAE766D" w:rsidR="004933F1" w:rsidRPr="00E25042" w:rsidRDefault="004933F1" w:rsidP="003771ED">
      <w:pPr>
        <w:rPr>
          <w:i/>
        </w:rPr>
      </w:pPr>
      <w:r>
        <w:t xml:space="preserve">National Partnership payments are implemented by way of a determination by the Minister under section 16 of the FFR </w:t>
      </w:r>
      <w:r w:rsidRPr="00F65379">
        <w:t>Act.</w:t>
      </w:r>
      <w:r>
        <w:t xml:space="preserve"> </w:t>
      </w:r>
    </w:p>
    <w:p w14:paraId="7BC98786" w14:textId="77777777" w:rsidR="00AE5BDD" w:rsidRPr="00CB6D90" w:rsidRDefault="00AE5BDD" w:rsidP="00AE5BDD">
      <w:pPr>
        <w:pStyle w:val="Heading2"/>
      </w:pPr>
      <w:bookmarkStart w:id="1" w:name="OLE_LINK9"/>
      <w:bookmarkStart w:id="2" w:name="OLE_LINK10"/>
      <w:r w:rsidRPr="00D33378">
        <w:t>Consultation</w:t>
      </w:r>
    </w:p>
    <w:p w14:paraId="7D61165D" w14:textId="41D411E1" w:rsidR="00AE5BDD" w:rsidRPr="00106A46" w:rsidRDefault="00AE5BDD" w:rsidP="00AE5BDD">
      <w:r w:rsidRPr="00E970EA">
        <w:t xml:space="preserve">The IGA was subject to extensive consultation with the </w:t>
      </w:r>
      <w:r w:rsidR="00063D5A">
        <w:t>s</w:t>
      </w:r>
      <w:r w:rsidRPr="00E970EA">
        <w:t xml:space="preserve">tates </w:t>
      </w:r>
      <w:r w:rsidR="000A3801">
        <w:t>before it</w:t>
      </w:r>
      <w:r>
        <w:t xml:space="preserve"> </w:t>
      </w:r>
      <w:r w:rsidRPr="00E970EA">
        <w:t>was</w:t>
      </w:r>
      <w:r>
        <w:t xml:space="preserve"> agreed by the Council of Australian Governments </w:t>
      </w:r>
      <w:r w:rsidR="00063D5A">
        <w:t xml:space="preserve">(COAG) </w:t>
      </w:r>
      <w:r>
        <w:t>on 29 November 2008</w:t>
      </w:r>
      <w:r w:rsidRPr="00E970EA">
        <w:t>.</w:t>
      </w:r>
      <w:r w:rsidR="00D048B7">
        <w:t xml:space="preserve"> </w:t>
      </w:r>
      <w:r w:rsidRPr="00E970EA">
        <w:t xml:space="preserve">The IGA </w:t>
      </w:r>
      <w:r>
        <w:t xml:space="preserve">and individual National Partnership agreements are </w:t>
      </w:r>
      <w:r w:rsidRPr="00E970EA">
        <w:t xml:space="preserve">publicly available on the Council </w:t>
      </w:r>
      <w:r w:rsidR="002D01A0">
        <w:t>on</w:t>
      </w:r>
      <w:r w:rsidRPr="00E970EA">
        <w:t xml:space="preserve"> Federal Financial Relations</w:t>
      </w:r>
      <w:r w:rsidRPr="00CB6D90">
        <w:t xml:space="preserve"> </w:t>
      </w:r>
      <w:r w:rsidRPr="00E970EA">
        <w:t>website.</w:t>
      </w:r>
      <w:r>
        <w:t xml:space="preserve"> </w:t>
      </w:r>
    </w:p>
    <w:p w14:paraId="496B67AA" w14:textId="77777777" w:rsidR="003E2254" w:rsidRPr="004933F1" w:rsidRDefault="003E2254" w:rsidP="003771ED">
      <w:pPr>
        <w:pStyle w:val="Heading2"/>
      </w:pPr>
      <w:r w:rsidRPr="004933F1">
        <w:t>National Partnership payments</w:t>
      </w:r>
      <w:bookmarkEnd w:id="1"/>
      <w:bookmarkEnd w:id="2"/>
    </w:p>
    <w:p w14:paraId="24797D18" w14:textId="0C29FAE6" w:rsidR="004933F1" w:rsidRPr="004933F1" w:rsidRDefault="004933F1" w:rsidP="004933F1">
      <w:pPr>
        <w:rPr>
          <w:sz w:val="22"/>
          <w:shd w:val="clear" w:color="auto" w:fill="FFFFFF"/>
        </w:rPr>
      </w:pPr>
      <w:r w:rsidRPr="004933F1">
        <w:t xml:space="preserve">All money raised or received by the Commonwealth forms part of the Consolidated Revenue Fund. Legislative authority is required for the Commonwealth to spend money from the Consolidated Revenue Fund. The </w:t>
      </w:r>
      <w:r w:rsidRPr="004933F1">
        <w:rPr>
          <w:i/>
          <w:iCs/>
        </w:rPr>
        <w:t>Public Governance, Performance and Accountability Act 2013</w:t>
      </w:r>
      <w:r w:rsidRPr="004933F1">
        <w:t xml:space="preserve"> (s 80) provides that, </w:t>
      </w:r>
      <w:r w:rsidRPr="004933F1">
        <w:rPr>
          <w:shd w:val="clear" w:color="auto" w:fill="FFFFFF"/>
        </w:rPr>
        <w:t xml:space="preserve">if another Act establishes a special account and identifies the purposes of the account, </w:t>
      </w:r>
      <w:r w:rsidRPr="004933F1">
        <w:t xml:space="preserve">the Consolidated Revenue Fund is </w:t>
      </w:r>
      <w:r w:rsidRPr="004933F1">
        <w:rPr>
          <w:shd w:val="clear" w:color="auto" w:fill="FFFFFF"/>
        </w:rPr>
        <w:t>appropriated up to the balance of the account at any point in time for expenditure for the purposes of the account.</w:t>
      </w:r>
    </w:p>
    <w:p w14:paraId="63C0D5C9" w14:textId="77777777" w:rsidR="004933F1" w:rsidRPr="004933F1" w:rsidRDefault="004933F1" w:rsidP="004933F1">
      <w:r w:rsidRPr="004933F1">
        <w:t>In this context, the relevant Act is the</w:t>
      </w:r>
      <w:r w:rsidRPr="004933F1">
        <w:rPr>
          <w:i/>
          <w:iCs/>
        </w:rPr>
        <w:t xml:space="preserve"> COAG Reform Fund Act 2008 </w:t>
      </w:r>
      <w:r w:rsidRPr="004933F1">
        <w:t xml:space="preserve">which establishes the COAG Reform Fund, a special account which has the purpose of making grants and financial assistance to States and Territories. </w:t>
      </w:r>
    </w:p>
    <w:p w14:paraId="77D67893" w14:textId="6B29EFEF" w:rsidR="004933F1" w:rsidRPr="004933F1" w:rsidRDefault="004933F1" w:rsidP="004933F1">
      <w:r>
        <w:t xml:space="preserve">The FFR Act </w:t>
      </w:r>
      <w:r w:rsidRPr="004933F1">
        <w:t>(s 16) then allows the Minister (who can be any Treasury portfolio Minister) to credit funds to the COAG Reform Fund for the purpose of providing financial assistance to t</w:t>
      </w:r>
      <w:r>
        <w:t>he s</w:t>
      </w:r>
      <w:r w:rsidRPr="004933F1">
        <w:t>tates in the form of National Partnership payments. Once the funds are credited to the COAG Reform Fund they are debited from the fu</w:t>
      </w:r>
      <w:r>
        <w:t>nd to make the payments to the s</w:t>
      </w:r>
      <w:r w:rsidRPr="004933F1">
        <w:t xml:space="preserve">tates. </w:t>
      </w:r>
    </w:p>
    <w:p w14:paraId="77F9E80A" w14:textId="68D585D4" w:rsidR="003E2254" w:rsidRDefault="003E2254" w:rsidP="003771ED">
      <w:bookmarkStart w:id="3" w:name="OLE_LINK17"/>
      <w:bookmarkStart w:id="4" w:name="OLE_LINK5"/>
      <w:bookmarkStart w:id="5" w:name="OLE_LINK6"/>
      <w:r w:rsidRPr="00306581">
        <w:lastRenderedPageBreak/>
        <w:t xml:space="preserve">The </w:t>
      </w:r>
      <w:r w:rsidR="00477BE2">
        <w:t>Minister</w:t>
      </w:r>
      <w:r>
        <w:t xml:space="preserve">’s </w:t>
      </w:r>
      <w:r w:rsidRPr="00306581">
        <w:t xml:space="preserve">determinations </w:t>
      </w:r>
      <w:r>
        <w:t xml:space="preserve">in respect of </w:t>
      </w:r>
      <w:r w:rsidRPr="00DA0A28">
        <w:t>National Partnership payments</w:t>
      </w:r>
      <w:r>
        <w:t xml:space="preserve"> </w:t>
      </w:r>
      <w:r w:rsidRPr="00306581">
        <w:t xml:space="preserve">are legislative instruments and </w:t>
      </w:r>
      <w:r>
        <w:t xml:space="preserve">are </w:t>
      </w:r>
      <w:r w:rsidRPr="00306581">
        <w:t xml:space="preserve">registered on the Federal Register of </w:t>
      </w:r>
      <w:bookmarkEnd w:id="3"/>
      <w:r>
        <w:t>Legislation</w:t>
      </w:r>
      <w:r w:rsidRPr="00306581">
        <w:t xml:space="preserve">, but </w:t>
      </w:r>
      <w:r>
        <w:t xml:space="preserve">are </w:t>
      </w:r>
      <w:r w:rsidRPr="00306581">
        <w:t>not disallowable.</w:t>
      </w:r>
      <w:r>
        <w:t xml:space="preserve"> </w:t>
      </w:r>
      <w:bookmarkEnd w:id="4"/>
      <w:bookmarkEnd w:id="5"/>
      <w:r w:rsidRPr="00306581">
        <w:t xml:space="preserve">The </w:t>
      </w:r>
      <w:r>
        <w:t xml:space="preserve">Commonwealth </w:t>
      </w:r>
      <w:r w:rsidRPr="00306581">
        <w:t xml:space="preserve">has an obligation under the </w:t>
      </w:r>
      <w:r>
        <w:t>IGA</w:t>
      </w:r>
      <w:r w:rsidRPr="00306581">
        <w:t xml:space="preserve"> to make </w:t>
      </w:r>
      <w:r w:rsidRPr="00DA0A28">
        <w:t>National Partnership payments</w:t>
      </w:r>
      <w:r w:rsidRPr="00306581">
        <w:t xml:space="preserve"> in a prescribed manner. Exemption from the disallowance provisions of the </w:t>
      </w:r>
      <w:r w:rsidRPr="00306581">
        <w:rPr>
          <w:i/>
        </w:rPr>
        <w:t>Legislati</w:t>
      </w:r>
      <w:r>
        <w:rPr>
          <w:i/>
        </w:rPr>
        <w:t xml:space="preserve">on </w:t>
      </w:r>
      <w:r w:rsidRPr="00306581">
        <w:rPr>
          <w:i/>
        </w:rPr>
        <w:t>Act 2003</w:t>
      </w:r>
      <w:r>
        <w:rPr>
          <w:i/>
        </w:rPr>
        <w:t xml:space="preserve"> </w:t>
      </w:r>
      <w:r>
        <w:t>allows</w:t>
      </w:r>
      <w:r w:rsidRPr="00306581">
        <w:t xml:space="preserve"> the </w:t>
      </w:r>
      <w:r w:rsidR="005624F4">
        <w:t>Minister</w:t>
      </w:r>
      <w:r w:rsidRPr="00306581">
        <w:t xml:space="preserve"> to </w:t>
      </w:r>
      <w:r>
        <w:t xml:space="preserve">ensure that this </w:t>
      </w:r>
      <w:r w:rsidRPr="00306581">
        <w:t>obligation</w:t>
      </w:r>
      <w:r>
        <w:t xml:space="preserve"> is met</w:t>
      </w:r>
      <w:r w:rsidRPr="00306581">
        <w:t xml:space="preserve">.  </w:t>
      </w:r>
    </w:p>
    <w:p w14:paraId="36683204" w14:textId="09D5C13B" w:rsidR="00AE5BDD" w:rsidRDefault="00AE5BDD" w:rsidP="00AE5BDD">
      <w:pPr>
        <w:pStyle w:val="Heading2"/>
      </w:pPr>
      <w:r>
        <w:t>Payment conditions</w:t>
      </w:r>
    </w:p>
    <w:p w14:paraId="77DA60F7" w14:textId="77777777" w:rsidR="000A3801" w:rsidRDefault="000A3801" w:rsidP="000A3801">
      <w:pPr>
        <w:pStyle w:val="NumberedParagraph"/>
        <w:numPr>
          <w:ilvl w:val="0"/>
          <w:numId w:val="0"/>
        </w:numPr>
      </w:pPr>
      <w:r>
        <w:t>Subsection 7(2) of the</w:t>
      </w:r>
      <w:r>
        <w:rPr>
          <w:i/>
        </w:rPr>
        <w:t xml:space="preserve"> </w:t>
      </w:r>
      <w:r w:rsidRPr="006013B3">
        <w:rPr>
          <w:i/>
        </w:rPr>
        <w:t xml:space="preserve">COAG Reform Fund Act 2008 </w:t>
      </w:r>
      <w:r>
        <w:t>requires that the terms and conditions on which financial assistance is granted are to be set out in a written agreement between the Commonwealth and the state.</w:t>
      </w:r>
    </w:p>
    <w:p w14:paraId="12CF4B24" w14:textId="424C8197" w:rsidR="00AE5BDD" w:rsidRDefault="00AE5BDD" w:rsidP="000A3801">
      <w:pPr>
        <w:pStyle w:val="NumberedParagraph"/>
        <w:numPr>
          <w:ilvl w:val="0"/>
          <w:numId w:val="0"/>
        </w:numPr>
      </w:pPr>
      <w:r>
        <w:t xml:space="preserve">National Partnerships </w:t>
      </w:r>
      <w:r w:rsidR="002D01A0">
        <w:t xml:space="preserve">are the written agreements that </w:t>
      </w:r>
      <w:r>
        <w:t>set out the</w:t>
      </w:r>
      <w:r w:rsidR="002D01A0">
        <w:t xml:space="preserve"> terms and conditions for</w:t>
      </w:r>
      <w:r>
        <w:t xml:space="preserve"> payment</w:t>
      </w:r>
      <w:r w:rsidR="002D01A0">
        <w:t>s made under section 16 of the FFR Act.</w:t>
      </w:r>
      <w:r>
        <w:t xml:space="preserve"> Where the achievement of pre</w:t>
      </w:r>
      <w:r>
        <w:noBreakHyphen/>
        <w:t>determined milestones or performance benchmarks is required</w:t>
      </w:r>
      <w:r w:rsidR="00145816">
        <w:t xml:space="preserve"> before a payment is made to a s</w:t>
      </w:r>
      <w:r>
        <w:t>tate:</w:t>
      </w:r>
    </w:p>
    <w:p w14:paraId="35824D84" w14:textId="391D74F5" w:rsidR="00AE5BDD" w:rsidRDefault="00AE5BDD" w:rsidP="00F966EC">
      <w:pPr>
        <w:pStyle w:val="AlphaParagraph"/>
        <w:numPr>
          <w:ilvl w:val="0"/>
          <w:numId w:val="7"/>
        </w:numPr>
        <w:ind w:left="567"/>
      </w:pPr>
      <w:r>
        <w:t>in the case of payments to reward nationally significant reforms, the relevant Commonwealth Minister or delegate make</w:t>
      </w:r>
      <w:r w:rsidR="002C0A14">
        <w:t>s</w:t>
      </w:r>
      <w:r>
        <w:t xml:space="preserve"> a determination as to whether the incentive payment will be paid following receipt of an independent assessment as to whether a pre-determined performance benchmark has been achieved; and</w:t>
      </w:r>
    </w:p>
    <w:p w14:paraId="62E48596" w14:textId="576F706D" w:rsidR="00AE5BDD" w:rsidRDefault="00AE5BDD" w:rsidP="00F966EC">
      <w:pPr>
        <w:pStyle w:val="AlphaParagraph"/>
        <w:ind w:left="567"/>
      </w:pPr>
      <w:r>
        <w:t>in the case of payments to facilitate reform and to support the delivery of specified outputs or projects, the relevant Commonwealth Minister or delegate make</w:t>
      </w:r>
      <w:r w:rsidR="002C0A14">
        <w:t>s</w:t>
      </w:r>
      <w:r>
        <w:t xml:space="preserve"> a determination, based upon expenditure and performance reporting arrangements set out in the National Partnership, as to whether the facilitation or project payment will be paid.</w:t>
      </w:r>
    </w:p>
    <w:p w14:paraId="73E5B404" w14:textId="4D755BA3" w:rsidR="00AE5BDD" w:rsidRDefault="00AE5BDD" w:rsidP="00AE5BDD">
      <w:pPr>
        <w:pStyle w:val="NumberedParagraph"/>
        <w:numPr>
          <w:ilvl w:val="0"/>
          <w:numId w:val="0"/>
        </w:numPr>
      </w:pPr>
      <w:r>
        <w:t>Where the achievement of a performance benchmark is not required before a paymen</w:t>
      </w:r>
      <w:r w:rsidR="00145816">
        <w:t>t is made to a s</w:t>
      </w:r>
      <w:r w:rsidR="002C0A14">
        <w:t>tate, payments are</w:t>
      </w:r>
      <w:r>
        <w:t xml:space="preserve"> scheduled in accordance with the payment profile set out in the National Partnership.</w:t>
      </w:r>
    </w:p>
    <w:p w14:paraId="76A48BA8" w14:textId="79EFB918" w:rsidR="00AE5BDD" w:rsidRPr="00630BC9" w:rsidRDefault="00AE5BDD" w:rsidP="00AE5BDD">
      <w:pPr>
        <w:pStyle w:val="Heading4"/>
        <w:rPr>
          <w:snapToGrid w:val="0"/>
          <w:lang w:eastAsia="en-US"/>
        </w:rPr>
      </w:pPr>
      <w:r w:rsidRPr="00630BC9">
        <w:rPr>
          <w:snapToGrid w:val="0"/>
          <w:lang w:eastAsia="en-US"/>
        </w:rPr>
        <w:t>Debit limits</w:t>
      </w:r>
    </w:p>
    <w:p w14:paraId="5249042D" w14:textId="2D7A9556" w:rsidR="003A5D50" w:rsidRDefault="00AE5BDD" w:rsidP="00AE5BDD">
      <w:pPr>
        <w:pStyle w:val="NumberedParagraph"/>
        <w:numPr>
          <w:ilvl w:val="0"/>
          <w:numId w:val="0"/>
        </w:numPr>
      </w:pPr>
      <w:r w:rsidRPr="00630BC9">
        <w:t>Under subsection 16(3) of the FFR Act the total amount credited to the COAG Reform Fund for the purpose of making National Partnership payments in the financ</w:t>
      </w:r>
      <w:r w:rsidR="009E7C55" w:rsidRPr="00630BC9">
        <w:t>ial year starting on 1 July 201</w:t>
      </w:r>
      <w:r w:rsidR="002D01A0" w:rsidRPr="00630BC9">
        <w:t>9</w:t>
      </w:r>
      <w:r w:rsidRPr="00630BC9">
        <w:t xml:space="preserve"> must not exceed </w:t>
      </w:r>
      <w:r w:rsidR="003A5D50" w:rsidRPr="003A5D50">
        <w:t>$</w:t>
      </w:r>
      <w:r w:rsidR="003A5D50">
        <w:t>2</w:t>
      </w:r>
      <w:r w:rsidR="003A5D50" w:rsidRPr="003A5D50">
        <w:t xml:space="preserve">5,000,000,000. This amount is set out in </w:t>
      </w:r>
      <w:r w:rsidR="003A5D50" w:rsidRPr="00E26869">
        <w:rPr>
          <w:i/>
        </w:rPr>
        <w:t>Supply Act (No. 2) 2019-2020</w:t>
      </w:r>
      <w:r w:rsidR="003A5D50" w:rsidRPr="003A5D50">
        <w:t xml:space="preserve"> and </w:t>
      </w:r>
      <w:r w:rsidR="003A5D50" w:rsidRPr="00E26869">
        <w:rPr>
          <w:i/>
        </w:rPr>
        <w:t>Appropriation Act (No. 2) 2019-2020</w:t>
      </w:r>
      <w:r w:rsidR="003A5D50" w:rsidRPr="003A5D50">
        <w:t>.</w:t>
      </w:r>
    </w:p>
    <w:p w14:paraId="03698821" w14:textId="673E0B6B" w:rsidR="00AE5BDD" w:rsidRDefault="00AE5BDD" w:rsidP="00AE5BDD">
      <w:pPr>
        <w:pStyle w:val="NumberedParagraph"/>
        <w:numPr>
          <w:ilvl w:val="0"/>
          <w:numId w:val="0"/>
        </w:numPr>
      </w:pPr>
      <w:r w:rsidRPr="00630BC9">
        <w:t xml:space="preserve">The total amount determined for National Partnership payments to date in the </w:t>
      </w:r>
      <w:r w:rsidR="009E7C55" w:rsidRPr="00630BC9">
        <w:t>201</w:t>
      </w:r>
      <w:r w:rsidR="002D01A0" w:rsidRPr="00630BC9">
        <w:t>9-20</w:t>
      </w:r>
      <w:r w:rsidRPr="00630BC9">
        <w:t xml:space="preserve"> financial year does not exceed the debit limit.</w:t>
      </w:r>
    </w:p>
    <w:p w14:paraId="14154A2D" w14:textId="77777777" w:rsidR="00AE5BDD" w:rsidRDefault="00AE5BDD" w:rsidP="00AE5BDD">
      <w:pPr>
        <w:pStyle w:val="Heading4"/>
        <w:rPr>
          <w:snapToGrid w:val="0"/>
          <w:lang w:eastAsia="en-US"/>
        </w:rPr>
      </w:pPr>
      <w:r>
        <w:rPr>
          <w:snapToGrid w:val="0"/>
          <w:lang w:eastAsia="en-US"/>
        </w:rPr>
        <w:t>Commencement</w:t>
      </w:r>
    </w:p>
    <w:p w14:paraId="0FCB5FF7" w14:textId="77777777" w:rsidR="00AE5BDD" w:rsidRDefault="00AE5BDD" w:rsidP="00AE5BDD">
      <w:pPr>
        <w:rPr>
          <w:snapToGrid w:val="0"/>
          <w:lang w:eastAsia="en-US"/>
        </w:rPr>
      </w:pPr>
      <w:r>
        <w:rPr>
          <w:snapToGrid w:val="0"/>
          <w:lang w:eastAsia="en-US"/>
        </w:rPr>
        <w:t>The determination commenced</w:t>
      </w:r>
      <w:r w:rsidRPr="001E6B5B">
        <w:rPr>
          <w:snapToGrid w:val="0"/>
          <w:lang w:eastAsia="en-US"/>
        </w:rPr>
        <w:t xml:space="preserve"> on </w:t>
      </w:r>
      <w:r>
        <w:rPr>
          <w:snapToGrid w:val="0"/>
          <w:lang w:eastAsia="en-US"/>
        </w:rPr>
        <w:t>the day it was made</w:t>
      </w:r>
      <w:r w:rsidRPr="001E6B5B">
        <w:rPr>
          <w:snapToGrid w:val="0"/>
          <w:lang w:eastAsia="en-US"/>
        </w:rPr>
        <w:t>.</w:t>
      </w:r>
    </w:p>
    <w:p w14:paraId="27D377B8" w14:textId="77777777" w:rsidR="00AE5BDD" w:rsidRDefault="00AE5BDD" w:rsidP="00AE5BDD">
      <w:pPr>
        <w:pStyle w:val="NumberedParagraph"/>
        <w:numPr>
          <w:ilvl w:val="0"/>
          <w:numId w:val="0"/>
        </w:numPr>
      </w:pPr>
    </w:p>
    <w:p w14:paraId="7FB6EDF3" w14:textId="77777777" w:rsidR="00AE5BDD" w:rsidRDefault="00AE5BDD">
      <w:pPr>
        <w:spacing w:after="0"/>
        <w:rPr>
          <w:b/>
          <w:snapToGrid w:val="0"/>
          <w:kern w:val="28"/>
          <w:lang w:eastAsia="en-US"/>
        </w:rPr>
      </w:pPr>
      <w:r>
        <w:rPr>
          <w:snapToGrid w:val="0"/>
          <w:lang w:eastAsia="en-US"/>
        </w:rPr>
        <w:br w:type="page"/>
      </w:r>
    </w:p>
    <w:p w14:paraId="71D18D98" w14:textId="0B21CE2D" w:rsidR="00E720D7" w:rsidRDefault="00285C72" w:rsidP="00285C72">
      <w:pPr>
        <w:pStyle w:val="Heading4"/>
        <w:rPr>
          <w:b w:val="0"/>
          <w:kern w:val="0"/>
          <w:sz w:val="22"/>
          <w:szCs w:val="24"/>
        </w:rPr>
      </w:pPr>
      <w:r>
        <w:rPr>
          <w:snapToGrid w:val="0"/>
          <w:lang w:eastAsia="en-US"/>
        </w:rPr>
        <w:lastRenderedPageBreak/>
        <w:t>Statement of Compatibility with Human Rights</w:t>
      </w:r>
    </w:p>
    <w:p w14:paraId="5F75B444" w14:textId="0F31F8C8" w:rsidR="00285C72" w:rsidRPr="00F41D3A" w:rsidRDefault="00285C72" w:rsidP="00285C72">
      <w:pPr>
        <w:pStyle w:val="Heading4"/>
        <w:rPr>
          <w:snapToGrid w:val="0"/>
          <w:sz w:val="28"/>
          <w:lang w:eastAsia="en-US"/>
        </w:rPr>
      </w:pPr>
      <w:r w:rsidRPr="00F41D3A">
        <w:rPr>
          <w:b w:val="0"/>
          <w:kern w:val="0"/>
          <w:szCs w:val="24"/>
        </w:rPr>
        <w:t xml:space="preserve">Prepared in accordance with Part 3 of the </w:t>
      </w:r>
      <w:r w:rsidRPr="00F41D3A">
        <w:rPr>
          <w:b w:val="0"/>
          <w:i/>
          <w:kern w:val="0"/>
          <w:szCs w:val="24"/>
        </w:rPr>
        <w:t>Human Rights (Parliamentary Scrutiny) Act 2011</w:t>
      </w:r>
      <w:r w:rsidRPr="00F41D3A">
        <w:rPr>
          <w:b w:val="0"/>
          <w:kern w:val="0"/>
          <w:szCs w:val="24"/>
        </w:rPr>
        <w:t>.</w:t>
      </w:r>
    </w:p>
    <w:p w14:paraId="41918A44" w14:textId="0F8AA389" w:rsidR="00285C72" w:rsidRPr="001532CC" w:rsidRDefault="00285C72" w:rsidP="00285C72">
      <w:r w:rsidRPr="001532CC">
        <w:t>National Partnership agreements set out mutually</w:t>
      </w:r>
      <w:r w:rsidR="000A6CA4">
        <w:t xml:space="preserve"> </w:t>
      </w:r>
      <w:r w:rsidRPr="001532CC">
        <w:t>agreed objectives, outcomes, outputs and performance requirements for the specific services, project or reform to be delivered under that agreement.  Each agreement is negotiated between the Commonwealth and the relevant States and Territories. Through the negotiation process, the States and Territories have input into the setting of benchmarks to be used to measure progress in delivering services, projects and reforms. As such, the benchmarks in National Partnership agreements are agreed by all parties as achievable and demonstrating the realisation of the mutually-agreed policy objectives.</w:t>
      </w:r>
    </w:p>
    <w:p w14:paraId="44E40C4A" w14:textId="3C80DE0B" w:rsidR="00285C72" w:rsidRDefault="00285C72" w:rsidP="00285C72">
      <w:r w:rsidRPr="001532CC">
        <w:t xml:space="preserve">The States and Territories meet the overwhelming majority of performance requirements in National Partnership agreements. The associated funding is then paid in accordance with the determinations for </w:t>
      </w:r>
      <w:r>
        <w:t>N</w:t>
      </w:r>
      <w:r w:rsidR="007B2813">
        <w:t xml:space="preserve">ational </w:t>
      </w:r>
      <w:r>
        <w:t>P</w:t>
      </w:r>
      <w:r w:rsidR="007B2813">
        <w:t>artnership payment</w:t>
      </w:r>
      <w:r>
        <w:t>s</w:t>
      </w:r>
      <w:r w:rsidR="007B2813">
        <w:t xml:space="preserve"> (NPPs)</w:t>
      </w:r>
      <w:r w:rsidRPr="001532CC">
        <w:t>, consistent with the terms and conditions of the relevant agreement.</w:t>
      </w:r>
      <w:r>
        <w:t xml:space="preserve"> </w:t>
      </w:r>
      <w:r w:rsidRPr="001532CC">
        <w:t>The setting of performance requirements promotes the progressive realisation of human rights by creating an incentive for the efficient delivery of services, projects and reforms in sectors such as health, education, housing and community services.</w:t>
      </w:r>
      <w:r>
        <w:t xml:space="preserve"> For example, this determination includes payments that support:</w:t>
      </w:r>
    </w:p>
    <w:p w14:paraId="10F26A18" w14:textId="647973D8" w:rsidR="00AC72C8" w:rsidRPr="00D65859" w:rsidRDefault="00AC72C8" w:rsidP="00F966EC">
      <w:pPr>
        <w:pStyle w:val="Bullet"/>
        <w:numPr>
          <w:ilvl w:val="0"/>
          <w:numId w:val="8"/>
        </w:numPr>
        <w:tabs>
          <w:tab w:val="num" w:pos="1240"/>
        </w:tabs>
        <w:spacing w:before="0"/>
        <w:ind w:left="522" w:hanging="522"/>
      </w:pPr>
      <w:r w:rsidRPr="00D65859">
        <w:t>the rights of people with disabilities to full and effective participation and inclusion in society (Article 3, Convention on the Rights of Persons with Disabilities);</w:t>
      </w:r>
    </w:p>
    <w:p w14:paraId="3B70E0BD" w14:textId="34701A84" w:rsidR="00AC72C8" w:rsidRPr="00196200" w:rsidRDefault="00AC72C8" w:rsidP="00F966EC">
      <w:pPr>
        <w:pStyle w:val="Bullet"/>
        <w:numPr>
          <w:ilvl w:val="0"/>
          <w:numId w:val="8"/>
        </w:numPr>
        <w:tabs>
          <w:tab w:val="num" w:pos="1240"/>
        </w:tabs>
        <w:spacing w:before="0"/>
        <w:ind w:left="522" w:hanging="522"/>
      </w:pPr>
      <w:r w:rsidRPr="00196200">
        <w:t xml:space="preserve">the right to education (Article 13, International Covenant on Economic, Social and Cultural Rights; Article 28, Convention of the Rights of the </w:t>
      </w:r>
      <w:r w:rsidR="009825C8" w:rsidRPr="00196200">
        <w:t>Persons with Disabilities);</w:t>
      </w:r>
    </w:p>
    <w:p w14:paraId="321F47E8" w14:textId="77777777" w:rsidR="009825C8" w:rsidRPr="00196200" w:rsidRDefault="009825C8" w:rsidP="00F966EC">
      <w:pPr>
        <w:pStyle w:val="Bullet"/>
        <w:numPr>
          <w:ilvl w:val="0"/>
          <w:numId w:val="8"/>
        </w:numPr>
        <w:tabs>
          <w:tab w:val="num" w:pos="1240"/>
        </w:tabs>
        <w:spacing w:before="0"/>
        <w:ind w:left="522" w:hanging="522"/>
      </w:pPr>
      <w:r w:rsidRPr="00196200">
        <w:t>the right to be physically and mentally healthy (Article 12, International Covenant on Civil and Political Rights);</w:t>
      </w:r>
    </w:p>
    <w:p w14:paraId="746A7425" w14:textId="3292504C" w:rsidR="00AC72C8" w:rsidRPr="00196200" w:rsidRDefault="00AC72C8" w:rsidP="00F966EC">
      <w:pPr>
        <w:pStyle w:val="Bullet"/>
        <w:numPr>
          <w:ilvl w:val="0"/>
          <w:numId w:val="8"/>
        </w:numPr>
        <w:tabs>
          <w:tab w:val="num" w:pos="1240"/>
        </w:tabs>
        <w:spacing w:before="0"/>
        <w:ind w:left="522" w:hanging="522"/>
      </w:pPr>
      <w:r w:rsidRPr="00196200">
        <w:t>the right to adequate housing (Article 11, International Covenant on Civil and Political Rights);</w:t>
      </w:r>
    </w:p>
    <w:p w14:paraId="32F6A634" w14:textId="38313FEE" w:rsidR="00AC72C8" w:rsidRPr="00196200" w:rsidRDefault="00AC72C8" w:rsidP="00F966EC">
      <w:pPr>
        <w:pStyle w:val="Bullet"/>
        <w:numPr>
          <w:ilvl w:val="0"/>
          <w:numId w:val="8"/>
        </w:numPr>
        <w:tabs>
          <w:tab w:val="num" w:pos="1240"/>
        </w:tabs>
        <w:spacing w:before="0"/>
        <w:ind w:left="522" w:hanging="522"/>
      </w:pPr>
      <w:r w:rsidRPr="00196200">
        <w:t>realisation of the right to work through vocational training (Article 6, International Covenant on Economic, Social and Cultural Rights; Article 27, Convention on the Rights of Persons with Disabilities);</w:t>
      </w:r>
      <w:r w:rsidR="00F966EC" w:rsidRPr="00196200">
        <w:t xml:space="preserve"> </w:t>
      </w:r>
      <w:r w:rsidR="00AD6163" w:rsidRPr="00196200">
        <w:t>and</w:t>
      </w:r>
    </w:p>
    <w:p w14:paraId="753C3845" w14:textId="64526832" w:rsidR="00A333CB" w:rsidRPr="00196200" w:rsidRDefault="00A333CB" w:rsidP="00A333CB">
      <w:pPr>
        <w:pStyle w:val="Bullet"/>
        <w:numPr>
          <w:ilvl w:val="0"/>
          <w:numId w:val="8"/>
        </w:numPr>
        <w:tabs>
          <w:tab w:val="num" w:pos="1240"/>
        </w:tabs>
        <w:spacing w:before="0"/>
        <w:ind w:left="522" w:hanging="522"/>
      </w:pPr>
      <w:r w:rsidRPr="00196200">
        <w:t>the right to an adequate standard of living (Article 11, International Covenant</w:t>
      </w:r>
      <w:r w:rsidR="00B408E9" w:rsidRPr="00196200">
        <w:t xml:space="preserve"> on Civil and Political Rights).</w:t>
      </w:r>
    </w:p>
    <w:p w14:paraId="596092E9" w14:textId="564B3097" w:rsidR="00285C72" w:rsidRDefault="00285C72" w:rsidP="00285C72">
      <w:r w:rsidRPr="001532CC">
        <w:t xml:space="preserve">At an aggregate level, total National Partnership payments vary from month to month and year to year for a variety of reasons.  Different projects and reforms are delivered over different time periods, and annual funding allocations under individual agreements vary over the term of the agreement depending on the pace at which services, projects or reforms are expected to occur. Structural changes to the way that services are provided can also mean that funding arrangements change. For example, funding for the provision of disability services is currently experiencing significant </w:t>
      </w:r>
      <w:r w:rsidRPr="001532CC">
        <w:lastRenderedPageBreak/>
        <w:t xml:space="preserve">change as the Commonwealth and the States and Territories transition to full implementation of the National Disability Insurance Scheme. As </w:t>
      </w:r>
      <w:r w:rsidR="00263473">
        <w:t>a result of these variations</w:t>
      </w:r>
      <w:r w:rsidRPr="001532CC">
        <w:t xml:space="preserve">, trends in </w:t>
      </w:r>
      <w:r>
        <w:t>NPPs</w:t>
      </w:r>
      <w:r w:rsidRPr="001532CC">
        <w:t xml:space="preserve"> for sectors that support human rights do not necessarily reflect trends in overall payments to the States and Te</w:t>
      </w:r>
      <w:r>
        <w:t>rritories for service provision.</w:t>
      </w:r>
    </w:p>
    <w:sectPr w:rsidR="00285C72"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BA139" w14:textId="77777777" w:rsidR="00507AB8" w:rsidRDefault="00507AB8" w:rsidP="003771ED">
      <w:r>
        <w:separator/>
      </w:r>
    </w:p>
    <w:p w14:paraId="7584E2E4" w14:textId="77777777" w:rsidR="00507AB8" w:rsidRDefault="00507AB8" w:rsidP="003771ED"/>
  </w:endnote>
  <w:endnote w:type="continuationSeparator" w:id="0">
    <w:p w14:paraId="7A1571D3" w14:textId="77777777" w:rsidR="00507AB8" w:rsidRDefault="00507AB8" w:rsidP="003771ED">
      <w:r>
        <w:continuationSeparator/>
      </w:r>
    </w:p>
    <w:p w14:paraId="23BCA6FD" w14:textId="77777777" w:rsidR="00507AB8" w:rsidRDefault="00507AB8" w:rsidP="003771ED"/>
  </w:endnote>
  <w:endnote w:type="continuationNotice" w:id="1">
    <w:p w14:paraId="2F6207AC" w14:textId="77777777" w:rsidR="00507AB8" w:rsidRDefault="00507A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446CC2E" w14:textId="0D4750DE" w:rsidR="00507AB8" w:rsidRDefault="00507AB8" w:rsidP="003771ED">
            <w:pPr>
              <w:pStyle w:val="Footer"/>
            </w:pPr>
            <w:r w:rsidRPr="00954679">
              <w:rPr>
                <w:szCs w:val="24"/>
              </w:rPr>
              <w:fldChar w:fldCharType="begin"/>
            </w:r>
            <w:r w:rsidRPr="00954679">
              <w:instrText xml:space="preserve"> PAGE </w:instrText>
            </w:r>
            <w:r w:rsidRPr="00954679">
              <w:rPr>
                <w:szCs w:val="24"/>
              </w:rPr>
              <w:fldChar w:fldCharType="separate"/>
            </w:r>
            <w:r w:rsidR="00565F86">
              <w:rPr>
                <w:noProof/>
              </w:rPr>
              <w:t>1</w:t>
            </w:r>
            <w:r w:rsidRPr="00954679">
              <w:rPr>
                <w:szCs w:val="24"/>
              </w:rPr>
              <w:fldChar w:fldCharType="end"/>
            </w:r>
            <w:r w:rsidRPr="00954679">
              <w:t xml:space="preserve"> of </w:t>
            </w:r>
            <w:r>
              <w:rPr>
                <w:noProof/>
              </w:rPr>
              <w:fldChar w:fldCharType="begin"/>
            </w:r>
            <w:r>
              <w:rPr>
                <w:noProof/>
              </w:rPr>
              <w:instrText xml:space="preserve"> NUMPAGES  </w:instrText>
            </w:r>
            <w:r>
              <w:rPr>
                <w:noProof/>
              </w:rPr>
              <w:fldChar w:fldCharType="separate"/>
            </w:r>
            <w:r w:rsidR="00565F86">
              <w:rPr>
                <w:noProof/>
              </w:rPr>
              <w:t>4</w:t>
            </w:r>
            <w:r>
              <w:rPr>
                <w:noProof/>
              </w:rPr>
              <w:fldChar w:fldCharType="end"/>
            </w:r>
          </w:p>
        </w:sdtContent>
      </w:sdt>
    </w:sdtContent>
  </w:sdt>
  <w:p w14:paraId="5B13EF74" w14:textId="77777777" w:rsidR="00507AB8" w:rsidRDefault="00507AB8" w:rsidP="00377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F856A" w14:textId="77777777" w:rsidR="00507AB8" w:rsidRDefault="00507AB8" w:rsidP="003771ED">
      <w:r>
        <w:separator/>
      </w:r>
    </w:p>
    <w:p w14:paraId="611E1D9B" w14:textId="77777777" w:rsidR="00507AB8" w:rsidRDefault="00507AB8" w:rsidP="003771ED"/>
  </w:footnote>
  <w:footnote w:type="continuationSeparator" w:id="0">
    <w:p w14:paraId="725E7F06" w14:textId="77777777" w:rsidR="00507AB8" w:rsidRDefault="00507AB8" w:rsidP="003771ED">
      <w:r>
        <w:continuationSeparator/>
      </w:r>
    </w:p>
    <w:p w14:paraId="2E3C0257" w14:textId="77777777" w:rsidR="00507AB8" w:rsidRDefault="00507AB8" w:rsidP="003771ED"/>
  </w:footnote>
  <w:footnote w:type="continuationNotice" w:id="1">
    <w:p w14:paraId="622B42F7" w14:textId="77777777" w:rsidR="00507AB8" w:rsidRDefault="00507A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2D665DFA"/>
    <w:multiLevelType w:val="singleLevel"/>
    <w:tmpl w:val="C80025D4"/>
    <w:lvl w:ilvl="0">
      <w:start w:val="1"/>
      <w:numFmt w:val="lowerLetter"/>
      <w:lvlRestart w:val="0"/>
      <w:pStyle w:val="AlphaParagraph"/>
      <w:lvlText w:val="(%1)"/>
      <w:lvlJc w:val="left"/>
      <w:pPr>
        <w:tabs>
          <w:tab w:val="num" w:pos="1134"/>
        </w:tabs>
        <w:ind w:left="1134" w:hanging="567"/>
      </w:pPr>
      <w:rPr>
        <w:rFonts w:ascii="Times New Roman" w:hAnsi="Times New Roman" w:cs="Arial Bold" w:hint="default"/>
        <w:b w:val="0"/>
        <w:i w:val="0"/>
        <w:sz w:val="24"/>
        <w:szCs w:val="24"/>
      </w:rPr>
    </w:lvl>
  </w:abstractNum>
  <w:abstractNum w:abstractNumId="3" w15:restartNumberingAfterBreak="0">
    <w:nsid w:val="3C414067"/>
    <w:multiLevelType w:val="multilevel"/>
    <w:tmpl w:val="B1A8176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4972423"/>
    <w:multiLevelType w:val="singleLevel"/>
    <w:tmpl w:val="40EE6524"/>
    <w:lvl w:ilvl="0">
      <w:start w:val="1"/>
      <w:numFmt w:val="decimal"/>
      <w:pStyle w:val="NumberedParagraph"/>
      <w:lvlText w:val="%1."/>
      <w:lvlJc w:val="left"/>
      <w:pPr>
        <w:tabs>
          <w:tab w:val="num" w:pos="567"/>
        </w:tabs>
        <w:ind w:left="0" w:firstLine="0"/>
      </w:pPr>
      <w:rPr>
        <w:rFonts w:hint="default"/>
      </w:rPr>
    </w:lvl>
  </w:abstractNum>
  <w:abstractNum w:abstractNumId="5" w15:restartNumberingAfterBreak="0">
    <w:nsid w:val="67A43C0B"/>
    <w:multiLevelType w:val="multilevel"/>
    <w:tmpl w:val="8B3054A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512111D"/>
    <w:multiLevelType w:val="multilevel"/>
    <w:tmpl w:val="A770076C"/>
    <w:lvl w:ilvl="0">
      <w:start w:val="1"/>
      <w:numFmt w:val="bullet"/>
      <w:lvlText w:val="•"/>
      <w:lvlJc w:val="left"/>
      <w:pPr>
        <w:tabs>
          <w:tab w:val="num" w:pos="-920"/>
        </w:tabs>
        <w:ind w:left="-920" w:hanging="520"/>
      </w:pPr>
      <w:rPr>
        <w:rFonts w:ascii="Times New Roman" w:hAnsi="Times New Roman" w:cs="Times New Roman"/>
      </w:rPr>
    </w:lvl>
    <w:lvl w:ilvl="1">
      <w:start w:val="1"/>
      <w:numFmt w:val="bullet"/>
      <w:lvlText w:val="–"/>
      <w:lvlJc w:val="left"/>
      <w:pPr>
        <w:tabs>
          <w:tab w:val="num" w:pos="-400"/>
        </w:tabs>
        <w:ind w:left="-400" w:hanging="520"/>
      </w:pPr>
      <w:rPr>
        <w:rFonts w:ascii="Times New Roman" w:hAnsi="Times New Roman" w:cs="Times New Roman"/>
      </w:rPr>
    </w:lvl>
    <w:lvl w:ilvl="2">
      <w:start w:val="1"/>
      <w:numFmt w:val="bullet"/>
      <w:lvlText w:val=":"/>
      <w:lvlJc w:val="left"/>
      <w:pPr>
        <w:tabs>
          <w:tab w:val="num" w:pos="120"/>
        </w:tabs>
        <w:ind w:left="120" w:hanging="520"/>
      </w:pPr>
      <w:rPr>
        <w:rFonts w:ascii="Times New Roman" w:hAnsi="Times New Roman" w:cs="Times New Roman"/>
      </w:rPr>
    </w:lvl>
    <w:lvl w:ilvl="3">
      <w:start w:val="1"/>
      <w:numFmt w:val="decimal"/>
      <w:lvlText w:val="(%4)"/>
      <w:lvlJc w:val="left"/>
      <w:pPr>
        <w:ind w:left="0" w:hanging="360"/>
      </w:pPr>
    </w:lvl>
    <w:lvl w:ilvl="4">
      <w:start w:val="1"/>
      <w:numFmt w:val="lowerLetter"/>
      <w:lvlText w:val="(%5)"/>
      <w:lvlJc w:val="left"/>
      <w:pPr>
        <w:ind w:left="360" w:hanging="360"/>
      </w:pPr>
    </w:lvl>
    <w:lvl w:ilvl="5">
      <w:start w:val="1"/>
      <w:numFmt w:val="lowerRoman"/>
      <w:lvlText w:val="(%6)"/>
      <w:lvlJc w:val="left"/>
      <w:pPr>
        <w:ind w:left="720" w:hanging="360"/>
      </w:pPr>
    </w:lvl>
    <w:lvl w:ilvl="6">
      <w:start w:val="1"/>
      <w:numFmt w:val="decimal"/>
      <w:lvlText w:val="%7."/>
      <w:lvlJc w:val="left"/>
      <w:pPr>
        <w:ind w:left="1080" w:hanging="360"/>
      </w:pPr>
    </w:lvl>
    <w:lvl w:ilvl="7">
      <w:start w:val="1"/>
      <w:numFmt w:val="lowerLetter"/>
      <w:lvlText w:val="%8."/>
      <w:lvlJc w:val="left"/>
      <w:pPr>
        <w:ind w:left="1440" w:hanging="360"/>
      </w:pPr>
    </w:lvl>
    <w:lvl w:ilvl="8">
      <w:start w:val="1"/>
      <w:numFmt w:val="lowerRoman"/>
      <w:lvlText w:val="%9."/>
      <w:lvlJc w:val="left"/>
      <w:pPr>
        <w:ind w:left="1800" w:hanging="360"/>
      </w:p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2"/>
    <w:lvlOverride w:ilvl="0">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79"/>
    <w:rsid w:val="0001542F"/>
    <w:rsid w:val="00015C71"/>
    <w:rsid w:val="00016EA2"/>
    <w:rsid w:val="00045E1C"/>
    <w:rsid w:val="0005139B"/>
    <w:rsid w:val="00061D78"/>
    <w:rsid w:val="00063D5A"/>
    <w:rsid w:val="00070549"/>
    <w:rsid w:val="00083B25"/>
    <w:rsid w:val="00095211"/>
    <w:rsid w:val="000960B3"/>
    <w:rsid w:val="000A3801"/>
    <w:rsid w:val="000A6CA4"/>
    <w:rsid w:val="000A7009"/>
    <w:rsid w:val="000C10DF"/>
    <w:rsid w:val="000D547F"/>
    <w:rsid w:val="000E22DF"/>
    <w:rsid w:val="000E6C94"/>
    <w:rsid w:val="000E791A"/>
    <w:rsid w:val="001008EF"/>
    <w:rsid w:val="001048D1"/>
    <w:rsid w:val="00113B45"/>
    <w:rsid w:val="00124122"/>
    <w:rsid w:val="00125928"/>
    <w:rsid w:val="00145816"/>
    <w:rsid w:val="00147357"/>
    <w:rsid w:val="0015257F"/>
    <w:rsid w:val="001623CE"/>
    <w:rsid w:val="00173005"/>
    <w:rsid w:val="0017580E"/>
    <w:rsid w:val="00184425"/>
    <w:rsid w:val="00184C20"/>
    <w:rsid w:val="00196200"/>
    <w:rsid w:val="001A0A13"/>
    <w:rsid w:val="001A1B07"/>
    <w:rsid w:val="001A250B"/>
    <w:rsid w:val="001A3E7D"/>
    <w:rsid w:val="001B0661"/>
    <w:rsid w:val="001C34C9"/>
    <w:rsid w:val="001D0BD5"/>
    <w:rsid w:val="001D5D3E"/>
    <w:rsid w:val="001E6A74"/>
    <w:rsid w:val="001F1E59"/>
    <w:rsid w:val="001F41D0"/>
    <w:rsid w:val="001F4C66"/>
    <w:rsid w:val="001F79D3"/>
    <w:rsid w:val="00201A59"/>
    <w:rsid w:val="00207B0E"/>
    <w:rsid w:val="00220F16"/>
    <w:rsid w:val="00221400"/>
    <w:rsid w:val="00240424"/>
    <w:rsid w:val="00254C5B"/>
    <w:rsid w:val="0025707A"/>
    <w:rsid w:val="00263473"/>
    <w:rsid w:val="00273C70"/>
    <w:rsid w:val="0027779C"/>
    <w:rsid w:val="002826CD"/>
    <w:rsid w:val="00285C72"/>
    <w:rsid w:val="00297703"/>
    <w:rsid w:val="002A2914"/>
    <w:rsid w:val="002B31F8"/>
    <w:rsid w:val="002B6CB8"/>
    <w:rsid w:val="002C0A14"/>
    <w:rsid w:val="002C32AA"/>
    <w:rsid w:val="002C659D"/>
    <w:rsid w:val="002C7377"/>
    <w:rsid w:val="002C7D25"/>
    <w:rsid w:val="002D01A0"/>
    <w:rsid w:val="00307948"/>
    <w:rsid w:val="003342CD"/>
    <w:rsid w:val="00334F8F"/>
    <w:rsid w:val="00335042"/>
    <w:rsid w:val="00343770"/>
    <w:rsid w:val="00344043"/>
    <w:rsid w:val="00347607"/>
    <w:rsid w:val="003617BB"/>
    <w:rsid w:val="00362B70"/>
    <w:rsid w:val="00365825"/>
    <w:rsid w:val="003771ED"/>
    <w:rsid w:val="00392BBA"/>
    <w:rsid w:val="003954FD"/>
    <w:rsid w:val="003A5D50"/>
    <w:rsid w:val="003A7860"/>
    <w:rsid w:val="003B19AC"/>
    <w:rsid w:val="003B3F07"/>
    <w:rsid w:val="003C147E"/>
    <w:rsid w:val="003E2254"/>
    <w:rsid w:val="003E2BC4"/>
    <w:rsid w:val="003F6320"/>
    <w:rsid w:val="00403F19"/>
    <w:rsid w:val="00406BE2"/>
    <w:rsid w:val="004233EB"/>
    <w:rsid w:val="004330DF"/>
    <w:rsid w:val="0043480A"/>
    <w:rsid w:val="00444FE1"/>
    <w:rsid w:val="00462095"/>
    <w:rsid w:val="0046410C"/>
    <w:rsid w:val="004673B2"/>
    <w:rsid w:val="00467BA5"/>
    <w:rsid w:val="00477BE2"/>
    <w:rsid w:val="004904FF"/>
    <w:rsid w:val="00491C01"/>
    <w:rsid w:val="004933F1"/>
    <w:rsid w:val="004B3C0F"/>
    <w:rsid w:val="004B3EDE"/>
    <w:rsid w:val="004C05E4"/>
    <w:rsid w:val="004E39E1"/>
    <w:rsid w:val="004F00F5"/>
    <w:rsid w:val="004F1299"/>
    <w:rsid w:val="00503E44"/>
    <w:rsid w:val="00507AB8"/>
    <w:rsid w:val="00515283"/>
    <w:rsid w:val="00521223"/>
    <w:rsid w:val="00523FDF"/>
    <w:rsid w:val="00524740"/>
    <w:rsid w:val="005250FA"/>
    <w:rsid w:val="00533926"/>
    <w:rsid w:val="005352BF"/>
    <w:rsid w:val="005564F2"/>
    <w:rsid w:val="0055675D"/>
    <w:rsid w:val="005624F4"/>
    <w:rsid w:val="00562B54"/>
    <w:rsid w:val="005641B1"/>
    <w:rsid w:val="00565F86"/>
    <w:rsid w:val="00574E33"/>
    <w:rsid w:val="005833BE"/>
    <w:rsid w:val="005869DA"/>
    <w:rsid w:val="00591156"/>
    <w:rsid w:val="00596085"/>
    <w:rsid w:val="00596A60"/>
    <w:rsid w:val="005A2B4A"/>
    <w:rsid w:val="005B1A58"/>
    <w:rsid w:val="005C2503"/>
    <w:rsid w:val="005D7D5A"/>
    <w:rsid w:val="005E4BAC"/>
    <w:rsid w:val="00601230"/>
    <w:rsid w:val="0060130D"/>
    <w:rsid w:val="006130D6"/>
    <w:rsid w:val="00630BC9"/>
    <w:rsid w:val="00637BBA"/>
    <w:rsid w:val="0064129F"/>
    <w:rsid w:val="006449D1"/>
    <w:rsid w:val="00647BB7"/>
    <w:rsid w:val="00655B34"/>
    <w:rsid w:val="0068011C"/>
    <w:rsid w:val="00681F99"/>
    <w:rsid w:val="00695794"/>
    <w:rsid w:val="006A0786"/>
    <w:rsid w:val="006B708B"/>
    <w:rsid w:val="006D4378"/>
    <w:rsid w:val="006D7902"/>
    <w:rsid w:val="006E57D2"/>
    <w:rsid w:val="006F4593"/>
    <w:rsid w:val="00730561"/>
    <w:rsid w:val="007326B1"/>
    <w:rsid w:val="00732716"/>
    <w:rsid w:val="00736F61"/>
    <w:rsid w:val="0073776C"/>
    <w:rsid w:val="007662C7"/>
    <w:rsid w:val="007B1F10"/>
    <w:rsid w:val="007B2813"/>
    <w:rsid w:val="007B675B"/>
    <w:rsid w:val="007E018D"/>
    <w:rsid w:val="007E78C4"/>
    <w:rsid w:val="007F1B71"/>
    <w:rsid w:val="00807D6D"/>
    <w:rsid w:val="00807E7D"/>
    <w:rsid w:val="008162DA"/>
    <w:rsid w:val="00831675"/>
    <w:rsid w:val="00833A06"/>
    <w:rsid w:val="00837041"/>
    <w:rsid w:val="00837EE7"/>
    <w:rsid w:val="00844DEB"/>
    <w:rsid w:val="008659A1"/>
    <w:rsid w:val="00871599"/>
    <w:rsid w:val="00875553"/>
    <w:rsid w:val="00883DD7"/>
    <w:rsid w:val="0088467C"/>
    <w:rsid w:val="00894579"/>
    <w:rsid w:val="0089568F"/>
    <w:rsid w:val="008A1772"/>
    <w:rsid w:val="008A5B67"/>
    <w:rsid w:val="008B0659"/>
    <w:rsid w:val="008B6CC4"/>
    <w:rsid w:val="008C5A41"/>
    <w:rsid w:val="008D16F7"/>
    <w:rsid w:val="008E3C6A"/>
    <w:rsid w:val="008F3704"/>
    <w:rsid w:val="00902292"/>
    <w:rsid w:val="00906FEF"/>
    <w:rsid w:val="009143A0"/>
    <w:rsid w:val="00920BC6"/>
    <w:rsid w:val="00925F21"/>
    <w:rsid w:val="0092635F"/>
    <w:rsid w:val="00927E02"/>
    <w:rsid w:val="00946465"/>
    <w:rsid w:val="00954679"/>
    <w:rsid w:val="00957015"/>
    <w:rsid w:val="00961F45"/>
    <w:rsid w:val="009825C8"/>
    <w:rsid w:val="00996B9E"/>
    <w:rsid w:val="009B67A5"/>
    <w:rsid w:val="009C347B"/>
    <w:rsid w:val="009E091A"/>
    <w:rsid w:val="009E2F86"/>
    <w:rsid w:val="009E7C55"/>
    <w:rsid w:val="00A00489"/>
    <w:rsid w:val="00A10D7F"/>
    <w:rsid w:val="00A12209"/>
    <w:rsid w:val="00A14E0E"/>
    <w:rsid w:val="00A1730F"/>
    <w:rsid w:val="00A273A1"/>
    <w:rsid w:val="00A30ABD"/>
    <w:rsid w:val="00A325EF"/>
    <w:rsid w:val="00A333CB"/>
    <w:rsid w:val="00A36DF3"/>
    <w:rsid w:val="00A36ED2"/>
    <w:rsid w:val="00A434B4"/>
    <w:rsid w:val="00A46DB1"/>
    <w:rsid w:val="00A516AA"/>
    <w:rsid w:val="00A532DD"/>
    <w:rsid w:val="00A567BC"/>
    <w:rsid w:val="00A80BCF"/>
    <w:rsid w:val="00A8369C"/>
    <w:rsid w:val="00A843AA"/>
    <w:rsid w:val="00AA1689"/>
    <w:rsid w:val="00AB32C5"/>
    <w:rsid w:val="00AB4DBE"/>
    <w:rsid w:val="00AC1D15"/>
    <w:rsid w:val="00AC5D71"/>
    <w:rsid w:val="00AC72C8"/>
    <w:rsid w:val="00AD6163"/>
    <w:rsid w:val="00AD6FA4"/>
    <w:rsid w:val="00AE519E"/>
    <w:rsid w:val="00AE5BDD"/>
    <w:rsid w:val="00B07B0C"/>
    <w:rsid w:val="00B11926"/>
    <w:rsid w:val="00B17CCF"/>
    <w:rsid w:val="00B25563"/>
    <w:rsid w:val="00B26D48"/>
    <w:rsid w:val="00B408E9"/>
    <w:rsid w:val="00B42EE1"/>
    <w:rsid w:val="00B43001"/>
    <w:rsid w:val="00B562F1"/>
    <w:rsid w:val="00B761DD"/>
    <w:rsid w:val="00B81404"/>
    <w:rsid w:val="00B92478"/>
    <w:rsid w:val="00B92E0A"/>
    <w:rsid w:val="00BA45BD"/>
    <w:rsid w:val="00BB15DE"/>
    <w:rsid w:val="00BC4688"/>
    <w:rsid w:val="00BD61A2"/>
    <w:rsid w:val="00BE017B"/>
    <w:rsid w:val="00BE484D"/>
    <w:rsid w:val="00BF10D3"/>
    <w:rsid w:val="00BF5A93"/>
    <w:rsid w:val="00C20566"/>
    <w:rsid w:val="00C2322D"/>
    <w:rsid w:val="00C37E05"/>
    <w:rsid w:val="00C50C68"/>
    <w:rsid w:val="00C53E4E"/>
    <w:rsid w:val="00C54768"/>
    <w:rsid w:val="00C55D29"/>
    <w:rsid w:val="00C6397B"/>
    <w:rsid w:val="00C66EA2"/>
    <w:rsid w:val="00C6739E"/>
    <w:rsid w:val="00C70A16"/>
    <w:rsid w:val="00C76C65"/>
    <w:rsid w:val="00C94A91"/>
    <w:rsid w:val="00CA0BE9"/>
    <w:rsid w:val="00CA138D"/>
    <w:rsid w:val="00CA6231"/>
    <w:rsid w:val="00CB1D71"/>
    <w:rsid w:val="00CC32B9"/>
    <w:rsid w:val="00CC63E7"/>
    <w:rsid w:val="00CC7641"/>
    <w:rsid w:val="00CD1BDE"/>
    <w:rsid w:val="00CD2A1E"/>
    <w:rsid w:val="00CD42D4"/>
    <w:rsid w:val="00CD7250"/>
    <w:rsid w:val="00CE1397"/>
    <w:rsid w:val="00CF5C40"/>
    <w:rsid w:val="00CF6AE7"/>
    <w:rsid w:val="00D03BAF"/>
    <w:rsid w:val="00D048B7"/>
    <w:rsid w:val="00D0630E"/>
    <w:rsid w:val="00D13794"/>
    <w:rsid w:val="00D14324"/>
    <w:rsid w:val="00D24052"/>
    <w:rsid w:val="00D2426C"/>
    <w:rsid w:val="00D31575"/>
    <w:rsid w:val="00D34626"/>
    <w:rsid w:val="00D4257A"/>
    <w:rsid w:val="00D427D9"/>
    <w:rsid w:val="00D62665"/>
    <w:rsid w:val="00D6508C"/>
    <w:rsid w:val="00D65859"/>
    <w:rsid w:val="00D75B9A"/>
    <w:rsid w:val="00D90D4F"/>
    <w:rsid w:val="00DA134B"/>
    <w:rsid w:val="00DA7154"/>
    <w:rsid w:val="00DB7754"/>
    <w:rsid w:val="00DC0CDE"/>
    <w:rsid w:val="00DC4D72"/>
    <w:rsid w:val="00DC5A5E"/>
    <w:rsid w:val="00DD207E"/>
    <w:rsid w:val="00DD7CB6"/>
    <w:rsid w:val="00DE2B2E"/>
    <w:rsid w:val="00DE42E5"/>
    <w:rsid w:val="00DF4893"/>
    <w:rsid w:val="00E0624D"/>
    <w:rsid w:val="00E068E5"/>
    <w:rsid w:val="00E134A3"/>
    <w:rsid w:val="00E26869"/>
    <w:rsid w:val="00E34EA2"/>
    <w:rsid w:val="00E43B16"/>
    <w:rsid w:val="00E4438C"/>
    <w:rsid w:val="00E457F3"/>
    <w:rsid w:val="00E55623"/>
    <w:rsid w:val="00E62DF9"/>
    <w:rsid w:val="00E630BC"/>
    <w:rsid w:val="00E720D7"/>
    <w:rsid w:val="00E75A5F"/>
    <w:rsid w:val="00E907DD"/>
    <w:rsid w:val="00E95B11"/>
    <w:rsid w:val="00EA36DC"/>
    <w:rsid w:val="00EA52D8"/>
    <w:rsid w:val="00EB741F"/>
    <w:rsid w:val="00EB7E71"/>
    <w:rsid w:val="00EC5AA2"/>
    <w:rsid w:val="00EF0C13"/>
    <w:rsid w:val="00EF23A6"/>
    <w:rsid w:val="00F002E1"/>
    <w:rsid w:val="00F109D4"/>
    <w:rsid w:val="00F140B2"/>
    <w:rsid w:val="00F2222C"/>
    <w:rsid w:val="00F258B9"/>
    <w:rsid w:val="00F41D3A"/>
    <w:rsid w:val="00F46A34"/>
    <w:rsid w:val="00F47585"/>
    <w:rsid w:val="00F65379"/>
    <w:rsid w:val="00F66C43"/>
    <w:rsid w:val="00F93062"/>
    <w:rsid w:val="00F966EC"/>
    <w:rsid w:val="00FA4807"/>
    <w:rsid w:val="00FA6954"/>
    <w:rsid w:val="00FB28EB"/>
    <w:rsid w:val="00FB61C6"/>
    <w:rsid w:val="00FD3B10"/>
    <w:rsid w:val="00FE0252"/>
    <w:rsid w:val="00FE04E4"/>
    <w:rsid w:val="00FE0AAB"/>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32ED7"/>
  <w15:docId w15:val="{2486C37C-ED2E-4210-A728-E2E2C5B7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1ED"/>
    <w:pPr>
      <w:spacing w:after="24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5B1A58"/>
    <w:pPr>
      <w:keepNext/>
      <w:outlineLvl w:val="1"/>
    </w:pPr>
    <w:rPr>
      <w:b/>
    </w:rPr>
  </w:style>
  <w:style w:type="paragraph" w:styleId="Heading3">
    <w:name w:val="heading 3"/>
    <w:basedOn w:val="Heading2"/>
    <w:next w:val="base-text-paragraph"/>
    <w:link w:val="Heading3Char"/>
    <w:qFormat/>
    <w:rsid w:val="00392BBA"/>
    <w:pPr>
      <w:tabs>
        <w:tab w:val="left" w:pos="1987"/>
      </w:tabs>
      <w:outlineLvl w:val="2"/>
    </w:pPr>
    <w:rPr>
      <w:rFonts w:ascii="Helvetica" w:hAnsi="Helvetica"/>
      <w:kern w:val="28"/>
    </w:rPr>
  </w:style>
  <w:style w:type="paragraph" w:styleId="Heading4">
    <w:name w:val="heading 4"/>
    <w:basedOn w:val="Heading3"/>
    <w:next w:val="base-text-paragraph"/>
    <w:qFormat/>
    <w:rsid w:val="00E4438C"/>
    <w:pPr>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Header">
    <w:name w:val="header"/>
    <w:basedOn w:val="Normal"/>
    <w:link w:val="HeaderChar"/>
    <w:uiPriority w:val="99"/>
    <w:unhideWhenUsed/>
    <w:rsid w:val="00954679"/>
    <w:pPr>
      <w:tabs>
        <w:tab w:val="center" w:pos="4513"/>
        <w:tab w:val="right" w:pos="9026"/>
      </w:tabs>
      <w:spacing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semiHidden/>
    <w:unhideWhenUsed/>
    <w:rsid w:val="005E4BAC"/>
    <w:rPr>
      <w:sz w:val="16"/>
      <w:szCs w:val="16"/>
    </w:rPr>
  </w:style>
  <w:style w:type="paragraph" w:styleId="CommentText">
    <w:name w:val="annotation text"/>
    <w:basedOn w:val="Normal"/>
    <w:link w:val="CommentTextChar"/>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AlphaParagraph">
    <w:name w:val="Alpha Paragraph"/>
    <w:basedOn w:val="Normal"/>
    <w:rsid w:val="000960B3"/>
    <w:pPr>
      <w:numPr>
        <w:numId w:val="4"/>
      </w:numPr>
      <w:spacing w:line="260" w:lineRule="exact"/>
      <w:jc w:val="both"/>
    </w:pPr>
    <w:rPr>
      <w:color w:val="000000"/>
    </w:rPr>
  </w:style>
  <w:style w:type="paragraph" w:customStyle="1" w:styleId="NumberedParagraph">
    <w:name w:val="Numbered Paragraph"/>
    <w:basedOn w:val="Normal"/>
    <w:rsid w:val="001623CE"/>
    <w:pPr>
      <w:numPr>
        <w:numId w:val="5"/>
      </w:numPr>
    </w:pPr>
  </w:style>
  <w:style w:type="table" w:styleId="TableGrid">
    <w:name w:val="Table Grid"/>
    <w:basedOn w:val="TableNormal"/>
    <w:rsid w:val="0028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aphic">
    <w:name w:val="Table Graphic"/>
    <w:basedOn w:val="Normal"/>
    <w:next w:val="Normal"/>
    <w:link w:val="TableGraphicChar"/>
    <w:rsid w:val="006B708B"/>
    <w:pPr>
      <w:spacing w:before="120" w:after="120"/>
    </w:pPr>
    <w:rPr>
      <w:rFonts w:ascii="Calibri" w:hAnsi="Calibri"/>
      <w:lang w:eastAsia="en-US"/>
    </w:rPr>
  </w:style>
  <w:style w:type="character" w:customStyle="1" w:styleId="base-text-paragraphChar">
    <w:name w:val="base-text-paragraph Char"/>
    <w:basedOn w:val="DefaultParagraphFont"/>
    <w:link w:val="base-text-paragraph"/>
    <w:rsid w:val="006B708B"/>
    <w:rPr>
      <w:sz w:val="24"/>
    </w:rPr>
  </w:style>
  <w:style w:type="character" w:customStyle="1" w:styleId="TableGraphicChar">
    <w:name w:val="Table Graphic Char"/>
    <w:basedOn w:val="base-text-paragraphChar"/>
    <w:link w:val="TableGraphic"/>
    <w:rsid w:val="006B708B"/>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2145">
      <w:bodyDiv w:val="1"/>
      <w:marLeft w:val="0"/>
      <w:marRight w:val="0"/>
      <w:marTop w:val="0"/>
      <w:marBottom w:val="0"/>
      <w:divBdr>
        <w:top w:val="none" w:sz="0" w:space="0" w:color="auto"/>
        <w:left w:val="none" w:sz="0" w:space="0" w:color="auto"/>
        <w:bottom w:val="none" w:sz="0" w:space="0" w:color="auto"/>
        <w:right w:val="none" w:sz="0" w:space="0" w:color="auto"/>
      </w:divBdr>
    </w:div>
    <w:div w:id="180320139">
      <w:bodyDiv w:val="1"/>
      <w:marLeft w:val="0"/>
      <w:marRight w:val="0"/>
      <w:marTop w:val="0"/>
      <w:marBottom w:val="0"/>
      <w:divBdr>
        <w:top w:val="none" w:sz="0" w:space="0" w:color="auto"/>
        <w:left w:val="none" w:sz="0" w:space="0" w:color="auto"/>
        <w:bottom w:val="none" w:sz="0" w:space="0" w:color="auto"/>
        <w:right w:val="none" w:sz="0" w:space="0" w:color="auto"/>
      </w:divBdr>
    </w:div>
    <w:div w:id="180976645">
      <w:bodyDiv w:val="1"/>
      <w:marLeft w:val="0"/>
      <w:marRight w:val="0"/>
      <w:marTop w:val="0"/>
      <w:marBottom w:val="0"/>
      <w:divBdr>
        <w:top w:val="none" w:sz="0" w:space="0" w:color="auto"/>
        <w:left w:val="none" w:sz="0" w:space="0" w:color="auto"/>
        <w:bottom w:val="none" w:sz="0" w:space="0" w:color="auto"/>
        <w:right w:val="none" w:sz="0" w:space="0" w:color="auto"/>
      </w:divBdr>
    </w:div>
    <w:div w:id="359166165">
      <w:bodyDiv w:val="1"/>
      <w:marLeft w:val="0"/>
      <w:marRight w:val="0"/>
      <w:marTop w:val="0"/>
      <w:marBottom w:val="0"/>
      <w:divBdr>
        <w:top w:val="none" w:sz="0" w:space="0" w:color="auto"/>
        <w:left w:val="none" w:sz="0" w:space="0" w:color="auto"/>
        <w:bottom w:val="none" w:sz="0" w:space="0" w:color="auto"/>
        <w:right w:val="none" w:sz="0" w:space="0" w:color="auto"/>
      </w:divBdr>
    </w:div>
    <w:div w:id="405306330">
      <w:bodyDiv w:val="1"/>
      <w:marLeft w:val="0"/>
      <w:marRight w:val="0"/>
      <w:marTop w:val="0"/>
      <w:marBottom w:val="0"/>
      <w:divBdr>
        <w:top w:val="none" w:sz="0" w:space="0" w:color="auto"/>
        <w:left w:val="none" w:sz="0" w:space="0" w:color="auto"/>
        <w:bottom w:val="none" w:sz="0" w:space="0" w:color="auto"/>
        <w:right w:val="none" w:sz="0" w:space="0" w:color="auto"/>
      </w:divBdr>
    </w:div>
    <w:div w:id="537551155">
      <w:bodyDiv w:val="1"/>
      <w:marLeft w:val="0"/>
      <w:marRight w:val="0"/>
      <w:marTop w:val="0"/>
      <w:marBottom w:val="0"/>
      <w:divBdr>
        <w:top w:val="none" w:sz="0" w:space="0" w:color="auto"/>
        <w:left w:val="none" w:sz="0" w:space="0" w:color="auto"/>
        <w:bottom w:val="none" w:sz="0" w:space="0" w:color="auto"/>
        <w:right w:val="none" w:sz="0" w:space="0" w:color="auto"/>
      </w:divBdr>
    </w:div>
    <w:div w:id="546995898">
      <w:bodyDiv w:val="1"/>
      <w:marLeft w:val="0"/>
      <w:marRight w:val="0"/>
      <w:marTop w:val="0"/>
      <w:marBottom w:val="0"/>
      <w:divBdr>
        <w:top w:val="none" w:sz="0" w:space="0" w:color="auto"/>
        <w:left w:val="none" w:sz="0" w:space="0" w:color="auto"/>
        <w:bottom w:val="none" w:sz="0" w:space="0" w:color="auto"/>
        <w:right w:val="none" w:sz="0" w:space="0" w:color="auto"/>
      </w:divBdr>
    </w:div>
    <w:div w:id="559755993">
      <w:bodyDiv w:val="1"/>
      <w:marLeft w:val="0"/>
      <w:marRight w:val="0"/>
      <w:marTop w:val="0"/>
      <w:marBottom w:val="0"/>
      <w:divBdr>
        <w:top w:val="none" w:sz="0" w:space="0" w:color="auto"/>
        <w:left w:val="none" w:sz="0" w:space="0" w:color="auto"/>
        <w:bottom w:val="none" w:sz="0" w:space="0" w:color="auto"/>
        <w:right w:val="none" w:sz="0" w:space="0" w:color="auto"/>
      </w:divBdr>
    </w:div>
    <w:div w:id="590118789">
      <w:bodyDiv w:val="1"/>
      <w:marLeft w:val="0"/>
      <w:marRight w:val="0"/>
      <w:marTop w:val="0"/>
      <w:marBottom w:val="0"/>
      <w:divBdr>
        <w:top w:val="none" w:sz="0" w:space="0" w:color="auto"/>
        <w:left w:val="none" w:sz="0" w:space="0" w:color="auto"/>
        <w:bottom w:val="none" w:sz="0" w:space="0" w:color="auto"/>
        <w:right w:val="none" w:sz="0" w:space="0" w:color="auto"/>
      </w:divBdr>
    </w:div>
    <w:div w:id="789322294">
      <w:bodyDiv w:val="1"/>
      <w:marLeft w:val="0"/>
      <w:marRight w:val="0"/>
      <w:marTop w:val="0"/>
      <w:marBottom w:val="0"/>
      <w:divBdr>
        <w:top w:val="none" w:sz="0" w:space="0" w:color="auto"/>
        <w:left w:val="none" w:sz="0" w:space="0" w:color="auto"/>
        <w:bottom w:val="none" w:sz="0" w:space="0" w:color="auto"/>
        <w:right w:val="none" w:sz="0" w:space="0" w:color="auto"/>
      </w:divBdr>
    </w:div>
    <w:div w:id="802700847">
      <w:bodyDiv w:val="1"/>
      <w:marLeft w:val="0"/>
      <w:marRight w:val="0"/>
      <w:marTop w:val="0"/>
      <w:marBottom w:val="0"/>
      <w:divBdr>
        <w:top w:val="none" w:sz="0" w:space="0" w:color="auto"/>
        <w:left w:val="none" w:sz="0" w:space="0" w:color="auto"/>
        <w:bottom w:val="none" w:sz="0" w:space="0" w:color="auto"/>
        <w:right w:val="none" w:sz="0" w:space="0" w:color="auto"/>
      </w:divBdr>
    </w:div>
    <w:div w:id="823358820">
      <w:bodyDiv w:val="1"/>
      <w:marLeft w:val="0"/>
      <w:marRight w:val="0"/>
      <w:marTop w:val="0"/>
      <w:marBottom w:val="0"/>
      <w:divBdr>
        <w:top w:val="none" w:sz="0" w:space="0" w:color="auto"/>
        <w:left w:val="none" w:sz="0" w:space="0" w:color="auto"/>
        <w:bottom w:val="none" w:sz="0" w:space="0" w:color="auto"/>
        <w:right w:val="none" w:sz="0" w:space="0" w:color="auto"/>
      </w:divBdr>
    </w:div>
    <w:div w:id="945430766">
      <w:bodyDiv w:val="1"/>
      <w:marLeft w:val="0"/>
      <w:marRight w:val="0"/>
      <w:marTop w:val="0"/>
      <w:marBottom w:val="0"/>
      <w:divBdr>
        <w:top w:val="none" w:sz="0" w:space="0" w:color="auto"/>
        <w:left w:val="none" w:sz="0" w:space="0" w:color="auto"/>
        <w:bottom w:val="none" w:sz="0" w:space="0" w:color="auto"/>
        <w:right w:val="none" w:sz="0" w:space="0" w:color="auto"/>
      </w:divBdr>
    </w:div>
    <w:div w:id="1018235997">
      <w:bodyDiv w:val="1"/>
      <w:marLeft w:val="0"/>
      <w:marRight w:val="0"/>
      <w:marTop w:val="0"/>
      <w:marBottom w:val="0"/>
      <w:divBdr>
        <w:top w:val="none" w:sz="0" w:space="0" w:color="auto"/>
        <w:left w:val="none" w:sz="0" w:space="0" w:color="auto"/>
        <w:bottom w:val="none" w:sz="0" w:space="0" w:color="auto"/>
        <w:right w:val="none" w:sz="0" w:space="0" w:color="auto"/>
      </w:divBdr>
    </w:div>
    <w:div w:id="1106273237">
      <w:bodyDiv w:val="1"/>
      <w:marLeft w:val="0"/>
      <w:marRight w:val="0"/>
      <w:marTop w:val="0"/>
      <w:marBottom w:val="0"/>
      <w:divBdr>
        <w:top w:val="none" w:sz="0" w:space="0" w:color="auto"/>
        <w:left w:val="none" w:sz="0" w:space="0" w:color="auto"/>
        <w:bottom w:val="none" w:sz="0" w:space="0" w:color="auto"/>
        <w:right w:val="none" w:sz="0" w:space="0" w:color="auto"/>
      </w:divBdr>
    </w:div>
    <w:div w:id="1309288725">
      <w:bodyDiv w:val="1"/>
      <w:marLeft w:val="0"/>
      <w:marRight w:val="0"/>
      <w:marTop w:val="0"/>
      <w:marBottom w:val="0"/>
      <w:divBdr>
        <w:top w:val="none" w:sz="0" w:space="0" w:color="auto"/>
        <w:left w:val="none" w:sz="0" w:space="0" w:color="auto"/>
        <w:bottom w:val="none" w:sz="0" w:space="0" w:color="auto"/>
        <w:right w:val="none" w:sz="0" w:space="0" w:color="auto"/>
      </w:divBdr>
    </w:div>
    <w:div w:id="1523593850">
      <w:bodyDiv w:val="1"/>
      <w:marLeft w:val="0"/>
      <w:marRight w:val="0"/>
      <w:marTop w:val="0"/>
      <w:marBottom w:val="0"/>
      <w:divBdr>
        <w:top w:val="none" w:sz="0" w:space="0" w:color="auto"/>
        <w:left w:val="none" w:sz="0" w:space="0" w:color="auto"/>
        <w:bottom w:val="none" w:sz="0" w:space="0" w:color="auto"/>
        <w:right w:val="none" w:sz="0" w:space="0" w:color="auto"/>
      </w:divBdr>
    </w:div>
    <w:div w:id="1644116764">
      <w:bodyDiv w:val="1"/>
      <w:marLeft w:val="0"/>
      <w:marRight w:val="0"/>
      <w:marTop w:val="0"/>
      <w:marBottom w:val="0"/>
      <w:divBdr>
        <w:top w:val="none" w:sz="0" w:space="0" w:color="auto"/>
        <w:left w:val="none" w:sz="0" w:space="0" w:color="auto"/>
        <w:bottom w:val="none" w:sz="0" w:space="0" w:color="auto"/>
        <w:right w:val="none" w:sz="0" w:space="0" w:color="auto"/>
      </w:divBdr>
    </w:div>
    <w:div w:id="1653876136">
      <w:bodyDiv w:val="1"/>
      <w:marLeft w:val="0"/>
      <w:marRight w:val="0"/>
      <w:marTop w:val="0"/>
      <w:marBottom w:val="0"/>
      <w:divBdr>
        <w:top w:val="none" w:sz="0" w:space="0" w:color="auto"/>
        <w:left w:val="none" w:sz="0" w:space="0" w:color="auto"/>
        <w:bottom w:val="none" w:sz="0" w:space="0" w:color="auto"/>
        <w:right w:val="none" w:sz="0" w:space="0" w:color="auto"/>
      </w:divBdr>
    </w:div>
    <w:div w:id="1869223592">
      <w:bodyDiv w:val="1"/>
      <w:marLeft w:val="0"/>
      <w:marRight w:val="0"/>
      <w:marTop w:val="0"/>
      <w:marBottom w:val="0"/>
      <w:divBdr>
        <w:top w:val="none" w:sz="0" w:space="0" w:color="auto"/>
        <w:left w:val="none" w:sz="0" w:space="0" w:color="auto"/>
        <w:bottom w:val="none" w:sz="0" w:space="0" w:color="auto"/>
        <w:right w:val="none" w:sz="0" w:space="0" w:color="auto"/>
      </w:divBdr>
    </w:div>
    <w:div w:id="1883663505">
      <w:bodyDiv w:val="1"/>
      <w:marLeft w:val="0"/>
      <w:marRight w:val="0"/>
      <w:marTop w:val="0"/>
      <w:marBottom w:val="0"/>
      <w:divBdr>
        <w:top w:val="none" w:sz="0" w:space="0" w:color="auto"/>
        <w:left w:val="none" w:sz="0" w:space="0" w:color="auto"/>
        <w:bottom w:val="none" w:sz="0" w:space="0" w:color="auto"/>
        <w:right w:val="none" w:sz="0" w:space="0" w:color="auto"/>
      </w:divBdr>
    </w:div>
    <w:div w:id="21114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14" Type="http://schemas.openxmlformats.org/officeDocument/2006/relationships/footer" Target="footer1.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8452" ma:contentTypeDescription=" " ma:contentTypeScope="" ma:versionID="a5c4156cff05d7200c7284621459fd09">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CDF45B49E80F24CAD80DFC012154DA9" ma:contentTypeVersion="28425" ma:contentTypeDescription=" " ma:contentTypeScope="" ma:versionID="c000333ebcead2d78803f0c69368a2bc">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2de41cb074d60f016f2d6a24a4e6a081"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22</Value>
    </TaxCatchAll>
    <_dlc_DocId xmlns="0f563589-9cf9-4143-b1eb-fb0534803d38">2020RG-111-14220</_dlc_DocId>
    <_dlc_DocIdUrl xmlns="0f563589-9cf9-4143-b1eb-fb0534803d38">
      <Url>http://tweb/sites/rg/ldp/lmu/_layouts/15/DocIdRedir.aspx?ID=2020RG-111-14220</Url>
      <Description>2020RG-111-14220</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5F95F-F19E-4575-B29C-480FB820F833}"/>
</file>

<file path=customXml/itemProps2.xml><?xml version="1.0" encoding="utf-8"?>
<ds:datastoreItem xmlns:ds="http://schemas.openxmlformats.org/officeDocument/2006/customXml" ds:itemID="{E472B4FF-F3C8-4A41-8E03-24333748F5E8}"/>
</file>

<file path=customXml/itemProps3.xml><?xml version="1.0" encoding="utf-8"?>
<ds:datastoreItem xmlns:ds="http://schemas.openxmlformats.org/officeDocument/2006/customXml" ds:itemID="{CC816994-46E6-4465-94B6-467BBDB4C3AD}"/>
</file>

<file path=customXml/itemProps4.xml><?xml version="1.0" encoding="utf-8"?>
<ds:datastoreItem xmlns:ds="http://schemas.openxmlformats.org/officeDocument/2006/customXml" ds:itemID="{9F8D58B2-2709-410A-8047-6E90902FD5A4}"/>
</file>

<file path=customXml/itemProps5.xml><?xml version="1.0" encoding="utf-8"?>
<ds:datastoreItem xmlns:ds="http://schemas.openxmlformats.org/officeDocument/2006/customXml" ds:itemID="{46278533-3486-40E5-9013-DD26FD164D39}">
  <ds:schemaRefs>
    <ds:schemaRef ds:uri="http://schemas.openxmlformats.org/package/2006/metadata/core-properties"/>
    <ds:schemaRef ds:uri="http://purl.org/dc/terms/"/>
    <ds:schemaRef ds:uri="e544e5cc-ab70-42e1-849e-1a0f8bb1f4ef"/>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microsoft.com/sharepoint/v3"/>
    <ds:schemaRef ds:uri="http://schemas.microsoft.com/sharepoint/v4"/>
    <ds:schemaRef ds:uri="0f563589-9cf9-4143-b1eb-fb0534803d38"/>
    <ds:schemaRef ds:uri="http://www.w3.org/XML/1998/namespace"/>
    <ds:schemaRef ds:uri="http://purl.org/dc/dcmitype/"/>
  </ds:schemaRefs>
</ds:datastoreItem>
</file>

<file path=customXml/itemProps6.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7.xml><?xml version="1.0" encoding="utf-8"?>
<ds:datastoreItem xmlns:ds="http://schemas.openxmlformats.org/officeDocument/2006/customXml" ds:itemID="{EAB62646-397C-40F2-A1AC-03478C81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36</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Cowie, Vhairi</dc:creator>
  <cp:lastModifiedBy>Karakutuk, Aylin</cp:lastModifiedBy>
  <cp:revision>17</cp:revision>
  <cp:lastPrinted>2019-09-02T06:39:00Z</cp:lastPrinted>
  <dcterms:created xsi:type="dcterms:W3CDTF">2019-09-02T07:24:00Z</dcterms:created>
  <dcterms:modified xsi:type="dcterms:W3CDTF">2020-04-16T06:56:00Z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040c75f4-61e1-4fbc-97f7-33319ed520fb</vt:lpwstr>
  </property>
  <property fmtid="{D5CDD505-2E9C-101B-9397-08002B2CF9AE}" pid="11" name="RecordPoint_WorkflowType">
    <vt:lpwstr>ActiveSubmitStub</vt:lpwstr>
  </property>
  <property fmtid="{D5CDD505-2E9C-101B-9397-08002B2CF9AE}" pid="12" name="RecordPoint_ActiveItemUniqueId">
    <vt:lpwstr>{040c75f4-61e1-4fbc-97f7-33319ed520fb}</vt:lpwstr>
  </property>
  <property fmtid="{D5CDD505-2E9C-101B-9397-08002B2CF9AE}" pid="13" name="RecordPoint_ActiveItemListId">
    <vt:lpwstr>{1a010be9-83b3-4740-abb7-452f2d1120fe}</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SubmissionDate">
    <vt:lpwstr/>
  </property>
  <property fmtid="{D5CDD505-2E9C-101B-9397-08002B2CF9AE}" pid="17" name="RecordPoint_RecordNumberSubmitted">
    <vt:lpwstr>R0002260575</vt:lpwstr>
  </property>
  <property fmtid="{D5CDD505-2E9C-101B-9397-08002B2CF9AE}" pid="18" name="RecordPoint_ActiveItemMoved">
    <vt:lpwstr/>
  </property>
  <property fmtid="{D5CDD505-2E9C-101B-9397-08002B2CF9AE}" pid="19" name="RecordPoint_RecordFormat">
    <vt:lpwstr/>
  </property>
  <property fmtid="{D5CDD505-2E9C-101B-9397-08002B2CF9AE}" pid="21" name="RecordPoint_SubmissionCompleted">
    <vt:lpwstr>2020-05-04T16:52:34.9199107+10:00</vt:lpwstr>
  </property>
</Properties>
</file>