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0B971" w14:textId="77777777" w:rsidR="005E317F" w:rsidRDefault="005E317F" w:rsidP="005E317F">
      <w:pPr>
        <w:rPr>
          <w:sz w:val="28"/>
        </w:rPr>
      </w:pPr>
      <w:r>
        <w:rPr>
          <w:noProof/>
          <w:lang w:eastAsia="en-AU"/>
        </w:rPr>
        <w:drawing>
          <wp:inline distT="0" distB="0" distL="0" distR="0" wp14:anchorId="588BFE7D" wp14:editId="0DAEF96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316F86D" w14:textId="77777777" w:rsidR="005E317F" w:rsidRDefault="005E317F" w:rsidP="005E317F">
      <w:pPr>
        <w:rPr>
          <w:sz w:val="19"/>
        </w:rPr>
      </w:pPr>
    </w:p>
    <w:p w14:paraId="23450EF1" w14:textId="77777777" w:rsidR="005E317F" w:rsidRPr="00E500D4" w:rsidRDefault="00596AD9" w:rsidP="005E317F">
      <w:pPr>
        <w:pStyle w:val="ShortT"/>
      </w:pPr>
      <w:r>
        <w:t>An</w:t>
      </w:r>
      <w:r w:rsidR="0066089E">
        <w:t>ti-Money Laundering and Counter</w:t>
      </w:r>
      <w:r w:rsidR="0066089E">
        <w:noBreakHyphen/>
      </w:r>
      <w:r>
        <w:t xml:space="preserve">Terrorism Financing Rules Amendment Instrument 2020 </w:t>
      </w:r>
      <w:r w:rsidRPr="000C1506">
        <w:t>(No. 2)</w:t>
      </w:r>
    </w:p>
    <w:p w14:paraId="2B5B06E0" w14:textId="77777777" w:rsidR="005E317F" w:rsidRPr="00DA182D" w:rsidRDefault="005E317F" w:rsidP="005E317F">
      <w:pPr>
        <w:pStyle w:val="SignCoverPageStart"/>
        <w:spacing w:before="240"/>
        <w:ind w:right="91"/>
        <w:rPr>
          <w:szCs w:val="22"/>
        </w:rPr>
      </w:pPr>
      <w:r w:rsidRPr="00DA182D">
        <w:rPr>
          <w:szCs w:val="22"/>
        </w:rPr>
        <w:t xml:space="preserve">I, </w:t>
      </w:r>
      <w:r w:rsidR="00421B91">
        <w:rPr>
          <w:szCs w:val="22"/>
        </w:rPr>
        <w:t>Nicole Rose</w:t>
      </w:r>
      <w:r w:rsidRPr="00DA182D">
        <w:rPr>
          <w:szCs w:val="22"/>
        </w:rPr>
        <w:t xml:space="preserve">, </w:t>
      </w:r>
      <w:r w:rsidR="00596AD9">
        <w:rPr>
          <w:szCs w:val="22"/>
        </w:rPr>
        <w:t>Chief Executive Officer, Australian Transaction Reports and Analysis Centre</w:t>
      </w:r>
      <w:r w:rsidRPr="00DA182D">
        <w:rPr>
          <w:szCs w:val="22"/>
        </w:rPr>
        <w:t xml:space="preserve">, </w:t>
      </w:r>
      <w:r>
        <w:rPr>
          <w:szCs w:val="22"/>
        </w:rPr>
        <w:t xml:space="preserve">make </w:t>
      </w:r>
      <w:r w:rsidR="00596AD9">
        <w:rPr>
          <w:szCs w:val="22"/>
        </w:rPr>
        <w:t xml:space="preserve">these Rules under section 229 of the </w:t>
      </w:r>
      <w:r w:rsidR="00596AD9">
        <w:rPr>
          <w:i/>
          <w:szCs w:val="22"/>
        </w:rPr>
        <w:t>Anti-Money Laundering and Counter-Terrorism Financing Act 2006</w:t>
      </w:r>
      <w:r w:rsidR="00596AD9" w:rsidRPr="00DA182D">
        <w:rPr>
          <w:szCs w:val="22"/>
        </w:rPr>
        <w:t>.</w:t>
      </w:r>
    </w:p>
    <w:p w14:paraId="6E0CBA64" w14:textId="77777777" w:rsidR="00C365DF" w:rsidRDefault="005E317F" w:rsidP="005E317F">
      <w:pPr>
        <w:keepNext/>
        <w:spacing w:before="300" w:line="240" w:lineRule="atLeast"/>
        <w:ind w:right="397"/>
        <w:jc w:val="both"/>
        <w:rPr>
          <w:szCs w:val="22"/>
        </w:rPr>
      </w:pPr>
      <w:r>
        <w:rPr>
          <w:szCs w:val="22"/>
        </w:rPr>
        <w:t>Dated</w:t>
      </w:r>
      <w:r w:rsidRPr="00001A63">
        <w:rPr>
          <w:szCs w:val="22"/>
        </w:rPr>
        <w:tab/>
      </w:r>
      <w:r w:rsidR="00C365DF">
        <w:rPr>
          <w:szCs w:val="22"/>
        </w:rPr>
        <w:t>6 May 2020</w:t>
      </w:r>
    </w:p>
    <w:p w14:paraId="378A1D19" w14:textId="4BA0ACA9" w:rsidR="00C365DF" w:rsidRDefault="005E317F" w:rsidP="005E317F">
      <w:pPr>
        <w:keepNext/>
        <w:spacing w:before="300" w:line="240" w:lineRule="atLeast"/>
        <w:ind w:right="397"/>
        <w:jc w:val="both"/>
        <w:rPr>
          <w:szCs w:val="22"/>
        </w:rPr>
      </w:pPr>
      <w:bookmarkStart w:id="0" w:name="_GoBack"/>
      <w:bookmarkEnd w:id="0"/>
      <w:r w:rsidRPr="00001A63">
        <w:rPr>
          <w:szCs w:val="22"/>
        </w:rPr>
        <w:tab/>
      </w:r>
    </w:p>
    <w:p w14:paraId="6B61E1B2" w14:textId="77777777" w:rsidR="00C365DF" w:rsidRDefault="00C365DF" w:rsidP="00C365DF">
      <w:pPr>
        <w:keepNext/>
        <w:spacing w:before="300" w:line="240" w:lineRule="atLeast"/>
        <w:ind w:right="397"/>
        <w:jc w:val="both"/>
        <w:rPr>
          <w:szCs w:val="22"/>
        </w:rPr>
      </w:pPr>
      <w:r>
        <w:rPr>
          <w:szCs w:val="22"/>
        </w:rPr>
        <w:t>[</w:t>
      </w:r>
      <w:proofErr w:type="gramStart"/>
      <w:r>
        <w:rPr>
          <w:szCs w:val="22"/>
        </w:rPr>
        <w:t>signed</w:t>
      </w:r>
      <w:proofErr w:type="gramEnd"/>
      <w:r>
        <w:rPr>
          <w:szCs w:val="22"/>
        </w:rPr>
        <w:t>]</w:t>
      </w:r>
    </w:p>
    <w:p w14:paraId="14556034" w14:textId="056E1680" w:rsidR="005E317F" w:rsidRDefault="00596AD9" w:rsidP="00C365DF">
      <w:pPr>
        <w:keepNext/>
        <w:spacing w:before="300" w:line="240" w:lineRule="atLeast"/>
        <w:ind w:right="397"/>
        <w:jc w:val="both"/>
        <w:rPr>
          <w:b/>
          <w:szCs w:val="22"/>
        </w:rPr>
      </w:pPr>
      <w:r w:rsidRPr="00596AD9">
        <w:rPr>
          <w:szCs w:val="22"/>
        </w:rPr>
        <w:t>Nicole Rose</w:t>
      </w:r>
      <w:r>
        <w:rPr>
          <w:szCs w:val="22"/>
        </w:rPr>
        <w:t xml:space="preserve"> PSM</w:t>
      </w:r>
    </w:p>
    <w:p w14:paraId="2A585959" w14:textId="77777777" w:rsidR="00596AD9" w:rsidRDefault="00596AD9" w:rsidP="00596AD9">
      <w:pPr>
        <w:pStyle w:val="SignCoverPageEnd"/>
        <w:ind w:right="91"/>
        <w:rPr>
          <w:sz w:val="22"/>
        </w:rPr>
      </w:pPr>
      <w:r>
        <w:rPr>
          <w:sz w:val="22"/>
        </w:rPr>
        <w:t>Chief Executive Officer</w:t>
      </w:r>
    </w:p>
    <w:p w14:paraId="1A68767D" w14:textId="77777777" w:rsidR="00596AD9" w:rsidRDefault="00596AD9" w:rsidP="005E317F">
      <w:pPr>
        <w:pStyle w:val="SignCoverPageEnd"/>
        <w:ind w:right="91"/>
        <w:rPr>
          <w:sz w:val="22"/>
        </w:rPr>
      </w:pPr>
      <w:r>
        <w:rPr>
          <w:sz w:val="22"/>
        </w:rPr>
        <w:t>Australian Transaction Reports and Analysis Centre</w:t>
      </w:r>
    </w:p>
    <w:p w14:paraId="34965401" w14:textId="77777777" w:rsidR="00596AD9" w:rsidRPr="00596AD9" w:rsidRDefault="00596AD9" w:rsidP="00596AD9">
      <w:pPr>
        <w:rPr>
          <w:lang w:eastAsia="en-AU"/>
        </w:rPr>
      </w:pPr>
    </w:p>
    <w:p w14:paraId="062185DB" w14:textId="77777777" w:rsidR="00596AD9" w:rsidRPr="00596AD9" w:rsidRDefault="00596AD9" w:rsidP="00596AD9">
      <w:pPr>
        <w:rPr>
          <w:lang w:eastAsia="en-AU"/>
        </w:rPr>
      </w:pPr>
    </w:p>
    <w:p w14:paraId="4F18CDB7" w14:textId="77777777" w:rsidR="00B20990" w:rsidRDefault="00B20990" w:rsidP="00B20990"/>
    <w:p w14:paraId="0598D74D" w14:textId="77777777" w:rsidR="00B20990" w:rsidRDefault="00B20990" w:rsidP="00B20990">
      <w:pPr>
        <w:sectPr w:rsidR="00B20990"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p>
    <w:p w14:paraId="53885513" w14:textId="77777777" w:rsidR="00B20990" w:rsidRDefault="00B20990" w:rsidP="00B20990">
      <w:pPr>
        <w:outlineLvl w:val="0"/>
        <w:rPr>
          <w:sz w:val="36"/>
        </w:rPr>
      </w:pPr>
      <w:r w:rsidRPr="007A1328">
        <w:rPr>
          <w:sz w:val="36"/>
        </w:rPr>
        <w:lastRenderedPageBreak/>
        <w:t>Contents</w:t>
      </w:r>
    </w:p>
    <w:bookmarkStart w:id="1" w:name="BKCheck15B_2"/>
    <w:bookmarkEnd w:id="1"/>
    <w:p w14:paraId="3034AB45" w14:textId="77777777" w:rsidR="007A1C57"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7A1C57">
        <w:rPr>
          <w:noProof/>
        </w:rPr>
        <w:t>1  Name</w:t>
      </w:r>
      <w:r w:rsidR="007A1C57">
        <w:rPr>
          <w:noProof/>
        </w:rPr>
        <w:tab/>
      </w:r>
      <w:r w:rsidR="007A1C57">
        <w:rPr>
          <w:noProof/>
        </w:rPr>
        <w:fldChar w:fldCharType="begin"/>
      </w:r>
      <w:r w:rsidR="007A1C57">
        <w:rPr>
          <w:noProof/>
        </w:rPr>
        <w:instrText xml:space="preserve"> PAGEREF _Toc33014476 \h </w:instrText>
      </w:r>
      <w:r w:rsidR="007A1C57">
        <w:rPr>
          <w:noProof/>
        </w:rPr>
      </w:r>
      <w:r w:rsidR="007A1C57">
        <w:rPr>
          <w:noProof/>
        </w:rPr>
        <w:fldChar w:fldCharType="separate"/>
      </w:r>
      <w:r w:rsidR="007A1C57">
        <w:rPr>
          <w:noProof/>
        </w:rPr>
        <w:t>1</w:t>
      </w:r>
      <w:r w:rsidR="007A1C57">
        <w:rPr>
          <w:noProof/>
        </w:rPr>
        <w:fldChar w:fldCharType="end"/>
      </w:r>
    </w:p>
    <w:p w14:paraId="6F9B4916" w14:textId="77777777" w:rsidR="007A1C57" w:rsidRDefault="007A1C5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_Toc33014477 \h </w:instrText>
      </w:r>
      <w:r>
        <w:rPr>
          <w:noProof/>
        </w:rPr>
      </w:r>
      <w:r>
        <w:rPr>
          <w:noProof/>
        </w:rPr>
        <w:fldChar w:fldCharType="separate"/>
      </w:r>
      <w:r>
        <w:rPr>
          <w:noProof/>
        </w:rPr>
        <w:t>1</w:t>
      </w:r>
      <w:r>
        <w:rPr>
          <w:noProof/>
        </w:rPr>
        <w:fldChar w:fldCharType="end"/>
      </w:r>
    </w:p>
    <w:p w14:paraId="334FB4B9" w14:textId="77777777" w:rsidR="007A1C57" w:rsidRDefault="007A1C5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_Toc33014478 \h </w:instrText>
      </w:r>
      <w:r>
        <w:rPr>
          <w:noProof/>
        </w:rPr>
      </w:r>
      <w:r>
        <w:rPr>
          <w:noProof/>
        </w:rPr>
        <w:fldChar w:fldCharType="separate"/>
      </w:r>
      <w:r>
        <w:rPr>
          <w:noProof/>
        </w:rPr>
        <w:t>1</w:t>
      </w:r>
      <w:r>
        <w:rPr>
          <w:noProof/>
        </w:rPr>
        <w:fldChar w:fldCharType="end"/>
      </w:r>
    </w:p>
    <w:p w14:paraId="13D4EE0F" w14:textId="77777777" w:rsidR="007A1C57" w:rsidRDefault="007A1C57">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_Toc33014479 \h </w:instrText>
      </w:r>
      <w:r>
        <w:rPr>
          <w:noProof/>
        </w:rPr>
      </w:r>
      <w:r>
        <w:rPr>
          <w:noProof/>
        </w:rPr>
        <w:fldChar w:fldCharType="separate"/>
      </w:r>
      <w:r>
        <w:rPr>
          <w:noProof/>
        </w:rPr>
        <w:t>1</w:t>
      </w:r>
      <w:r>
        <w:rPr>
          <w:noProof/>
        </w:rPr>
        <w:fldChar w:fldCharType="end"/>
      </w:r>
    </w:p>
    <w:p w14:paraId="6ABD688C" w14:textId="77777777" w:rsidR="007A1C57" w:rsidRDefault="007A1C57">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_Toc33014480 \h </w:instrText>
      </w:r>
      <w:r>
        <w:rPr>
          <w:noProof/>
        </w:rPr>
      </w:r>
      <w:r>
        <w:rPr>
          <w:noProof/>
        </w:rPr>
        <w:fldChar w:fldCharType="separate"/>
      </w:r>
      <w:r>
        <w:rPr>
          <w:noProof/>
        </w:rPr>
        <w:t>2</w:t>
      </w:r>
      <w:r>
        <w:rPr>
          <w:noProof/>
        </w:rPr>
        <w:fldChar w:fldCharType="end"/>
      </w:r>
    </w:p>
    <w:p w14:paraId="7F60BE6A" w14:textId="77777777" w:rsidR="007A1C57" w:rsidRDefault="007A1C57">
      <w:pPr>
        <w:pStyle w:val="TOC9"/>
        <w:rPr>
          <w:rFonts w:asciiTheme="minorHAnsi" w:eastAsiaTheme="minorEastAsia" w:hAnsiTheme="minorHAnsi" w:cstheme="minorBidi"/>
          <w:i w:val="0"/>
          <w:noProof/>
          <w:kern w:val="0"/>
          <w:sz w:val="22"/>
          <w:szCs w:val="22"/>
        </w:rPr>
      </w:pPr>
      <w:r>
        <w:rPr>
          <w:noProof/>
        </w:rPr>
        <w:t>Anti-Money Laundering and Counter-Terrorism Financing Rules Instrument 2007 (No. 1)</w:t>
      </w:r>
      <w:r>
        <w:rPr>
          <w:noProof/>
        </w:rPr>
        <w:tab/>
      </w:r>
      <w:r>
        <w:rPr>
          <w:noProof/>
        </w:rPr>
        <w:fldChar w:fldCharType="begin"/>
      </w:r>
      <w:r>
        <w:rPr>
          <w:noProof/>
        </w:rPr>
        <w:instrText xml:space="preserve"> PAGEREF _Toc33014481 \h </w:instrText>
      </w:r>
      <w:r>
        <w:rPr>
          <w:noProof/>
        </w:rPr>
      </w:r>
      <w:r>
        <w:rPr>
          <w:noProof/>
        </w:rPr>
        <w:fldChar w:fldCharType="separate"/>
      </w:r>
      <w:r>
        <w:rPr>
          <w:noProof/>
        </w:rPr>
        <w:t>2</w:t>
      </w:r>
      <w:r>
        <w:rPr>
          <w:noProof/>
        </w:rPr>
        <w:fldChar w:fldCharType="end"/>
      </w:r>
    </w:p>
    <w:p w14:paraId="3D75D681" w14:textId="77777777" w:rsidR="00B20990" w:rsidRDefault="00B20990" w:rsidP="005E317F">
      <w:r w:rsidRPr="005E317F">
        <w:rPr>
          <w:rFonts w:cs="Times New Roman"/>
          <w:sz w:val="20"/>
        </w:rPr>
        <w:fldChar w:fldCharType="end"/>
      </w:r>
    </w:p>
    <w:p w14:paraId="6CB2DF36" w14:textId="77777777" w:rsidR="00B20990" w:rsidRDefault="00B20990" w:rsidP="00B20990"/>
    <w:p w14:paraId="252A1E58" w14:textId="77777777" w:rsidR="00B20990" w:rsidRDefault="00B20990" w:rsidP="00B20990">
      <w:pPr>
        <w:sectPr w:rsidR="00B20990" w:rsidSect="00C160A1">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5BDAD608" w14:textId="77777777" w:rsidR="005E317F" w:rsidRPr="009C2562" w:rsidRDefault="005E317F" w:rsidP="005E317F">
      <w:pPr>
        <w:pStyle w:val="ActHead5"/>
      </w:pPr>
      <w:bookmarkStart w:id="2" w:name="_Toc33014476"/>
      <w:proofErr w:type="gramStart"/>
      <w:r w:rsidRPr="009C2562">
        <w:rPr>
          <w:rStyle w:val="CharSectno"/>
        </w:rPr>
        <w:lastRenderedPageBreak/>
        <w:t>1</w:t>
      </w:r>
      <w:r w:rsidRPr="009C2562">
        <w:t xml:space="preserve">  Name</w:t>
      </w:r>
      <w:bookmarkEnd w:id="2"/>
      <w:proofErr w:type="gramEnd"/>
    </w:p>
    <w:p w14:paraId="7551D65B" w14:textId="77777777" w:rsidR="005E317F" w:rsidRDefault="005E317F" w:rsidP="005E317F">
      <w:pPr>
        <w:pStyle w:val="subsection"/>
      </w:pPr>
      <w:r w:rsidRPr="009C2562">
        <w:tab/>
      </w:r>
      <w:r w:rsidRPr="009C2562">
        <w:tab/>
      </w:r>
      <w:r w:rsidR="00596AD9" w:rsidRPr="009C2562">
        <w:t xml:space="preserve">This </w:t>
      </w:r>
      <w:r w:rsidR="00596AD9">
        <w:t xml:space="preserve">instrument </w:t>
      </w:r>
      <w:r w:rsidR="00596AD9" w:rsidRPr="009C2562">
        <w:t xml:space="preserve">is </w:t>
      </w:r>
      <w:r w:rsidR="00596AD9" w:rsidRPr="00F64003">
        <w:rPr>
          <w:szCs w:val="22"/>
        </w:rPr>
        <w:t>the</w:t>
      </w:r>
      <w:bookmarkStart w:id="3" w:name="BKCheck15B_3"/>
      <w:bookmarkEnd w:id="3"/>
      <w:r w:rsidR="00596AD9">
        <w:rPr>
          <w:szCs w:val="22"/>
        </w:rPr>
        <w:t xml:space="preserve"> </w:t>
      </w:r>
      <w:r w:rsidR="00596AD9" w:rsidRPr="000C1506">
        <w:rPr>
          <w:i/>
          <w:szCs w:val="22"/>
        </w:rPr>
        <w:fldChar w:fldCharType="begin"/>
      </w:r>
      <w:r w:rsidR="00596AD9" w:rsidRPr="000C1506">
        <w:rPr>
          <w:i/>
          <w:szCs w:val="22"/>
        </w:rPr>
        <w:instrText xml:space="preserve"> STYLEREF  ShortT </w:instrText>
      </w:r>
      <w:r w:rsidR="00596AD9" w:rsidRPr="000C1506">
        <w:rPr>
          <w:i/>
          <w:szCs w:val="22"/>
        </w:rPr>
        <w:fldChar w:fldCharType="separate"/>
      </w:r>
      <w:r w:rsidR="00596AD9" w:rsidRPr="000C1506">
        <w:rPr>
          <w:i/>
          <w:noProof/>
          <w:szCs w:val="22"/>
        </w:rPr>
        <w:t>Anti-Money Laundering and Counter-Terrorism Financing Rules Amendment Instrument 2020 (No. 2)</w:t>
      </w:r>
      <w:r w:rsidR="00596AD9" w:rsidRPr="000C1506">
        <w:rPr>
          <w:i/>
          <w:szCs w:val="22"/>
        </w:rPr>
        <w:fldChar w:fldCharType="end"/>
      </w:r>
      <w:r w:rsidR="00596AD9" w:rsidRPr="000C1506">
        <w:rPr>
          <w:szCs w:val="22"/>
        </w:rPr>
        <w:t>.</w:t>
      </w:r>
    </w:p>
    <w:p w14:paraId="5F995F03" w14:textId="77777777" w:rsidR="005E317F" w:rsidRDefault="005E317F" w:rsidP="005E317F">
      <w:pPr>
        <w:pStyle w:val="ActHead5"/>
      </w:pPr>
      <w:bookmarkStart w:id="4" w:name="_Toc33014477"/>
      <w:proofErr w:type="gramStart"/>
      <w:r w:rsidRPr="009C2562">
        <w:rPr>
          <w:rStyle w:val="CharSectno"/>
        </w:rPr>
        <w:t>2</w:t>
      </w:r>
      <w:r w:rsidRPr="009C2562">
        <w:t xml:space="preserve">  Commencement</w:t>
      </w:r>
      <w:bookmarkEnd w:id="4"/>
      <w:proofErr w:type="gramEnd"/>
    </w:p>
    <w:p w14:paraId="19DEDCF8" w14:textId="77777777" w:rsidR="005E317F" w:rsidRPr="00232984" w:rsidRDefault="005E317F" w:rsidP="005E317F">
      <w:pPr>
        <w:pStyle w:val="subsection"/>
      </w:pPr>
      <w:r>
        <w:tab/>
      </w:r>
      <w:r>
        <w:tab/>
        <w:t xml:space="preserve">This instrument commences </w:t>
      </w:r>
      <w:r w:rsidR="00596AD9">
        <w:t>the day after registration</w:t>
      </w:r>
      <w:r w:rsidR="00433ECC">
        <w:t>.</w:t>
      </w:r>
    </w:p>
    <w:p w14:paraId="15CFD8A2" w14:textId="77777777" w:rsidR="005E317F" w:rsidRPr="009C2562" w:rsidRDefault="005E317F" w:rsidP="005E317F">
      <w:pPr>
        <w:pStyle w:val="ActHead5"/>
      </w:pPr>
      <w:bookmarkStart w:id="5" w:name="_Toc33014478"/>
      <w:proofErr w:type="gramStart"/>
      <w:r w:rsidRPr="009C2562">
        <w:rPr>
          <w:rStyle w:val="CharSectno"/>
        </w:rPr>
        <w:t>3</w:t>
      </w:r>
      <w:r w:rsidRPr="009C2562">
        <w:t xml:space="preserve">  Authority</w:t>
      </w:r>
      <w:bookmarkEnd w:id="5"/>
      <w:proofErr w:type="gramEnd"/>
    </w:p>
    <w:p w14:paraId="61B67DB7" w14:textId="77777777" w:rsidR="005E317F" w:rsidRPr="009C2562" w:rsidRDefault="005E317F" w:rsidP="005E317F">
      <w:pPr>
        <w:pStyle w:val="subsection"/>
      </w:pPr>
      <w:r w:rsidRPr="009C2562">
        <w:tab/>
      </w:r>
      <w:r w:rsidRPr="009C2562">
        <w:tab/>
      </w:r>
      <w:r w:rsidR="00596AD9" w:rsidRPr="009C2562">
        <w:t xml:space="preserve">This instrument is made under </w:t>
      </w:r>
      <w:r w:rsidR="00596AD9">
        <w:t xml:space="preserve">section 229 of the </w:t>
      </w:r>
      <w:r w:rsidR="00596AD9" w:rsidRPr="00F64003">
        <w:rPr>
          <w:i/>
        </w:rPr>
        <w:t>Anti-Money Laundering and Counter-Terrorism Financing Act 2006</w:t>
      </w:r>
      <w:r w:rsidR="00596AD9" w:rsidRPr="009C2562">
        <w:t>.</w:t>
      </w:r>
    </w:p>
    <w:p w14:paraId="3101BE88" w14:textId="77777777" w:rsidR="005E317F" w:rsidRPr="006065DA" w:rsidRDefault="005E317F" w:rsidP="005E317F">
      <w:pPr>
        <w:pStyle w:val="ActHead5"/>
      </w:pPr>
      <w:bookmarkStart w:id="6" w:name="_Toc33014479"/>
      <w:proofErr w:type="gramStart"/>
      <w:r w:rsidRPr="006065DA">
        <w:t>4  Schedules</w:t>
      </w:r>
      <w:bookmarkEnd w:id="6"/>
      <w:proofErr w:type="gramEnd"/>
    </w:p>
    <w:p w14:paraId="2AF73436"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689AB60F" w14:textId="77777777" w:rsidR="005E317F" w:rsidRDefault="005E317F" w:rsidP="005E317F">
      <w:pPr>
        <w:pStyle w:val="ActHead6"/>
        <w:pageBreakBefore/>
      </w:pPr>
      <w:bookmarkStart w:id="7" w:name="_Toc33014480"/>
      <w:r w:rsidRPr="00DB64FC">
        <w:rPr>
          <w:rStyle w:val="CharAmSchNo"/>
        </w:rPr>
        <w:lastRenderedPageBreak/>
        <w:t>Schedule 1</w:t>
      </w:r>
      <w:r>
        <w:t>—</w:t>
      </w:r>
      <w:r w:rsidRPr="00DB64FC">
        <w:rPr>
          <w:rStyle w:val="CharAmSchText"/>
        </w:rPr>
        <w:t>Amendments</w:t>
      </w:r>
      <w:bookmarkEnd w:id="7"/>
    </w:p>
    <w:p w14:paraId="1247515E" w14:textId="77777777" w:rsidR="005E317F" w:rsidRDefault="003B0342" w:rsidP="003B0342">
      <w:pPr>
        <w:pStyle w:val="ActHead9"/>
        <w:ind w:left="0" w:firstLine="0"/>
      </w:pPr>
      <w:bookmarkStart w:id="8" w:name="_Toc33014481"/>
      <w:r>
        <w:t>Anti-Money Laundering and Counter-Terrorism Financing Rules Instrument 2007 (No. 1)</w:t>
      </w:r>
      <w:bookmarkEnd w:id="8"/>
    </w:p>
    <w:p w14:paraId="5509368C" w14:textId="77777777" w:rsidR="005E317F" w:rsidRDefault="005E317F" w:rsidP="005E317F">
      <w:pPr>
        <w:pStyle w:val="ItemHead"/>
      </w:pPr>
      <w:proofErr w:type="gramStart"/>
      <w:r>
        <w:t xml:space="preserve">1  </w:t>
      </w:r>
      <w:r w:rsidR="003B0342">
        <w:t>Chapter</w:t>
      </w:r>
      <w:proofErr w:type="gramEnd"/>
      <w:r w:rsidR="003B0342">
        <w:t xml:space="preserve"> 4</w:t>
      </w:r>
    </w:p>
    <w:p w14:paraId="5D7E89ED" w14:textId="77777777" w:rsidR="005E317F" w:rsidRDefault="005E317F" w:rsidP="005E317F">
      <w:pPr>
        <w:pStyle w:val="Item"/>
      </w:pPr>
      <w:r w:rsidRPr="00AC2C51">
        <w:t xml:space="preserve">Repeal </w:t>
      </w:r>
      <w:r w:rsidR="003B0342" w:rsidRPr="00AC2C51">
        <w:t>Part 4.15, substitute</w:t>
      </w:r>
      <w:r w:rsidR="00AF5C54" w:rsidRPr="00AC2C51">
        <w:t>:</w:t>
      </w:r>
    </w:p>
    <w:p w14:paraId="5A7E269B" w14:textId="77777777" w:rsidR="00433ECC" w:rsidRPr="008D5227" w:rsidRDefault="00433ECC" w:rsidP="00433ECC">
      <w:pPr>
        <w:shd w:val="clear" w:color="auto" w:fill="FFFFFF"/>
        <w:spacing w:before="360" w:line="240" w:lineRule="auto"/>
        <w:ind w:left="1678" w:hanging="1678"/>
        <w:rPr>
          <w:rFonts w:ascii="Arial" w:eastAsia="Times New Roman" w:hAnsi="Arial" w:cs="Arial"/>
          <w:b/>
          <w:bCs/>
          <w:sz w:val="28"/>
          <w:szCs w:val="28"/>
          <w:lang w:eastAsia="en-AU"/>
        </w:rPr>
      </w:pPr>
      <w:r w:rsidRPr="008D5227">
        <w:rPr>
          <w:rFonts w:ascii="Arial" w:eastAsia="Times New Roman" w:hAnsi="Arial" w:cs="Arial"/>
          <w:b/>
          <w:bCs/>
          <w:sz w:val="24"/>
          <w:szCs w:val="24"/>
          <w:lang w:eastAsia="en-AU"/>
        </w:rPr>
        <w:t>Part 4.15          Procedure to follow where a customer cannot provide satisfactory evidence of identity</w:t>
      </w:r>
    </w:p>
    <w:p w14:paraId="349BFC86" w14:textId="77777777" w:rsidR="00433ECC" w:rsidRPr="008D5227" w:rsidRDefault="008D5227" w:rsidP="00433ECC">
      <w:pPr>
        <w:shd w:val="clear" w:color="auto" w:fill="FFFFFF"/>
        <w:spacing w:before="240" w:line="240" w:lineRule="auto"/>
        <w:rPr>
          <w:rFonts w:eastAsia="Times New Roman" w:cs="Times New Roman"/>
          <w:i/>
          <w:iCs/>
          <w:sz w:val="24"/>
          <w:szCs w:val="24"/>
          <w:lang w:eastAsia="en-AU"/>
        </w:rPr>
      </w:pPr>
      <w:r>
        <w:rPr>
          <w:rFonts w:eastAsia="Times New Roman" w:cs="Times New Roman"/>
          <w:i/>
          <w:iCs/>
          <w:sz w:val="24"/>
          <w:szCs w:val="24"/>
          <w:lang w:eastAsia="en-AU"/>
        </w:rPr>
        <w:t>Reporting entities may</w:t>
      </w:r>
      <w:r w:rsidR="00433ECC" w:rsidRPr="008D5227">
        <w:rPr>
          <w:rFonts w:eastAsia="Times New Roman" w:cs="Times New Roman"/>
          <w:i/>
          <w:iCs/>
          <w:sz w:val="24"/>
          <w:szCs w:val="24"/>
          <w:lang w:eastAsia="en-AU"/>
        </w:rPr>
        <w:t xml:space="preserve"> rely on Part 4.15 in limited and exceptional cases where a person does not possess, and is unable to obtain, the necessary information or evidence of identity.</w:t>
      </w:r>
      <w:r w:rsidR="00B550FD" w:rsidRPr="008D5227">
        <w:rPr>
          <w:rFonts w:eastAsia="Times New Roman" w:cs="Times New Roman"/>
          <w:i/>
          <w:iCs/>
          <w:sz w:val="24"/>
          <w:szCs w:val="24"/>
          <w:lang w:eastAsia="en-AU"/>
        </w:rPr>
        <w:t xml:space="preserve"> </w:t>
      </w:r>
      <w:r w:rsidR="00433ECC" w:rsidRPr="008D5227">
        <w:rPr>
          <w:rFonts w:eastAsia="Times New Roman" w:cs="Times New Roman"/>
          <w:i/>
          <w:iCs/>
          <w:sz w:val="24"/>
          <w:szCs w:val="24"/>
          <w:lang w:eastAsia="en-AU"/>
        </w:rPr>
        <w:t>This may include: individuals whose birth was not registered, people who are homeless, undocumented arrivals in Australia, people living in remote areas, people who are transgender or intersex, people affected by natural disasters, people with limited access to identity documents (for example because they were raised in institutional or foster care), people with limited participation in society, and young people or those over 18 who have not established a ‘social footprint’ in the community</w:t>
      </w:r>
      <w:r w:rsidR="00B550FD" w:rsidRPr="008D5227">
        <w:rPr>
          <w:rFonts w:eastAsia="Times New Roman" w:cs="Times New Roman"/>
          <w:i/>
          <w:iCs/>
          <w:sz w:val="24"/>
          <w:szCs w:val="24"/>
          <w:lang w:eastAsia="en-AU"/>
        </w:rPr>
        <w:t>.</w:t>
      </w:r>
    </w:p>
    <w:p w14:paraId="5F336FF4" w14:textId="77777777" w:rsidR="00B550FD" w:rsidRPr="008D5227" w:rsidRDefault="00B550FD" w:rsidP="00433ECC">
      <w:pPr>
        <w:shd w:val="clear" w:color="auto" w:fill="FFFFFF"/>
        <w:spacing w:before="240" w:line="240" w:lineRule="auto"/>
        <w:rPr>
          <w:rFonts w:eastAsia="Times New Roman" w:cs="Times New Roman"/>
          <w:iCs/>
          <w:sz w:val="24"/>
          <w:szCs w:val="24"/>
          <w:lang w:eastAsia="en-AU"/>
        </w:rPr>
      </w:pPr>
      <w:r w:rsidRPr="008D5227">
        <w:rPr>
          <w:rFonts w:eastAsia="Times New Roman" w:cs="Times New Roman"/>
          <w:i/>
          <w:iCs/>
          <w:sz w:val="24"/>
          <w:szCs w:val="24"/>
          <w:lang w:eastAsia="en-AU"/>
        </w:rPr>
        <w:t>Reporting entities may also rely o</w:t>
      </w:r>
      <w:r w:rsidR="002B5929" w:rsidRPr="008D5227">
        <w:rPr>
          <w:rFonts w:eastAsia="Times New Roman" w:cs="Times New Roman"/>
          <w:i/>
          <w:iCs/>
          <w:sz w:val="24"/>
          <w:szCs w:val="24"/>
          <w:lang w:eastAsia="en-AU"/>
        </w:rPr>
        <w:t xml:space="preserve">n Part 4.15 where a person </w:t>
      </w:r>
      <w:r w:rsidRPr="008D5227">
        <w:rPr>
          <w:rFonts w:eastAsia="Times New Roman" w:cs="Times New Roman"/>
          <w:i/>
          <w:iCs/>
          <w:sz w:val="24"/>
          <w:szCs w:val="24"/>
          <w:lang w:eastAsia="en-AU"/>
        </w:rPr>
        <w:t>possess</w:t>
      </w:r>
      <w:r w:rsidR="002B5929" w:rsidRPr="008D5227">
        <w:rPr>
          <w:rFonts w:eastAsia="Times New Roman" w:cs="Times New Roman"/>
          <w:i/>
          <w:iCs/>
          <w:sz w:val="24"/>
          <w:szCs w:val="24"/>
          <w:lang w:eastAsia="en-AU"/>
        </w:rPr>
        <w:t>es</w:t>
      </w:r>
      <w:r w:rsidRPr="008D5227">
        <w:rPr>
          <w:rFonts w:eastAsia="Times New Roman" w:cs="Times New Roman"/>
          <w:i/>
          <w:iCs/>
          <w:sz w:val="24"/>
          <w:szCs w:val="24"/>
          <w:lang w:eastAsia="en-AU"/>
        </w:rPr>
        <w:t xml:space="preserve">, but is unable to </w:t>
      </w:r>
      <w:r w:rsidR="002B5929" w:rsidRPr="008D5227">
        <w:rPr>
          <w:rFonts w:eastAsia="Times New Roman" w:cs="Times New Roman"/>
          <w:i/>
          <w:iCs/>
          <w:sz w:val="24"/>
          <w:szCs w:val="24"/>
          <w:lang w:eastAsia="en-AU"/>
        </w:rPr>
        <w:t>produce or provide</w:t>
      </w:r>
      <w:r w:rsidR="005B2DC9" w:rsidRPr="008D5227">
        <w:rPr>
          <w:rFonts w:eastAsia="Times New Roman" w:cs="Times New Roman"/>
          <w:i/>
          <w:iCs/>
          <w:sz w:val="24"/>
          <w:szCs w:val="24"/>
          <w:lang w:eastAsia="en-AU"/>
        </w:rPr>
        <w:t>,</w:t>
      </w:r>
      <w:r w:rsidRPr="008D5227">
        <w:rPr>
          <w:rFonts w:eastAsia="Times New Roman" w:cs="Times New Roman"/>
          <w:i/>
          <w:iCs/>
          <w:sz w:val="24"/>
          <w:szCs w:val="24"/>
          <w:lang w:eastAsia="en-AU"/>
        </w:rPr>
        <w:t xml:space="preserve"> the necessary information or evidence of identity </w:t>
      </w:r>
      <w:r w:rsidR="00CF0548" w:rsidRPr="008D5227">
        <w:rPr>
          <w:rFonts w:eastAsia="Times New Roman" w:cs="Times New Roman"/>
          <w:i/>
          <w:iCs/>
          <w:sz w:val="24"/>
          <w:szCs w:val="24"/>
          <w:lang w:eastAsia="en-AU"/>
        </w:rPr>
        <w:t xml:space="preserve">due to </w:t>
      </w:r>
      <w:r w:rsidR="00747C38" w:rsidRPr="008D5227">
        <w:rPr>
          <w:rFonts w:eastAsia="Times New Roman" w:cs="Times New Roman"/>
          <w:i/>
          <w:iCs/>
          <w:sz w:val="24"/>
          <w:szCs w:val="24"/>
          <w:lang w:eastAsia="en-AU"/>
        </w:rPr>
        <w:t xml:space="preserve">measures </w:t>
      </w:r>
      <w:r w:rsidR="009D5C79" w:rsidRPr="008D5227">
        <w:rPr>
          <w:rFonts w:eastAsia="Times New Roman" w:cs="Times New Roman"/>
          <w:i/>
          <w:iCs/>
          <w:sz w:val="24"/>
          <w:szCs w:val="24"/>
          <w:lang w:eastAsia="en-AU"/>
        </w:rPr>
        <w:t xml:space="preserve">implemented or recommended by government, or reasonable measures that a </w:t>
      </w:r>
      <w:r w:rsidR="009355AD" w:rsidRPr="008D5227">
        <w:rPr>
          <w:rFonts w:eastAsia="Times New Roman" w:cs="Times New Roman"/>
          <w:i/>
          <w:iCs/>
          <w:sz w:val="24"/>
          <w:szCs w:val="24"/>
          <w:lang w:eastAsia="en-AU"/>
        </w:rPr>
        <w:t>person</w:t>
      </w:r>
      <w:r w:rsidR="009D5C79" w:rsidRPr="008D5227">
        <w:rPr>
          <w:rFonts w:eastAsia="Times New Roman" w:cs="Times New Roman"/>
          <w:i/>
          <w:iCs/>
          <w:sz w:val="24"/>
          <w:szCs w:val="24"/>
          <w:lang w:eastAsia="en-AU"/>
        </w:rPr>
        <w:t xml:space="preserve"> or reporting entity </w:t>
      </w:r>
      <w:r w:rsidR="002B5929" w:rsidRPr="008D5227">
        <w:rPr>
          <w:rFonts w:eastAsia="Times New Roman" w:cs="Times New Roman"/>
          <w:i/>
          <w:iCs/>
          <w:sz w:val="24"/>
          <w:szCs w:val="24"/>
          <w:lang w:eastAsia="en-AU"/>
        </w:rPr>
        <w:t>h</w:t>
      </w:r>
      <w:r w:rsidR="009355AD" w:rsidRPr="008D5227">
        <w:rPr>
          <w:rFonts w:eastAsia="Times New Roman" w:cs="Times New Roman"/>
          <w:i/>
          <w:iCs/>
          <w:sz w:val="24"/>
          <w:szCs w:val="24"/>
          <w:lang w:eastAsia="en-AU"/>
        </w:rPr>
        <w:t>as</w:t>
      </w:r>
      <w:r w:rsidR="002B5929" w:rsidRPr="008D5227">
        <w:rPr>
          <w:rFonts w:eastAsia="Times New Roman" w:cs="Times New Roman"/>
          <w:i/>
          <w:iCs/>
          <w:sz w:val="24"/>
          <w:szCs w:val="24"/>
          <w:lang w:eastAsia="en-AU"/>
        </w:rPr>
        <w:t xml:space="preserve"> adopted</w:t>
      </w:r>
      <w:r w:rsidR="009D5C79" w:rsidRPr="008D5227">
        <w:rPr>
          <w:rFonts w:eastAsia="Times New Roman" w:cs="Times New Roman"/>
          <w:i/>
          <w:iCs/>
          <w:sz w:val="24"/>
          <w:szCs w:val="24"/>
          <w:lang w:eastAsia="en-AU"/>
        </w:rPr>
        <w:t>, to</w:t>
      </w:r>
      <w:r w:rsidRPr="008D5227">
        <w:rPr>
          <w:rFonts w:eastAsia="Times New Roman" w:cs="Times New Roman"/>
          <w:i/>
          <w:iCs/>
          <w:sz w:val="24"/>
          <w:szCs w:val="24"/>
          <w:lang w:eastAsia="en-AU"/>
        </w:rPr>
        <w:t xml:space="preserve"> prevent the spread of COVID-19.</w:t>
      </w:r>
      <w:r w:rsidR="00D96A69" w:rsidRPr="008D5227">
        <w:rPr>
          <w:rFonts w:eastAsia="Times New Roman" w:cs="Times New Roman"/>
          <w:i/>
          <w:iCs/>
          <w:sz w:val="24"/>
          <w:szCs w:val="24"/>
          <w:lang w:eastAsia="en-AU"/>
        </w:rPr>
        <w:t xml:space="preserve"> This may include </w:t>
      </w:r>
      <w:r w:rsidR="005B2DC9" w:rsidRPr="008D5227">
        <w:rPr>
          <w:rFonts w:eastAsia="Times New Roman" w:cs="Times New Roman"/>
          <w:i/>
          <w:iCs/>
          <w:sz w:val="24"/>
          <w:szCs w:val="24"/>
          <w:lang w:eastAsia="en-AU"/>
        </w:rPr>
        <w:t>customers</w:t>
      </w:r>
      <w:r w:rsidR="00D96A69" w:rsidRPr="008D5227">
        <w:rPr>
          <w:rFonts w:eastAsia="Times New Roman" w:cs="Times New Roman"/>
          <w:i/>
          <w:iCs/>
          <w:sz w:val="24"/>
          <w:szCs w:val="24"/>
          <w:lang w:eastAsia="en-AU"/>
        </w:rPr>
        <w:t xml:space="preserve"> who are in self</w:t>
      </w:r>
      <w:r w:rsidR="00D96A69" w:rsidRPr="008D5227">
        <w:rPr>
          <w:rFonts w:eastAsia="Times New Roman" w:cs="Times New Roman"/>
          <w:i/>
          <w:iCs/>
          <w:sz w:val="24"/>
          <w:szCs w:val="24"/>
          <w:lang w:eastAsia="en-AU"/>
        </w:rPr>
        <w:noBreakHyphen/>
        <w:t>isolation</w:t>
      </w:r>
      <w:r w:rsidR="005B2DC9" w:rsidRPr="008D5227">
        <w:rPr>
          <w:rFonts w:eastAsia="Times New Roman" w:cs="Times New Roman"/>
          <w:i/>
          <w:iCs/>
          <w:sz w:val="24"/>
          <w:szCs w:val="24"/>
          <w:lang w:eastAsia="en-AU"/>
        </w:rPr>
        <w:t xml:space="preserve">, </w:t>
      </w:r>
      <w:r w:rsidR="000B7C76" w:rsidRPr="008D5227">
        <w:rPr>
          <w:rFonts w:eastAsia="Times New Roman" w:cs="Times New Roman"/>
          <w:i/>
          <w:iCs/>
          <w:sz w:val="24"/>
          <w:szCs w:val="24"/>
          <w:lang w:eastAsia="en-AU"/>
        </w:rPr>
        <w:t xml:space="preserve">businesses that have temporarily shut down, </w:t>
      </w:r>
      <w:r w:rsidR="005B2DC9" w:rsidRPr="008D5227">
        <w:rPr>
          <w:rFonts w:eastAsia="Times New Roman" w:cs="Times New Roman"/>
          <w:i/>
          <w:iCs/>
          <w:sz w:val="24"/>
          <w:szCs w:val="24"/>
          <w:lang w:eastAsia="en-AU"/>
        </w:rPr>
        <w:t>and</w:t>
      </w:r>
      <w:r w:rsidR="008A3DB2" w:rsidRPr="008D5227">
        <w:rPr>
          <w:rFonts w:eastAsia="Times New Roman" w:cs="Times New Roman"/>
          <w:i/>
          <w:iCs/>
          <w:sz w:val="24"/>
          <w:szCs w:val="24"/>
          <w:lang w:eastAsia="en-AU"/>
        </w:rPr>
        <w:t xml:space="preserve"> reporting entities </w:t>
      </w:r>
      <w:r w:rsidR="000B7C76" w:rsidRPr="008D5227">
        <w:rPr>
          <w:rFonts w:eastAsia="Times New Roman" w:cs="Times New Roman"/>
          <w:i/>
          <w:iCs/>
          <w:sz w:val="24"/>
          <w:szCs w:val="24"/>
          <w:lang w:eastAsia="en-AU"/>
        </w:rPr>
        <w:t xml:space="preserve">that </w:t>
      </w:r>
      <w:r w:rsidR="008A3DB2" w:rsidRPr="008D5227">
        <w:rPr>
          <w:rFonts w:eastAsia="Times New Roman" w:cs="Times New Roman"/>
          <w:i/>
          <w:iCs/>
          <w:sz w:val="24"/>
          <w:szCs w:val="24"/>
          <w:lang w:eastAsia="en-AU"/>
        </w:rPr>
        <w:t>have closed of</w:t>
      </w:r>
      <w:r w:rsidR="000B7C76" w:rsidRPr="008D5227">
        <w:rPr>
          <w:rFonts w:eastAsia="Times New Roman" w:cs="Times New Roman"/>
          <w:i/>
          <w:iCs/>
          <w:sz w:val="24"/>
          <w:szCs w:val="24"/>
          <w:lang w:eastAsia="en-AU"/>
        </w:rPr>
        <w:t>fices/branches</w:t>
      </w:r>
      <w:r w:rsidR="00C34AB5" w:rsidRPr="008D5227">
        <w:rPr>
          <w:rFonts w:eastAsia="Times New Roman" w:cs="Times New Roman"/>
          <w:i/>
          <w:iCs/>
          <w:sz w:val="24"/>
          <w:szCs w:val="24"/>
          <w:lang w:eastAsia="en-AU"/>
        </w:rPr>
        <w:t xml:space="preserve"> and restricted customer visits</w:t>
      </w:r>
      <w:r w:rsidR="000B7C76" w:rsidRPr="008D5227">
        <w:rPr>
          <w:rFonts w:eastAsia="Times New Roman" w:cs="Times New Roman"/>
          <w:i/>
          <w:iCs/>
          <w:sz w:val="24"/>
          <w:szCs w:val="24"/>
          <w:lang w:eastAsia="en-AU"/>
        </w:rPr>
        <w:t xml:space="preserve"> to limit face</w:t>
      </w:r>
      <w:r w:rsidR="000B7C76" w:rsidRPr="008D5227">
        <w:rPr>
          <w:rFonts w:eastAsia="Times New Roman" w:cs="Times New Roman"/>
          <w:i/>
          <w:iCs/>
          <w:sz w:val="24"/>
          <w:szCs w:val="24"/>
          <w:lang w:eastAsia="en-AU"/>
        </w:rPr>
        <w:noBreakHyphen/>
        <w:t>to</w:t>
      </w:r>
      <w:r w:rsidR="000B7C76" w:rsidRPr="008D5227">
        <w:rPr>
          <w:rFonts w:eastAsia="Times New Roman" w:cs="Times New Roman"/>
          <w:i/>
          <w:iCs/>
          <w:sz w:val="24"/>
          <w:szCs w:val="24"/>
          <w:lang w:eastAsia="en-AU"/>
        </w:rPr>
        <w:noBreakHyphen/>
      </w:r>
      <w:r w:rsidR="008A3DB2" w:rsidRPr="008D5227">
        <w:rPr>
          <w:rFonts w:eastAsia="Times New Roman" w:cs="Times New Roman"/>
          <w:i/>
          <w:iCs/>
          <w:sz w:val="24"/>
          <w:szCs w:val="24"/>
          <w:lang w:eastAsia="en-AU"/>
        </w:rPr>
        <w:t>face interaction with customers</w:t>
      </w:r>
      <w:r w:rsidR="00D96A69" w:rsidRPr="008D5227">
        <w:rPr>
          <w:rFonts w:eastAsia="Times New Roman" w:cs="Times New Roman"/>
          <w:i/>
          <w:iCs/>
          <w:sz w:val="24"/>
          <w:szCs w:val="24"/>
          <w:lang w:eastAsia="en-AU"/>
        </w:rPr>
        <w:t>.</w:t>
      </w:r>
    </w:p>
    <w:p w14:paraId="535AC439" w14:textId="77777777" w:rsidR="00B550FD" w:rsidRPr="008D5227" w:rsidRDefault="00433ECC" w:rsidP="00433ECC">
      <w:pPr>
        <w:shd w:val="clear" w:color="auto" w:fill="FFFFFF"/>
        <w:spacing w:before="240" w:line="240" w:lineRule="auto"/>
        <w:ind w:left="851" w:hanging="851"/>
        <w:rPr>
          <w:rFonts w:eastAsia="Times New Roman" w:cs="Times New Roman"/>
          <w:sz w:val="24"/>
          <w:szCs w:val="24"/>
          <w:lang w:eastAsia="en-AU"/>
        </w:rPr>
      </w:pPr>
      <w:r w:rsidRPr="008D5227">
        <w:rPr>
          <w:rFonts w:eastAsia="Times New Roman" w:cs="Times New Roman"/>
          <w:sz w:val="24"/>
          <w:szCs w:val="24"/>
          <w:lang w:eastAsia="en-AU"/>
        </w:rPr>
        <w:t>4.15.1</w:t>
      </w:r>
      <w:r w:rsidRPr="008D5227">
        <w:rPr>
          <w:rFonts w:eastAsia="Times New Roman" w:cs="Times New Roman"/>
          <w:sz w:val="14"/>
          <w:szCs w:val="14"/>
          <w:lang w:eastAsia="en-AU"/>
        </w:rPr>
        <w:t>       </w:t>
      </w:r>
      <w:r w:rsidRPr="008D5227">
        <w:rPr>
          <w:rFonts w:eastAsia="Times New Roman" w:cs="Times New Roman"/>
          <w:sz w:val="24"/>
          <w:szCs w:val="24"/>
          <w:lang w:eastAsia="en-AU"/>
        </w:rPr>
        <w:t>If a reporting entity is unable to establish the identity of a customer using the applicable customer identification requirements specified in Chapter 4 of the AML/CTF Rules because the customer does not possess, and is unable to obtain, the necessary information or evidence of identity, then it may use alternative identity proofing processes, in accordance with its risk-based systems and controls, to do so.</w:t>
      </w:r>
    </w:p>
    <w:p w14:paraId="5C269DB7" w14:textId="2F6BED25" w:rsidR="00A86232" w:rsidRPr="008D5227" w:rsidRDefault="00A86232" w:rsidP="00A86232">
      <w:pPr>
        <w:spacing w:before="240" w:line="240" w:lineRule="auto"/>
        <w:rPr>
          <w:rFonts w:eastAsia="Times New Roman" w:cs="Times New Roman"/>
          <w:i/>
          <w:sz w:val="24"/>
          <w:szCs w:val="24"/>
          <w:lang w:eastAsia="en-AU"/>
        </w:rPr>
      </w:pPr>
      <w:r w:rsidRPr="008D5227">
        <w:rPr>
          <w:rFonts w:eastAsia="Times New Roman" w:cs="Times New Roman"/>
          <w:i/>
          <w:sz w:val="24"/>
          <w:szCs w:val="24"/>
          <w:lang w:eastAsia="en-AU"/>
        </w:rPr>
        <w:t xml:space="preserve">Alternative identity </w:t>
      </w:r>
      <w:r w:rsidR="00D96A69" w:rsidRPr="008D5227">
        <w:rPr>
          <w:rFonts w:eastAsia="Times New Roman" w:cs="Times New Roman"/>
          <w:i/>
          <w:sz w:val="24"/>
          <w:szCs w:val="24"/>
          <w:lang w:eastAsia="en-AU"/>
        </w:rPr>
        <w:t xml:space="preserve">proofing </w:t>
      </w:r>
      <w:r w:rsidRPr="008D5227">
        <w:rPr>
          <w:rFonts w:eastAsia="Times New Roman" w:cs="Times New Roman"/>
          <w:i/>
          <w:sz w:val="24"/>
          <w:szCs w:val="24"/>
          <w:lang w:eastAsia="en-AU"/>
        </w:rPr>
        <w:t>processes during the COVID-19 Pandemic</w:t>
      </w:r>
    </w:p>
    <w:p w14:paraId="507D5B9B" w14:textId="2E2A1D16" w:rsidR="00B550FD" w:rsidRDefault="00A21937" w:rsidP="00433ECC">
      <w:pPr>
        <w:shd w:val="clear" w:color="auto" w:fill="FFFFFF"/>
        <w:spacing w:before="240" w:line="240" w:lineRule="auto"/>
        <w:ind w:left="851" w:hanging="851"/>
        <w:rPr>
          <w:rFonts w:eastAsia="Times New Roman" w:cs="Times New Roman"/>
          <w:sz w:val="24"/>
          <w:szCs w:val="24"/>
          <w:lang w:eastAsia="en-AU"/>
        </w:rPr>
      </w:pPr>
      <w:r>
        <w:rPr>
          <w:rFonts w:eastAsia="Times New Roman" w:cs="Times New Roman"/>
          <w:sz w:val="24"/>
          <w:szCs w:val="24"/>
          <w:lang w:eastAsia="en-AU"/>
        </w:rPr>
        <w:t>4.15.1A</w:t>
      </w:r>
      <w:r>
        <w:rPr>
          <w:rFonts w:eastAsia="Times New Roman" w:cs="Times New Roman"/>
          <w:sz w:val="24"/>
          <w:szCs w:val="24"/>
          <w:lang w:eastAsia="en-AU"/>
        </w:rPr>
        <w:tab/>
      </w:r>
      <w:r w:rsidR="00B550FD" w:rsidRPr="008D5227">
        <w:rPr>
          <w:rFonts w:eastAsia="Times New Roman" w:cs="Times New Roman"/>
          <w:sz w:val="24"/>
          <w:szCs w:val="24"/>
          <w:lang w:eastAsia="en-AU"/>
        </w:rPr>
        <w:t xml:space="preserve">If a reporting entity is unable to establish the identity of a customer using the applicable customer identification requirements specified in Chapter 4 of the AML/CTF Rules because the customer </w:t>
      </w:r>
      <w:r w:rsidR="009B37CE" w:rsidRPr="008D5227">
        <w:rPr>
          <w:rFonts w:eastAsia="Times New Roman" w:cs="Times New Roman"/>
          <w:sz w:val="24"/>
          <w:szCs w:val="24"/>
          <w:lang w:eastAsia="en-AU"/>
        </w:rPr>
        <w:t>possess</w:t>
      </w:r>
      <w:r w:rsidR="009D5C79" w:rsidRPr="008D5227">
        <w:rPr>
          <w:rFonts w:eastAsia="Times New Roman" w:cs="Times New Roman"/>
          <w:sz w:val="24"/>
          <w:szCs w:val="24"/>
          <w:lang w:eastAsia="en-AU"/>
        </w:rPr>
        <w:t>es</w:t>
      </w:r>
      <w:r w:rsidR="009B37CE" w:rsidRPr="008D5227">
        <w:rPr>
          <w:rFonts w:eastAsia="Times New Roman" w:cs="Times New Roman"/>
          <w:sz w:val="24"/>
          <w:szCs w:val="24"/>
          <w:lang w:eastAsia="en-AU"/>
        </w:rPr>
        <w:t>, but</w:t>
      </w:r>
      <w:r w:rsidR="00B550FD" w:rsidRPr="008D5227">
        <w:rPr>
          <w:rFonts w:eastAsia="Times New Roman" w:cs="Times New Roman"/>
          <w:sz w:val="24"/>
          <w:szCs w:val="24"/>
          <w:lang w:eastAsia="en-AU"/>
        </w:rPr>
        <w:t xml:space="preserve"> is unable to </w:t>
      </w:r>
      <w:r w:rsidR="009D5C79" w:rsidRPr="008D5227">
        <w:rPr>
          <w:rFonts w:eastAsia="Times New Roman" w:cs="Times New Roman"/>
          <w:sz w:val="24"/>
          <w:szCs w:val="24"/>
          <w:lang w:eastAsia="en-AU"/>
        </w:rPr>
        <w:t xml:space="preserve">produce or </w:t>
      </w:r>
      <w:r w:rsidR="009B37CE" w:rsidRPr="008D5227">
        <w:rPr>
          <w:rFonts w:eastAsia="Times New Roman" w:cs="Times New Roman"/>
          <w:sz w:val="24"/>
          <w:szCs w:val="24"/>
          <w:lang w:eastAsia="en-AU"/>
        </w:rPr>
        <w:t>provide</w:t>
      </w:r>
      <w:r w:rsidR="005B2DC9" w:rsidRPr="008D5227">
        <w:rPr>
          <w:rFonts w:eastAsia="Times New Roman" w:cs="Times New Roman"/>
          <w:sz w:val="24"/>
          <w:szCs w:val="24"/>
          <w:lang w:eastAsia="en-AU"/>
        </w:rPr>
        <w:t>,</w:t>
      </w:r>
      <w:r w:rsidR="00B550FD" w:rsidRPr="008D5227">
        <w:rPr>
          <w:rFonts w:eastAsia="Times New Roman" w:cs="Times New Roman"/>
          <w:sz w:val="24"/>
          <w:szCs w:val="24"/>
          <w:lang w:eastAsia="en-AU"/>
        </w:rPr>
        <w:t xml:space="preserve"> the necessary information or evidence of identity</w:t>
      </w:r>
      <w:r w:rsidR="00CB1337" w:rsidRPr="008D5227">
        <w:rPr>
          <w:rFonts w:eastAsia="Times New Roman" w:cs="Times New Roman"/>
          <w:sz w:val="24"/>
          <w:szCs w:val="24"/>
          <w:lang w:eastAsia="en-AU"/>
        </w:rPr>
        <w:t xml:space="preserve"> due to </w:t>
      </w:r>
      <w:r w:rsidR="009355AD" w:rsidRPr="008D5227">
        <w:rPr>
          <w:rFonts w:eastAsia="Times New Roman" w:cs="Times New Roman"/>
          <w:sz w:val="24"/>
          <w:szCs w:val="24"/>
          <w:lang w:eastAsia="en-AU"/>
        </w:rPr>
        <w:t>COVID-19 P</w:t>
      </w:r>
      <w:r w:rsidR="009D5C79" w:rsidRPr="008D5227">
        <w:rPr>
          <w:rFonts w:eastAsia="Times New Roman" w:cs="Times New Roman"/>
          <w:sz w:val="24"/>
          <w:szCs w:val="24"/>
          <w:lang w:eastAsia="en-AU"/>
        </w:rPr>
        <w:t>andemic</w:t>
      </w:r>
      <w:r w:rsidR="00D96A69" w:rsidRPr="008D5227">
        <w:rPr>
          <w:rFonts w:eastAsia="Times New Roman" w:cs="Times New Roman"/>
          <w:sz w:val="24"/>
          <w:szCs w:val="24"/>
          <w:lang w:eastAsia="en-AU"/>
        </w:rPr>
        <w:t xml:space="preserve"> measures</w:t>
      </w:r>
      <w:r w:rsidR="00B550FD" w:rsidRPr="008D5227">
        <w:rPr>
          <w:rFonts w:eastAsia="Times New Roman" w:cs="Times New Roman"/>
          <w:sz w:val="24"/>
          <w:szCs w:val="24"/>
          <w:lang w:eastAsia="en-AU"/>
        </w:rPr>
        <w:t>, then it may use alternative identity proofing processes, in accordance with its risk-based systems and controls, to do so.</w:t>
      </w:r>
    </w:p>
    <w:p w14:paraId="20AA9582" w14:textId="57F291BE" w:rsidR="004F0B14" w:rsidRPr="004F0B14" w:rsidRDefault="004F0B14" w:rsidP="004F0B14">
      <w:pPr>
        <w:shd w:val="clear" w:color="auto" w:fill="FFFFFF"/>
        <w:spacing w:before="240" w:line="240" w:lineRule="auto"/>
        <w:ind w:left="851" w:hanging="851"/>
        <w:rPr>
          <w:rFonts w:eastAsia="Times New Roman" w:cs="Times New Roman"/>
          <w:i/>
          <w:iCs/>
          <w:sz w:val="24"/>
          <w:szCs w:val="24"/>
          <w:lang w:eastAsia="en-AU"/>
        </w:rPr>
      </w:pPr>
      <w:r w:rsidRPr="008D5227">
        <w:rPr>
          <w:rFonts w:eastAsia="Times New Roman" w:cs="Times New Roman"/>
          <w:i/>
          <w:iCs/>
          <w:sz w:val="24"/>
          <w:szCs w:val="24"/>
          <w:lang w:eastAsia="en-AU"/>
        </w:rPr>
        <w:lastRenderedPageBreak/>
        <w:t>Note:     Alternative identify proofing processes could include, but are not limited to, acceptance of multiple types of secondary identification documents where normally a primary identification document would be required.</w:t>
      </w:r>
    </w:p>
    <w:p w14:paraId="24113988" w14:textId="77777777" w:rsidR="00433ECC" w:rsidRPr="008D5227" w:rsidRDefault="00433ECC" w:rsidP="00433ECC">
      <w:pPr>
        <w:shd w:val="clear" w:color="auto" w:fill="FFFFFF"/>
        <w:spacing w:before="240" w:line="240" w:lineRule="auto"/>
        <w:ind w:left="851" w:hanging="851"/>
        <w:rPr>
          <w:rFonts w:eastAsia="Times New Roman" w:cs="Times New Roman"/>
          <w:sz w:val="24"/>
          <w:szCs w:val="24"/>
          <w:lang w:eastAsia="en-AU"/>
        </w:rPr>
      </w:pPr>
      <w:r w:rsidRPr="008D5227">
        <w:rPr>
          <w:rFonts w:eastAsia="Times New Roman" w:cs="Times New Roman"/>
          <w:sz w:val="24"/>
          <w:szCs w:val="24"/>
          <w:lang w:eastAsia="en-AU"/>
        </w:rPr>
        <w:t>4.15.2</w:t>
      </w:r>
      <w:r w:rsidR="00FB1450" w:rsidRPr="008D5227">
        <w:rPr>
          <w:rFonts w:eastAsia="Times New Roman" w:cs="Times New Roman"/>
          <w:sz w:val="14"/>
          <w:szCs w:val="14"/>
          <w:lang w:eastAsia="en-AU"/>
        </w:rPr>
        <w:t>       </w:t>
      </w:r>
      <w:r w:rsidRPr="008D5227">
        <w:rPr>
          <w:rFonts w:eastAsia="Times New Roman" w:cs="Times New Roman"/>
          <w:sz w:val="24"/>
          <w:szCs w:val="24"/>
          <w:lang w:eastAsia="en-AU"/>
        </w:rPr>
        <w:t>If a reporting entity is unable to establish the identity of a customer in accordance with paragraph 4.15.1</w:t>
      </w:r>
      <w:r w:rsidR="00024CF2" w:rsidRPr="008D5227">
        <w:rPr>
          <w:rFonts w:eastAsia="Times New Roman" w:cs="Times New Roman"/>
          <w:sz w:val="24"/>
          <w:szCs w:val="24"/>
          <w:lang w:eastAsia="en-AU"/>
        </w:rPr>
        <w:t xml:space="preserve"> or 4.15.1A</w:t>
      </w:r>
      <w:r w:rsidRPr="008D5227">
        <w:rPr>
          <w:rFonts w:eastAsia="Times New Roman" w:cs="Times New Roman"/>
          <w:sz w:val="24"/>
          <w:szCs w:val="24"/>
          <w:lang w:eastAsia="en-AU"/>
        </w:rPr>
        <w:t>, then it may accept a self-attestation from the customer certifying that the information provided in relation to their identity is true and correct.</w:t>
      </w:r>
    </w:p>
    <w:p w14:paraId="43D8E71B" w14:textId="77777777" w:rsidR="00433ECC" w:rsidRPr="008D5227" w:rsidRDefault="00433ECC" w:rsidP="00433ECC">
      <w:pPr>
        <w:shd w:val="clear" w:color="auto" w:fill="FFFFFF"/>
        <w:spacing w:before="240" w:line="240" w:lineRule="auto"/>
        <w:ind w:left="851" w:hanging="851"/>
        <w:rPr>
          <w:rFonts w:eastAsia="Times New Roman" w:cs="Times New Roman"/>
          <w:sz w:val="24"/>
          <w:szCs w:val="24"/>
          <w:lang w:eastAsia="en-AU"/>
        </w:rPr>
      </w:pPr>
      <w:r w:rsidRPr="008D5227">
        <w:rPr>
          <w:rFonts w:eastAsia="Times New Roman" w:cs="Times New Roman"/>
          <w:sz w:val="24"/>
          <w:szCs w:val="24"/>
          <w:lang w:eastAsia="en-AU"/>
        </w:rPr>
        <w:t>4.15.3</w:t>
      </w:r>
      <w:r w:rsidR="00FB1450" w:rsidRPr="008D5227">
        <w:rPr>
          <w:rFonts w:eastAsia="Times New Roman" w:cs="Times New Roman"/>
          <w:sz w:val="14"/>
          <w:szCs w:val="14"/>
          <w:lang w:eastAsia="en-AU"/>
        </w:rPr>
        <w:t>       </w:t>
      </w:r>
      <w:r w:rsidRPr="008D5227">
        <w:rPr>
          <w:rFonts w:eastAsia="Times New Roman" w:cs="Times New Roman"/>
          <w:sz w:val="24"/>
          <w:szCs w:val="24"/>
          <w:lang w:eastAsia="en-AU"/>
        </w:rPr>
        <w:t>A reporting entity must apply appropriate levels of ongoing customer due diligence in order to identify, mitigate and manage any ML/TF risk associated with customer identities established using self-attestation.</w:t>
      </w:r>
    </w:p>
    <w:p w14:paraId="7326C255" w14:textId="77777777" w:rsidR="00433ECC" w:rsidRPr="008D5227" w:rsidRDefault="00433ECC" w:rsidP="00433ECC">
      <w:pPr>
        <w:shd w:val="clear" w:color="auto" w:fill="FFFFFF"/>
        <w:spacing w:before="240" w:line="240" w:lineRule="auto"/>
        <w:ind w:left="851" w:hanging="851"/>
        <w:rPr>
          <w:rFonts w:eastAsia="Times New Roman" w:cs="Times New Roman"/>
          <w:sz w:val="24"/>
          <w:szCs w:val="24"/>
          <w:lang w:eastAsia="en-AU"/>
        </w:rPr>
      </w:pPr>
      <w:r w:rsidRPr="008D5227">
        <w:rPr>
          <w:rFonts w:eastAsia="Times New Roman" w:cs="Times New Roman"/>
          <w:sz w:val="24"/>
          <w:szCs w:val="24"/>
          <w:lang w:eastAsia="en-AU"/>
        </w:rPr>
        <w:t>4.15.4</w:t>
      </w:r>
      <w:r w:rsidR="00FB1450" w:rsidRPr="008D5227">
        <w:rPr>
          <w:rFonts w:eastAsia="Times New Roman" w:cs="Times New Roman"/>
          <w:sz w:val="14"/>
          <w:szCs w:val="14"/>
          <w:lang w:eastAsia="en-AU"/>
        </w:rPr>
        <w:t>       </w:t>
      </w:r>
      <w:r w:rsidRPr="008D5227">
        <w:rPr>
          <w:rFonts w:eastAsia="Times New Roman" w:cs="Times New Roman"/>
          <w:sz w:val="24"/>
          <w:szCs w:val="24"/>
          <w:lang w:eastAsia="en-AU"/>
        </w:rPr>
        <w:t>A reporting entity must not rely on a self-attestation if it knows or has reason to believe that it is incorrect or misleading.</w:t>
      </w:r>
    </w:p>
    <w:p w14:paraId="30FA3AAE" w14:textId="0FE19367" w:rsidR="00433ECC" w:rsidRDefault="00FB1450" w:rsidP="00433ECC">
      <w:pPr>
        <w:shd w:val="clear" w:color="auto" w:fill="FFFFFF"/>
        <w:spacing w:before="240" w:line="240" w:lineRule="auto"/>
        <w:ind w:left="851" w:hanging="851"/>
        <w:rPr>
          <w:rFonts w:eastAsia="Times New Roman" w:cs="Times New Roman"/>
          <w:i/>
          <w:iCs/>
          <w:sz w:val="24"/>
          <w:szCs w:val="24"/>
          <w:lang w:eastAsia="en-AU"/>
        </w:rPr>
      </w:pPr>
      <w:r w:rsidRPr="008D5227">
        <w:rPr>
          <w:rFonts w:eastAsia="Times New Roman" w:cs="Times New Roman"/>
          <w:i/>
          <w:iCs/>
          <w:sz w:val="24"/>
          <w:szCs w:val="24"/>
          <w:lang w:eastAsia="en-AU"/>
        </w:rPr>
        <w:t>Note:     </w:t>
      </w:r>
      <w:r w:rsidR="00433ECC" w:rsidRPr="008D5227">
        <w:rPr>
          <w:rFonts w:eastAsia="Times New Roman" w:cs="Times New Roman"/>
          <w:i/>
          <w:iCs/>
          <w:sz w:val="24"/>
          <w:szCs w:val="24"/>
          <w:lang w:eastAsia="en-AU"/>
        </w:rPr>
        <w:t>Customers and reporting entities seeking to rely on self-attestation to establish identity should be aware that criminal or civil penalties may apply under Part 12 of the AML/CTF Act for providing false or misleading information, producing false or misleading documents, and for providing or receiving a designated service using a false customer name.</w:t>
      </w:r>
    </w:p>
    <w:p w14:paraId="1C7AC1B3" w14:textId="2956CE84" w:rsidR="00E41A05" w:rsidRPr="00E41A05" w:rsidRDefault="00E41A05" w:rsidP="00E41A05">
      <w:pPr>
        <w:shd w:val="clear" w:color="auto" w:fill="FFFFFF"/>
        <w:spacing w:before="240" w:line="240" w:lineRule="auto"/>
        <w:rPr>
          <w:rFonts w:eastAsia="Times New Roman" w:cs="Times New Roman"/>
          <w:i/>
          <w:iCs/>
          <w:sz w:val="24"/>
          <w:szCs w:val="24"/>
          <w:lang w:eastAsia="en-AU"/>
        </w:rPr>
      </w:pPr>
      <w:r w:rsidRPr="00E41A05">
        <w:rPr>
          <w:rFonts w:eastAsia="Times New Roman" w:cs="Times New Roman"/>
          <w:i/>
          <w:iCs/>
          <w:sz w:val="24"/>
          <w:szCs w:val="24"/>
          <w:lang w:eastAsia="en-AU"/>
        </w:rPr>
        <w:t>Alternative verification processes during the COVID-19 Pandemic</w:t>
      </w:r>
    </w:p>
    <w:p w14:paraId="4EE8F32F" w14:textId="6219AF55" w:rsidR="00E41A05" w:rsidRPr="00534702" w:rsidRDefault="00E41A05" w:rsidP="00E41A05">
      <w:pPr>
        <w:shd w:val="clear" w:color="auto" w:fill="FFFFFF"/>
        <w:spacing w:before="240" w:line="240" w:lineRule="auto"/>
        <w:ind w:left="851" w:hanging="851"/>
        <w:rPr>
          <w:rFonts w:eastAsia="Times New Roman" w:cs="Times New Roman"/>
          <w:iCs/>
          <w:sz w:val="24"/>
          <w:szCs w:val="24"/>
          <w:lang w:eastAsia="en-AU"/>
        </w:rPr>
      </w:pPr>
      <w:r>
        <w:rPr>
          <w:rFonts w:eastAsia="Times New Roman" w:cs="Times New Roman"/>
          <w:sz w:val="24"/>
          <w:szCs w:val="24"/>
          <w:lang w:eastAsia="en-AU"/>
        </w:rPr>
        <w:t>4.15.5</w:t>
      </w:r>
      <w:r w:rsidRPr="00ED2BF9">
        <w:rPr>
          <w:rFonts w:eastAsia="Times New Roman" w:cs="Times New Roman"/>
          <w:sz w:val="24"/>
          <w:szCs w:val="24"/>
          <w:lang w:eastAsia="en-AU"/>
        </w:rPr>
        <w:tab/>
      </w:r>
      <w:r w:rsidRPr="00534702">
        <w:rPr>
          <w:rFonts w:eastAsia="Times New Roman" w:cs="Times New Roman"/>
          <w:iCs/>
          <w:sz w:val="24"/>
          <w:szCs w:val="24"/>
          <w:lang w:eastAsia="en-AU"/>
        </w:rPr>
        <w:t>If a reporting entity is required, in accordance with its applicable customer identification procedure, to verify information based on the original, or a certified copy or certified extract, of a document but cannot do so because of COVID-19 Pandemic measures, the</w:t>
      </w:r>
      <w:r>
        <w:rPr>
          <w:rFonts w:eastAsia="Times New Roman" w:cs="Times New Roman"/>
          <w:iCs/>
          <w:sz w:val="24"/>
          <w:szCs w:val="24"/>
          <w:lang w:eastAsia="en-AU"/>
        </w:rPr>
        <w:t xml:space="preserve">n it may rely on a copy of the </w:t>
      </w:r>
      <w:r w:rsidRPr="00534702">
        <w:rPr>
          <w:rFonts w:eastAsia="Times New Roman" w:cs="Times New Roman"/>
          <w:iCs/>
          <w:sz w:val="24"/>
          <w:szCs w:val="24"/>
          <w:lang w:eastAsia="en-AU"/>
        </w:rPr>
        <w:t>document in accordance with its risk-based systems and controls.</w:t>
      </w:r>
    </w:p>
    <w:p w14:paraId="0AA9EC2C" w14:textId="62389331" w:rsidR="005B2DC9" w:rsidRPr="008D5227" w:rsidRDefault="00E41A05" w:rsidP="005B2DC9">
      <w:pPr>
        <w:shd w:val="clear" w:color="auto" w:fill="FFFFFF"/>
        <w:spacing w:before="240" w:line="240" w:lineRule="auto"/>
        <w:ind w:left="851" w:hanging="851"/>
        <w:rPr>
          <w:rFonts w:eastAsia="Times New Roman" w:cs="Times New Roman"/>
          <w:sz w:val="24"/>
          <w:szCs w:val="24"/>
          <w:lang w:eastAsia="en-AU"/>
        </w:rPr>
      </w:pPr>
      <w:r>
        <w:rPr>
          <w:rFonts w:eastAsia="Times New Roman" w:cs="Times New Roman"/>
          <w:sz w:val="24"/>
          <w:szCs w:val="24"/>
          <w:lang w:eastAsia="en-AU"/>
        </w:rPr>
        <w:t>4.15.6</w:t>
      </w:r>
      <w:r w:rsidR="00C34AB5" w:rsidRPr="008D5227">
        <w:rPr>
          <w:rFonts w:eastAsia="Times New Roman" w:cs="Times New Roman"/>
          <w:sz w:val="24"/>
          <w:szCs w:val="24"/>
          <w:lang w:eastAsia="en-AU"/>
        </w:rPr>
        <w:tab/>
      </w:r>
      <w:r w:rsidR="005E764D" w:rsidRPr="008D5227">
        <w:rPr>
          <w:rFonts w:eastAsia="Times New Roman" w:cs="Times New Roman"/>
          <w:sz w:val="24"/>
          <w:szCs w:val="24"/>
          <w:lang w:eastAsia="en-AU"/>
        </w:rPr>
        <w:t>In this Part</w:t>
      </w:r>
      <w:r w:rsidR="005B2DC9" w:rsidRPr="008D5227">
        <w:rPr>
          <w:rFonts w:eastAsia="Times New Roman" w:cs="Times New Roman"/>
          <w:sz w:val="24"/>
          <w:szCs w:val="24"/>
          <w:lang w:eastAsia="en-AU"/>
        </w:rPr>
        <w:t xml:space="preserve">, </w:t>
      </w:r>
      <w:r w:rsidR="005E764D" w:rsidRPr="008D5227">
        <w:rPr>
          <w:rFonts w:eastAsia="Times New Roman" w:cs="Times New Roman"/>
          <w:sz w:val="24"/>
          <w:szCs w:val="24"/>
          <w:lang w:eastAsia="en-AU"/>
        </w:rPr>
        <w:t>‘</w:t>
      </w:r>
      <w:r w:rsidR="005B2DC9" w:rsidRPr="008D5227">
        <w:rPr>
          <w:rFonts w:eastAsia="Times New Roman" w:cs="Times New Roman"/>
          <w:sz w:val="24"/>
          <w:szCs w:val="24"/>
          <w:lang w:eastAsia="en-AU"/>
        </w:rPr>
        <w:t>COVID</w:t>
      </w:r>
      <w:r w:rsidR="005B2DC9" w:rsidRPr="008D5227">
        <w:rPr>
          <w:rFonts w:eastAsia="Times New Roman" w:cs="Times New Roman"/>
          <w:sz w:val="24"/>
          <w:szCs w:val="24"/>
          <w:lang w:eastAsia="en-AU"/>
        </w:rPr>
        <w:noBreakHyphen/>
        <w:t>19 Pandemic measures</w:t>
      </w:r>
      <w:r w:rsidR="005E764D" w:rsidRPr="008D5227">
        <w:rPr>
          <w:rFonts w:eastAsia="Times New Roman" w:cs="Times New Roman"/>
          <w:sz w:val="24"/>
          <w:szCs w:val="24"/>
          <w:lang w:eastAsia="en-AU"/>
        </w:rPr>
        <w:t>’</w:t>
      </w:r>
      <w:r w:rsidR="005B2DC9" w:rsidRPr="008D5227">
        <w:rPr>
          <w:rFonts w:eastAsia="Times New Roman" w:cs="Times New Roman"/>
          <w:sz w:val="24"/>
          <w:szCs w:val="24"/>
          <w:lang w:eastAsia="en-AU"/>
        </w:rPr>
        <w:t xml:space="preserve"> </w:t>
      </w:r>
      <w:r w:rsidR="005E764D" w:rsidRPr="008D5227">
        <w:rPr>
          <w:rFonts w:eastAsia="Times New Roman" w:cs="Times New Roman"/>
          <w:sz w:val="24"/>
          <w:szCs w:val="24"/>
          <w:lang w:eastAsia="en-AU"/>
        </w:rPr>
        <w:t xml:space="preserve">means </w:t>
      </w:r>
      <w:r w:rsidR="004E37EA" w:rsidRPr="008D5227">
        <w:rPr>
          <w:rFonts w:eastAsia="Times New Roman" w:cs="Times New Roman"/>
          <w:sz w:val="24"/>
          <w:szCs w:val="24"/>
          <w:lang w:eastAsia="en-AU"/>
        </w:rPr>
        <w:t>any</w:t>
      </w:r>
      <w:r w:rsidR="005B2DC9" w:rsidRPr="008D5227">
        <w:rPr>
          <w:rFonts w:eastAsia="Times New Roman" w:cs="Times New Roman"/>
          <w:sz w:val="24"/>
          <w:szCs w:val="24"/>
          <w:lang w:eastAsia="en-AU"/>
        </w:rPr>
        <w:t>:</w:t>
      </w:r>
    </w:p>
    <w:p w14:paraId="33D607FC" w14:textId="77777777" w:rsidR="005B2DC9" w:rsidRPr="00EF6B2E" w:rsidRDefault="005B2DC9" w:rsidP="005B2DC9">
      <w:pPr>
        <w:pStyle w:val="ListParagraph"/>
        <w:numPr>
          <w:ilvl w:val="0"/>
          <w:numId w:val="19"/>
        </w:numPr>
        <w:shd w:val="clear" w:color="auto" w:fill="FFFFFF"/>
        <w:spacing w:before="240" w:line="240" w:lineRule="auto"/>
        <w:ind w:hanging="357"/>
        <w:contextualSpacing w:val="0"/>
        <w:rPr>
          <w:rFonts w:eastAsia="Times New Roman" w:cs="Times New Roman"/>
          <w:sz w:val="24"/>
          <w:szCs w:val="24"/>
          <w:lang w:eastAsia="en-AU"/>
        </w:rPr>
      </w:pPr>
      <w:r w:rsidRPr="00EF6B2E">
        <w:rPr>
          <w:rFonts w:eastAsia="Times New Roman" w:cs="Times New Roman"/>
          <w:sz w:val="24"/>
          <w:szCs w:val="24"/>
          <w:lang w:eastAsia="en-AU"/>
        </w:rPr>
        <w:t>measures implemented or recommended by an Australian government body</w:t>
      </w:r>
      <w:r w:rsidR="00C34AB5" w:rsidRPr="00EF6B2E">
        <w:rPr>
          <w:rFonts w:eastAsia="Times New Roman" w:cs="Times New Roman"/>
          <w:sz w:val="24"/>
          <w:szCs w:val="24"/>
          <w:lang w:eastAsia="en-AU"/>
        </w:rPr>
        <w:t>;</w:t>
      </w:r>
    </w:p>
    <w:p w14:paraId="34FD2AA2" w14:textId="77777777" w:rsidR="00C34AB5" w:rsidRPr="00EF6B2E" w:rsidRDefault="00C34AB5" w:rsidP="005B2DC9">
      <w:pPr>
        <w:pStyle w:val="ListParagraph"/>
        <w:numPr>
          <w:ilvl w:val="0"/>
          <w:numId w:val="19"/>
        </w:numPr>
        <w:shd w:val="clear" w:color="auto" w:fill="FFFFFF"/>
        <w:spacing w:before="240" w:line="240" w:lineRule="auto"/>
        <w:ind w:hanging="357"/>
        <w:contextualSpacing w:val="0"/>
        <w:rPr>
          <w:rFonts w:eastAsia="Times New Roman" w:cs="Times New Roman"/>
          <w:sz w:val="24"/>
          <w:szCs w:val="24"/>
          <w:lang w:eastAsia="en-AU"/>
        </w:rPr>
      </w:pPr>
      <w:r w:rsidRPr="00EF6B2E">
        <w:rPr>
          <w:rFonts w:eastAsia="Times New Roman" w:cs="Times New Roman"/>
          <w:sz w:val="24"/>
          <w:szCs w:val="24"/>
          <w:lang w:eastAsia="en-AU"/>
        </w:rPr>
        <w:t>reasonable measures adopted by a reporting entity; or</w:t>
      </w:r>
    </w:p>
    <w:p w14:paraId="6F596BC1" w14:textId="77777777" w:rsidR="00C34AB5" w:rsidRPr="00EF6B2E" w:rsidRDefault="005B2DC9" w:rsidP="006814B9">
      <w:pPr>
        <w:pStyle w:val="ListParagraph"/>
        <w:numPr>
          <w:ilvl w:val="0"/>
          <w:numId w:val="19"/>
        </w:numPr>
        <w:shd w:val="clear" w:color="auto" w:fill="FFFFFF"/>
        <w:spacing w:before="240" w:line="240" w:lineRule="auto"/>
        <w:ind w:hanging="357"/>
        <w:contextualSpacing w:val="0"/>
        <w:rPr>
          <w:rFonts w:eastAsia="Times New Roman" w:cs="Times New Roman"/>
          <w:sz w:val="24"/>
          <w:szCs w:val="24"/>
          <w:lang w:eastAsia="en-AU"/>
        </w:rPr>
      </w:pPr>
      <w:r w:rsidRPr="00EF6B2E">
        <w:rPr>
          <w:rFonts w:eastAsia="Times New Roman" w:cs="Times New Roman"/>
          <w:sz w:val="24"/>
          <w:szCs w:val="24"/>
          <w:lang w:eastAsia="en-AU"/>
        </w:rPr>
        <w:t>reasonable measures adopted by a person</w:t>
      </w:r>
      <w:r w:rsidR="00C34AB5" w:rsidRPr="00EF6B2E">
        <w:rPr>
          <w:rFonts w:eastAsia="Times New Roman" w:cs="Times New Roman"/>
          <w:sz w:val="24"/>
          <w:szCs w:val="24"/>
          <w:lang w:eastAsia="en-AU"/>
        </w:rPr>
        <w:t>;</w:t>
      </w:r>
      <w:r w:rsidRPr="00EF6B2E">
        <w:rPr>
          <w:rFonts w:eastAsia="Times New Roman" w:cs="Times New Roman"/>
          <w:sz w:val="24"/>
          <w:szCs w:val="24"/>
          <w:lang w:eastAsia="en-AU"/>
        </w:rPr>
        <w:t xml:space="preserve"> </w:t>
      </w:r>
    </w:p>
    <w:p w14:paraId="5487C253" w14:textId="77777777" w:rsidR="008B6B2F" w:rsidRPr="00EF6B2E" w:rsidRDefault="005B2DC9" w:rsidP="00C34AB5">
      <w:pPr>
        <w:shd w:val="clear" w:color="auto" w:fill="FFFFFF"/>
        <w:spacing w:before="240" w:line="240" w:lineRule="auto"/>
        <w:ind w:left="851"/>
        <w:rPr>
          <w:rFonts w:eastAsia="Times New Roman" w:cs="Times New Roman"/>
          <w:sz w:val="24"/>
          <w:szCs w:val="24"/>
          <w:lang w:eastAsia="en-AU"/>
        </w:rPr>
      </w:pPr>
      <w:proofErr w:type="gramStart"/>
      <w:r w:rsidRPr="00EF6B2E">
        <w:rPr>
          <w:rFonts w:eastAsia="Times New Roman" w:cs="Times New Roman"/>
          <w:sz w:val="24"/>
          <w:szCs w:val="24"/>
          <w:lang w:eastAsia="en-AU"/>
        </w:rPr>
        <w:t>to</w:t>
      </w:r>
      <w:proofErr w:type="gramEnd"/>
      <w:r w:rsidRPr="00EF6B2E">
        <w:rPr>
          <w:rFonts w:eastAsia="Times New Roman" w:cs="Times New Roman"/>
          <w:sz w:val="24"/>
          <w:szCs w:val="24"/>
          <w:lang w:eastAsia="en-AU"/>
        </w:rPr>
        <w:t xml:space="preserve"> prevent the spread of COVID-19.</w:t>
      </w:r>
    </w:p>
    <w:p w14:paraId="7736C3B0" w14:textId="77777777" w:rsidR="00C34AB5" w:rsidRPr="008D5227" w:rsidRDefault="00B53BB7" w:rsidP="00C34AB5">
      <w:pPr>
        <w:shd w:val="clear" w:color="auto" w:fill="FFFFFF"/>
        <w:spacing w:before="240" w:line="240" w:lineRule="auto"/>
        <w:ind w:left="840" w:hanging="840"/>
        <w:rPr>
          <w:rFonts w:eastAsia="Times New Roman" w:cs="Times New Roman"/>
          <w:i/>
          <w:sz w:val="24"/>
          <w:szCs w:val="24"/>
          <w:lang w:eastAsia="en-AU"/>
        </w:rPr>
      </w:pPr>
      <w:r w:rsidRPr="008D5227">
        <w:rPr>
          <w:rFonts w:eastAsia="Times New Roman" w:cs="Times New Roman"/>
          <w:i/>
          <w:sz w:val="24"/>
          <w:szCs w:val="24"/>
          <w:lang w:eastAsia="en-AU"/>
        </w:rPr>
        <w:t>Note:</w:t>
      </w:r>
      <w:r w:rsidRPr="008D5227">
        <w:rPr>
          <w:rFonts w:eastAsia="Times New Roman" w:cs="Times New Roman"/>
          <w:i/>
          <w:sz w:val="24"/>
          <w:szCs w:val="24"/>
          <w:lang w:eastAsia="en-AU"/>
        </w:rPr>
        <w:tab/>
      </w:r>
      <w:r w:rsidR="00C34AB5" w:rsidRPr="008D5227">
        <w:rPr>
          <w:rFonts w:eastAsia="Times New Roman" w:cs="Times New Roman"/>
          <w:i/>
          <w:sz w:val="24"/>
          <w:szCs w:val="24"/>
          <w:lang w:eastAsia="en-AU"/>
        </w:rPr>
        <w:t>‘Reasonable measures’ include</w:t>
      </w:r>
      <w:r w:rsidRPr="008D5227">
        <w:rPr>
          <w:rFonts w:eastAsia="Times New Roman" w:cs="Times New Roman"/>
          <w:i/>
          <w:sz w:val="24"/>
          <w:szCs w:val="24"/>
          <w:lang w:eastAsia="en-AU"/>
        </w:rPr>
        <w:t xml:space="preserve"> those adopted in </w:t>
      </w:r>
      <w:r w:rsidR="00C34AB5" w:rsidRPr="008D5227">
        <w:rPr>
          <w:rFonts w:eastAsia="Times New Roman" w:cs="Times New Roman"/>
          <w:i/>
          <w:sz w:val="24"/>
          <w:szCs w:val="24"/>
          <w:lang w:eastAsia="en-AU"/>
        </w:rPr>
        <w:t xml:space="preserve">a foreign </w:t>
      </w:r>
      <w:r w:rsidR="004E37EA" w:rsidRPr="008D5227">
        <w:rPr>
          <w:rFonts w:eastAsia="Times New Roman" w:cs="Times New Roman"/>
          <w:i/>
          <w:sz w:val="24"/>
          <w:szCs w:val="24"/>
          <w:lang w:eastAsia="en-AU"/>
        </w:rPr>
        <w:t>country where the person</w:t>
      </w:r>
      <w:r w:rsidR="001D7A23" w:rsidRPr="008D5227">
        <w:rPr>
          <w:rFonts w:eastAsia="Times New Roman" w:cs="Times New Roman"/>
          <w:i/>
          <w:sz w:val="24"/>
          <w:szCs w:val="24"/>
          <w:lang w:eastAsia="en-AU"/>
        </w:rPr>
        <w:t xml:space="preserve">, or a permanent establishment of a reporting entity or subsidiary, </w:t>
      </w:r>
      <w:r w:rsidR="004E37EA" w:rsidRPr="008D5227">
        <w:rPr>
          <w:rFonts w:eastAsia="Times New Roman" w:cs="Times New Roman"/>
          <w:i/>
          <w:sz w:val="24"/>
          <w:szCs w:val="24"/>
          <w:lang w:eastAsia="en-AU"/>
        </w:rPr>
        <w:t>is located</w:t>
      </w:r>
      <w:r w:rsidR="00C34AB5" w:rsidRPr="008D5227">
        <w:rPr>
          <w:rFonts w:eastAsia="Times New Roman" w:cs="Times New Roman"/>
          <w:i/>
          <w:sz w:val="24"/>
          <w:szCs w:val="24"/>
          <w:lang w:eastAsia="en-AU"/>
        </w:rPr>
        <w:t xml:space="preserve">. </w:t>
      </w:r>
    </w:p>
    <w:p w14:paraId="0AFE3977" w14:textId="77777777" w:rsidR="00C34AB5" w:rsidRDefault="00C34AB5" w:rsidP="00C34AB5">
      <w:pPr>
        <w:shd w:val="clear" w:color="auto" w:fill="FFFFFF"/>
        <w:spacing w:before="240" w:line="240" w:lineRule="auto"/>
        <w:rPr>
          <w:rFonts w:eastAsia="Times New Roman" w:cs="Times New Roman"/>
          <w:color w:val="FF0000"/>
          <w:sz w:val="24"/>
          <w:szCs w:val="24"/>
          <w:lang w:eastAsia="en-AU"/>
        </w:rPr>
      </w:pPr>
    </w:p>
    <w:p w14:paraId="55EF4DE4" w14:textId="77777777" w:rsidR="00C34AB5" w:rsidRPr="00C34AB5" w:rsidRDefault="00C34AB5" w:rsidP="00C34AB5">
      <w:pPr>
        <w:shd w:val="clear" w:color="auto" w:fill="FFFFFF"/>
        <w:spacing w:before="240" w:line="240" w:lineRule="auto"/>
        <w:rPr>
          <w:rFonts w:eastAsia="Times New Roman" w:cs="Times New Roman"/>
          <w:i/>
          <w:color w:val="000000"/>
          <w:sz w:val="24"/>
          <w:szCs w:val="24"/>
          <w:lang w:eastAsia="en-AU"/>
        </w:rPr>
      </w:pPr>
    </w:p>
    <w:sectPr w:rsidR="00C34AB5" w:rsidRPr="00C34AB5" w:rsidSect="00B20990">
      <w:headerReference w:type="even" r:id="rId19"/>
      <w:headerReference w:type="default" r:id="rId20"/>
      <w:footerReference w:type="even" r:id="rId21"/>
      <w:footerReference w:type="default" r:id="rId22"/>
      <w:headerReference w:type="first" r:id="rId23"/>
      <w:footerReference w:type="first" r:id="rId24"/>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C24EE" w14:textId="77777777" w:rsidR="00B40F05" w:rsidRDefault="00B40F05" w:rsidP="0048364F">
      <w:pPr>
        <w:spacing w:line="240" w:lineRule="auto"/>
      </w:pPr>
      <w:r>
        <w:separator/>
      </w:r>
    </w:p>
  </w:endnote>
  <w:endnote w:type="continuationSeparator" w:id="0">
    <w:p w14:paraId="488F018A" w14:textId="77777777" w:rsidR="00B40F05" w:rsidRDefault="00B40F0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126C0455" w14:textId="77777777" w:rsidTr="0001176A">
      <w:tc>
        <w:tcPr>
          <w:tcW w:w="5000" w:type="pct"/>
        </w:tcPr>
        <w:p w14:paraId="30E9BFB3" w14:textId="77777777" w:rsidR="009278C1" w:rsidRDefault="009278C1" w:rsidP="0001176A">
          <w:pPr>
            <w:rPr>
              <w:sz w:val="18"/>
            </w:rPr>
          </w:pPr>
        </w:p>
      </w:tc>
    </w:tr>
  </w:tbl>
  <w:p w14:paraId="54EEDD3C"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62EE061D" w14:textId="77777777" w:rsidTr="00C160A1">
      <w:tc>
        <w:tcPr>
          <w:tcW w:w="5000" w:type="pct"/>
        </w:tcPr>
        <w:p w14:paraId="1EC0BBB6" w14:textId="77777777" w:rsidR="00B20990" w:rsidRDefault="00B20990" w:rsidP="007946FE">
          <w:pPr>
            <w:rPr>
              <w:sz w:val="18"/>
            </w:rPr>
          </w:pPr>
        </w:p>
      </w:tc>
    </w:tr>
  </w:tbl>
  <w:p w14:paraId="606D6DEF"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EE2DC"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0C5B4D95" w14:textId="77777777" w:rsidTr="00C160A1">
      <w:tc>
        <w:tcPr>
          <w:tcW w:w="5000" w:type="pct"/>
        </w:tcPr>
        <w:p w14:paraId="06F1FBF3" w14:textId="77777777" w:rsidR="00B20990" w:rsidRDefault="00B20990" w:rsidP="00465764">
          <w:pPr>
            <w:rPr>
              <w:sz w:val="18"/>
            </w:rPr>
          </w:pPr>
        </w:p>
      </w:tc>
    </w:tr>
  </w:tbl>
  <w:p w14:paraId="25BBF85D"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97665"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20990" w14:paraId="1C4A6CBD" w14:textId="77777777" w:rsidTr="00C160A1">
      <w:tc>
        <w:tcPr>
          <w:tcW w:w="365" w:type="pct"/>
          <w:tcBorders>
            <w:top w:val="nil"/>
            <w:left w:val="nil"/>
            <w:bottom w:val="nil"/>
            <w:right w:val="nil"/>
          </w:tcBorders>
        </w:tcPr>
        <w:p w14:paraId="564FC194"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CC23025" w14:textId="7777777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40F05">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50BDCC10" w14:textId="77777777" w:rsidR="00B20990" w:rsidRDefault="00B20990" w:rsidP="00E33C1C">
          <w:pPr>
            <w:spacing w:line="0" w:lineRule="atLeast"/>
            <w:jc w:val="right"/>
            <w:rPr>
              <w:sz w:val="18"/>
            </w:rPr>
          </w:pPr>
        </w:p>
      </w:tc>
    </w:tr>
    <w:tr w:rsidR="00B20990" w14:paraId="4D301D11"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E3A49DA" w14:textId="77777777" w:rsidR="00B20990" w:rsidRDefault="00B20990" w:rsidP="007946FE">
          <w:pPr>
            <w:jc w:val="right"/>
            <w:rPr>
              <w:sz w:val="18"/>
            </w:rPr>
          </w:pPr>
        </w:p>
      </w:tc>
    </w:tr>
  </w:tbl>
  <w:p w14:paraId="49D7EC2B"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D732B"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20990" w14:paraId="6F6869F8" w14:textId="77777777" w:rsidTr="00C160A1">
      <w:tc>
        <w:tcPr>
          <w:tcW w:w="947" w:type="pct"/>
          <w:tcBorders>
            <w:top w:val="nil"/>
            <w:left w:val="nil"/>
            <w:bottom w:val="nil"/>
            <w:right w:val="nil"/>
          </w:tcBorders>
        </w:tcPr>
        <w:p w14:paraId="2D181F0D" w14:textId="77777777" w:rsidR="00B20990" w:rsidRDefault="00B20990" w:rsidP="00E33C1C">
          <w:pPr>
            <w:spacing w:line="0" w:lineRule="atLeast"/>
            <w:rPr>
              <w:sz w:val="18"/>
            </w:rPr>
          </w:pPr>
        </w:p>
      </w:tc>
      <w:tc>
        <w:tcPr>
          <w:tcW w:w="3688" w:type="pct"/>
          <w:tcBorders>
            <w:top w:val="nil"/>
            <w:left w:val="nil"/>
            <w:bottom w:val="nil"/>
            <w:right w:val="nil"/>
          </w:tcBorders>
        </w:tcPr>
        <w:p w14:paraId="116BF4D1" w14:textId="14395A0D"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365DF">
            <w:rPr>
              <w:i/>
              <w:noProof/>
              <w:sz w:val="18"/>
            </w:rPr>
            <w:t>Anti-Money Laundering and Counter-Terrorism Financing Rules Amendment Instrument 2020 (No. 2)</w:t>
          </w:r>
          <w:r w:rsidRPr="00B20990">
            <w:rPr>
              <w:i/>
              <w:sz w:val="18"/>
            </w:rPr>
            <w:fldChar w:fldCharType="end"/>
          </w:r>
        </w:p>
      </w:tc>
      <w:tc>
        <w:tcPr>
          <w:tcW w:w="365" w:type="pct"/>
          <w:tcBorders>
            <w:top w:val="nil"/>
            <w:left w:val="nil"/>
            <w:bottom w:val="nil"/>
            <w:right w:val="nil"/>
          </w:tcBorders>
        </w:tcPr>
        <w:p w14:paraId="759BA727" w14:textId="7B3C7CEC"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365DF">
            <w:rPr>
              <w:i/>
              <w:noProof/>
              <w:sz w:val="18"/>
            </w:rPr>
            <w:t>i</w:t>
          </w:r>
          <w:r w:rsidRPr="00ED79B6">
            <w:rPr>
              <w:i/>
              <w:sz w:val="18"/>
            </w:rPr>
            <w:fldChar w:fldCharType="end"/>
          </w:r>
        </w:p>
      </w:tc>
    </w:tr>
    <w:tr w:rsidR="00B20990" w14:paraId="4F839C9A"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3B63107" w14:textId="77777777" w:rsidR="00B20990" w:rsidRDefault="00B20990" w:rsidP="007946FE">
          <w:pPr>
            <w:rPr>
              <w:sz w:val="18"/>
            </w:rPr>
          </w:pPr>
        </w:p>
      </w:tc>
    </w:tr>
  </w:tbl>
  <w:p w14:paraId="071BAF98"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FEE2F"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2F7E02B0" w14:textId="77777777" w:rsidTr="007A6863">
      <w:tc>
        <w:tcPr>
          <w:tcW w:w="709" w:type="dxa"/>
          <w:tcBorders>
            <w:top w:val="nil"/>
            <w:left w:val="nil"/>
            <w:bottom w:val="nil"/>
            <w:right w:val="nil"/>
          </w:tcBorders>
        </w:tcPr>
        <w:p w14:paraId="63413D8A" w14:textId="0D4F6D6F"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365DF">
            <w:rPr>
              <w:i/>
              <w:noProof/>
              <w:sz w:val="18"/>
            </w:rPr>
            <w:t>2</w:t>
          </w:r>
          <w:r w:rsidRPr="00ED79B6">
            <w:rPr>
              <w:i/>
              <w:sz w:val="18"/>
            </w:rPr>
            <w:fldChar w:fldCharType="end"/>
          </w:r>
        </w:p>
      </w:tc>
      <w:tc>
        <w:tcPr>
          <w:tcW w:w="6379" w:type="dxa"/>
          <w:tcBorders>
            <w:top w:val="nil"/>
            <w:left w:val="nil"/>
            <w:bottom w:val="nil"/>
            <w:right w:val="nil"/>
          </w:tcBorders>
        </w:tcPr>
        <w:p w14:paraId="58E2C760" w14:textId="3CD91705"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365DF">
            <w:rPr>
              <w:i/>
              <w:noProof/>
              <w:sz w:val="18"/>
            </w:rPr>
            <w:t>Anti-Money Laundering and Counter-Terrorism Financing Rules Amendment Instrument 2020 (No. 2)</w:t>
          </w:r>
          <w:r w:rsidRPr="00B20990">
            <w:rPr>
              <w:i/>
              <w:sz w:val="18"/>
            </w:rPr>
            <w:fldChar w:fldCharType="end"/>
          </w:r>
        </w:p>
      </w:tc>
      <w:tc>
        <w:tcPr>
          <w:tcW w:w="1383" w:type="dxa"/>
          <w:tcBorders>
            <w:top w:val="nil"/>
            <w:left w:val="nil"/>
            <w:bottom w:val="nil"/>
            <w:right w:val="nil"/>
          </w:tcBorders>
        </w:tcPr>
        <w:p w14:paraId="0F078B77" w14:textId="77777777" w:rsidR="00EE57E8" w:rsidRDefault="00EE57E8" w:rsidP="00EE57E8">
          <w:pPr>
            <w:spacing w:line="0" w:lineRule="atLeast"/>
            <w:jc w:val="right"/>
            <w:rPr>
              <w:sz w:val="18"/>
            </w:rPr>
          </w:pPr>
        </w:p>
      </w:tc>
    </w:tr>
    <w:tr w:rsidR="00EE57E8" w14:paraId="18168451"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039E518" w14:textId="77777777" w:rsidR="00EE57E8" w:rsidRDefault="00EE57E8" w:rsidP="00EE57E8">
          <w:pPr>
            <w:jc w:val="right"/>
            <w:rPr>
              <w:sz w:val="18"/>
            </w:rPr>
          </w:pPr>
        </w:p>
      </w:tc>
    </w:tr>
  </w:tbl>
  <w:p w14:paraId="32DECC8D"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480D7"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3A3C0C34" w14:textId="77777777" w:rsidTr="00EE57E8">
      <w:tc>
        <w:tcPr>
          <w:tcW w:w="1384" w:type="dxa"/>
          <w:tcBorders>
            <w:top w:val="nil"/>
            <w:left w:val="nil"/>
            <w:bottom w:val="nil"/>
            <w:right w:val="nil"/>
          </w:tcBorders>
        </w:tcPr>
        <w:p w14:paraId="3BFF8E93" w14:textId="77777777" w:rsidR="00EE57E8" w:rsidRDefault="00EE57E8" w:rsidP="00EE57E8">
          <w:pPr>
            <w:spacing w:line="0" w:lineRule="atLeast"/>
            <w:rPr>
              <w:sz w:val="18"/>
            </w:rPr>
          </w:pPr>
        </w:p>
      </w:tc>
      <w:tc>
        <w:tcPr>
          <w:tcW w:w="6379" w:type="dxa"/>
          <w:tcBorders>
            <w:top w:val="nil"/>
            <w:left w:val="nil"/>
            <w:bottom w:val="nil"/>
            <w:right w:val="nil"/>
          </w:tcBorders>
        </w:tcPr>
        <w:p w14:paraId="560D6868" w14:textId="684F752C"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365DF">
            <w:rPr>
              <w:i/>
              <w:noProof/>
              <w:sz w:val="18"/>
            </w:rPr>
            <w:t>Anti-Money Laundering and Counter-Terrorism Financing Rules Amendment Instrument 2020 (No. 2)</w:t>
          </w:r>
          <w:r w:rsidRPr="00B20990">
            <w:rPr>
              <w:i/>
              <w:sz w:val="18"/>
            </w:rPr>
            <w:fldChar w:fldCharType="end"/>
          </w:r>
        </w:p>
      </w:tc>
      <w:tc>
        <w:tcPr>
          <w:tcW w:w="709" w:type="dxa"/>
          <w:tcBorders>
            <w:top w:val="nil"/>
            <w:left w:val="nil"/>
            <w:bottom w:val="nil"/>
            <w:right w:val="nil"/>
          </w:tcBorders>
        </w:tcPr>
        <w:p w14:paraId="5B6B30CD" w14:textId="32D12BC5"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365DF">
            <w:rPr>
              <w:i/>
              <w:noProof/>
              <w:sz w:val="18"/>
            </w:rPr>
            <w:t>3</w:t>
          </w:r>
          <w:r w:rsidRPr="00ED79B6">
            <w:rPr>
              <w:i/>
              <w:sz w:val="18"/>
            </w:rPr>
            <w:fldChar w:fldCharType="end"/>
          </w:r>
        </w:p>
      </w:tc>
    </w:tr>
    <w:tr w:rsidR="00EE57E8" w14:paraId="02A60742"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CACF7AA" w14:textId="77777777" w:rsidR="00EE57E8" w:rsidRDefault="00EE57E8" w:rsidP="00EE57E8">
          <w:pPr>
            <w:rPr>
              <w:sz w:val="18"/>
            </w:rPr>
          </w:pPr>
        </w:p>
      </w:tc>
    </w:tr>
  </w:tbl>
  <w:p w14:paraId="367121EE"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3441"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15EF7637" w14:textId="77777777" w:rsidTr="007A6863">
      <w:tc>
        <w:tcPr>
          <w:tcW w:w="1384" w:type="dxa"/>
          <w:tcBorders>
            <w:top w:val="nil"/>
            <w:left w:val="nil"/>
            <w:bottom w:val="nil"/>
            <w:right w:val="nil"/>
          </w:tcBorders>
        </w:tcPr>
        <w:p w14:paraId="31F6644D" w14:textId="77777777" w:rsidR="00EE57E8" w:rsidRDefault="00EE57E8" w:rsidP="00EE57E8">
          <w:pPr>
            <w:spacing w:line="0" w:lineRule="atLeast"/>
            <w:rPr>
              <w:sz w:val="18"/>
            </w:rPr>
          </w:pPr>
        </w:p>
      </w:tc>
      <w:tc>
        <w:tcPr>
          <w:tcW w:w="6379" w:type="dxa"/>
          <w:tcBorders>
            <w:top w:val="nil"/>
            <w:left w:val="nil"/>
            <w:bottom w:val="nil"/>
            <w:right w:val="nil"/>
          </w:tcBorders>
        </w:tcPr>
        <w:p w14:paraId="5472AAC6"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0F05">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4E0E4EBD"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A9EAD4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E96CF62" w14:textId="684A2287"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B40F05">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C365DF">
            <w:rPr>
              <w:i/>
              <w:noProof/>
              <w:sz w:val="18"/>
            </w:rPr>
            <w:t>6/5/2020 9:47 AM</w:t>
          </w:r>
          <w:r w:rsidRPr="00ED79B6">
            <w:rPr>
              <w:i/>
              <w:sz w:val="18"/>
            </w:rPr>
            <w:fldChar w:fldCharType="end"/>
          </w:r>
        </w:p>
      </w:tc>
    </w:tr>
  </w:tbl>
  <w:p w14:paraId="546B66D8"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3273" w14:textId="77777777" w:rsidR="00B40F05" w:rsidRDefault="00B40F05" w:rsidP="0048364F">
      <w:pPr>
        <w:spacing w:line="240" w:lineRule="auto"/>
      </w:pPr>
      <w:r>
        <w:separator/>
      </w:r>
    </w:p>
  </w:footnote>
  <w:footnote w:type="continuationSeparator" w:id="0">
    <w:p w14:paraId="349275AC" w14:textId="77777777" w:rsidR="00B40F05" w:rsidRDefault="00B40F0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4397E"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11731"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4F676"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6F599"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29FA7"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B0EDF"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18B2D" w14:textId="77777777" w:rsidR="00EE57E8" w:rsidRPr="00A961C4" w:rsidRDefault="00EE57E8" w:rsidP="0048364F">
    <w:pPr>
      <w:rPr>
        <w:b/>
        <w:sz w:val="20"/>
      </w:rPr>
    </w:pPr>
  </w:p>
  <w:p w14:paraId="12B4FE04" w14:textId="77777777" w:rsidR="00EE57E8" w:rsidRPr="00A961C4" w:rsidRDefault="00EE57E8" w:rsidP="0048364F">
    <w:pPr>
      <w:rPr>
        <w:b/>
        <w:sz w:val="20"/>
      </w:rPr>
    </w:pPr>
  </w:p>
  <w:p w14:paraId="44818990"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AEB69" w14:textId="77777777" w:rsidR="00EE57E8" w:rsidRPr="00A961C4" w:rsidRDefault="00EE57E8" w:rsidP="0048364F">
    <w:pPr>
      <w:jc w:val="right"/>
      <w:rPr>
        <w:sz w:val="20"/>
      </w:rPr>
    </w:pPr>
  </w:p>
  <w:p w14:paraId="0D65E0E8" w14:textId="77777777" w:rsidR="00EE57E8" w:rsidRPr="00A961C4" w:rsidRDefault="00EE57E8" w:rsidP="0048364F">
    <w:pPr>
      <w:jc w:val="right"/>
      <w:rPr>
        <w:b/>
        <w:sz w:val="20"/>
      </w:rPr>
    </w:pPr>
  </w:p>
  <w:p w14:paraId="1871DBE1" w14:textId="77777777" w:rsidR="00EE57E8" w:rsidRPr="00A961C4" w:rsidRDefault="00EE57E8"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76FB9" w14:textId="77777777" w:rsidR="00FF6C66" w:rsidRDefault="00FF6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E14C8D"/>
    <w:multiLevelType w:val="hybridMultilevel"/>
    <w:tmpl w:val="93A46656"/>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B73C51"/>
    <w:multiLevelType w:val="hybridMultilevel"/>
    <w:tmpl w:val="FE9C6C2E"/>
    <w:lvl w:ilvl="0" w:tplc="A320ADD2">
      <w:start w:val="1"/>
      <w:numFmt w:val="decimal"/>
      <w:lvlText w:val="(%1)"/>
      <w:lvlJc w:val="left"/>
      <w:pPr>
        <w:ind w:left="1208" w:hanging="360"/>
      </w:pPr>
      <w:rPr>
        <w:rFonts w:ascii="Times New Roman" w:eastAsia="Times New Roman" w:hAnsi="Times New Roman" w:cs="Times New Roman"/>
        <w:color w:val="auto"/>
      </w:rPr>
    </w:lvl>
    <w:lvl w:ilvl="1" w:tplc="0C090019" w:tentative="1">
      <w:start w:val="1"/>
      <w:numFmt w:val="lowerLetter"/>
      <w:lvlText w:val="%2."/>
      <w:lvlJc w:val="left"/>
      <w:pPr>
        <w:ind w:left="1928" w:hanging="360"/>
      </w:pPr>
    </w:lvl>
    <w:lvl w:ilvl="2" w:tplc="0C09001B" w:tentative="1">
      <w:start w:val="1"/>
      <w:numFmt w:val="lowerRoman"/>
      <w:lvlText w:val="%3."/>
      <w:lvlJc w:val="right"/>
      <w:pPr>
        <w:ind w:left="2648" w:hanging="180"/>
      </w:pPr>
    </w:lvl>
    <w:lvl w:ilvl="3" w:tplc="0C09000F" w:tentative="1">
      <w:start w:val="1"/>
      <w:numFmt w:val="decimal"/>
      <w:lvlText w:val="%4."/>
      <w:lvlJc w:val="left"/>
      <w:pPr>
        <w:ind w:left="3368" w:hanging="360"/>
      </w:pPr>
    </w:lvl>
    <w:lvl w:ilvl="4" w:tplc="0C090019" w:tentative="1">
      <w:start w:val="1"/>
      <w:numFmt w:val="lowerLetter"/>
      <w:lvlText w:val="%5."/>
      <w:lvlJc w:val="left"/>
      <w:pPr>
        <w:ind w:left="4088" w:hanging="360"/>
      </w:pPr>
    </w:lvl>
    <w:lvl w:ilvl="5" w:tplc="0C09001B" w:tentative="1">
      <w:start w:val="1"/>
      <w:numFmt w:val="lowerRoman"/>
      <w:lvlText w:val="%6."/>
      <w:lvlJc w:val="right"/>
      <w:pPr>
        <w:ind w:left="4808" w:hanging="180"/>
      </w:pPr>
    </w:lvl>
    <w:lvl w:ilvl="6" w:tplc="0C09000F" w:tentative="1">
      <w:start w:val="1"/>
      <w:numFmt w:val="decimal"/>
      <w:lvlText w:val="%7."/>
      <w:lvlJc w:val="left"/>
      <w:pPr>
        <w:ind w:left="5528" w:hanging="360"/>
      </w:pPr>
    </w:lvl>
    <w:lvl w:ilvl="7" w:tplc="0C090019" w:tentative="1">
      <w:start w:val="1"/>
      <w:numFmt w:val="lowerLetter"/>
      <w:lvlText w:val="%8."/>
      <w:lvlJc w:val="left"/>
      <w:pPr>
        <w:ind w:left="6248" w:hanging="360"/>
      </w:pPr>
    </w:lvl>
    <w:lvl w:ilvl="8" w:tplc="0C09001B" w:tentative="1">
      <w:start w:val="1"/>
      <w:numFmt w:val="lowerRoman"/>
      <w:lvlText w:val="%9."/>
      <w:lvlJc w:val="right"/>
      <w:pPr>
        <w:ind w:left="6968" w:hanging="180"/>
      </w:pPr>
    </w:lvl>
  </w:abstractNum>
  <w:abstractNum w:abstractNumId="14" w15:restartNumberingAfterBreak="0">
    <w:nsid w:val="379B7255"/>
    <w:multiLevelType w:val="hybridMultilevel"/>
    <w:tmpl w:val="163EBC40"/>
    <w:lvl w:ilvl="0" w:tplc="B838ED6E">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B4C5BFD"/>
    <w:multiLevelType w:val="hybridMultilevel"/>
    <w:tmpl w:val="A55AF24C"/>
    <w:lvl w:ilvl="0" w:tplc="AFFE5322">
      <w:start w:val="1"/>
      <w:numFmt w:val="lowerLetter"/>
      <w:lvlText w:val="(%1)"/>
      <w:lvlJc w:val="left"/>
      <w:pPr>
        <w:ind w:left="1208" w:hanging="360"/>
      </w:pPr>
      <w:rPr>
        <w:rFonts w:hint="default"/>
        <w:color w:val="FF0000"/>
      </w:rPr>
    </w:lvl>
    <w:lvl w:ilvl="1" w:tplc="0C090019" w:tentative="1">
      <w:start w:val="1"/>
      <w:numFmt w:val="lowerLetter"/>
      <w:lvlText w:val="%2."/>
      <w:lvlJc w:val="left"/>
      <w:pPr>
        <w:ind w:left="1928" w:hanging="360"/>
      </w:pPr>
    </w:lvl>
    <w:lvl w:ilvl="2" w:tplc="0C09001B" w:tentative="1">
      <w:start w:val="1"/>
      <w:numFmt w:val="lowerRoman"/>
      <w:lvlText w:val="%3."/>
      <w:lvlJc w:val="right"/>
      <w:pPr>
        <w:ind w:left="2648" w:hanging="180"/>
      </w:pPr>
    </w:lvl>
    <w:lvl w:ilvl="3" w:tplc="0C09000F" w:tentative="1">
      <w:start w:val="1"/>
      <w:numFmt w:val="decimal"/>
      <w:lvlText w:val="%4."/>
      <w:lvlJc w:val="left"/>
      <w:pPr>
        <w:ind w:left="3368" w:hanging="360"/>
      </w:pPr>
    </w:lvl>
    <w:lvl w:ilvl="4" w:tplc="0C090019" w:tentative="1">
      <w:start w:val="1"/>
      <w:numFmt w:val="lowerLetter"/>
      <w:lvlText w:val="%5."/>
      <w:lvlJc w:val="left"/>
      <w:pPr>
        <w:ind w:left="4088" w:hanging="360"/>
      </w:pPr>
    </w:lvl>
    <w:lvl w:ilvl="5" w:tplc="0C09001B" w:tentative="1">
      <w:start w:val="1"/>
      <w:numFmt w:val="lowerRoman"/>
      <w:lvlText w:val="%6."/>
      <w:lvlJc w:val="right"/>
      <w:pPr>
        <w:ind w:left="4808" w:hanging="180"/>
      </w:pPr>
    </w:lvl>
    <w:lvl w:ilvl="6" w:tplc="0C09000F" w:tentative="1">
      <w:start w:val="1"/>
      <w:numFmt w:val="decimal"/>
      <w:lvlText w:val="%7."/>
      <w:lvlJc w:val="left"/>
      <w:pPr>
        <w:ind w:left="5528" w:hanging="360"/>
      </w:pPr>
    </w:lvl>
    <w:lvl w:ilvl="7" w:tplc="0C090019" w:tentative="1">
      <w:start w:val="1"/>
      <w:numFmt w:val="lowerLetter"/>
      <w:lvlText w:val="%8."/>
      <w:lvlJc w:val="left"/>
      <w:pPr>
        <w:ind w:left="6248" w:hanging="360"/>
      </w:pPr>
    </w:lvl>
    <w:lvl w:ilvl="8" w:tplc="0C09001B" w:tentative="1">
      <w:start w:val="1"/>
      <w:numFmt w:val="lowerRoman"/>
      <w:lvlText w:val="%9."/>
      <w:lvlJc w:val="right"/>
      <w:pPr>
        <w:ind w:left="6968" w:hanging="180"/>
      </w:pPr>
    </w:lvl>
  </w:abstractNum>
  <w:abstractNum w:abstractNumId="17" w15:restartNumberingAfterBreak="0">
    <w:nsid w:val="4DAF67E3"/>
    <w:multiLevelType w:val="multilevel"/>
    <w:tmpl w:val="8BCA39C2"/>
    <w:lvl w:ilvl="0">
      <w:start w:val="4"/>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572591"/>
    <w:multiLevelType w:val="hybridMultilevel"/>
    <w:tmpl w:val="882A188E"/>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0531DC"/>
    <w:multiLevelType w:val="hybridMultilevel"/>
    <w:tmpl w:val="A5261158"/>
    <w:lvl w:ilvl="0" w:tplc="1CA8A0E2">
      <w:start w:val="4"/>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7"/>
  </w:num>
  <w:num w:numId="15">
    <w:abstractNumId w:val="18"/>
  </w:num>
  <w:num w:numId="16">
    <w:abstractNumId w:val="19"/>
  </w:num>
  <w:num w:numId="17">
    <w:abstractNumId w:val="11"/>
  </w:num>
  <w:num w:numId="18">
    <w:abstractNumId w:val="16"/>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F05"/>
    <w:rsid w:val="00000263"/>
    <w:rsid w:val="000113BC"/>
    <w:rsid w:val="000136AF"/>
    <w:rsid w:val="0002473F"/>
    <w:rsid w:val="00024CF2"/>
    <w:rsid w:val="0004044E"/>
    <w:rsid w:val="0005120E"/>
    <w:rsid w:val="00054577"/>
    <w:rsid w:val="000614BF"/>
    <w:rsid w:val="0007169C"/>
    <w:rsid w:val="00077593"/>
    <w:rsid w:val="00083F48"/>
    <w:rsid w:val="000A479A"/>
    <w:rsid w:val="000A7DF9"/>
    <w:rsid w:val="000B7C76"/>
    <w:rsid w:val="000C1506"/>
    <w:rsid w:val="000D05EF"/>
    <w:rsid w:val="000D3FB9"/>
    <w:rsid w:val="000D5485"/>
    <w:rsid w:val="000E598E"/>
    <w:rsid w:val="000E5A3D"/>
    <w:rsid w:val="000F0ADA"/>
    <w:rsid w:val="000F141E"/>
    <w:rsid w:val="000F21C1"/>
    <w:rsid w:val="0010745C"/>
    <w:rsid w:val="001122FF"/>
    <w:rsid w:val="001207B7"/>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7A23"/>
    <w:rsid w:val="001E0A8D"/>
    <w:rsid w:val="001E3590"/>
    <w:rsid w:val="001E7407"/>
    <w:rsid w:val="001F1A46"/>
    <w:rsid w:val="00201D27"/>
    <w:rsid w:val="0021153A"/>
    <w:rsid w:val="002245A6"/>
    <w:rsid w:val="002302EA"/>
    <w:rsid w:val="00237614"/>
    <w:rsid w:val="00240749"/>
    <w:rsid w:val="002468D7"/>
    <w:rsid w:val="00247E97"/>
    <w:rsid w:val="00256C81"/>
    <w:rsid w:val="00263499"/>
    <w:rsid w:val="00285CDD"/>
    <w:rsid w:val="00291167"/>
    <w:rsid w:val="0029489E"/>
    <w:rsid w:val="00297ECB"/>
    <w:rsid w:val="002B5929"/>
    <w:rsid w:val="002C152A"/>
    <w:rsid w:val="002D043A"/>
    <w:rsid w:val="0030357C"/>
    <w:rsid w:val="0031713F"/>
    <w:rsid w:val="003222D1"/>
    <w:rsid w:val="0032750F"/>
    <w:rsid w:val="003415D3"/>
    <w:rsid w:val="003442F6"/>
    <w:rsid w:val="00346335"/>
    <w:rsid w:val="00352B0F"/>
    <w:rsid w:val="003561B0"/>
    <w:rsid w:val="00397893"/>
    <w:rsid w:val="003A15AC"/>
    <w:rsid w:val="003B0342"/>
    <w:rsid w:val="003B0627"/>
    <w:rsid w:val="003C5F2B"/>
    <w:rsid w:val="003C7D35"/>
    <w:rsid w:val="003D0BFE"/>
    <w:rsid w:val="003D5700"/>
    <w:rsid w:val="003F6F52"/>
    <w:rsid w:val="004022CA"/>
    <w:rsid w:val="004116CD"/>
    <w:rsid w:val="00414ADE"/>
    <w:rsid w:val="00421B91"/>
    <w:rsid w:val="00424CA9"/>
    <w:rsid w:val="004257BB"/>
    <w:rsid w:val="00433ECC"/>
    <w:rsid w:val="0044291A"/>
    <w:rsid w:val="004600B0"/>
    <w:rsid w:val="00460499"/>
    <w:rsid w:val="00460FBA"/>
    <w:rsid w:val="00474835"/>
    <w:rsid w:val="004819C7"/>
    <w:rsid w:val="0048364F"/>
    <w:rsid w:val="004877FC"/>
    <w:rsid w:val="00490F2E"/>
    <w:rsid w:val="00496F97"/>
    <w:rsid w:val="004A53EA"/>
    <w:rsid w:val="004B35E7"/>
    <w:rsid w:val="004E37EA"/>
    <w:rsid w:val="004F0B14"/>
    <w:rsid w:val="004F1FAC"/>
    <w:rsid w:val="004F676E"/>
    <w:rsid w:val="004F71C0"/>
    <w:rsid w:val="00516B8D"/>
    <w:rsid w:val="0052756C"/>
    <w:rsid w:val="00530230"/>
    <w:rsid w:val="00530CC9"/>
    <w:rsid w:val="00531788"/>
    <w:rsid w:val="00531B46"/>
    <w:rsid w:val="00534702"/>
    <w:rsid w:val="00537FBC"/>
    <w:rsid w:val="00541D73"/>
    <w:rsid w:val="00543469"/>
    <w:rsid w:val="00546FA3"/>
    <w:rsid w:val="00557C7A"/>
    <w:rsid w:val="00562A58"/>
    <w:rsid w:val="0056541A"/>
    <w:rsid w:val="00581211"/>
    <w:rsid w:val="00584811"/>
    <w:rsid w:val="00593AA6"/>
    <w:rsid w:val="00594161"/>
    <w:rsid w:val="00594749"/>
    <w:rsid w:val="00594956"/>
    <w:rsid w:val="00596AD9"/>
    <w:rsid w:val="005B1555"/>
    <w:rsid w:val="005B2DC9"/>
    <w:rsid w:val="005B3C51"/>
    <w:rsid w:val="005B4067"/>
    <w:rsid w:val="005C3F41"/>
    <w:rsid w:val="005C4EF0"/>
    <w:rsid w:val="005D5EA1"/>
    <w:rsid w:val="005E098C"/>
    <w:rsid w:val="005E1F8D"/>
    <w:rsid w:val="005E317F"/>
    <w:rsid w:val="005E61D3"/>
    <w:rsid w:val="005E764D"/>
    <w:rsid w:val="00600219"/>
    <w:rsid w:val="006065DA"/>
    <w:rsid w:val="00606AA4"/>
    <w:rsid w:val="00640402"/>
    <w:rsid w:val="00640F78"/>
    <w:rsid w:val="00655D6A"/>
    <w:rsid w:val="00656DE9"/>
    <w:rsid w:val="0066089E"/>
    <w:rsid w:val="00672876"/>
    <w:rsid w:val="00677CC2"/>
    <w:rsid w:val="006814B9"/>
    <w:rsid w:val="006854B8"/>
    <w:rsid w:val="00685F42"/>
    <w:rsid w:val="0069207B"/>
    <w:rsid w:val="006A304E"/>
    <w:rsid w:val="006B7006"/>
    <w:rsid w:val="006C7F8C"/>
    <w:rsid w:val="006D7AB9"/>
    <w:rsid w:val="006E7292"/>
    <w:rsid w:val="006F38D3"/>
    <w:rsid w:val="00700B2C"/>
    <w:rsid w:val="00713084"/>
    <w:rsid w:val="00717463"/>
    <w:rsid w:val="00720FC2"/>
    <w:rsid w:val="00722E89"/>
    <w:rsid w:val="00726979"/>
    <w:rsid w:val="00731E00"/>
    <w:rsid w:val="007339C7"/>
    <w:rsid w:val="007440B7"/>
    <w:rsid w:val="00747993"/>
    <w:rsid w:val="00747C38"/>
    <w:rsid w:val="007634AD"/>
    <w:rsid w:val="00765732"/>
    <w:rsid w:val="007715C9"/>
    <w:rsid w:val="00774EDD"/>
    <w:rsid w:val="007757EC"/>
    <w:rsid w:val="007A1C57"/>
    <w:rsid w:val="007A6863"/>
    <w:rsid w:val="007B62F9"/>
    <w:rsid w:val="007C78B4"/>
    <w:rsid w:val="007E32B6"/>
    <w:rsid w:val="007E486B"/>
    <w:rsid w:val="007E7D4A"/>
    <w:rsid w:val="007F15EC"/>
    <w:rsid w:val="007F48ED"/>
    <w:rsid w:val="007F4FB3"/>
    <w:rsid w:val="007F5E3F"/>
    <w:rsid w:val="00812F45"/>
    <w:rsid w:val="00836FE9"/>
    <w:rsid w:val="0084172C"/>
    <w:rsid w:val="008425BD"/>
    <w:rsid w:val="0085175E"/>
    <w:rsid w:val="00856A31"/>
    <w:rsid w:val="008754D0"/>
    <w:rsid w:val="00877C69"/>
    <w:rsid w:val="00877D48"/>
    <w:rsid w:val="0088345B"/>
    <w:rsid w:val="0089080C"/>
    <w:rsid w:val="008A16A5"/>
    <w:rsid w:val="008A3DB2"/>
    <w:rsid w:val="008A5C57"/>
    <w:rsid w:val="008A663D"/>
    <w:rsid w:val="008B6B2F"/>
    <w:rsid w:val="008C0629"/>
    <w:rsid w:val="008D0EE0"/>
    <w:rsid w:val="008D5227"/>
    <w:rsid w:val="008D7A27"/>
    <w:rsid w:val="008E4702"/>
    <w:rsid w:val="008E69AA"/>
    <w:rsid w:val="008F4F1C"/>
    <w:rsid w:val="009069AD"/>
    <w:rsid w:val="00910E64"/>
    <w:rsid w:val="00922764"/>
    <w:rsid w:val="009278C1"/>
    <w:rsid w:val="00932377"/>
    <w:rsid w:val="009346E3"/>
    <w:rsid w:val="009355AD"/>
    <w:rsid w:val="0094523D"/>
    <w:rsid w:val="00955D3C"/>
    <w:rsid w:val="00976A63"/>
    <w:rsid w:val="009B2490"/>
    <w:rsid w:val="009B37CE"/>
    <w:rsid w:val="009B50E5"/>
    <w:rsid w:val="009C3431"/>
    <w:rsid w:val="009C5989"/>
    <w:rsid w:val="009C6A32"/>
    <w:rsid w:val="009D08DA"/>
    <w:rsid w:val="009D5C79"/>
    <w:rsid w:val="00A06860"/>
    <w:rsid w:val="00A136F5"/>
    <w:rsid w:val="00A21937"/>
    <w:rsid w:val="00A231E2"/>
    <w:rsid w:val="00A2550D"/>
    <w:rsid w:val="00A37966"/>
    <w:rsid w:val="00A379BB"/>
    <w:rsid w:val="00A4169B"/>
    <w:rsid w:val="00A50D55"/>
    <w:rsid w:val="00A52FDA"/>
    <w:rsid w:val="00A64912"/>
    <w:rsid w:val="00A70A74"/>
    <w:rsid w:val="00A86232"/>
    <w:rsid w:val="00A9231A"/>
    <w:rsid w:val="00A95BC7"/>
    <w:rsid w:val="00AA0343"/>
    <w:rsid w:val="00AA78CE"/>
    <w:rsid w:val="00AA7B26"/>
    <w:rsid w:val="00AC2C51"/>
    <w:rsid w:val="00AC767C"/>
    <w:rsid w:val="00AD3467"/>
    <w:rsid w:val="00AD5641"/>
    <w:rsid w:val="00AF33DB"/>
    <w:rsid w:val="00AF5C54"/>
    <w:rsid w:val="00B032D8"/>
    <w:rsid w:val="00B05D72"/>
    <w:rsid w:val="00B20990"/>
    <w:rsid w:val="00B23FAF"/>
    <w:rsid w:val="00B33B3C"/>
    <w:rsid w:val="00B40D74"/>
    <w:rsid w:val="00B40F05"/>
    <w:rsid w:val="00B42649"/>
    <w:rsid w:val="00B46467"/>
    <w:rsid w:val="00B52663"/>
    <w:rsid w:val="00B53BB7"/>
    <w:rsid w:val="00B550FD"/>
    <w:rsid w:val="00B56DCB"/>
    <w:rsid w:val="00B61728"/>
    <w:rsid w:val="00B770D2"/>
    <w:rsid w:val="00B93516"/>
    <w:rsid w:val="00B96776"/>
    <w:rsid w:val="00B973E5"/>
    <w:rsid w:val="00BA47A3"/>
    <w:rsid w:val="00BA5026"/>
    <w:rsid w:val="00BA7B5B"/>
    <w:rsid w:val="00BB5C00"/>
    <w:rsid w:val="00BB6E79"/>
    <w:rsid w:val="00BE42C5"/>
    <w:rsid w:val="00BE719A"/>
    <w:rsid w:val="00BE720A"/>
    <w:rsid w:val="00BF0723"/>
    <w:rsid w:val="00BF6650"/>
    <w:rsid w:val="00C067E5"/>
    <w:rsid w:val="00C164CA"/>
    <w:rsid w:val="00C26051"/>
    <w:rsid w:val="00C34AB5"/>
    <w:rsid w:val="00C365DF"/>
    <w:rsid w:val="00C42BF8"/>
    <w:rsid w:val="00C460AE"/>
    <w:rsid w:val="00C50043"/>
    <w:rsid w:val="00C5015F"/>
    <w:rsid w:val="00C50A0F"/>
    <w:rsid w:val="00C50F4A"/>
    <w:rsid w:val="00C625C0"/>
    <w:rsid w:val="00C72D10"/>
    <w:rsid w:val="00C7573B"/>
    <w:rsid w:val="00C7687E"/>
    <w:rsid w:val="00C76CF3"/>
    <w:rsid w:val="00C93205"/>
    <w:rsid w:val="00C945DC"/>
    <w:rsid w:val="00CA619E"/>
    <w:rsid w:val="00CA7844"/>
    <w:rsid w:val="00CB1337"/>
    <w:rsid w:val="00CB58EF"/>
    <w:rsid w:val="00CE0A93"/>
    <w:rsid w:val="00CF0548"/>
    <w:rsid w:val="00CF0BB2"/>
    <w:rsid w:val="00D12B0D"/>
    <w:rsid w:val="00D13441"/>
    <w:rsid w:val="00D243A3"/>
    <w:rsid w:val="00D33440"/>
    <w:rsid w:val="00D52EFE"/>
    <w:rsid w:val="00D56A0D"/>
    <w:rsid w:val="00D63EF6"/>
    <w:rsid w:val="00D66518"/>
    <w:rsid w:val="00D70DFB"/>
    <w:rsid w:val="00D71EEA"/>
    <w:rsid w:val="00D735CD"/>
    <w:rsid w:val="00D75E53"/>
    <w:rsid w:val="00D766DF"/>
    <w:rsid w:val="00D87609"/>
    <w:rsid w:val="00D90841"/>
    <w:rsid w:val="00D96A69"/>
    <w:rsid w:val="00DA2439"/>
    <w:rsid w:val="00DA6F05"/>
    <w:rsid w:val="00DB64FC"/>
    <w:rsid w:val="00DE149E"/>
    <w:rsid w:val="00E02A1B"/>
    <w:rsid w:val="00E034DB"/>
    <w:rsid w:val="00E05704"/>
    <w:rsid w:val="00E12F1A"/>
    <w:rsid w:val="00E22935"/>
    <w:rsid w:val="00E367E1"/>
    <w:rsid w:val="00E41A05"/>
    <w:rsid w:val="00E54292"/>
    <w:rsid w:val="00E60191"/>
    <w:rsid w:val="00E66C87"/>
    <w:rsid w:val="00E74DC7"/>
    <w:rsid w:val="00E87699"/>
    <w:rsid w:val="00E92E27"/>
    <w:rsid w:val="00E9586B"/>
    <w:rsid w:val="00E97334"/>
    <w:rsid w:val="00EB3A99"/>
    <w:rsid w:val="00EB65F8"/>
    <w:rsid w:val="00ED2BF9"/>
    <w:rsid w:val="00ED4928"/>
    <w:rsid w:val="00EE3FFE"/>
    <w:rsid w:val="00EE57E8"/>
    <w:rsid w:val="00EE6190"/>
    <w:rsid w:val="00EF2E3A"/>
    <w:rsid w:val="00EF6402"/>
    <w:rsid w:val="00EF6B2E"/>
    <w:rsid w:val="00F047E2"/>
    <w:rsid w:val="00F04D57"/>
    <w:rsid w:val="00F078DC"/>
    <w:rsid w:val="00F13E86"/>
    <w:rsid w:val="00F20B52"/>
    <w:rsid w:val="00F32FCB"/>
    <w:rsid w:val="00F33523"/>
    <w:rsid w:val="00F42AEE"/>
    <w:rsid w:val="00F677A9"/>
    <w:rsid w:val="00F8121C"/>
    <w:rsid w:val="00F84CF5"/>
    <w:rsid w:val="00F8612E"/>
    <w:rsid w:val="00F94583"/>
    <w:rsid w:val="00FA420B"/>
    <w:rsid w:val="00FB1450"/>
    <w:rsid w:val="00FB6AEE"/>
    <w:rsid w:val="00FC3EAC"/>
    <w:rsid w:val="00FF39DE"/>
    <w:rsid w:val="00FF6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D09A85"/>
  <w15:docId w15:val="{B951A5E6-C7BF-46AD-BA53-6E05FB8C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FB1450"/>
    <w:pPr>
      <w:ind w:left="720"/>
      <w:contextualSpacing/>
    </w:pPr>
  </w:style>
  <w:style w:type="paragraph" w:styleId="Revision">
    <w:name w:val="Revision"/>
    <w:hidden/>
    <w:uiPriority w:val="99"/>
    <w:semiHidden/>
    <w:rsid w:val="00B53BB7"/>
    <w:rPr>
      <w:sz w:val="22"/>
    </w:rPr>
  </w:style>
  <w:style w:type="character" w:styleId="CommentReference">
    <w:name w:val="annotation reference"/>
    <w:basedOn w:val="DefaultParagraphFont"/>
    <w:uiPriority w:val="99"/>
    <w:semiHidden/>
    <w:unhideWhenUsed/>
    <w:rsid w:val="005B3C51"/>
    <w:rPr>
      <w:sz w:val="16"/>
      <w:szCs w:val="16"/>
    </w:rPr>
  </w:style>
  <w:style w:type="paragraph" w:styleId="CommentText">
    <w:name w:val="annotation text"/>
    <w:basedOn w:val="Normal"/>
    <w:link w:val="CommentTextChar"/>
    <w:uiPriority w:val="99"/>
    <w:unhideWhenUsed/>
    <w:rsid w:val="005B3C51"/>
    <w:pPr>
      <w:spacing w:line="240" w:lineRule="auto"/>
    </w:pPr>
    <w:rPr>
      <w:sz w:val="20"/>
    </w:rPr>
  </w:style>
  <w:style w:type="character" w:customStyle="1" w:styleId="CommentTextChar">
    <w:name w:val="Comment Text Char"/>
    <w:basedOn w:val="DefaultParagraphFont"/>
    <w:link w:val="CommentText"/>
    <w:uiPriority w:val="99"/>
    <w:rsid w:val="005B3C51"/>
  </w:style>
  <w:style w:type="paragraph" w:styleId="CommentSubject">
    <w:name w:val="annotation subject"/>
    <w:basedOn w:val="CommentText"/>
    <w:next w:val="CommentText"/>
    <w:link w:val="CommentSubjectChar"/>
    <w:uiPriority w:val="99"/>
    <w:semiHidden/>
    <w:unhideWhenUsed/>
    <w:rsid w:val="005B3C51"/>
    <w:rPr>
      <w:b/>
      <w:bCs/>
    </w:rPr>
  </w:style>
  <w:style w:type="character" w:customStyle="1" w:styleId="CommentSubjectChar">
    <w:name w:val="Comment Subject Char"/>
    <w:basedOn w:val="CommentTextChar"/>
    <w:link w:val="CommentSubject"/>
    <w:uiPriority w:val="99"/>
    <w:semiHidden/>
    <w:rsid w:val="005B3C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233509">
      <w:bodyDiv w:val="1"/>
      <w:marLeft w:val="0"/>
      <w:marRight w:val="0"/>
      <w:marTop w:val="0"/>
      <w:marBottom w:val="0"/>
      <w:divBdr>
        <w:top w:val="none" w:sz="0" w:space="0" w:color="auto"/>
        <w:left w:val="none" w:sz="0" w:space="0" w:color="auto"/>
        <w:bottom w:val="none" w:sz="0" w:space="0" w:color="auto"/>
        <w:right w:val="none" w:sz="0" w:space="0" w:color="auto"/>
      </w:divBdr>
    </w:div>
    <w:div w:id="12616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dixon\AppData\Local\Microsoft\Windows\INetCache\IE\KI7BA63H\Amending%20Instrument%20Template.dotx%20-%20AUSTRAC%20-%2090891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Amending Instrument Template.dotx - AUSTRAC - 9089118</Template>
  <TotalTime>776</TotalTime>
  <Pages>7</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Hugh Dixon</dc:creator>
  <cp:lastModifiedBy>Thomas Blissenden</cp:lastModifiedBy>
  <cp:revision>49</cp:revision>
  <dcterms:created xsi:type="dcterms:W3CDTF">2020-02-18T23:35:00Z</dcterms:created>
  <dcterms:modified xsi:type="dcterms:W3CDTF">2020-05-05T23:48:00Z</dcterms:modified>
</cp:coreProperties>
</file>