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CF157" w14:textId="77777777" w:rsidR="00F328DA" w:rsidRPr="00BC76EB" w:rsidRDefault="002533F0" w:rsidP="00126429">
      <w:pPr>
        <w:spacing w:before="0" w:after="120"/>
        <w:ind w:right="91"/>
        <w:jc w:val="center"/>
        <w:rPr>
          <w:rFonts w:ascii="Arial" w:hAnsi="Arial" w:cs="Arial"/>
          <w:b/>
          <w:szCs w:val="24"/>
          <w:u w:val="single"/>
        </w:rPr>
      </w:pPr>
      <w:bookmarkStart w:id="0" w:name="_GoBack"/>
      <w:bookmarkEnd w:id="0"/>
      <w:r w:rsidRPr="00BC76EB">
        <w:rPr>
          <w:rFonts w:ascii="Arial" w:hAnsi="Arial" w:cs="Arial"/>
          <w:b/>
          <w:szCs w:val="24"/>
          <w:u w:val="single"/>
        </w:rPr>
        <w:t>EXPLANATORY STATEMENT</w:t>
      </w:r>
      <w:r w:rsidR="00B54C30" w:rsidRPr="00BC76EB">
        <w:rPr>
          <w:rFonts w:ascii="Arial" w:hAnsi="Arial" w:cs="Arial"/>
          <w:b/>
          <w:szCs w:val="24"/>
          <w:u w:val="single"/>
        </w:rPr>
        <w:t xml:space="preserve"> </w:t>
      </w:r>
    </w:p>
    <w:p w14:paraId="67C363EE" w14:textId="77777777" w:rsidR="00EE2BCB" w:rsidRDefault="00EE2BCB" w:rsidP="002533F0">
      <w:pPr>
        <w:spacing w:before="0"/>
        <w:ind w:right="91"/>
        <w:jc w:val="center"/>
        <w:rPr>
          <w:rFonts w:ascii="Arial" w:hAnsi="Arial" w:cs="Arial"/>
          <w:color w:val="0070C0"/>
          <w:szCs w:val="24"/>
        </w:rPr>
      </w:pPr>
    </w:p>
    <w:p w14:paraId="4DDD8CAF" w14:textId="6CBE42E9" w:rsidR="00966756" w:rsidRDefault="00CD5B32" w:rsidP="00EE2BCB">
      <w:pPr>
        <w:spacing w:before="0"/>
        <w:ind w:right="91"/>
        <w:jc w:val="center"/>
        <w:rPr>
          <w:rFonts w:ascii="Arial" w:hAnsi="Arial" w:cs="Arial"/>
          <w:i/>
          <w:szCs w:val="24"/>
        </w:rPr>
      </w:pPr>
      <w:r>
        <w:rPr>
          <w:rFonts w:ascii="Arial" w:hAnsi="Arial" w:cs="Arial"/>
          <w:i/>
          <w:szCs w:val="24"/>
        </w:rPr>
        <w:t>Coronavirus Economic Response Package Omnibus Act 2020</w:t>
      </w:r>
    </w:p>
    <w:p w14:paraId="5A19DB68" w14:textId="77777777" w:rsidR="00CF36B7" w:rsidRDefault="00CF36B7" w:rsidP="00EE2BCB">
      <w:pPr>
        <w:spacing w:before="0"/>
        <w:ind w:right="91"/>
        <w:jc w:val="center"/>
        <w:rPr>
          <w:rFonts w:ascii="Arial" w:hAnsi="Arial" w:cs="Arial"/>
          <w:i/>
          <w:szCs w:val="24"/>
        </w:rPr>
      </w:pPr>
    </w:p>
    <w:p w14:paraId="476AECA4" w14:textId="3CD88687" w:rsidR="002533F0" w:rsidRPr="00BC76EB" w:rsidRDefault="00CD5B32" w:rsidP="002533F0">
      <w:pPr>
        <w:spacing w:before="0"/>
        <w:ind w:right="91"/>
        <w:jc w:val="center"/>
        <w:rPr>
          <w:rFonts w:ascii="Arial" w:hAnsi="Arial" w:cs="Arial"/>
          <w:i/>
          <w:szCs w:val="24"/>
        </w:rPr>
      </w:pPr>
      <w:r>
        <w:rPr>
          <w:rFonts w:ascii="Arial" w:hAnsi="Arial" w:cs="Arial"/>
          <w:i/>
          <w:szCs w:val="24"/>
        </w:rPr>
        <w:t>Coronavirus Economic Response</w:t>
      </w:r>
      <w:r w:rsidR="00D674D4">
        <w:rPr>
          <w:rFonts w:ascii="Arial" w:hAnsi="Arial" w:cs="Arial"/>
          <w:i/>
          <w:szCs w:val="24"/>
        </w:rPr>
        <w:t xml:space="preserve"> Package (Deferral of Sunsetting</w:t>
      </w:r>
      <w:r>
        <w:rPr>
          <w:rFonts w:ascii="Arial" w:hAnsi="Arial" w:cs="Arial"/>
          <w:i/>
          <w:szCs w:val="24"/>
        </w:rPr>
        <w:t xml:space="preserve"> – </w:t>
      </w:r>
      <w:r w:rsidR="00D674D4">
        <w:rPr>
          <w:rFonts w:ascii="Arial" w:hAnsi="Arial" w:cs="Arial"/>
          <w:i/>
          <w:szCs w:val="24"/>
        </w:rPr>
        <w:t>Income Management and Cashless Welfare Arrangements</w:t>
      </w:r>
      <w:r w:rsidR="004A0B8C">
        <w:rPr>
          <w:rFonts w:ascii="Arial" w:hAnsi="Arial" w:cs="Arial"/>
          <w:i/>
          <w:szCs w:val="24"/>
        </w:rPr>
        <w:t xml:space="preserve">) </w:t>
      </w:r>
      <w:r>
        <w:rPr>
          <w:rFonts w:ascii="Arial" w:hAnsi="Arial" w:cs="Arial"/>
          <w:i/>
          <w:szCs w:val="24"/>
        </w:rPr>
        <w:t>Determination</w:t>
      </w:r>
      <w:r w:rsidR="00680D0B">
        <w:rPr>
          <w:rFonts w:ascii="Arial" w:hAnsi="Arial" w:cs="Arial"/>
          <w:i/>
          <w:szCs w:val="24"/>
        </w:rPr>
        <w:t> </w:t>
      </w:r>
      <w:r w:rsidR="00C706AF" w:rsidRPr="009F5A04">
        <w:rPr>
          <w:rFonts w:ascii="Arial" w:hAnsi="Arial" w:cs="Arial"/>
          <w:i/>
          <w:szCs w:val="24"/>
        </w:rPr>
        <w:t>20</w:t>
      </w:r>
      <w:r w:rsidR="00C706AF">
        <w:rPr>
          <w:rFonts w:ascii="Arial" w:hAnsi="Arial" w:cs="Arial"/>
          <w:i/>
          <w:szCs w:val="24"/>
        </w:rPr>
        <w:t>20</w:t>
      </w:r>
    </w:p>
    <w:p w14:paraId="6C052BF6" w14:textId="77777777" w:rsidR="00DE6F22" w:rsidRDefault="00DE6F22" w:rsidP="004F66BA">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Purpose</w:t>
      </w:r>
    </w:p>
    <w:p w14:paraId="18A5212C" w14:textId="1A1FE20D" w:rsidR="009F5A04" w:rsidRDefault="00962D6F" w:rsidP="004F66BA">
      <w:pPr>
        <w:jc w:val="both"/>
        <w:rPr>
          <w:rStyle w:val="BookTitle"/>
          <w:rFonts w:ascii="Arial" w:hAnsi="Arial" w:cs="Arial"/>
          <w:i w:val="0"/>
          <w:iCs w:val="0"/>
          <w:smallCaps w:val="0"/>
          <w:spacing w:val="0"/>
        </w:rPr>
      </w:pPr>
      <w:r>
        <w:rPr>
          <w:rStyle w:val="BookTitle"/>
          <w:rFonts w:ascii="Arial" w:hAnsi="Arial" w:cs="Arial"/>
          <w:i w:val="0"/>
          <w:iCs w:val="0"/>
          <w:smallCaps w:val="0"/>
          <w:spacing w:val="0"/>
        </w:rPr>
        <w:t xml:space="preserve">The purpose of the </w:t>
      </w:r>
      <w:r>
        <w:rPr>
          <w:rFonts w:ascii="Arial" w:hAnsi="Arial" w:cs="Arial"/>
          <w:i/>
          <w:szCs w:val="24"/>
        </w:rPr>
        <w:t>Coronavirus Economic Response Package (Deferral of Sunsetting</w:t>
      </w:r>
      <w:r w:rsidR="006353E3">
        <w:rPr>
          <w:rFonts w:ascii="Arial" w:hAnsi="Arial" w:cs="Arial"/>
          <w:i/>
          <w:szCs w:val="24"/>
        </w:rPr>
        <w:t> – </w:t>
      </w:r>
      <w:r>
        <w:rPr>
          <w:rFonts w:ascii="Arial" w:hAnsi="Arial" w:cs="Arial"/>
          <w:i/>
          <w:szCs w:val="24"/>
        </w:rPr>
        <w:t>Income Management and Cashless Welfare Arrangements) Determination</w:t>
      </w:r>
      <w:r w:rsidRPr="00433368">
        <w:rPr>
          <w:rFonts w:ascii="Arial" w:hAnsi="Arial" w:cs="Arial"/>
          <w:i/>
          <w:szCs w:val="24"/>
        </w:rPr>
        <w:t xml:space="preserve"> 20</w:t>
      </w:r>
      <w:r>
        <w:rPr>
          <w:rFonts w:ascii="Arial" w:hAnsi="Arial" w:cs="Arial"/>
          <w:i/>
          <w:szCs w:val="24"/>
        </w:rPr>
        <w:t>20</w:t>
      </w:r>
      <w:r w:rsidRPr="00433368">
        <w:rPr>
          <w:rFonts w:ascii="Arial" w:hAnsi="Arial" w:cs="Arial"/>
          <w:i/>
          <w:szCs w:val="24"/>
        </w:rPr>
        <w:t xml:space="preserve"> </w:t>
      </w:r>
      <w:r>
        <w:rPr>
          <w:rFonts w:ascii="Arial" w:hAnsi="Arial" w:cs="Arial"/>
          <w:szCs w:val="24"/>
        </w:rPr>
        <w:t>(this</w:t>
      </w:r>
      <w:r w:rsidRPr="00433368">
        <w:rPr>
          <w:rFonts w:ascii="Arial" w:hAnsi="Arial" w:cs="Arial"/>
          <w:szCs w:val="24"/>
        </w:rPr>
        <w:t xml:space="preserve"> instrument)</w:t>
      </w:r>
      <w:r>
        <w:rPr>
          <w:rFonts w:ascii="Arial" w:hAnsi="Arial" w:cs="Arial"/>
          <w:szCs w:val="24"/>
        </w:rPr>
        <w:t xml:space="preserve"> is t</w:t>
      </w:r>
      <w:r w:rsidR="00D24065">
        <w:rPr>
          <w:rFonts w:ascii="Arial" w:hAnsi="Arial" w:cs="Arial"/>
          <w:szCs w:val="24"/>
        </w:rPr>
        <w:t>o</w:t>
      </w:r>
      <w:r>
        <w:rPr>
          <w:rFonts w:ascii="Arial" w:hAnsi="Arial" w:cs="Arial"/>
          <w:szCs w:val="24"/>
        </w:rPr>
        <w:t xml:space="preserve"> extend the end date </w:t>
      </w:r>
      <w:r w:rsidR="00D24065">
        <w:rPr>
          <w:rFonts w:ascii="Arial" w:hAnsi="Arial" w:cs="Arial"/>
          <w:szCs w:val="24"/>
        </w:rPr>
        <w:t>for</w:t>
      </w:r>
      <w:r>
        <w:rPr>
          <w:rFonts w:ascii="Arial" w:hAnsi="Arial" w:cs="Arial"/>
          <w:szCs w:val="24"/>
        </w:rPr>
        <w:t xml:space="preserve"> </w:t>
      </w:r>
      <w:r w:rsidR="00487A59">
        <w:rPr>
          <w:rFonts w:ascii="Arial" w:hAnsi="Arial" w:cs="Arial"/>
          <w:szCs w:val="24"/>
        </w:rPr>
        <w:t xml:space="preserve">the Cashless Debit Card trial in all existing sites and </w:t>
      </w:r>
      <w:r w:rsidR="00D24065">
        <w:rPr>
          <w:rFonts w:ascii="Arial" w:hAnsi="Arial" w:cs="Arial"/>
          <w:szCs w:val="24"/>
        </w:rPr>
        <w:t>I</w:t>
      </w:r>
      <w:r>
        <w:rPr>
          <w:rFonts w:ascii="Arial" w:hAnsi="Arial" w:cs="Arial"/>
          <w:szCs w:val="24"/>
        </w:rPr>
        <w:t xml:space="preserve">ncome </w:t>
      </w:r>
      <w:r w:rsidR="00D24065">
        <w:rPr>
          <w:rFonts w:ascii="Arial" w:hAnsi="Arial" w:cs="Arial"/>
          <w:szCs w:val="24"/>
        </w:rPr>
        <w:t>M</w:t>
      </w:r>
      <w:r>
        <w:rPr>
          <w:rFonts w:ascii="Arial" w:hAnsi="Arial" w:cs="Arial"/>
          <w:szCs w:val="24"/>
        </w:rPr>
        <w:t>anagement in</w:t>
      </w:r>
      <w:r w:rsidR="00D24065">
        <w:rPr>
          <w:rFonts w:ascii="Arial" w:hAnsi="Arial" w:cs="Arial"/>
          <w:szCs w:val="24"/>
        </w:rPr>
        <w:t xml:space="preserve"> the</w:t>
      </w:r>
      <w:r>
        <w:rPr>
          <w:rFonts w:ascii="Arial" w:hAnsi="Arial" w:cs="Arial"/>
          <w:szCs w:val="24"/>
        </w:rPr>
        <w:t xml:space="preserve"> Cape York</w:t>
      </w:r>
      <w:r w:rsidR="00D24065">
        <w:rPr>
          <w:rFonts w:ascii="Arial" w:hAnsi="Arial" w:cs="Arial"/>
          <w:szCs w:val="24"/>
        </w:rPr>
        <w:t xml:space="preserve"> region</w:t>
      </w:r>
      <w:r>
        <w:rPr>
          <w:rFonts w:ascii="Arial" w:hAnsi="Arial" w:cs="Arial"/>
          <w:szCs w:val="24"/>
        </w:rPr>
        <w:t xml:space="preserve"> </w:t>
      </w:r>
      <w:r w:rsidR="00D24065">
        <w:rPr>
          <w:rFonts w:ascii="Arial" w:hAnsi="Arial" w:cs="Arial"/>
          <w:szCs w:val="24"/>
        </w:rPr>
        <w:t xml:space="preserve">from 30 June 2020 </w:t>
      </w:r>
      <w:r w:rsidR="007A2A56">
        <w:rPr>
          <w:rFonts w:ascii="Arial" w:hAnsi="Arial" w:cs="Arial"/>
          <w:szCs w:val="24"/>
        </w:rPr>
        <w:t>to 31 December 2020</w:t>
      </w:r>
      <w:r>
        <w:rPr>
          <w:rFonts w:ascii="Arial" w:hAnsi="Arial" w:cs="Arial"/>
          <w:szCs w:val="24"/>
        </w:rPr>
        <w:t xml:space="preserve">. </w:t>
      </w:r>
    </w:p>
    <w:p w14:paraId="11F64996" w14:textId="77777777" w:rsidR="0015134A" w:rsidRPr="00BC76EB" w:rsidRDefault="0015134A" w:rsidP="004F66BA">
      <w:pPr>
        <w:jc w:val="both"/>
        <w:rPr>
          <w:rStyle w:val="BookTitle"/>
          <w:rFonts w:ascii="Arial" w:hAnsi="Arial" w:cs="Arial"/>
          <w:b/>
          <w:i w:val="0"/>
          <w:iCs w:val="0"/>
          <w:smallCaps w:val="0"/>
          <w:spacing w:val="0"/>
          <w:szCs w:val="24"/>
        </w:rPr>
      </w:pPr>
      <w:r w:rsidRPr="005C0271">
        <w:rPr>
          <w:rStyle w:val="BookTitle"/>
          <w:rFonts w:ascii="Arial" w:hAnsi="Arial" w:cs="Arial"/>
          <w:b/>
          <w:i w:val="0"/>
          <w:iCs w:val="0"/>
          <w:smallCaps w:val="0"/>
          <w:spacing w:val="0"/>
          <w:szCs w:val="24"/>
        </w:rPr>
        <w:t>Background</w:t>
      </w:r>
    </w:p>
    <w:p w14:paraId="0F8183E6" w14:textId="4E5E82DD" w:rsidR="00196197" w:rsidRPr="00AD5460" w:rsidRDefault="00196197" w:rsidP="00196197">
      <w:pPr>
        <w:spacing w:after="120"/>
        <w:jc w:val="both"/>
        <w:rPr>
          <w:rFonts w:ascii="Arial" w:hAnsi="Arial" w:cs="Arial"/>
          <w:szCs w:val="24"/>
        </w:rPr>
      </w:pPr>
      <w:r w:rsidRPr="00AD5460">
        <w:rPr>
          <w:rFonts w:ascii="Arial" w:hAnsi="Arial" w:cs="Arial"/>
          <w:szCs w:val="24"/>
        </w:rPr>
        <w:t xml:space="preserve">As part of the 2019-20 Budget, the Australian Government announced the transition of Income Management participants to the Cashless Debit Card in the Cape York region in Queensland in 2020 and the extension of existing Cashless Debit Card sites for a further year to 30 June 2021.  </w:t>
      </w:r>
    </w:p>
    <w:p w14:paraId="03D5CBD0" w14:textId="00FAFA5B" w:rsidR="00196197" w:rsidRPr="00AD5460" w:rsidRDefault="00196197" w:rsidP="00196197">
      <w:pPr>
        <w:spacing w:after="120"/>
        <w:jc w:val="both"/>
        <w:rPr>
          <w:rFonts w:ascii="Arial" w:hAnsi="Arial" w:cs="Arial"/>
          <w:szCs w:val="24"/>
        </w:rPr>
      </w:pPr>
      <w:r w:rsidRPr="00AD5460">
        <w:rPr>
          <w:rFonts w:ascii="Arial" w:hAnsi="Arial" w:cs="Arial"/>
          <w:szCs w:val="24"/>
        </w:rPr>
        <w:t>The Social Security (Administration) Amendment (Income Management to Cashless Debit Card) Bill 2019 which implements these budget measures has not yet passed. Due to the revision of parliamentary sittings in response to the COVID-19 pandemic, th</w:t>
      </w:r>
      <w:r w:rsidR="00A9472E">
        <w:rPr>
          <w:rFonts w:ascii="Arial" w:hAnsi="Arial" w:cs="Arial"/>
          <w:szCs w:val="24"/>
        </w:rPr>
        <w:t>is</w:t>
      </w:r>
      <w:r w:rsidRPr="00AD5460">
        <w:rPr>
          <w:rFonts w:ascii="Arial" w:hAnsi="Arial" w:cs="Arial"/>
          <w:szCs w:val="24"/>
        </w:rPr>
        <w:t xml:space="preserve"> Bill </w:t>
      </w:r>
      <w:r w:rsidR="00A9472E">
        <w:rPr>
          <w:rFonts w:ascii="Arial" w:hAnsi="Arial" w:cs="Arial"/>
          <w:szCs w:val="24"/>
        </w:rPr>
        <w:t xml:space="preserve">will not  </w:t>
      </w:r>
      <w:r w:rsidRPr="00AD5460">
        <w:rPr>
          <w:rFonts w:ascii="Arial" w:hAnsi="Arial" w:cs="Arial"/>
          <w:szCs w:val="24"/>
        </w:rPr>
        <w:t>pass before the current expiry of CDC in all existing sites and Income Management in the Cape York region on 30 June 2020.</w:t>
      </w:r>
    </w:p>
    <w:p w14:paraId="391B745E" w14:textId="32F3484E" w:rsidR="00196197" w:rsidRDefault="00196197" w:rsidP="00196197">
      <w:pPr>
        <w:spacing w:after="120"/>
        <w:jc w:val="both"/>
        <w:rPr>
          <w:rFonts w:ascii="Arial" w:hAnsi="Arial" w:cs="Arial"/>
          <w:szCs w:val="24"/>
        </w:rPr>
      </w:pPr>
      <w:r w:rsidRPr="00AD5460">
        <w:rPr>
          <w:rFonts w:ascii="Arial" w:hAnsi="Arial" w:cs="Arial"/>
          <w:szCs w:val="24"/>
        </w:rPr>
        <w:t xml:space="preserve">This instrument provides certainty to stakeholders and participants and ensures the continuation of the operation of the Cashless Debit Card trial in existing sites and Income Management in the Cape York region until 31 December 2020.  By extending the end date by six months, this instrument </w:t>
      </w:r>
      <w:r w:rsidR="00A9472E">
        <w:rPr>
          <w:rFonts w:ascii="Arial" w:hAnsi="Arial" w:cs="Arial"/>
          <w:szCs w:val="24"/>
        </w:rPr>
        <w:t xml:space="preserve">ensures support for participants does not cease and </w:t>
      </w:r>
      <w:r w:rsidRPr="00AD5460">
        <w:rPr>
          <w:rFonts w:ascii="Arial" w:hAnsi="Arial" w:cs="Arial"/>
          <w:szCs w:val="24"/>
        </w:rPr>
        <w:t>avoids circumstances where a participant ceases to be on the CDC or</w:t>
      </w:r>
      <w:r w:rsidR="00EC3576">
        <w:rPr>
          <w:rFonts w:ascii="Arial" w:hAnsi="Arial" w:cs="Arial"/>
          <w:szCs w:val="24"/>
        </w:rPr>
        <w:t> </w:t>
      </w:r>
      <w:r w:rsidRPr="00AD5460">
        <w:rPr>
          <w:rFonts w:ascii="Arial" w:hAnsi="Arial" w:cs="Arial"/>
          <w:szCs w:val="24"/>
        </w:rPr>
        <w:t xml:space="preserve">Income Management for </w:t>
      </w:r>
      <w:r w:rsidR="002F1164" w:rsidRPr="00AD5460">
        <w:rPr>
          <w:rFonts w:ascii="Arial" w:hAnsi="Arial" w:cs="Arial"/>
          <w:szCs w:val="24"/>
        </w:rPr>
        <w:t>a brief period</w:t>
      </w:r>
      <w:r w:rsidRPr="00AD5460">
        <w:rPr>
          <w:rFonts w:ascii="Arial" w:hAnsi="Arial" w:cs="Arial"/>
          <w:szCs w:val="24"/>
        </w:rPr>
        <w:t xml:space="preserve"> of time, whil</w:t>
      </w:r>
      <w:r w:rsidR="00EC3576">
        <w:rPr>
          <w:rFonts w:ascii="Arial" w:hAnsi="Arial" w:cs="Arial"/>
          <w:szCs w:val="24"/>
        </w:rPr>
        <w:t>e awaiting the consideration of </w:t>
      </w:r>
      <w:r w:rsidRPr="00AD5460">
        <w:rPr>
          <w:rFonts w:ascii="Arial" w:hAnsi="Arial" w:cs="Arial"/>
          <w:szCs w:val="24"/>
        </w:rPr>
        <w:t xml:space="preserve">primary legislation.  </w:t>
      </w:r>
      <w:r w:rsidR="00A9472E">
        <w:rPr>
          <w:rFonts w:ascii="Arial" w:hAnsi="Arial" w:cs="Arial"/>
          <w:szCs w:val="24"/>
        </w:rPr>
        <w:t>It</w:t>
      </w:r>
      <w:r w:rsidR="00A9472E" w:rsidRPr="00AD5460">
        <w:rPr>
          <w:rFonts w:ascii="Arial" w:hAnsi="Arial" w:cs="Arial"/>
          <w:szCs w:val="24"/>
        </w:rPr>
        <w:t xml:space="preserve"> </w:t>
      </w:r>
      <w:r w:rsidRPr="00AD5460">
        <w:rPr>
          <w:rFonts w:ascii="Arial" w:hAnsi="Arial" w:cs="Arial"/>
          <w:szCs w:val="24"/>
        </w:rPr>
        <w:t>ensures participants can continue to access the benefits offered by the CDC and Income Management</w:t>
      </w:r>
      <w:r w:rsidR="00A9472E">
        <w:rPr>
          <w:rFonts w:ascii="Arial" w:hAnsi="Arial" w:cs="Arial"/>
          <w:szCs w:val="24"/>
        </w:rPr>
        <w:t xml:space="preserve"> and do not need to change the way they receive income support payments during the COVID-19 pandemic</w:t>
      </w:r>
      <w:r w:rsidRPr="00AD5460">
        <w:rPr>
          <w:rFonts w:ascii="Arial" w:hAnsi="Arial" w:cs="Arial"/>
          <w:szCs w:val="24"/>
        </w:rPr>
        <w:t>.</w:t>
      </w:r>
      <w:r>
        <w:rPr>
          <w:rFonts w:ascii="Arial" w:hAnsi="Arial" w:cs="Arial"/>
          <w:szCs w:val="24"/>
        </w:rPr>
        <w:t xml:space="preserve"> </w:t>
      </w:r>
    </w:p>
    <w:p w14:paraId="64933835" w14:textId="2EE2426F" w:rsidR="00962D6F" w:rsidRDefault="00962D6F" w:rsidP="00196197">
      <w:pPr>
        <w:spacing w:after="120"/>
        <w:jc w:val="both"/>
        <w:rPr>
          <w:rFonts w:ascii="Arial" w:hAnsi="Arial" w:cs="Arial"/>
          <w:szCs w:val="24"/>
        </w:rPr>
      </w:pPr>
      <w:r>
        <w:rPr>
          <w:rFonts w:ascii="Arial" w:hAnsi="Arial" w:cs="Arial"/>
          <w:szCs w:val="24"/>
        </w:rPr>
        <w:t xml:space="preserve">The </w:t>
      </w:r>
      <w:r w:rsidRPr="00433368">
        <w:rPr>
          <w:rFonts w:ascii="Arial" w:hAnsi="Arial" w:cs="Arial"/>
          <w:szCs w:val="24"/>
        </w:rPr>
        <w:t xml:space="preserve">instrument </w:t>
      </w:r>
      <w:r w:rsidRPr="000C6949">
        <w:rPr>
          <w:rFonts w:ascii="Arial" w:hAnsi="Arial" w:cs="Arial"/>
          <w:szCs w:val="24"/>
        </w:rPr>
        <w:t xml:space="preserve">is made under </w:t>
      </w:r>
      <w:r>
        <w:rPr>
          <w:rFonts w:ascii="Arial" w:hAnsi="Arial" w:cs="Arial"/>
          <w:szCs w:val="24"/>
        </w:rPr>
        <w:t xml:space="preserve">subitem 1(2) of Schedule 16 to the </w:t>
      </w:r>
      <w:r>
        <w:rPr>
          <w:rFonts w:ascii="Arial" w:hAnsi="Arial" w:cs="Arial"/>
          <w:i/>
          <w:szCs w:val="24"/>
        </w:rPr>
        <w:t xml:space="preserve">Coronavirus Economic Response Package Omnibus Act 2020 </w:t>
      </w:r>
      <w:r>
        <w:rPr>
          <w:rFonts w:ascii="Arial" w:hAnsi="Arial" w:cs="Arial"/>
          <w:szCs w:val="24"/>
        </w:rPr>
        <w:t xml:space="preserve">(the </w:t>
      </w:r>
      <w:r>
        <w:rPr>
          <w:rFonts w:ascii="Arial" w:hAnsi="Arial" w:cs="Arial"/>
          <w:b/>
          <w:szCs w:val="24"/>
        </w:rPr>
        <w:t>Act</w:t>
      </w:r>
      <w:r>
        <w:rPr>
          <w:rFonts w:ascii="Arial" w:hAnsi="Arial" w:cs="Arial"/>
          <w:szCs w:val="24"/>
        </w:rPr>
        <w:t xml:space="preserve">). </w:t>
      </w:r>
    </w:p>
    <w:p w14:paraId="7EE0317A" w14:textId="4CF65752" w:rsidR="00962D6F" w:rsidRDefault="00962D6F" w:rsidP="00962D6F">
      <w:pPr>
        <w:spacing w:after="120"/>
        <w:jc w:val="both"/>
        <w:rPr>
          <w:rFonts w:ascii="Arial" w:hAnsi="Arial" w:cs="Arial"/>
          <w:szCs w:val="24"/>
        </w:rPr>
      </w:pPr>
      <w:r>
        <w:rPr>
          <w:rFonts w:ascii="Arial" w:hAnsi="Arial" w:cs="Arial"/>
          <w:szCs w:val="24"/>
        </w:rPr>
        <w:t>Subitem 1(1) of Schedule 16 to the Act provides that the relevant Minister for an Act or legislative instrument that is scheduled to cease to have operation on or before 15 October 2020 may determine a new day on which</w:t>
      </w:r>
      <w:r w:rsidR="00EC3576">
        <w:rPr>
          <w:rFonts w:ascii="Arial" w:hAnsi="Arial" w:cs="Arial"/>
          <w:szCs w:val="24"/>
        </w:rPr>
        <w:t xml:space="preserve"> the legislation would cease to </w:t>
      </w:r>
      <w:r>
        <w:rPr>
          <w:rFonts w:ascii="Arial" w:hAnsi="Arial" w:cs="Arial"/>
          <w:szCs w:val="24"/>
        </w:rPr>
        <w:t xml:space="preserve">have operation.  Under subitem 1(2), the new day on which the Act or legislative instrument would cease to have operation must be no longer than six months after the original sunset day.  </w:t>
      </w:r>
      <w:r w:rsidR="00D24065">
        <w:rPr>
          <w:rFonts w:ascii="Arial" w:hAnsi="Arial" w:cs="Arial"/>
          <w:szCs w:val="24"/>
        </w:rPr>
        <w:t>The power to extend the operation for an Act under Schedule 16</w:t>
      </w:r>
      <w:r w:rsidR="00D24065" w:rsidRPr="00D24065">
        <w:rPr>
          <w:rFonts w:ascii="Arial" w:hAnsi="Arial" w:cs="Arial"/>
          <w:szCs w:val="24"/>
        </w:rPr>
        <w:t xml:space="preserve"> captur</w:t>
      </w:r>
      <w:r w:rsidR="00D24065">
        <w:rPr>
          <w:rFonts w:ascii="Arial" w:hAnsi="Arial" w:cs="Arial"/>
          <w:szCs w:val="24"/>
        </w:rPr>
        <w:t xml:space="preserve">es </w:t>
      </w:r>
      <w:r w:rsidR="00CD3626">
        <w:rPr>
          <w:rFonts w:ascii="Arial" w:hAnsi="Arial" w:cs="Arial"/>
          <w:szCs w:val="24"/>
        </w:rPr>
        <w:t xml:space="preserve">any </w:t>
      </w:r>
      <w:r w:rsidR="00D24065">
        <w:rPr>
          <w:rFonts w:ascii="Arial" w:hAnsi="Arial" w:cs="Arial"/>
          <w:szCs w:val="24"/>
        </w:rPr>
        <w:t>legislative provisions</w:t>
      </w:r>
      <w:r w:rsidR="001D08E0">
        <w:rPr>
          <w:rFonts w:ascii="Arial" w:hAnsi="Arial" w:cs="Arial"/>
          <w:szCs w:val="24"/>
        </w:rPr>
        <w:t xml:space="preserve"> within an</w:t>
      </w:r>
      <w:r w:rsidR="00D24065">
        <w:rPr>
          <w:rFonts w:ascii="Arial" w:hAnsi="Arial" w:cs="Arial"/>
          <w:szCs w:val="24"/>
        </w:rPr>
        <w:t xml:space="preserve"> </w:t>
      </w:r>
      <w:r w:rsidR="00CF6FA8">
        <w:rPr>
          <w:rFonts w:ascii="Arial" w:hAnsi="Arial" w:cs="Arial"/>
          <w:szCs w:val="24"/>
        </w:rPr>
        <w:t xml:space="preserve">Act </w:t>
      </w:r>
      <w:r w:rsidR="00D24065">
        <w:rPr>
          <w:rFonts w:ascii="Arial" w:hAnsi="Arial" w:cs="Arial"/>
          <w:szCs w:val="24"/>
        </w:rPr>
        <w:t xml:space="preserve">that </w:t>
      </w:r>
      <w:r w:rsidR="00EC3576">
        <w:rPr>
          <w:rFonts w:ascii="Arial" w:hAnsi="Arial" w:cs="Arial"/>
          <w:szCs w:val="24"/>
        </w:rPr>
        <w:t>cease to have effect beyond a </w:t>
      </w:r>
      <w:r w:rsidR="00D24065" w:rsidRPr="00D24065">
        <w:rPr>
          <w:rFonts w:ascii="Arial" w:hAnsi="Arial" w:cs="Arial"/>
          <w:szCs w:val="24"/>
        </w:rPr>
        <w:t>given d</w:t>
      </w:r>
      <w:r w:rsidR="00CD3626">
        <w:rPr>
          <w:rFonts w:ascii="Arial" w:hAnsi="Arial" w:cs="Arial"/>
          <w:szCs w:val="24"/>
        </w:rPr>
        <w:t>ate.</w:t>
      </w:r>
    </w:p>
    <w:p w14:paraId="4FE6910B" w14:textId="267A5BE5" w:rsidR="007A23FF" w:rsidRDefault="007A23FF" w:rsidP="001D08E0">
      <w:pPr>
        <w:jc w:val="both"/>
        <w:rPr>
          <w:rFonts w:ascii="Arial" w:hAnsi="Arial" w:cs="Arial"/>
          <w:szCs w:val="24"/>
        </w:rPr>
      </w:pPr>
      <w:r>
        <w:rPr>
          <w:rFonts w:ascii="Arial" w:hAnsi="Arial" w:cs="Arial"/>
          <w:szCs w:val="24"/>
        </w:rPr>
        <w:lastRenderedPageBreak/>
        <w:t xml:space="preserve">This instrument is a legislative instrument for the purposes of the </w:t>
      </w:r>
      <w:r>
        <w:rPr>
          <w:rFonts w:ascii="Arial" w:hAnsi="Arial" w:cs="Arial"/>
          <w:i/>
          <w:szCs w:val="24"/>
        </w:rPr>
        <w:t>Legislation Act 2003</w:t>
      </w:r>
      <w:r w:rsidR="00BC3923">
        <w:rPr>
          <w:rFonts w:ascii="Arial" w:hAnsi="Arial" w:cs="Arial"/>
          <w:szCs w:val="24"/>
        </w:rPr>
        <w:t xml:space="preserve"> and is subject to disallowance.</w:t>
      </w:r>
    </w:p>
    <w:p w14:paraId="2C099BF8" w14:textId="143AAEB5" w:rsidR="007A23FF" w:rsidRPr="001D08E0" w:rsidRDefault="007A23FF" w:rsidP="00962D6F">
      <w:pPr>
        <w:spacing w:after="120"/>
        <w:jc w:val="both"/>
        <w:rPr>
          <w:rFonts w:ascii="Arial" w:hAnsi="Arial" w:cs="Arial"/>
          <w:szCs w:val="24"/>
          <w:u w:val="single"/>
        </w:rPr>
      </w:pPr>
      <w:r w:rsidRPr="001D08E0">
        <w:rPr>
          <w:rFonts w:ascii="Arial" w:hAnsi="Arial" w:cs="Arial"/>
          <w:szCs w:val="24"/>
          <w:u w:val="single"/>
        </w:rPr>
        <w:t>Cashless Debit Card</w:t>
      </w:r>
    </w:p>
    <w:p w14:paraId="10371C07" w14:textId="6B6294DD" w:rsidR="004E56C8" w:rsidRDefault="004E56C8" w:rsidP="001D08E0">
      <w:pPr>
        <w:spacing w:after="120"/>
        <w:jc w:val="both"/>
        <w:rPr>
          <w:rFonts w:ascii="Arial" w:hAnsi="Arial" w:cs="Arial"/>
          <w:szCs w:val="24"/>
        </w:rPr>
      </w:pPr>
      <w:r>
        <w:rPr>
          <w:rFonts w:ascii="Arial" w:hAnsi="Arial" w:cs="Arial"/>
          <w:szCs w:val="24"/>
        </w:rPr>
        <w:t>Part 3D of the</w:t>
      </w:r>
      <w:r w:rsidRPr="004E56C8">
        <w:rPr>
          <w:rFonts w:ascii="Arial" w:hAnsi="Arial" w:cs="Arial"/>
          <w:i/>
          <w:szCs w:val="24"/>
        </w:rPr>
        <w:t xml:space="preserve"> </w:t>
      </w:r>
      <w:r>
        <w:rPr>
          <w:rFonts w:ascii="Arial" w:hAnsi="Arial" w:cs="Arial"/>
          <w:i/>
          <w:szCs w:val="24"/>
        </w:rPr>
        <w:t xml:space="preserve">Social Security (Administration) Act 1999 </w:t>
      </w:r>
      <w:r>
        <w:rPr>
          <w:rFonts w:ascii="Arial" w:hAnsi="Arial" w:cs="Arial"/>
          <w:szCs w:val="24"/>
        </w:rPr>
        <w:t xml:space="preserve">(the </w:t>
      </w:r>
      <w:r w:rsidRPr="00CF77CB">
        <w:rPr>
          <w:rFonts w:ascii="Arial" w:hAnsi="Arial" w:cs="Arial"/>
          <w:b/>
          <w:szCs w:val="24"/>
        </w:rPr>
        <w:t>Administration Act</w:t>
      </w:r>
      <w:r>
        <w:rPr>
          <w:rFonts w:ascii="Arial" w:hAnsi="Arial" w:cs="Arial"/>
          <w:szCs w:val="24"/>
        </w:rPr>
        <w:t>)</w:t>
      </w:r>
      <w:r w:rsidR="001D08E0">
        <w:rPr>
          <w:rFonts w:ascii="Arial" w:hAnsi="Arial" w:cs="Arial"/>
          <w:szCs w:val="24"/>
        </w:rPr>
        <w:t xml:space="preserve"> established the Cashless Debit Card trial</w:t>
      </w:r>
      <w:r w:rsidR="00BC3923">
        <w:rPr>
          <w:rFonts w:ascii="Arial" w:hAnsi="Arial" w:cs="Arial"/>
          <w:szCs w:val="24"/>
        </w:rPr>
        <w:t>,</w:t>
      </w:r>
      <w:r w:rsidR="001D08E0">
        <w:rPr>
          <w:rFonts w:ascii="Arial" w:hAnsi="Arial" w:cs="Arial"/>
          <w:szCs w:val="24"/>
        </w:rPr>
        <w:t xml:space="preserve"> which currently operates in four sites. T</w:t>
      </w:r>
      <w:r w:rsidRPr="004E56C8">
        <w:rPr>
          <w:rFonts w:ascii="Arial" w:hAnsi="Arial" w:cs="Arial"/>
          <w:szCs w:val="24"/>
        </w:rPr>
        <w:t>he</w:t>
      </w:r>
      <w:r w:rsidR="001D08E0">
        <w:rPr>
          <w:rFonts w:ascii="Arial" w:hAnsi="Arial" w:cs="Arial"/>
          <w:szCs w:val="24"/>
        </w:rPr>
        <w:t>se sites are the</w:t>
      </w:r>
      <w:r w:rsidRPr="004E56C8">
        <w:rPr>
          <w:rFonts w:ascii="Arial" w:hAnsi="Arial" w:cs="Arial"/>
          <w:szCs w:val="24"/>
        </w:rPr>
        <w:t xml:space="preserve"> </w:t>
      </w:r>
      <w:r w:rsidR="001D08E0">
        <w:rPr>
          <w:rFonts w:ascii="Arial" w:hAnsi="Arial" w:cs="Arial"/>
          <w:szCs w:val="24"/>
        </w:rPr>
        <w:t>Ceduna region, South Australia,</w:t>
      </w:r>
      <w:r w:rsidRPr="004E56C8">
        <w:rPr>
          <w:rFonts w:ascii="Arial" w:hAnsi="Arial" w:cs="Arial"/>
          <w:szCs w:val="24"/>
        </w:rPr>
        <w:t xml:space="preserve"> </w:t>
      </w:r>
      <w:r w:rsidR="00CF6FA8">
        <w:rPr>
          <w:rFonts w:ascii="Arial" w:hAnsi="Arial" w:cs="Arial"/>
          <w:szCs w:val="24"/>
        </w:rPr>
        <w:t xml:space="preserve">the </w:t>
      </w:r>
      <w:r w:rsidRPr="004E56C8">
        <w:rPr>
          <w:rFonts w:ascii="Arial" w:hAnsi="Arial" w:cs="Arial"/>
          <w:szCs w:val="24"/>
        </w:rPr>
        <w:t>East Kimberle</w:t>
      </w:r>
      <w:r w:rsidR="001D08E0">
        <w:rPr>
          <w:rFonts w:ascii="Arial" w:hAnsi="Arial" w:cs="Arial"/>
          <w:szCs w:val="24"/>
        </w:rPr>
        <w:t xml:space="preserve">y </w:t>
      </w:r>
      <w:r w:rsidR="00CF6FA8">
        <w:rPr>
          <w:rFonts w:ascii="Arial" w:hAnsi="Arial" w:cs="Arial"/>
          <w:szCs w:val="24"/>
        </w:rPr>
        <w:t xml:space="preserve">and Goldfields </w:t>
      </w:r>
      <w:r w:rsidR="001D08E0">
        <w:rPr>
          <w:rFonts w:ascii="Arial" w:hAnsi="Arial" w:cs="Arial"/>
          <w:szCs w:val="24"/>
        </w:rPr>
        <w:t>region</w:t>
      </w:r>
      <w:r w:rsidR="00CF6FA8">
        <w:rPr>
          <w:rFonts w:ascii="Arial" w:hAnsi="Arial" w:cs="Arial"/>
          <w:szCs w:val="24"/>
        </w:rPr>
        <w:t>s</w:t>
      </w:r>
      <w:r w:rsidR="001D08E0">
        <w:rPr>
          <w:rFonts w:ascii="Arial" w:hAnsi="Arial" w:cs="Arial"/>
          <w:szCs w:val="24"/>
        </w:rPr>
        <w:t>, Western Australia,</w:t>
      </w:r>
      <w:r w:rsidRPr="004E56C8">
        <w:rPr>
          <w:rFonts w:ascii="Arial" w:hAnsi="Arial" w:cs="Arial"/>
          <w:szCs w:val="24"/>
        </w:rPr>
        <w:t xml:space="preserve"> </w:t>
      </w:r>
      <w:r w:rsidR="001D08E0">
        <w:rPr>
          <w:rFonts w:ascii="Arial" w:hAnsi="Arial" w:cs="Arial"/>
          <w:szCs w:val="24"/>
        </w:rPr>
        <w:t>and</w:t>
      </w:r>
      <w:r w:rsidRPr="004E56C8">
        <w:rPr>
          <w:rFonts w:ascii="Arial" w:hAnsi="Arial" w:cs="Arial"/>
          <w:szCs w:val="24"/>
        </w:rPr>
        <w:t xml:space="preserve"> </w:t>
      </w:r>
      <w:r w:rsidR="00CF6FA8">
        <w:rPr>
          <w:rFonts w:ascii="Arial" w:hAnsi="Arial" w:cs="Arial"/>
          <w:szCs w:val="24"/>
        </w:rPr>
        <w:t xml:space="preserve">the </w:t>
      </w:r>
      <w:r w:rsidRPr="004E56C8">
        <w:rPr>
          <w:rFonts w:ascii="Arial" w:hAnsi="Arial" w:cs="Arial"/>
          <w:szCs w:val="24"/>
        </w:rPr>
        <w:t>Bundaberg and Hervey Bay region, Queensland.</w:t>
      </w:r>
    </w:p>
    <w:p w14:paraId="0CCEF9E6" w14:textId="2967E4A8" w:rsidR="004E56C8" w:rsidRPr="004E56C8" w:rsidRDefault="004E56C8" w:rsidP="004E56C8">
      <w:pPr>
        <w:spacing w:after="120"/>
        <w:jc w:val="both"/>
        <w:rPr>
          <w:rFonts w:ascii="Arial" w:hAnsi="Arial" w:cs="Arial"/>
          <w:szCs w:val="24"/>
        </w:rPr>
      </w:pPr>
      <w:r w:rsidRPr="004E56C8">
        <w:rPr>
          <w:rFonts w:ascii="Arial" w:hAnsi="Arial" w:cs="Arial"/>
          <w:szCs w:val="24"/>
        </w:rPr>
        <w:t>The Cashless Debit Card is designed to support people, families and communities in places where high levels of welfare dependence co-exist with high levels of social harm and it is working.</w:t>
      </w:r>
      <w:r>
        <w:rPr>
          <w:rFonts w:ascii="Arial" w:hAnsi="Arial" w:cs="Arial"/>
          <w:szCs w:val="24"/>
        </w:rPr>
        <w:t xml:space="preserve"> It</w:t>
      </w:r>
      <w:r w:rsidRPr="004E56C8">
        <w:rPr>
          <w:rFonts w:ascii="Arial" w:hAnsi="Arial" w:cs="Arial"/>
          <w:szCs w:val="24"/>
        </w:rPr>
        <w:t xml:space="preserve"> can assist participants as a helpful budgeting and financial management tool to provide them with assistance to budget better for their circumstances.</w:t>
      </w:r>
    </w:p>
    <w:p w14:paraId="4749BB53" w14:textId="3612AACD" w:rsidR="004E56C8" w:rsidRDefault="004E56C8" w:rsidP="001D08E0">
      <w:pPr>
        <w:spacing w:after="120"/>
        <w:jc w:val="both"/>
        <w:rPr>
          <w:rFonts w:ascii="Arial" w:hAnsi="Arial" w:cs="Arial"/>
          <w:szCs w:val="24"/>
        </w:rPr>
      </w:pPr>
      <w:r w:rsidRPr="001D08E0">
        <w:rPr>
          <w:rFonts w:ascii="Arial" w:hAnsi="Arial" w:cs="Arial"/>
          <w:szCs w:val="24"/>
        </w:rPr>
        <w:t>Under the C</w:t>
      </w:r>
      <w:r w:rsidR="001D08E0">
        <w:rPr>
          <w:rFonts w:ascii="Arial" w:hAnsi="Arial" w:cs="Arial"/>
          <w:szCs w:val="24"/>
        </w:rPr>
        <w:t xml:space="preserve">ashless </w:t>
      </w:r>
      <w:r w:rsidRPr="001D08E0">
        <w:rPr>
          <w:rFonts w:ascii="Arial" w:hAnsi="Arial" w:cs="Arial"/>
          <w:szCs w:val="24"/>
        </w:rPr>
        <w:t>D</w:t>
      </w:r>
      <w:r w:rsidR="001D08E0">
        <w:rPr>
          <w:rFonts w:ascii="Arial" w:hAnsi="Arial" w:cs="Arial"/>
          <w:szCs w:val="24"/>
        </w:rPr>
        <w:t xml:space="preserve">ebit </w:t>
      </w:r>
      <w:r w:rsidRPr="001D08E0">
        <w:rPr>
          <w:rFonts w:ascii="Arial" w:hAnsi="Arial" w:cs="Arial"/>
          <w:szCs w:val="24"/>
        </w:rPr>
        <w:t>C</w:t>
      </w:r>
      <w:r w:rsidR="001D08E0">
        <w:rPr>
          <w:rFonts w:ascii="Arial" w:hAnsi="Arial" w:cs="Arial"/>
          <w:szCs w:val="24"/>
        </w:rPr>
        <w:t>ard</w:t>
      </w:r>
      <w:r w:rsidRPr="001D08E0">
        <w:rPr>
          <w:rFonts w:ascii="Arial" w:hAnsi="Arial" w:cs="Arial"/>
          <w:szCs w:val="24"/>
        </w:rPr>
        <w:t>, 80 per cent of a p</w:t>
      </w:r>
      <w:r w:rsidR="001D08E0" w:rsidRPr="001D08E0">
        <w:rPr>
          <w:rFonts w:ascii="Arial" w:hAnsi="Arial" w:cs="Arial"/>
          <w:szCs w:val="24"/>
        </w:rPr>
        <w:t>articipant’s welfare payment is </w:t>
      </w:r>
      <w:r w:rsidRPr="001D08E0">
        <w:rPr>
          <w:rFonts w:ascii="Arial" w:hAnsi="Arial" w:cs="Arial"/>
          <w:szCs w:val="24"/>
        </w:rPr>
        <w:t>placed on a card that can be used at most shops, which accept Visa or eftpos, including overseas.   The only time the card cannot be</w:t>
      </w:r>
      <w:r w:rsidR="001D08E0" w:rsidRPr="001D08E0">
        <w:rPr>
          <w:rFonts w:ascii="Arial" w:hAnsi="Arial" w:cs="Arial"/>
          <w:szCs w:val="24"/>
        </w:rPr>
        <w:t xml:space="preserve"> used is for the purchase of </w:t>
      </w:r>
      <w:r w:rsidRPr="001D08E0">
        <w:rPr>
          <w:rFonts w:ascii="Arial" w:hAnsi="Arial" w:cs="Arial"/>
          <w:szCs w:val="24"/>
        </w:rPr>
        <w:t>alcohol, gambling products, cash-like gift cards or to withdraw cash.</w:t>
      </w:r>
    </w:p>
    <w:p w14:paraId="4DEAC4D9" w14:textId="6D0E88F1" w:rsidR="007A23FF" w:rsidRDefault="00CD3626" w:rsidP="001D08E0">
      <w:pPr>
        <w:spacing w:after="120"/>
        <w:jc w:val="both"/>
        <w:rPr>
          <w:rFonts w:ascii="Arial" w:hAnsi="Arial" w:cs="Arial"/>
          <w:szCs w:val="24"/>
        </w:rPr>
      </w:pPr>
      <w:r>
        <w:rPr>
          <w:rFonts w:ascii="Arial" w:hAnsi="Arial" w:cs="Arial"/>
          <w:szCs w:val="24"/>
        </w:rPr>
        <w:t xml:space="preserve">Under the </w:t>
      </w:r>
      <w:r w:rsidR="001D08E0" w:rsidRPr="009F2C74">
        <w:rPr>
          <w:rFonts w:ascii="Arial" w:hAnsi="Arial" w:cs="Arial"/>
          <w:szCs w:val="24"/>
        </w:rPr>
        <w:t>Administration Act,</w:t>
      </w:r>
      <w:r>
        <w:rPr>
          <w:rFonts w:ascii="Arial" w:hAnsi="Arial" w:cs="Arial"/>
          <w:szCs w:val="24"/>
        </w:rPr>
        <w:t xml:space="preserve"> the provisions </w:t>
      </w:r>
      <w:r w:rsidR="001D08E0">
        <w:rPr>
          <w:rFonts w:ascii="Arial" w:hAnsi="Arial" w:cs="Arial"/>
          <w:szCs w:val="24"/>
        </w:rPr>
        <w:t>providing for the operation of</w:t>
      </w:r>
      <w:r>
        <w:rPr>
          <w:rFonts w:ascii="Arial" w:hAnsi="Arial" w:cs="Arial"/>
          <w:szCs w:val="24"/>
        </w:rPr>
        <w:t xml:space="preserve"> the Cashless Debit Card would cease to have effect beyond 30 June 2020, being the</w:t>
      </w:r>
      <w:r w:rsidR="001D08E0">
        <w:rPr>
          <w:rFonts w:ascii="Arial" w:hAnsi="Arial" w:cs="Arial"/>
          <w:szCs w:val="24"/>
        </w:rPr>
        <w:t xml:space="preserve"> legislated</w:t>
      </w:r>
      <w:r>
        <w:rPr>
          <w:rFonts w:ascii="Arial" w:hAnsi="Arial" w:cs="Arial"/>
          <w:szCs w:val="24"/>
        </w:rPr>
        <w:t xml:space="preserve"> trial end date.  </w:t>
      </w:r>
      <w:r w:rsidR="007A23FF">
        <w:rPr>
          <w:rFonts w:ascii="Arial" w:hAnsi="Arial" w:cs="Arial"/>
          <w:szCs w:val="24"/>
        </w:rPr>
        <w:t>The effect of this instrument is to extend the operation of the Cashless Debit Card provisions for</w:t>
      </w:r>
      <w:r w:rsidR="001D08E0">
        <w:rPr>
          <w:rFonts w:ascii="Arial" w:hAnsi="Arial" w:cs="Arial"/>
          <w:szCs w:val="24"/>
        </w:rPr>
        <w:t xml:space="preserve"> six months to 31 December 2020. This</w:t>
      </w:r>
      <w:r w:rsidR="007A23FF">
        <w:rPr>
          <w:rFonts w:ascii="Arial" w:hAnsi="Arial" w:cs="Arial"/>
          <w:szCs w:val="24"/>
        </w:rPr>
        <w:t xml:space="preserve"> ensure</w:t>
      </w:r>
      <w:r w:rsidR="00A9472E">
        <w:rPr>
          <w:rFonts w:ascii="Arial" w:hAnsi="Arial" w:cs="Arial"/>
          <w:szCs w:val="24"/>
        </w:rPr>
        <w:t>s</w:t>
      </w:r>
      <w:r w:rsidR="007A23FF">
        <w:rPr>
          <w:rFonts w:ascii="Arial" w:hAnsi="Arial" w:cs="Arial"/>
          <w:szCs w:val="24"/>
        </w:rPr>
        <w:t xml:space="preserve"> </w:t>
      </w:r>
      <w:r w:rsidR="001D08E0">
        <w:rPr>
          <w:rFonts w:ascii="Arial" w:hAnsi="Arial" w:cs="Arial"/>
          <w:szCs w:val="24"/>
        </w:rPr>
        <w:t>communities and participants are able to </w:t>
      </w:r>
      <w:r w:rsidR="007A23FF">
        <w:rPr>
          <w:rFonts w:ascii="Arial" w:hAnsi="Arial" w:cs="Arial"/>
          <w:szCs w:val="24"/>
        </w:rPr>
        <w:t>continue to build on the positive outcomes that t</w:t>
      </w:r>
      <w:r w:rsidR="001D08E0">
        <w:rPr>
          <w:rFonts w:ascii="Arial" w:hAnsi="Arial" w:cs="Arial"/>
          <w:szCs w:val="24"/>
        </w:rPr>
        <w:t>he Cashless Debit Card trial is </w:t>
      </w:r>
      <w:r w:rsidR="007A23FF">
        <w:rPr>
          <w:rFonts w:ascii="Arial" w:hAnsi="Arial" w:cs="Arial"/>
          <w:szCs w:val="24"/>
        </w:rPr>
        <w:t xml:space="preserve">delivering.  </w:t>
      </w:r>
    </w:p>
    <w:p w14:paraId="35953F4E" w14:textId="0FFB2414" w:rsidR="007A23FF" w:rsidRPr="007A23FF" w:rsidRDefault="007A23FF" w:rsidP="001D08E0">
      <w:pPr>
        <w:spacing w:after="120"/>
        <w:jc w:val="both"/>
        <w:rPr>
          <w:rFonts w:ascii="Arial" w:hAnsi="Arial" w:cs="Arial"/>
          <w:szCs w:val="24"/>
        </w:rPr>
      </w:pPr>
      <w:r>
        <w:rPr>
          <w:rFonts w:ascii="Arial" w:hAnsi="Arial" w:cs="Arial"/>
          <w:szCs w:val="24"/>
          <w:u w:val="single"/>
        </w:rPr>
        <w:t>Income Man</w:t>
      </w:r>
      <w:r w:rsidR="00073053">
        <w:rPr>
          <w:rFonts w:ascii="Arial" w:hAnsi="Arial" w:cs="Arial"/>
          <w:szCs w:val="24"/>
          <w:u w:val="single"/>
        </w:rPr>
        <w:t>a</w:t>
      </w:r>
      <w:r>
        <w:rPr>
          <w:rFonts w:ascii="Arial" w:hAnsi="Arial" w:cs="Arial"/>
          <w:szCs w:val="24"/>
          <w:u w:val="single"/>
        </w:rPr>
        <w:t>gement</w:t>
      </w:r>
    </w:p>
    <w:p w14:paraId="14CDAD6D" w14:textId="61A880A8" w:rsidR="006D0780" w:rsidRDefault="006D0780" w:rsidP="001D08E0">
      <w:pPr>
        <w:spacing w:after="120"/>
        <w:jc w:val="both"/>
        <w:rPr>
          <w:rFonts w:ascii="Arial" w:hAnsi="Arial" w:cs="Arial"/>
          <w:szCs w:val="24"/>
        </w:rPr>
      </w:pPr>
      <w:r w:rsidRPr="006D0780">
        <w:rPr>
          <w:rFonts w:ascii="Arial" w:hAnsi="Arial" w:cs="Arial"/>
          <w:szCs w:val="24"/>
        </w:rPr>
        <w:t>The Cape York Welfare Reform</w:t>
      </w:r>
      <w:r w:rsidR="00B73FB6">
        <w:rPr>
          <w:rFonts w:ascii="Arial" w:hAnsi="Arial" w:cs="Arial"/>
          <w:szCs w:val="24"/>
        </w:rPr>
        <w:t xml:space="preserve"> Income Management measure</w:t>
      </w:r>
      <w:r>
        <w:rPr>
          <w:rFonts w:ascii="Arial" w:hAnsi="Arial" w:cs="Arial"/>
          <w:szCs w:val="24"/>
        </w:rPr>
        <w:t xml:space="preserve"> is established under section 123UF </w:t>
      </w:r>
      <w:r w:rsidR="00B73FB6">
        <w:rPr>
          <w:rFonts w:ascii="Arial" w:hAnsi="Arial" w:cs="Arial"/>
          <w:szCs w:val="24"/>
        </w:rPr>
        <w:t xml:space="preserve">of the </w:t>
      </w:r>
      <w:r>
        <w:rPr>
          <w:rFonts w:ascii="Arial" w:hAnsi="Arial" w:cs="Arial"/>
          <w:szCs w:val="24"/>
        </w:rPr>
        <w:t>Administration</w:t>
      </w:r>
      <w:r w:rsidR="00B73FB6">
        <w:rPr>
          <w:rFonts w:ascii="Arial" w:hAnsi="Arial" w:cs="Arial"/>
          <w:szCs w:val="24"/>
        </w:rPr>
        <w:t xml:space="preserve"> Act and is delivered in partnership with the Family Responsibilities Commission (FRC).  Cape York Welfare Reform aims to </w:t>
      </w:r>
      <w:r w:rsidRPr="006D0780">
        <w:rPr>
          <w:rFonts w:ascii="Arial" w:hAnsi="Arial" w:cs="Arial"/>
          <w:szCs w:val="24"/>
        </w:rPr>
        <w:t>address passive dependence on welfare and suppo</w:t>
      </w:r>
      <w:r w:rsidR="00B73FB6">
        <w:rPr>
          <w:rFonts w:ascii="Arial" w:hAnsi="Arial" w:cs="Arial"/>
          <w:szCs w:val="24"/>
        </w:rPr>
        <w:t>rt people in the communities of </w:t>
      </w:r>
      <w:r w:rsidRPr="006D0780">
        <w:rPr>
          <w:rFonts w:ascii="Arial" w:hAnsi="Arial" w:cs="Arial"/>
          <w:szCs w:val="24"/>
        </w:rPr>
        <w:t>Aurukun, Coen, Hope Vale</w:t>
      </w:r>
      <w:r w:rsidR="00BB519B">
        <w:rPr>
          <w:rFonts w:ascii="Arial" w:hAnsi="Arial" w:cs="Arial"/>
          <w:szCs w:val="24"/>
        </w:rPr>
        <w:t xml:space="preserve">, </w:t>
      </w:r>
      <w:r w:rsidRPr="006D0780">
        <w:rPr>
          <w:rFonts w:ascii="Arial" w:hAnsi="Arial" w:cs="Arial"/>
          <w:szCs w:val="24"/>
        </w:rPr>
        <w:t xml:space="preserve">Mossman Gorge </w:t>
      </w:r>
      <w:r w:rsidR="00BB519B">
        <w:rPr>
          <w:rFonts w:ascii="Arial" w:hAnsi="Arial" w:cs="Arial"/>
          <w:szCs w:val="24"/>
        </w:rPr>
        <w:t xml:space="preserve">and Doomadgee </w:t>
      </w:r>
      <w:r w:rsidRPr="006D0780">
        <w:rPr>
          <w:rFonts w:ascii="Arial" w:hAnsi="Arial" w:cs="Arial"/>
          <w:szCs w:val="24"/>
        </w:rPr>
        <w:t xml:space="preserve">to resume primary responsibility for the wellbeing of their family and their community. The key aim of the initiative is to ensure that </w:t>
      </w:r>
      <w:r w:rsidR="00A9472E">
        <w:rPr>
          <w:rFonts w:ascii="Arial" w:hAnsi="Arial" w:cs="Arial"/>
          <w:szCs w:val="24"/>
        </w:rPr>
        <w:t>children</w:t>
      </w:r>
      <w:r w:rsidR="00A9472E" w:rsidRPr="006D0780">
        <w:rPr>
          <w:rFonts w:ascii="Arial" w:hAnsi="Arial" w:cs="Arial"/>
          <w:szCs w:val="24"/>
        </w:rPr>
        <w:t xml:space="preserve"> </w:t>
      </w:r>
      <w:r w:rsidRPr="006D0780">
        <w:rPr>
          <w:rFonts w:ascii="Arial" w:hAnsi="Arial" w:cs="Arial"/>
          <w:szCs w:val="24"/>
        </w:rPr>
        <w:t xml:space="preserve">are safe, fed and educated. Income Management forms part </w:t>
      </w:r>
      <w:r>
        <w:rPr>
          <w:rFonts w:ascii="Arial" w:hAnsi="Arial" w:cs="Arial"/>
          <w:szCs w:val="24"/>
        </w:rPr>
        <w:t>of the Cape York Welfare Reform.</w:t>
      </w:r>
    </w:p>
    <w:p w14:paraId="00417B17" w14:textId="34E7B23E" w:rsidR="00AD5460" w:rsidRDefault="00B73FB6" w:rsidP="001D08E0">
      <w:pPr>
        <w:spacing w:after="120"/>
        <w:jc w:val="both"/>
        <w:rPr>
          <w:rFonts w:ascii="Arial" w:hAnsi="Arial" w:cs="Arial"/>
          <w:szCs w:val="24"/>
        </w:rPr>
      </w:pPr>
      <w:r>
        <w:rPr>
          <w:rFonts w:ascii="Arial" w:hAnsi="Arial" w:cs="Arial"/>
          <w:szCs w:val="24"/>
        </w:rPr>
        <w:t xml:space="preserve">Part 3B of the Administration Act establishes an Income Management regime that applies to recipients of certain welfare payments.  If a person is subject to Income Management under Part 3B, the Secretary must deduct amounts from the person’s relevant welfare payments and credit those amounts to the person’s Income Management account, in accordance with Part 3B, for the purpose of taking actions directed to meeting the priority needs of the person and any dependants.  </w:t>
      </w:r>
    </w:p>
    <w:p w14:paraId="37ADC047" w14:textId="57430A40" w:rsidR="00EC3576" w:rsidRDefault="00EC3576" w:rsidP="001D08E0">
      <w:pPr>
        <w:spacing w:after="120"/>
        <w:jc w:val="both"/>
        <w:rPr>
          <w:rFonts w:ascii="Arial" w:hAnsi="Arial" w:cs="Arial"/>
          <w:szCs w:val="24"/>
        </w:rPr>
      </w:pPr>
    </w:p>
    <w:p w14:paraId="41ED2AB1" w14:textId="6651EFD4" w:rsidR="00EC3576" w:rsidRDefault="00EC3576" w:rsidP="001D08E0">
      <w:pPr>
        <w:spacing w:after="120"/>
        <w:jc w:val="both"/>
        <w:rPr>
          <w:rFonts w:ascii="Arial" w:hAnsi="Arial" w:cs="Arial"/>
          <w:szCs w:val="24"/>
        </w:rPr>
      </w:pPr>
    </w:p>
    <w:p w14:paraId="706A7E71" w14:textId="77777777" w:rsidR="00EC3576" w:rsidRDefault="00EC3576" w:rsidP="001D08E0">
      <w:pPr>
        <w:spacing w:after="120"/>
        <w:jc w:val="both"/>
        <w:rPr>
          <w:rFonts w:ascii="Arial" w:hAnsi="Arial" w:cs="Arial"/>
          <w:szCs w:val="24"/>
        </w:rPr>
      </w:pPr>
    </w:p>
    <w:p w14:paraId="6B453E15" w14:textId="6019AEE0" w:rsidR="00A500B4" w:rsidRDefault="00B73FB6" w:rsidP="008B6CDD">
      <w:pPr>
        <w:spacing w:after="120"/>
        <w:jc w:val="both"/>
        <w:rPr>
          <w:rFonts w:ascii="Arial" w:hAnsi="Arial" w:cs="Arial"/>
          <w:szCs w:val="24"/>
        </w:rPr>
      </w:pPr>
      <w:r>
        <w:rPr>
          <w:rFonts w:ascii="Arial" w:hAnsi="Arial" w:cs="Arial"/>
          <w:szCs w:val="24"/>
        </w:rPr>
        <w:lastRenderedPageBreak/>
        <w:t>Under section 123UF of the Administration Act a person can only become subject to Income Management in the Cape York region if they are referred by the FRC.</w:t>
      </w:r>
      <w:r w:rsidR="009F2C74">
        <w:rPr>
          <w:rFonts w:ascii="Arial" w:hAnsi="Arial" w:cs="Arial"/>
          <w:szCs w:val="24"/>
        </w:rPr>
        <w:t xml:space="preserve"> </w:t>
      </w:r>
      <w:r>
        <w:rPr>
          <w:rFonts w:ascii="Arial" w:hAnsi="Arial" w:cs="Arial"/>
          <w:szCs w:val="24"/>
        </w:rPr>
        <w:t xml:space="preserve"> </w:t>
      </w:r>
      <w:r w:rsidR="004E56C8">
        <w:rPr>
          <w:rFonts w:ascii="Arial" w:hAnsi="Arial" w:cs="Arial"/>
          <w:szCs w:val="24"/>
        </w:rPr>
        <w:t>Under the Administration Act, subsection</w:t>
      </w:r>
      <w:r w:rsidR="009F2C74">
        <w:rPr>
          <w:rFonts w:ascii="Arial" w:hAnsi="Arial" w:cs="Arial"/>
          <w:szCs w:val="24"/>
        </w:rPr>
        <w:t>s</w:t>
      </w:r>
      <w:r w:rsidR="004E56C8">
        <w:rPr>
          <w:rFonts w:ascii="Arial" w:hAnsi="Arial" w:cs="Arial"/>
          <w:szCs w:val="24"/>
        </w:rPr>
        <w:t xml:space="preserve"> 123UF(1) and (2) which enable</w:t>
      </w:r>
      <w:r w:rsidR="007A23FF">
        <w:rPr>
          <w:rFonts w:ascii="Arial" w:hAnsi="Arial" w:cs="Arial"/>
          <w:szCs w:val="24"/>
        </w:rPr>
        <w:t xml:space="preserve"> a person to be subject to</w:t>
      </w:r>
      <w:r w:rsidR="00CD3626">
        <w:rPr>
          <w:rFonts w:ascii="Arial" w:hAnsi="Arial" w:cs="Arial"/>
          <w:szCs w:val="24"/>
        </w:rPr>
        <w:t xml:space="preserve"> Income Management in the Cape York </w:t>
      </w:r>
      <w:r>
        <w:rPr>
          <w:rFonts w:ascii="Arial" w:hAnsi="Arial" w:cs="Arial"/>
          <w:szCs w:val="24"/>
        </w:rPr>
        <w:t>region</w:t>
      </w:r>
      <w:r w:rsidR="007A23FF">
        <w:rPr>
          <w:rFonts w:ascii="Arial" w:hAnsi="Arial" w:cs="Arial"/>
          <w:szCs w:val="24"/>
        </w:rPr>
        <w:t xml:space="preserve"> cease to have effect beyond 30 June 2020. </w:t>
      </w:r>
      <w:r w:rsidR="00CD3626">
        <w:rPr>
          <w:rFonts w:ascii="Arial" w:hAnsi="Arial" w:cs="Arial"/>
          <w:szCs w:val="24"/>
        </w:rPr>
        <w:t xml:space="preserve"> </w:t>
      </w:r>
      <w:r w:rsidR="007A23FF">
        <w:rPr>
          <w:rFonts w:ascii="Arial" w:hAnsi="Arial" w:cs="Arial"/>
          <w:szCs w:val="24"/>
        </w:rPr>
        <w:t>This instrument extends the operation of these provisions for six</w:t>
      </w:r>
      <w:r w:rsidR="009F2C74">
        <w:rPr>
          <w:rFonts w:ascii="Arial" w:hAnsi="Arial" w:cs="Arial"/>
          <w:szCs w:val="24"/>
        </w:rPr>
        <w:t> </w:t>
      </w:r>
      <w:r w:rsidR="007A23FF">
        <w:rPr>
          <w:rFonts w:ascii="Arial" w:hAnsi="Arial" w:cs="Arial"/>
          <w:szCs w:val="24"/>
        </w:rPr>
        <w:t>months to</w:t>
      </w:r>
      <w:r>
        <w:rPr>
          <w:rFonts w:ascii="Arial" w:hAnsi="Arial" w:cs="Arial"/>
          <w:szCs w:val="24"/>
        </w:rPr>
        <w:t xml:space="preserve"> 31 December 2020, to enable the </w:t>
      </w:r>
      <w:r w:rsidR="004E56C8">
        <w:rPr>
          <w:rFonts w:ascii="Arial" w:hAnsi="Arial" w:cs="Arial"/>
          <w:szCs w:val="24"/>
        </w:rPr>
        <w:t>continuation of Income Management in the Cape York region.</w:t>
      </w:r>
    </w:p>
    <w:p w14:paraId="03DBA14D" w14:textId="77777777" w:rsidR="000B4130" w:rsidRPr="00BC76EB" w:rsidRDefault="000B4130" w:rsidP="004F66BA">
      <w:pPr>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1BC7A65F" w14:textId="77777777" w:rsidR="002C2252" w:rsidRPr="00BC76EB" w:rsidRDefault="00BD4DD9" w:rsidP="004F66BA">
      <w:pPr>
        <w:jc w:val="both"/>
        <w:rPr>
          <w:rStyle w:val="BookTitle"/>
          <w:rFonts w:ascii="Arial" w:hAnsi="Arial" w:cs="Arial"/>
          <w:i w:val="0"/>
          <w:iCs w:val="0"/>
          <w:smallCaps w:val="0"/>
          <w:color w:val="0070C0"/>
          <w:spacing w:val="0"/>
          <w:szCs w:val="24"/>
        </w:rPr>
      </w:pPr>
      <w:r>
        <w:rPr>
          <w:rStyle w:val="BookTitle"/>
          <w:rFonts w:ascii="Arial" w:hAnsi="Arial" w:cs="Arial"/>
          <w:i w:val="0"/>
          <w:iCs w:val="0"/>
          <w:smallCaps w:val="0"/>
          <w:spacing w:val="0"/>
          <w:szCs w:val="24"/>
        </w:rPr>
        <w:t>This</w:t>
      </w:r>
      <w:r w:rsidR="00EE2BCB">
        <w:rPr>
          <w:rStyle w:val="BookTitle"/>
          <w:rFonts w:ascii="Arial" w:hAnsi="Arial" w:cs="Arial"/>
          <w:i w:val="0"/>
          <w:iCs w:val="0"/>
          <w:smallCaps w:val="0"/>
          <w:spacing w:val="0"/>
          <w:szCs w:val="24"/>
        </w:rPr>
        <w:t xml:space="preserve"> </w:t>
      </w:r>
      <w:r w:rsidR="00122184">
        <w:rPr>
          <w:rStyle w:val="BookTitle"/>
          <w:rFonts w:ascii="Arial" w:hAnsi="Arial" w:cs="Arial"/>
          <w:i w:val="0"/>
          <w:iCs w:val="0"/>
          <w:smallCaps w:val="0"/>
          <w:spacing w:val="0"/>
          <w:szCs w:val="24"/>
        </w:rPr>
        <w:t xml:space="preserve">instrument </w:t>
      </w:r>
      <w:r w:rsidR="00EE2BCB">
        <w:rPr>
          <w:rStyle w:val="BookTitle"/>
          <w:rFonts w:ascii="Arial" w:hAnsi="Arial" w:cs="Arial"/>
          <w:i w:val="0"/>
          <w:iCs w:val="0"/>
          <w:smallCaps w:val="0"/>
          <w:spacing w:val="0"/>
          <w:szCs w:val="24"/>
        </w:rPr>
        <w:t xml:space="preserve">commences </w:t>
      </w:r>
      <w:r w:rsidR="00267C0F">
        <w:rPr>
          <w:rStyle w:val="BookTitle"/>
          <w:rFonts w:ascii="Arial" w:hAnsi="Arial" w:cs="Arial"/>
          <w:i w:val="0"/>
          <w:iCs w:val="0"/>
          <w:smallCaps w:val="0"/>
          <w:spacing w:val="0"/>
          <w:szCs w:val="24"/>
        </w:rPr>
        <w:t xml:space="preserve">the day after it is registered </w:t>
      </w:r>
      <w:r w:rsidR="00EE2BCB">
        <w:rPr>
          <w:rStyle w:val="BookTitle"/>
          <w:rFonts w:ascii="Arial" w:hAnsi="Arial" w:cs="Arial"/>
          <w:i w:val="0"/>
          <w:iCs w:val="0"/>
          <w:smallCaps w:val="0"/>
          <w:spacing w:val="0"/>
          <w:szCs w:val="24"/>
        </w:rPr>
        <w:t>on</w:t>
      </w:r>
      <w:r w:rsidR="00267C0F">
        <w:rPr>
          <w:rStyle w:val="BookTitle"/>
          <w:rFonts w:ascii="Arial" w:hAnsi="Arial" w:cs="Arial"/>
          <w:i w:val="0"/>
          <w:iCs w:val="0"/>
          <w:smallCaps w:val="0"/>
          <w:spacing w:val="0"/>
          <w:szCs w:val="24"/>
        </w:rPr>
        <w:t xml:space="preserve"> the Federal Register of</w:t>
      </w:r>
      <w:r w:rsidR="00317705">
        <w:rPr>
          <w:rStyle w:val="BookTitle"/>
          <w:rFonts w:ascii="Arial" w:hAnsi="Arial" w:cs="Arial"/>
          <w:i w:val="0"/>
          <w:iCs w:val="0"/>
          <w:smallCaps w:val="0"/>
          <w:spacing w:val="0"/>
          <w:szCs w:val="24"/>
        </w:rPr>
        <w:t> </w:t>
      </w:r>
      <w:r w:rsidR="00267C0F">
        <w:rPr>
          <w:rStyle w:val="BookTitle"/>
          <w:rFonts w:ascii="Arial" w:hAnsi="Arial" w:cs="Arial"/>
          <w:i w:val="0"/>
          <w:iCs w:val="0"/>
          <w:smallCaps w:val="0"/>
          <w:spacing w:val="0"/>
          <w:szCs w:val="24"/>
        </w:rPr>
        <w:t>Legislation</w:t>
      </w:r>
      <w:r w:rsidR="006512A6">
        <w:rPr>
          <w:rStyle w:val="BookTitle"/>
          <w:rFonts w:ascii="Arial" w:hAnsi="Arial" w:cs="Arial"/>
          <w:i w:val="0"/>
          <w:iCs w:val="0"/>
          <w:smallCaps w:val="0"/>
          <w:spacing w:val="0"/>
          <w:szCs w:val="24"/>
        </w:rPr>
        <w:t>.</w:t>
      </w:r>
    </w:p>
    <w:p w14:paraId="5546421C" w14:textId="734DCBA5" w:rsidR="006A6D51" w:rsidRDefault="006A6D51" w:rsidP="004F66BA">
      <w:pPr>
        <w:jc w:val="both"/>
        <w:rPr>
          <w:rStyle w:val="BookTitle"/>
          <w:rFonts w:ascii="Arial" w:hAnsi="Arial" w:cs="Arial"/>
          <w:b/>
          <w:i w:val="0"/>
          <w:iCs w:val="0"/>
          <w:smallCaps w:val="0"/>
          <w:spacing w:val="0"/>
          <w:szCs w:val="24"/>
        </w:rPr>
      </w:pPr>
      <w:r w:rsidRPr="000B23D1">
        <w:rPr>
          <w:rStyle w:val="BookTitle"/>
          <w:rFonts w:ascii="Arial" w:hAnsi="Arial" w:cs="Arial"/>
          <w:b/>
          <w:i w:val="0"/>
          <w:iCs w:val="0"/>
          <w:smallCaps w:val="0"/>
          <w:spacing w:val="0"/>
          <w:szCs w:val="24"/>
        </w:rPr>
        <w:t>Consultation</w:t>
      </w:r>
    </w:p>
    <w:p w14:paraId="61E0BCF3" w14:textId="2DAA8428" w:rsidR="00BC3923" w:rsidRPr="00AD5460" w:rsidRDefault="00487A59" w:rsidP="00AD5460">
      <w:pPr>
        <w:jc w:val="both"/>
        <w:rPr>
          <w:rFonts w:ascii="Arial" w:hAnsi="Arial" w:cs="Arial"/>
          <w:szCs w:val="24"/>
        </w:rPr>
      </w:pPr>
      <w:r>
        <w:rPr>
          <w:rFonts w:ascii="Arial" w:hAnsi="Arial" w:cs="Arial"/>
          <w:bCs/>
        </w:rPr>
        <w:t>The Department of Social Services</w:t>
      </w:r>
      <w:r w:rsidR="006D0780">
        <w:rPr>
          <w:rFonts w:ascii="Arial" w:hAnsi="Arial" w:cs="Arial"/>
          <w:bCs/>
        </w:rPr>
        <w:t xml:space="preserve"> (the department</w:t>
      </w:r>
      <w:r>
        <w:rPr>
          <w:rFonts w:ascii="Arial" w:hAnsi="Arial" w:cs="Arial"/>
          <w:bCs/>
        </w:rPr>
        <w:t>) has undertaken ongoing consultation and engagement</w:t>
      </w:r>
      <w:r w:rsidR="006D0780">
        <w:rPr>
          <w:rFonts w:ascii="Arial" w:hAnsi="Arial" w:cs="Arial"/>
          <w:bCs/>
        </w:rPr>
        <w:t xml:space="preserve"> to confirm support for</w:t>
      </w:r>
      <w:r>
        <w:rPr>
          <w:rFonts w:ascii="Arial" w:hAnsi="Arial" w:cs="Arial"/>
          <w:bCs/>
        </w:rPr>
        <w:t xml:space="preserve"> the continuation of the Cashless Debit Card Trial</w:t>
      </w:r>
      <w:r w:rsidR="006D0780">
        <w:rPr>
          <w:rFonts w:ascii="Arial" w:hAnsi="Arial" w:cs="Arial"/>
          <w:bCs/>
        </w:rPr>
        <w:t xml:space="preserve"> in existing sites.  The department has also consulted the Family Responsibilities Commission (FRC) regarding the extension of Income Management in the Cape York Region. </w:t>
      </w:r>
      <w:r w:rsidR="00BB519B">
        <w:rPr>
          <w:rFonts w:ascii="Arial" w:hAnsi="Arial" w:cs="Arial"/>
          <w:bCs/>
        </w:rPr>
        <w:t xml:space="preserve"> </w:t>
      </w:r>
      <w:r w:rsidR="006D0780">
        <w:rPr>
          <w:rFonts w:ascii="Arial" w:hAnsi="Arial" w:cs="Arial"/>
          <w:bCs/>
        </w:rPr>
        <w:t>The FRC has confirmed that it suppo</w:t>
      </w:r>
      <w:r w:rsidR="00EC3576">
        <w:rPr>
          <w:rFonts w:ascii="Arial" w:hAnsi="Arial" w:cs="Arial"/>
          <w:bCs/>
        </w:rPr>
        <w:t>rts the extension to 31 </w:t>
      </w:r>
      <w:r w:rsidR="006D0780">
        <w:rPr>
          <w:rFonts w:ascii="Arial" w:hAnsi="Arial" w:cs="Arial"/>
          <w:bCs/>
        </w:rPr>
        <w:t xml:space="preserve">December 2020, as implemented by this instrument. </w:t>
      </w:r>
    </w:p>
    <w:p w14:paraId="07A2C182" w14:textId="269CA132" w:rsidR="002329E1" w:rsidRPr="00712815" w:rsidRDefault="002329E1" w:rsidP="004F66BA">
      <w:pPr>
        <w:spacing w:after="240"/>
        <w:jc w:val="both"/>
        <w:rPr>
          <w:rFonts w:ascii="Arial" w:hAnsi="Arial" w:cs="Arial"/>
          <w:b/>
          <w:szCs w:val="24"/>
        </w:rPr>
      </w:pPr>
      <w:r w:rsidRPr="00712815">
        <w:rPr>
          <w:rFonts w:ascii="Arial" w:hAnsi="Arial" w:cs="Arial"/>
          <w:b/>
          <w:szCs w:val="24"/>
        </w:rPr>
        <w:t>Regulat</w:t>
      </w:r>
      <w:r w:rsidR="00D459E0" w:rsidRPr="00712815">
        <w:rPr>
          <w:rFonts w:ascii="Arial" w:hAnsi="Arial" w:cs="Arial"/>
          <w:b/>
          <w:szCs w:val="24"/>
        </w:rPr>
        <w:t>ion</w:t>
      </w:r>
      <w:r w:rsidRPr="00712815">
        <w:rPr>
          <w:rFonts w:ascii="Arial" w:hAnsi="Arial" w:cs="Arial"/>
          <w:b/>
          <w:szCs w:val="24"/>
        </w:rPr>
        <w:t xml:space="preserve"> Impact </w:t>
      </w:r>
      <w:r w:rsidR="00D459E0" w:rsidRPr="00712815">
        <w:rPr>
          <w:rFonts w:ascii="Arial" w:hAnsi="Arial" w:cs="Arial"/>
          <w:b/>
          <w:szCs w:val="24"/>
        </w:rPr>
        <w:t>Statement</w:t>
      </w:r>
      <w:r w:rsidR="00F52853" w:rsidRPr="00712815">
        <w:rPr>
          <w:rFonts w:ascii="Arial" w:hAnsi="Arial" w:cs="Arial"/>
          <w:b/>
          <w:szCs w:val="24"/>
        </w:rPr>
        <w:t xml:space="preserve"> (RIS)</w:t>
      </w:r>
    </w:p>
    <w:p w14:paraId="09E654B3" w14:textId="22BE4A1B" w:rsidR="00D802DE" w:rsidRDefault="00680D0B">
      <w:pPr>
        <w:spacing w:before="120"/>
        <w:jc w:val="both"/>
        <w:rPr>
          <w:rStyle w:val="BookTitle"/>
          <w:rFonts w:ascii="Arial" w:hAnsi="Arial" w:cs="Arial"/>
          <w:b/>
          <w:i w:val="0"/>
          <w:iCs w:val="0"/>
          <w:smallCaps w:val="0"/>
          <w:spacing w:val="0"/>
          <w:szCs w:val="24"/>
        </w:rPr>
      </w:pPr>
      <w:r w:rsidRPr="00712815">
        <w:rPr>
          <w:rFonts w:ascii="Arial" w:hAnsi="Arial" w:cs="Arial"/>
          <w:szCs w:val="24"/>
        </w:rPr>
        <w:t>T</w:t>
      </w:r>
      <w:r w:rsidR="00BD4DD9" w:rsidRPr="00712815">
        <w:rPr>
          <w:rFonts w:ascii="Arial" w:hAnsi="Arial" w:cs="Arial"/>
          <w:szCs w:val="24"/>
        </w:rPr>
        <w:t>his</w:t>
      </w:r>
      <w:r w:rsidR="00D802DE" w:rsidRPr="00712815">
        <w:rPr>
          <w:rFonts w:ascii="Arial" w:hAnsi="Arial" w:cs="Arial"/>
          <w:szCs w:val="24"/>
        </w:rPr>
        <w:t xml:space="preserve"> instrument </w:t>
      </w:r>
      <w:r w:rsidR="009551F4" w:rsidRPr="00712815">
        <w:rPr>
          <w:rFonts w:ascii="Arial" w:hAnsi="Arial" w:cs="Arial"/>
          <w:szCs w:val="24"/>
        </w:rPr>
        <w:t>does not</w:t>
      </w:r>
      <w:r w:rsidR="00D802DE" w:rsidRPr="00712815">
        <w:rPr>
          <w:rFonts w:ascii="Arial" w:hAnsi="Arial" w:cs="Arial"/>
          <w:szCs w:val="24"/>
        </w:rPr>
        <w:t xml:space="preserve"> require a Regulatory Impact Statement (OBPR Reference:</w:t>
      </w:r>
      <w:r w:rsidR="009F2C74">
        <w:rPr>
          <w:rFonts w:ascii="Arial" w:hAnsi="Arial" w:cs="Arial"/>
          <w:szCs w:val="24"/>
        </w:rPr>
        <w:t> 24100</w:t>
      </w:r>
      <w:r w:rsidR="00D802DE" w:rsidRPr="00712815">
        <w:rPr>
          <w:rFonts w:ascii="Arial" w:hAnsi="Arial" w:cs="Arial"/>
          <w:szCs w:val="24"/>
        </w:rPr>
        <w:t xml:space="preserve">).  </w:t>
      </w:r>
    </w:p>
    <w:p w14:paraId="644BFA8B" w14:textId="61C256C8" w:rsidR="006A6D51" w:rsidRDefault="006A6D51" w:rsidP="004F66BA">
      <w:pPr>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51D78415" w14:textId="6AFA9E85" w:rsidR="006512A6" w:rsidRDefault="006512A6" w:rsidP="004F66BA">
      <w:pPr>
        <w:jc w:val="both"/>
        <w:rPr>
          <w:rStyle w:val="BookTitle"/>
          <w:rFonts w:ascii="Arial" w:hAnsi="Arial" w:cs="Arial"/>
          <w:iCs w:val="0"/>
          <w:smallCaps w:val="0"/>
          <w:spacing w:val="0"/>
          <w:szCs w:val="24"/>
        </w:rPr>
      </w:pPr>
      <w:r>
        <w:rPr>
          <w:rStyle w:val="BookTitle"/>
          <w:rFonts w:ascii="Arial" w:hAnsi="Arial" w:cs="Arial"/>
          <w:b/>
          <w:i w:val="0"/>
          <w:iCs w:val="0"/>
          <w:smallCaps w:val="0"/>
          <w:spacing w:val="0"/>
          <w:szCs w:val="24"/>
        </w:rPr>
        <w:t xml:space="preserve">Section 1 </w:t>
      </w:r>
      <w:r>
        <w:rPr>
          <w:rStyle w:val="BookTitle"/>
          <w:rFonts w:ascii="Arial" w:hAnsi="Arial" w:cs="Arial"/>
          <w:i w:val="0"/>
          <w:iCs w:val="0"/>
          <w:smallCaps w:val="0"/>
          <w:spacing w:val="0"/>
          <w:szCs w:val="24"/>
        </w:rPr>
        <w:t xml:space="preserve">provides </w:t>
      </w:r>
      <w:r w:rsidR="00485CD3">
        <w:rPr>
          <w:rStyle w:val="BookTitle"/>
          <w:rFonts w:ascii="Arial" w:hAnsi="Arial" w:cs="Arial"/>
          <w:i w:val="0"/>
          <w:iCs w:val="0"/>
          <w:smallCaps w:val="0"/>
          <w:spacing w:val="0"/>
          <w:szCs w:val="24"/>
        </w:rPr>
        <w:t>that</w:t>
      </w:r>
      <w:r>
        <w:rPr>
          <w:rStyle w:val="BookTitle"/>
          <w:rFonts w:ascii="Arial" w:hAnsi="Arial" w:cs="Arial"/>
          <w:i w:val="0"/>
          <w:iCs w:val="0"/>
          <w:smallCaps w:val="0"/>
          <w:spacing w:val="0"/>
          <w:szCs w:val="24"/>
        </w:rPr>
        <w:t xml:space="preserve"> the </w:t>
      </w:r>
      <w:r w:rsidR="00BD4DD9">
        <w:rPr>
          <w:rStyle w:val="BookTitle"/>
          <w:rFonts w:ascii="Arial" w:hAnsi="Arial" w:cs="Arial"/>
          <w:i w:val="0"/>
          <w:iCs w:val="0"/>
          <w:smallCaps w:val="0"/>
          <w:spacing w:val="0"/>
          <w:szCs w:val="24"/>
        </w:rPr>
        <w:t>name of this</w:t>
      </w:r>
      <w:r w:rsidR="00485CD3">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instrument is the </w:t>
      </w:r>
      <w:r w:rsidR="00D674D4">
        <w:rPr>
          <w:rStyle w:val="BookTitle"/>
          <w:rFonts w:ascii="Arial" w:hAnsi="Arial" w:cs="Arial"/>
          <w:iCs w:val="0"/>
          <w:smallCaps w:val="0"/>
          <w:spacing w:val="0"/>
          <w:szCs w:val="24"/>
        </w:rPr>
        <w:t>Coronavirus Economic Response Package (Deferral of Sunsetting – Income Management and Cashless Welfare Arrangements) Determination 2020</w:t>
      </w:r>
      <w:r w:rsidRPr="006512A6">
        <w:rPr>
          <w:rStyle w:val="BookTitle"/>
          <w:rFonts w:ascii="Arial" w:hAnsi="Arial" w:cs="Arial"/>
          <w:iCs w:val="0"/>
          <w:smallCaps w:val="0"/>
          <w:spacing w:val="0"/>
          <w:szCs w:val="24"/>
        </w:rPr>
        <w:t>.</w:t>
      </w:r>
    </w:p>
    <w:p w14:paraId="53F2EE72" w14:textId="77777777" w:rsidR="006512A6" w:rsidRDefault="006512A6" w:rsidP="004F66BA">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2</w:t>
      </w:r>
      <w:r>
        <w:rPr>
          <w:rStyle w:val="BookTitle"/>
          <w:rFonts w:ascii="Arial" w:hAnsi="Arial" w:cs="Arial"/>
          <w:i w:val="0"/>
          <w:iCs w:val="0"/>
          <w:smallCaps w:val="0"/>
          <w:spacing w:val="0"/>
          <w:szCs w:val="24"/>
        </w:rPr>
        <w:t xml:space="preserve"> provides that this </w:t>
      </w:r>
      <w:r w:rsidR="00122184">
        <w:rPr>
          <w:rStyle w:val="BookTitle"/>
          <w:rFonts w:ascii="Arial" w:hAnsi="Arial" w:cs="Arial"/>
          <w:i w:val="0"/>
          <w:iCs w:val="0"/>
          <w:smallCaps w:val="0"/>
          <w:spacing w:val="0"/>
          <w:szCs w:val="24"/>
        </w:rPr>
        <w:t xml:space="preserve">instrument </w:t>
      </w:r>
      <w:r>
        <w:rPr>
          <w:rStyle w:val="BookTitle"/>
          <w:rFonts w:ascii="Arial" w:hAnsi="Arial" w:cs="Arial"/>
          <w:i w:val="0"/>
          <w:iCs w:val="0"/>
          <w:smallCaps w:val="0"/>
          <w:spacing w:val="0"/>
          <w:szCs w:val="24"/>
        </w:rPr>
        <w:t>commences on the day after this instrument is</w:t>
      </w:r>
      <w:r w:rsidR="00317705">
        <w:rPr>
          <w:rStyle w:val="BookTitle"/>
          <w:rFonts w:ascii="Arial" w:hAnsi="Arial" w:cs="Arial"/>
          <w:i w:val="0"/>
          <w:iCs w:val="0"/>
          <w:smallCaps w:val="0"/>
          <w:spacing w:val="0"/>
          <w:szCs w:val="24"/>
        </w:rPr>
        <w:t> </w:t>
      </w:r>
      <w:r w:rsidR="008E145B">
        <w:rPr>
          <w:rStyle w:val="BookTitle"/>
          <w:rFonts w:ascii="Arial" w:hAnsi="Arial" w:cs="Arial"/>
          <w:i w:val="0"/>
          <w:iCs w:val="0"/>
          <w:smallCaps w:val="0"/>
          <w:spacing w:val="0"/>
          <w:szCs w:val="24"/>
        </w:rPr>
        <w:t>registered on the Federal Register of Legislation</w:t>
      </w:r>
      <w:r>
        <w:rPr>
          <w:rStyle w:val="BookTitle"/>
          <w:rFonts w:ascii="Arial" w:hAnsi="Arial" w:cs="Arial"/>
          <w:i w:val="0"/>
          <w:iCs w:val="0"/>
          <w:smallCaps w:val="0"/>
          <w:spacing w:val="0"/>
          <w:szCs w:val="24"/>
        </w:rPr>
        <w:t>.</w:t>
      </w:r>
    </w:p>
    <w:p w14:paraId="29B27CEF" w14:textId="462A2DAE" w:rsidR="006512A6" w:rsidRDefault="006512A6" w:rsidP="004F66BA">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3</w:t>
      </w:r>
      <w:r>
        <w:rPr>
          <w:rStyle w:val="BookTitle"/>
          <w:rFonts w:ascii="Arial" w:hAnsi="Arial" w:cs="Arial"/>
          <w:i w:val="0"/>
          <w:iCs w:val="0"/>
          <w:smallCaps w:val="0"/>
          <w:spacing w:val="0"/>
          <w:szCs w:val="24"/>
        </w:rPr>
        <w:t xml:space="preserve"> provides t</w:t>
      </w:r>
      <w:r w:rsidR="00BD4DD9">
        <w:rPr>
          <w:rStyle w:val="BookTitle"/>
          <w:rFonts w:ascii="Arial" w:hAnsi="Arial" w:cs="Arial"/>
          <w:i w:val="0"/>
          <w:iCs w:val="0"/>
          <w:smallCaps w:val="0"/>
          <w:spacing w:val="0"/>
          <w:szCs w:val="24"/>
        </w:rPr>
        <w:t>hat the authority for making this</w:t>
      </w:r>
      <w:r>
        <w:rPr>
          <w:rStyle w:val="BookTitle"/>
          <w:rFonts w:ascii="Arial" w:hAnsi="Arial" w:cs="Arial"/>
          <w:i w:val="0"/>
          <w:iCs w:val="0"/>
          <w:smallCaps w:val="0"/>
          <w:spacing w:val="0"/>
          <w:szCs w:val="24"/>
        </w:rPr>
        <w:t xml:space="preserve"> </w:t>
      </w:r>
      <w:r w:rsidR="00122184">
        <w:rPr>
          <w:rStyle w:val="BookTitle"/>
          <w:rFonts w:ascii="Arial" w:hAnsi="Arial" w:cs="Arial"/>
          <w:i w:val="0"/>
          <w:iCs w:val="0"/>
          <w:smallCaps w:val="0"/>
          <w:spacing w:val="0"/>
          <w:szCs w:val="24"/>
        </w:rPr>
        <w:t xml:space="preserve">instrument </w:t>
      </w:r>
      <w:r>
        <w:rPr>
          <w:rStyle w:val="BookTitle"/>
          <w:rFonts w:ascii="Arial" w:hAnsi="Arial" w:cs="Arial"/>
          <w:i w:val="0"/>
          <w:iCs w:val="0"/>
          <w:smallCaps w:val="0"/>
          <w:spacing w:val="0"/>
          <w:szCs w:val="24"/>
        </w:rPr>
        <w:t>is</w:t>
      </w:r>
      <w:r w:rsidR="00317705">
        <w:rPr>
          <w:rStyle w:val="BookTitle"/>
          <w:rFonts w:ascii="Arial" w:hAnsi="Arial" w:cs="Arial"/>
          <w:i w:val="0"/>
          <w:iCs w:val="0"/>
          <w:smallCaps w:val="0"/>
          <w:spacing w:val="0"/>
          <w:szCs w:val="24"/>
        </w:rPr>
        <w:t> </w:t>
      </w:r>
      <w:r w:rsidR="005F7756">
        <w:rPr>
          <w:rStyle w:val="BookTitle"/>
          <w:rFonts w:ascii="Arial" w:hAnsi="Arial" w:cs="Arial"/>
          <w:i w:val="0"/>
          <w:iCs w:val="0"/>
          <w:smallCaps w:val="0"/>
          <w:spacing w:val="0"/>
          <w:szCs w:val="24"/>
        </w:rPr>
        <w:t>subitem 1(2) of</w:t>
      </w:r>
      <w:r w:rsidR="007D1DE6">
        <w:rPr>
          <w:rStyle w:val="BookTitle"/>
          <w:rFonts w:ascii="Arial" w:hAnsi="Arial" w:cs="Arial"/>
          <w:i w:val="0"/>
          <w:iCs w:val="0"/>
          <w:smallCaps w:val="0"/>
          <w:spacing w:val="0"/>
          <w:szCs w:val="24"/>
        </w:rPr>
        <w:t> </w:t>
      </w:r>
      <w:r w:rsidR="005F7756">
        <w:rPr>
          <w:rStyle w:val="BookTitle"/>
          <w:rFonts w:ascii="Arial" w:hAnsi="Arial" w:cs="Arial"/>
          <w:i w:val="0"/>
          <w:iCs w:val="0"/>
          <w:smallCaps w:val="0"/>
          <w:spacing w:val="0"/>
          <w:szCs w:val="24"/>
        </w:rPr>
        <w:t xml:space="preserve">Schedule 16 to the </w:t>
      </w:r>
      <w:r w:rsidR="005F7756">
        <w:rPr>
          <w:rStyle w:val="BookTitle"/>
          <w:rFonts w:ascii="Arial" w:hAnsi="Arial" w:cs="Arial"/>
          <w:iCs w:val="0"/>
          <w:smallCaps w:val="0"/>
          <w:spacing w:val="0"/>
          <w:szCs w:val="24"/>
        </w:rPr>
        <w:t>Coronavirus Economic Response Package Omnibus Act 2020</w:t>
      </w:r>
      <w:r w:rsidR="00D674D4">
        <w:rPr>
          <w:rStyle w:val="BookTitle"/>
          <w:rFonts w:ascii="Arial" w:hAnsi="Arial" w:cs="Arial"/>
          <w:iCs w:val="0"/>
          <w:smallCaps w:val="0"/>
          <w:spacing w:val="0"/>
          <w:szCs w:val="24"/>
        </w:rPr>
        <w:t xml:space="preserve"> </w:t>
      </w:r>
      <w:r w:rsidR="00D674D4" w:rsidRPr="00D674D4">
        <w:rPr>
          <w:rStyle w:val="BookTitle"/>
          <w:rFonts w:ascii="Arial" w:hAnsi="Arial" w:cs="Arial"/>
          <w:i w:val="0"/>
          <w:iCs w:val="0"/>
          <w:smallCaps w:val="0"/>
          <w:spacing w:val="0"/>
          <w:szCs w:val="24"/>
        </w:rPr>
        <w:t xml:space="preserve">(the </w:t>
      </w:r>
      <w:r w:rsidR="00D674D4" w:rsidRPr="00D674D4">
        <w:rPr>
          <w:rStyle w:val="BookTitle"/>
          <w:rFonts w:ascii="Arial" w:hAnsi="Arial" w:cs="Arial"/>
          <w:b/>
          <w:i w:val="0"/>
          <w:iCs w:val="0"/>
          <w:smallCaps w:val="0"/>
          <w:spacing w:val="0"/>
          <w:szCs w:val="24"/>
        </w:rPr>
        <w:t>Act</w:t>
      </w:r>
      <w:r w:rsidR="00D674D4" w:rsidRPr="00D674D4">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w:t>
      </w:r>
    </w:p>
    <w:p w14:paraId="3DABB6EB" w14:textId="77777777" w:rsidR="005F7756" w:rsidRDefault="006512A6" w:rsidP="004F66BA">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4 </w:t>
      </w:r>
      <w:r w:rsidR="005F7756">
        <w:rPr>
          <w:rStyle w:val="BookTitle"/>
          <w:rFonts w:ascii="Arial" w:hAnsi="Arial" w:cs="Arial"/>
          <w:i w:val="0"/>
          <w:iCs w:val="0"/>
          <w:smallCaps w:val="0"/>
          <w:spacing w:val="0"/>
          <w:szCs w:val="24"/>
        </w:rPr>
        <w:t xml:space="preserve">provides for the deferral of the sunsetting dates for income management and the cashless welfare arrangements.  </w:t>
      </w:r>
    </w:p>
    <w:p w14:paraId="3F6F976B" w14:textId="4D56A60E" w:rsidR="008E145B" w:rsidRDefault="005F7756" w:rsidP="004F66BA">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4(1) pro</w:t>
      </w:r>
      <w:r w:rsidR="00D674D4">
        <w:rPr>
          <w:rStyle w:val="BookTitle"/>
          <w:rFonts w:ascii="Arial" w:hAnsi="Arial" w:cs="Arial"/>
          <w:i w:val="0"/>
          <w:iCs w:val="0"/>
          <w:smallCaps w:val="0"/>
          <w:spacing w:val="0"/>
          <w:szCs w:val="24"/>
        </w:rPr>
        <w:t>vides that, for the purposes of subitem 1(2</w:t>
      </w:r>
      <w:r w:rsidR="002F1164">
        <w:rPr>
          <w:rStyle w:val="BookTitle"/>
          <w:rFonts w:ascii="Arial" w:hAnsi="Arial" w:cs="Arial"/>
          <w:i w:val="0"/>
          <w:iCs w:val="0"/>
          <w:smallCaps w:val="0"/>
          <w:spacing w:val="0"/>
          <w:szCs w:val="24"/>
        </w:rPr>
        <w:t>) of Schedule 16 to the Act, section</w:t>
      </w:r>
      <w:r w:rsidR="00D674D4">
        <w:rPr>
          <w:rStyle w:val="BookTitle"/>
          <w:rFonts w:ascii="Arial" w:hAnsi="Arial" w:cs="Arial"/>
          <w:i w:val="0"/>
          <w:iCs w:val="0"/>
          <w:smallCaps w:val="0"/>
          <w:spacing w:val="0"/>
          <w:szCs w:val="24"/>
        </w:rPr>
        <w:t xml:space="preserve"> 123UF</w:t>
      </w:r>
      <w:r w:rsidR="002F1164">
        <w:rPr>
          <w:rStyle w:val="BookTitle"/>
          <w:rFonts w:ascii="Arial" w:hAnsi="Arial" w:cs="Arial"/>
          <w:i w:val="0"/>
          <w:iCs w:val="0"/>
          <w:smallCaps w:val="0"/>
          <w:spacing w:val="0"/>
          <w:szCs w:val="24"/>
        </w:rPr>
        <w:t xml:space="preserve"> </w:t>
      </w:r>
      <w:r w:rsidR="00D674D4">
        <w:rPr>
          <w:rStyle w:val="BookTitle"/>
          <w:rFonts w:ascii="Arial" w:hAnsi="Arial" w:cs="Arial"/>
          <w:i w:val="0"/>
          <w:iCs w:val="0"/>
          <w:smallCaps w:val="0"/>
          <w:spacing w:val="0"/>
          <w:szCs w:val="24"/>
        </w:rPr>
        <w:t xml:space="preserve">of the </w:t>
      </w:r>
      <w:r w:rsidR="00D674D4" w:rsidRPr="009F2C74">
        <w:rPr>
          <w:rStyle w:val="BookTitle"/>
          <w:rFonts w:ascii="Arial" w:hAnsi="Arial" w:cs="Arial"/>
          <w:i w:val="0"/>
          <w:iCs w:val="0"/>
          <w:smallCaps w:val="0"/>
          <w:spacing w:val="0"/>
          <w:szCs w:val="24"/>
        </w:rPr>
        <w:t>Administration Act</w:t>
      </w:r>
      <w:r w:rsidR="00D674D4">
        <w:rPr>
          <w:rStyle w:val="BookTitle"/>
          <w:rFonts w:ascii="Arial" w:hAnsi="Arial" w:cs="Arial"/>
          <w:i w:val="0"/>
          <w:iCs w:val="0"/>
          <w:smallCaps w:val="0"/>
          <w:spacing w:val="0"/>
          <w:szCs w:val="24"/>
        </w:rPr>
        <w:t xml:space="preserve"> continue</w:t>
      </w:r>
      <w:r w:rsidR="002F1164">
        <w:rPr>
          <w:rStyle w:val="BookTitle"/>
          <w:rFonts w:ascii="Arial" w:hAnsi="Arial" w:cs="Arial"/>
          <w:i w:val="0"/>
          <w:iCs w:val="0"/>
          <w:smallCaps w:val="0"/>
          <w:spacing w:val="0"/>
          <w:szCs w:val="24"/>
        </w:rPr>
        <w:t>s</w:t>
      </w:r>
      <w:r w:rsidR="00D674D4">
        <w:rPr>
          <w:rStyle w:val="BookTitle"/>
          <w:rFonts w:ascii="Arial" w:hAnsi="Arial" w:cs="Arial"/>
          <w:i w:val="0"/>
          <w:iCs w:val="0"/>
          <w:smallCaps w:val="0"/>
          <w:spacing w:val="0"/>
          <w:szCs w:val="24"/>
        </w:rPr>
        <w:t xml:space="preserve"> to operate until </w:t>
      </w:r>
      <w:r w:rsidR="002F1164">
        <w:rPr>
          <w:rStyle w:val="BookTitle"/>
          <w:rFonts w:ascii="Arial" w:hAnsi="Arial" w:cs="Arial"/>
          <w:i w:val="0"/>
          <w:iCs w:val="0"/>
          <w:smallCaps w:val="0"/>
          <w:spacing w:val="0"/>
          <w:szCs w:val="24"/>
        </w:rPr>
        <w:t>31 December </w:t>
      </w:r>
      <w:r w:rsidR="006353E3">
        <w:rPr>
          <w:rStyle w:val="BookTitle"/>
          <w:rFonts w:ascii="Arial" w:hAnsi="Arial" w:cs="Arial"/>
          <w:i w:val="0"/>
          <w:iCs w:val="0"/>
          <w:smallCaps w:val="0"/>
          <w:spacing w:val="0"/>
          <w:szCs w:val="24"/>
        </w:rPr>
        <w:t>2020</w:t>
      </w:r>
      <w:r w:rsidR="00D674D4">
        <w:rPr>
          <w:rStyle w:val="BookTitle"/>
          <w:rFonts w:ascii="Arial" w:hAnsi="Arial" w:cs="Arial"/>
          <w:i w:val="0"/>
          <w:iCs w:val="0"/>
          <w:smallCaps w:val="0"/>
          <w:spacing w:val="0"/>
          <w:szCs w:val="24"/>
        </w:rPr>
        <w:t>.</w:t>
      </w:r>
      <w:r w:rsidR="00BC04C9">
        <w:rPr>
          <w:rStyle w:val="BookTitle"/>
          <w:rFonts w:ascii="Arial" w:hAnsi="Arial" w:cs="Arial"/>
          <w:i w:val="0"/>
          <w:iCs w:val="0"/>
          <w:smallCaps w:val="0"/>
          <w:spacing w:val="0"/>
          <w:szCs w:val="24"/>
        </w:rPr>
        <w:t xml:space="preserve">  This has the effect of continuing the operation of Income Man</w:t>
      </w:r>
      <w:r w:rsidR="0021475B">
        <w:rPr>
          <w:rStyle w:val="BookTitle"/>
          <w:rFonts w:ascii="Arial" w:hAnsi="Arial" w:cs="Arial"/>
          <w:i w:val="0"/>
          <w:iCs w:val="0"/>
          <w:smallCaps w:val="0"/>
          <w:spacing w:val="0"/>
          <w:szCs w:val="24"/>
        </w:rPr>
        <w:t>agement in the Cape York region until 31 December 2020.</w:t>
      </w:r>
      <w:r w:rsidR="009F2C74">
        <w:rPr>
          <w:rStyle w:val="BookTitle"/>
          <w:rFonts w:ascii="Arial" w:hAnsi="Arial" w:cs="Arial"/>
          <w:i w:val="0"/>
          <w:iCs w:val="0"/>
          <w:smallCaps w:val="0"/>
          <w:spacing w:val="0"/>
          <w:szCs w:val="24"/>
        </w:rPr>
        <w:t xml:space="preserve"> </w:t>
      </w:r>
      <w:r w:rsidR="0021475B">
        <w:rPr>
          <w:rStyle w:val="BookTitle"/>
          <w:rFonts w:ascii="Arial" w:hAnsi="Arial" w:cs="Arial"/>
          <w:i w:val="0"/>
          <w:iCs w:val="0"/>
          <w:smallCaps w:val="0"/>
          <w:spacing w:val="0"/>
          <w:szCs w:val="24"/>
        </w:rPr>
        <w:t xml:space="preserve"> All other Income Management areas will also continue to operate as they do not have a legislative end date. </w:t>
      </w:r>
    </w:p>
    <w:p w14:paraId="66D82448" w14:textId="48F2D330" w:rsidR="00D674D4" w:rsidRPr="00D674D4" w:rsidRDefault="00D674D4" w:rsidP="004F66BA">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Subsection 4(2) provides that, for the purposes of subitem 1(2) of Schedule 16 to the Act, Part 3D of the Administration Act continues to operate until 31 December </w:t>
      </w:r>
      <w:r w:rsidR="006353E3">
        <w:rPr>
          <w:rStyle w:val="BookTitle"/>
          <w:rFonts w:ascii="Arial" w:hAnsi="Arial" w:cs="Arial"/>
          <w:i w:val="0"/>
          <w:iCs w:val="0"/>
          <w:smallCaps w:val="0"/>
          <w:spacing w:val="0"/>
          <w:szCs w:val="24"/>
        </w:rPr>
        <w:t>2020</w:t>
      </w:r>
      <w:r>
        <w:rPr>
          <w:rStyle w:val="BookTitle"/>
          <w:rFonts w:ascii="Arial" w:hAnsi="Arial" w:cs="Arial"/>
          <w:i w:val="0"/>
          <w:iCs w:val="0"/>
          <w:smallCaps w:val="0"/>
          <w:spacing w:val="0"/>
          <w:szCs w:val="24"/>
        </w:rPr>
        <w:t>.</w:t>
      </w:r>
      <w:r w:rsidR="00BC04C9">
        <w:rPr>
          <w:rStyle w:val="BookTitle"/>
          <w:rFonts w:ascii="Arial" w:hAnsi="Arial" w:cs="Arial"/>
          <w:i w:val="0"/>
          <w:iCs w:val="0"/>
          <w:smallCaps w:val="0"/>
          <w:spacing w:val="0"/>
          <w:szCs w:val="24"/>
        </w:rPr>
        <w:t xml:space="preserve">  This has the effect of continuing the Cashless Debit Card trial until 31 December 2020.</w:t>
      </w:r>
    </w:p>
    <w:p w14:paraId="4997C501" w14:textId="2193B943" w:rsidR="006D4A7F" w:rsidRDefault="006D4A7F" w:rsidP="004F66BA">
      <w:pPr>
        <w:spacing w:before="0"/>
        <w:jc w:val="both"/>
        <w:textAlignment w:val="top"/>
        <w:rPr>
          <w:rFonts w:ascii="Arial" w:hAnsi="Arial" w:cs="Arial"/>
          <w:szCs w:val="24"/>
        </w:rPr>
      </w:pPr>
    </w:p>
    <w:p w14:paraId="5E6D92D0" w14:textId="102D3829" w:rsidR="001B105C" w:rsidRPr="00487A59" w:rsidRDefault="00487A59" w:rsidP="004F66BA">
      <w:pPr>
        <w:spacing w:before="0"/>
        <w:jc w:val="both"/>
        <w:textAlignment w:val="top"/>
        <w:rPr>
          <w:rFonts w:ascii="Arial" w:hAnsi="Arial" w:cs="Arial"/>
          <w:szCs w:val="24"/>
        </w:rPr>
      </w:pPr>
      <w:r>
        <w:rPr>
          <w:rFonts w:ascii="Arial" w:hAnsi="Arial" w:cs="Arial"/>
          <w:szCs w:val="24"/>
        </w:rPr>
        <w:t xml:space="preserve">Under </w:t>
      </w:r>
      <w:r w:rsidRPr="00487A59">
        <w:rPr>
          <w:rFonts w:ascii="Arial" w:hAnsi="Arial" w:cs="Arial"/>
          <w:szCs w:val="24"/>
        </w:rPr>
        <w:t xml:space="preserve">items 3 and 4 of the table in section 36 of the </w:t>
      </w:r>
      <w:r w:rsidRPr="00487A59">
        <w:rPr>
          <w:rFonts w:ascii="Arial" w:hAnsi="Arial" w:cs="Arial"/>
          <w:i/>
          <w:iCs/>
          <w:szCs w:val="24"/>
        </w:rPr>
        <w:t>Acts Interpretation Act 1901</w:t>
      </w:r>
      <w:r w:rsidR="004B5879">
        <w:rPr>
          <w:rFonts w:ascii="Arial" w:hAnsi="Arial" w:cs="Arial"/>
          <w:i/>
          <w:iCs/>
          <w:szCs w:val="24"/>
        </w:rPr>
        <w:t xml:space="preserve">, </w:t>
      </w:r>
      <w:r>
        <w:rPr>
          <w:rFonts w:ascii="Arial" w:hAnsi="Arial" w:cs="Arial"/>
          <w:iCs/>
          <w:szCs w:val="24"/>
        </w:rPr>
        <w:t>where a period of time is expressed to continue until a specified</w:t>
      </w:r>
      <w:r w:rsidR="007D1DE6">
        <w:rPr>
          <w:rFonts w:ascii="Arial" w:hAnsi="Arial" w:cs="Arial"/>
          <w:iCs/>
          <w:szCs w:val="24"/>
        </w:rPr>
        <w:t xml:space="preserve"> day or to end at, or with a </w:t>
      </w:r>
      <w:r>
        <w:rPr>
          <w:rFonts w:ascii="Arial" w:hAnsi="Arial" w:cs="Arial"/>
          <w:iCs/>
          <w:szCs w:val="24"/>
        </w:rPr>
        <w:t xml:space="preserve">specified day, the time period includes that day.  </w:t>
      </w:r>
    </w:p>
    <w:p w14:paraId="2CA616D2" w14:textId="77777777" w:rsidR="001B105C" w:rsidRDefault="001B105C" w:rsidP="004F66BA">
      <w:pPr>
        <w:spacing w:before="0"/>
        <w:jc w:val="both"/>
        <w:textAlignment w:val="top"/>
        <w:rPr>
          <w:rFonts w:ascii="Arial" w:hAnsi="Arial" w:cs="Arial"/>
          <w:szCs w:val="24"/>
        </w:rPr>
      </w:pPr>
    </w:p>
    <w:p w14:paraId="7AC64749" w14:textId="04DDE746" w:rsidR="001B105C" w:rsidRDefault="001B105C" w:rsidP="004F66BA">
      <w:pPr>
        <w:spacing w:before="0"/>
        <w:jc w:val="both"/>
        <w:textAlignment w:val="top"/>
        <w:rPr>
          <w:rFonts w:ascii="Arial" w:hAnsi="Arial" w:cs="Arial"/>
          <w:szCs w:val="24"/>
        </w:rPr>
      </w:pPr>
    </w:p>
    <w:p w14:paraId="4FFE1F6D" w14:textId="77777777" w:rsidR="00AD5460" w:rsidRDefault="00AD5460" w:rsidP="004F66BA">
      <w:pPr>
        <w:spacing w:before="0"/>
        <w:jc w:val="both"/>
        <w:textAlignment w:val="top"/>
        <w:rPr>
          <w:rFonts w:ascii="Arial" w:hAnsi="Arial" w:cs="Arial"/>
          <w:szCs w:val="24"/>
        </w:rPr>
      </w:pPr>
    </w:p>
    <w:p w14:paraId="23A9A2EC" w14:textId="77777777" w:rsidR="001B105C" w:rsidRDefault="001B105C" w:rsidP="004F66BA">
      <w:pPr>
        <w:spacing w:before="0"/>
        <w:jc w:val="both"/>
        <w:textAlignment w:val="top"/>
        <w:rPr>
          <w:rFonts w:ascii="Arial" w:hAnsi="Arial" w:cs="Arial"/>
          <w:szCs w:val="24"/>
        </w:rPr>
      </w:pPr>
    </w:p>
    <w:p w14:paraId="3DDC04B0" w14:textId="77777777" w:rsidR="001B105C" w:rsidRPr="00B44B07" w:rsidRDefault="001B105C">
      <w:pPr>
        <w:spacing w:before="0" w:after="200" w:line="276" w:lineRule="auto"/>
        <w:jc w:val="center"/>
        <w:rPr>
          <w:rStyle w:val="BookTitle"/>
          <w:rFonts w:ascii="Arial" w:eastAsiaTheme="majorEastAsia" w:hAnsi="Arial" w:cs="Arial"/>
          <w:b/>
          <w:bCs/>
          <w:i w:val="0"/>
          <w:iCs w:val="0"/>
          <w:smallCaps w:val="0"/>
          <w:spacing w:val="0"/>
          <w:szCs w:val="24"/>
        </w:rPr>
      </w:pPr>
      <w:r>
        <w:rPr>
          <w:rFonts w:ascii="Arial" w:hAnsi="Arial" w:cs="Arial"/>
          <w:b/>
          <w:szCs w:val="24"/>
        </w:rPr>
        <w:t>Senator the Hon Anne Ruston, Minister for Families and Social Services</w:t>
      </w:r>
      <w:r w:rsidRPr="00BC76EB">
        <w:rPr>
          <w:rFonts w:ascii="Arial" w:hAnsi="Arial" w:cs="Arial"/>
          <w:szCs w:val="24"/>
        </w:rPr>
        <w:t xml:space="preserve"> </w:t>
      </w:r>
    </w:p>
    <w:p w14:paraId="3CAC9C52" w14:textId="77777777" w:rsidR="001B105C" w:rsidRDefault="001B105C" w:rsidP="004F66BA">
      <w:pPr>
        <w:spacing w:before="0"/>
        <w:jc w:val="both"/>
        <w:textAlignment w:val="top"/>
        <w:rPr>
          <w:rFonts w:ascii="Arial" w:hAnsi="Arial" w:cs="Arial"/>
          <w:szCs w:val="24"/>
        </w:rPr>
      </w:pPr>
    </w:p>
    <w:p w14:paraId="44F5BB19" w14:textId="77777777" w:rsidR="001F3F98" w:rsidRPr="0072177C" w:rsidRDefault="00C37944" w:rsidP="004F66BA">
      <w:pPr>
        <w:spacing w:before="0" w:after="200" w:line="276" w:lineRule="auto"/>
        <w:jc w:val="both"/>
        <w:rPr>
          <w:rFonts w:ascii="Arial" w:eastAsiaTheme="majorEastAsia" w:hAnsi="Arial" w:cs="Arial"/>
          <w:b/>
          <w:bCs/>
          <w:szCs w:val="24"/>
        </w:rPr>
      </w:pPr>
      <w:bookmarkStart w:id="1" w:name="_Toc290210739"/>
      <w:r w:rsidRPr="00BC76EB">
        <w:rPr>
          <w:rFonts w:ascii="Arial" w:hAnsi="Arial" w:cs="Arial"/>
          <w:szCs w:val="24"/>
        </w:rPr>
        <w:br w:type="page"/>
      </w:r>
      <w:bookmarkEnd w:id="1"/>
    </w:p>
    <w:p w14:paraId="22178899" w14:textId="77777777" w:rsidR="001F3F98" w:rsidRPr="00BC76EB" w:rsidRDefault="001F3F98" w:rsidP="001F3F98">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14:paraId="7BE0193D" w14:textId="77777777" w:rsidR="001F3F98" w:rsidRPr="00BC76EB" w:rsidRDefault="001F3F98" w:rsidP="001F3F98">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5F353A2F" w14:textId="77777777" w:rsidR="001F3F98" w:rsidRPr="00BC76EB" w:rsidRDefault="001F3F98" w:rsidP="001F3F98">
      <w:pPr>
        <w:spacing w:before="120" w:after="120"/>
        <w:jc w:val="center"/>
        <w:rPr>
          <w:rFonts w:ascii="Arial" w:hAnsi="Arial" w:cs="Arial"/>
          <w:szCs w:val="24"/>
        </w:rPr>
      </w:pPr>
    </w:p>
    <w:p w14:paraId="18061530" w14:textId="30C313C2" w:rsidR="001F3F98" w:rsidRPr="00BC76EB" w:rsidRDefault="007A2AA3" w:rsidP="001F3F98">
      <w:pPr>
        <w:spacing w:before="120" w:after="120"/>
        <w:jc w:val="center"/>
        <w:rPr>
          <w:rFonts w:ascii="Arial" w:hAnsi="Arial" w:cs="Arial"/>
          <w:b/>
          <w:szCs w:val="24"/>
        </w:rPr>
      </w:pPr>
      <w:r>
        <w:rPr>
          <w:rFonts w:ascii="Arial" w:hAnsi="Arial" w:cs="Arial"/>
          <w:b/>
          <w:szCs w:val="24"/>
        </w:rPr>
        <w:t>Coronavirus Economic Response Package (Deferral of sunsetting – Income Management and Cashless Welfare Arrangements) Determination</w:t>
      </w:r>
      <w:r w:rsidR="001F3F98" w:rsidRPr="001F3F98">
        <w:rPr>
          <w:rFonts w:ascii="Arial" w:hAnsi="Arial" w:cs="Arial"/>
          <w:b/>
          <w:szCs w:val="24"/>
        </w:rPr>
        <w:t xml:space="preserve"> </w:t>
      </w:r>
      <w:r w:rsidR="00C706AF" w:rsidRPr="001F3F98">
        <w:rPr>
          <w:rFonts w:ascii="Arial" w:hAnsi="Arial" w:cs="Arial"/>
          <w:b/>
          <w:szCs w:val="24"/>
        </w:rPr>
        <w:t>20</w:t>
      </w:r>
      <w:r w:rsidR="00C706AF">
        <w:rPr>
          <w:rFonts w:ascii="Arial" w:hAnsi="Arial" w:cs="Arial"/>
          <w:b/>
          <w:szCs w:val="24"/>
        </w:rPr>
        <w:t>20</w:t>
      </w:r>
      <w:r w:rsidR="00C706AF" w:rsidRPr="00BC76EB">
        <w:rPr>
          <w:rFonts w:ascii="Arial" w:hAnsi="Arial" w:cs="Arial"/>
          <w:b/>
          <w:szCs w:val="24"/>
        </w:rPr>
        <w:t xml:space="preserve"> </w:t>
      </w:r>
    </w:p>
    <w:p w14:paraId="3C678C6F" w14:textId="77777777" w:rsidR="001F3F98" w:rsidRPr="00BC76EB" w:rsidRDefault="001F3F98" w:rsidP="001F3F98">
      <w:pPr>
        <w:spacing w:before="120" w:after="120"/>
        <w:jc w:val="center"/>
        <w:rPr>
          <w:rFonts w:ascii="Arial" w:hAnsi="Arial" w:cs="Arial"/>
          <w:szCs w:val="24"/>
        </w:rPr>
      </w:pPr>
    </w:p>
    <w:p w14:paraId="6B83486D" w14:textId="67878E11" w:rsidR="001F3F98" w:rsidRPr="00BC76EB" w:rsidRDefault="00BC3923" w:rsidP="006868A7">
      <w:pPr>
        <w:spacing w:before="120" w:after="120"/>
        <w:jc w:val="both"/>
        <w:rPr>
          <w:rFonts w:ascii="Arial" w:hAnsi="Arial" w:cs="Arial"/>
          <w:szCs w:val="24"/>
        </w:rPr>
      </w:pPr>
      <w:r>
        <w:rPr>
          <w:rFonts w:ascii="Arial" w:hAnsi="Arial" w:cs="Arial"/>
          <w:szCs w:val="24"/>
        </w:rPr>
        <w:t>This</w:t>
      </w:r>
      <w:r w:rsidR="001F3F98" w:rsidRPr="00BC76EB">
        <w:rPr>
          <w:rFonts w:ascii="Arial" w:hAnsi="Arial" w:cs="Arial"/>
          <w:szCs w:val="24"/>
        </w:rPr>
        <w:t xml:space="preserve"> </w:t>
      </w:r>
      <w:r w:rsidR="001F3F98">
        <w:rPr>
          <w:rFonts w:ascii="Arial" w:hAnsi="Arial" w:cs="Arial"/>
          <w:szCs w:val="24"/>
        </w:rPr>
        <w:t xml:space="preserve">Instrument is </w:t>
      </w:r>
      <w:r w:rsidR="001F3F98" w:rsidRPr="00BC76EB">
        <w:rPr>
          <w:rFonts w:ascii="Arial" w:hAnsi="Arial" w:cs="Arial"/>
          <w:szCs w:val="24"/>
        </w:rPr>
        <w:t>compatible with the human rights and freedoms recognised or</w:t>
      </w:r>
      <w:r w:rsidR="006868A7">
        <w:rPr>
          <w:rFonts w:ascii="Arial" w:hAnsi="Arial" w:cs="Arial"/>
          <w:szCs w:val="24"/>
        </w:rPr>
        <w:t> </w:t>
      </w:r>
      <w:r w:rsidR="001F3F98" w:rsidRPr="00BC76EB">
        <w:rPr>
          <w:rFonts w:ascii="Arial" w:hAnsi="Arial" w:cs="Arial"/>
          <w:szCs w:val="24"/>
        </w:rPr>
        <w:t>declared in the internationa</w:t>
      </w:r>
      <w:r w:rsidR="001F3F98">
        <w:rPr>
          <w:rFonts w:ascii="Arial" w:hAnsi="Arial" w:cs="Arial"/>
          <w:szCs w:val="24"/>
        </w:rPr>
        <w:t>l instruments listed in section </w:t>
      </w:r>
      <w:r w:rsidR="001F3F98" w:rsidRPr="00BC76EB">
        <w:rPr>
          <w:rFonts w:ascii="Arial" w:hAnsi="Arial" w:cs="Arial"/>
          <w:szCs w:val="24"/>
        </w:rPr>
        <w:t xml:space="preserve">3 of the </w:t>
      </w:r>
      <w:r w:rsidR="001F3F98" w:rsidRPr="00BC76EB">
        <w:rPr>
          <w:rFonts w:ascii="Arial" w:hAnsi="Arial" w:cs="Arial"/>
          <w:i/>
          <w:szCs w:val="24"/>
        </w:rPr>
        <w:t>Human Rights (Parliamentary Scrutiny) Act 2011</w:t>
      </w:r>
      <w:r w:rsidR="001F3F98" w:rsidRPr="00BC76EB">
        <w:rPr>
          <w:rFonts w:ascii="Arial" w:hAnsi="Arial" w:cs="Arial"/>
          <w:szCs w:val="24"/>
        </w:rPr>
        <w:t>.</w:t>
      </w:r>
    </w:p>
    <w:p w14:paraId="267E7017" w14:textId="77777777" w:rsidR="001F3F98" w:rsidRPr="00BC76EB" w:rsidRDefault="001F3F98">
      <w:pPr>
        <w:spacing w:after="120"/>
        <w:jc w:val="both"/>
        <w:rPr>
          <w:rFonts w:ascii="Arial" w:hAnsi="Arial" w:cs="Arial"/>
          <w:b/>
          <w:szCs w:val="24"/>
        </w:rPr>
      </w:pPr>
      <w:r w:rsidRPr="00BC76EB">
        <w:rPr>
          <w:rFonts w:ascii="Arial" w:hAnsi="Arial" w:cs="Arial"/>
          <w:b/>
          <w:szCs w:val="24"/>
        </w:rPr>
        <w:t>Overview of the legislative instrument</w:t>
      </w:r>
    </w:p>
    <w:p w14:paraId="5B9EEACF" w14:textId="16930FFB" w:rsidR="00DC0EE5" w:rsidRDefault="00BD4DD9" w:rsidP="004F66BA">
      <w:pPr>
        <w:spacing w:after="120"/>
        <w:jc w:val="both"/>
        <w:rPr>
          <w:rFonts w:ascii="Arial" w:hAnsi="Arial" w:cs="Arial"/>
          <w:szCs w:val="24"/>
        </w:rPr>
      </w:pPr>
      <w:r>
        <w:rPr>
          <w:rFonts w:ascii="Arial" w:hAnsi="Arial" w:cs="Arial"/>
          <w:szCs w:val="24"/>
        </w:rPr>
        <w:t xml:space="preserve">The </w:t>
      </w:r>
      <w:r w:rsidR="007A2AA3">
        <w:rPr>
          <w:rFonts w:ascii="Arial" w:hAnsi="Arial" w:cs="Arial"/>
          <w:i/>
          <w:szCs w:val="24"/>
        </w:rPr>
        <w:t>Coronavirus Economic Response Package (Deferral of Sunsetting – Income Management and Cashless Welfare Arrangements) Determination</w:t>
      </w:r>
      <w:r w:rsidRPr="00433368">
        <w:rPr>
          <w:rFonts w:ascii="Arial" w:hAnsi="Arial" w:cs="Arial"/>
          <w:i/>
          <w:szCs w:val="24"/>
        </w:rPr>
        <w:t xml:space="preserve"> 20</w:t>
      </w:r>
      <w:r>
        <w:rPr>
          <w:rFonts w:ascii="Arial" w:hAnsi="Arial" w:cs="Arial"/>
          <w:i/>
          <w:szCs w:val="24"/>
        </w:rPr>
        <w:t>20</w:t>
      </w:r>
      <w:r w:rsidRPr="00433368">
        <w:rPr>
          <w:rFonts w:ascii="Arial" w:hAnsi="Arial" w:cs="Arial"/>
          <w:i/>
          <w:szCs w:val="24"/>
        </w:rPr>
        <w:t xml:space="preserve"> </w:t>
      </w:r>
      <w:r>
        <w:rPr>
          <w:rFonts w:ascii="Arial" w:hAnsi="Arial" w:cs="Arial"/>
          <w:szCs w:val="24"/>
        </w:rPr>
        <w:t>(this</w:t>
      </w:r>
      <w:r w:rsidRPr="00433368">
        <w:rPr>
          <w:rFonts w:ascii="Arial" w:hAnsi="Arial" w:cs="Arial"/>
          <w:szCs w:val="24"/>
        </w:rPr>
        <w:t xml:space="preserve"> instrument) </w:t>
      </w:r>
      <w:r w:rsidR="00DC0EE5" w:rsidRPr="000C6949">
        <w:rPr>
          <w:rFonts w:ascii="Arial" w:hAnsi="Arial" w:cs="Arial"/>
          <w:szCs w:val="24"/>
        </w:rPr>
        <w:t xml:space="preserve">is made under </w:t>
      </w:r>
      <w:r w:rsidR="007A2AA3">
        <w:rPr>
          <w:rFonts w:ascii="Arial" w:hAnsi="Arial" w:cs="Arial"/>
          <w:szCs w:val="24"/>
        </w:rPr>
        <w:t xml:space="preserve">subitem 1(2) of Schedule 16 to the </w:t>
      </w:r>
      <w:r w:rsidR="007A2AA3">
        <w:rPr>
          <w:rFonts w:ascii="Arial" w:hAnsi="Arial" w:cs="Arial"/>
          <w:i/>
          <w:szCs w:val="24"/>
        </w:rPr>
        <w:t xml:space="preserve">Coronavirus Economic Response Package Omnibus Act 2020 </w:t>
      </w:r>
      <w:r w:rsidR="007A2AA3">
        <w:rPr>
          <w:rFonts w:ascii="Arial" w:hAnsi="Arial" w:cs="Arial"/>
          <w:szCs w:val="24"/>
        </w:rPr>
        <w:t xml:space="preserve">(the </w:t>
      </w:r>
      <w:r w:rsidR="007A2AA3">
        <w:rPr>
          <w:rFonts w:ascii="Arial" w:hAnsi="Arial" w:cs="Arial"/>
          <w:b/>
          <w:szCs w:val="24"/>
        </w:rPr>
        <w:t>Act</w:t>
      </w:r>
      <w:r w:rsidR="007A2AA3">
        <w:rPr>
          <w:rFonts w:ascii="Arial" w:hAnsi="Arial" w:cs="Arial"/>
          <w:szCs w:val="24"/>
        </w:rPr>
        <w:t>).</w:t>
      </w:r>
      <w:r w:rsidR="00DC0EE5">
        <w:rPr>
          <w:rFonts w:ascii="Arial" w:hAnsi="Arial" w:cs="Arial"/>
          <w:szCs w:val="24"/>
        </w:rPr>
        <w:t xml:space="preserve"> </w:t>
      </w:r>
    </w:p>
    <w:p w14:paraId="6A069AF2" w14:textId="7D20EABB" w:rsidR="00641BBD" w:rsidRDefault="006D0780">
      <w:pPr>
        <w:spacing w:before="0" w:after="200" w:line="276" w:lineRule="auto"/>
        <w:rPr>
          <w:rFonts w:ascii="Arial" w:hAnsi="Arial" w:cs="Arial"/>
          <w:b/>
          <w:szCs w:val="24"/>
        </w:rPr>
      </w:pPr>
      <w:r>
        <w:rPr>
          <w:rStyle w:val="BookTitle"/>
          <w:rFonts w:ascii="Arial" w:hAnsi="Arial" w:cs="Arial"/>
          <w:i w:val="0"/>
          <w:iCs w:val="0"/>
          <w:smallCaps w:val="0"/>
          <w:spacing w:val="0"/>
        </w:rPr>
        <w:t xml:space="preserve">The purpose of </w:t>
      </w:r>
      <w:r>
        <w:rPr>
          <w:rFonts w:ascii="Arial" w:hAnsi="Arial" w:cs="Arial"/>
          <w:szCs w:val="24"/>
        </w:rPr>
        <w:t xml:space="preserve">this instrument is to extend the end date for the Cashless Debit Card trial in all existing sites and Income Management in the Cape York region from 30 June 2020 to 31 December 2020. </w:t>
      </w:r>
      <w:r w:rsidR="001D08E0">
        <w:rPr>
          <w:rFonts w:ascii="Arial" w:hAnsi="Arial" w:cs="Arial"/>
          <w:szCs w:val="24"/>
        </w:rPr>
        <w:t xml:space="preserve"> This ensures the continuation of the Cashless Debit Card trial in existing sites and the operation of Income Management in the Cape York region. </w:t>
      </w:r>
    </w:p>
    <w:p w14:paraId="1A7334D8" w14:textId="77777777" w:rsidR="00DC0EE5" w:rsidRPr="00BC76EB" w:rsidRDefault="00DC0EE5" w:rsidP="004F66BA">
      <w:pPr>
        <w:spacing w:after="120"/>
        <w:jc w:val="both"/>
        <w:rPr>
          <w:rFonts w:ascii="Arial" w:hAnsi="Arial" w:cs="Arial"/>
          <w:b/>
          <w:szCs w:val="24"/>
        </w:rPr>
      </w:pPr>
      <w:r w:rsidRPr="00BC76EB">
        <w:rPr>
          <w:rFonts w:ascii="Arial" w:hAnsi="Arial" w:cs="Arial"/>
          <w:b/>
          <w:szCs w:val="24"/>
        </w:rPr>
        <w:t>Human rights implications</w:t>
      </w:r>
    </w:p>
    <w:p w14:paraId="3BFB97D5" w14:textId="77777777" w:rsidR="001D08E0" w:rsidRDefault="001D08E0" w:rsidP="001D08E0">
      <w:pPr>
        <w:spacing w:after="120"/>
        <w:jc w:val="both"/>
        <w:rPr>
          <w:rFonts w:ascii="Arial" w:hAnsi="Arial" w:cs="Arial"/>
          <w:szCs w:val="24"/>
          <w:lang w:val="en-US"/>
        </w:rPr>
      </w:pPr>
      <w:r>
        <w:rPr>
          <w:rFonts w:ascii="Arial" w:hAnsi="Arial" w:cs="Arial"/>
          <w:szCs w:val="24"/>
          <w:u w:val="single"/>
        </w:rPr>
        <w:t>The right to social security</w:t>
      </w:r>
    </w:p>
    <w:p w14:paraId="4A04D3A0" w14:textId="498DF3AF" w:rsidR="00BB519B" w:rsidRDefault="001D08E0" w:rsidP="008B6CDD">
      <w:pPr>
        <w:jc w:val="both"/>
        <w:rPr>
          <w:rFonts w:ascii="Arial" w:hAnsi="Arial" w:cs="Arial"/>
          <w:szCs w:val="24"/>
        </w:rPr>
      </w:pPr>
      <w:r>
        <w:rPr>
          <w:rFonts w:ascii="Arial" w:hAnsi="Arial" w:cs="Arial"/>
          <w:szCs w:val="24"/>
        </w:rPr>
        <w:t xml:space="preserve">Article 9 of the International Covenant on Economic, Social and Cultural Rights (ICESCR) recognises </w:t>
      </w:r>
      <w:r>
        <w:rPr>
          <w:rFonts w:ascii="Arial" w:hAnsi="Arial" w:cs="Arial"/>
          <w:i/>
          <w:iCs/>
          <w:szCs w:val="24"/>
        </w:rPr>
        <w:t>‘the right of everyone to social security, including social insurance’</w:t>
      </w:r>
      <w:r>
        <w:rPr>
          <w:rFonts w:ascii="Arial" w:hAnsi="Arial" w:cs="Arial"/>
          <w:szCs w:val="24"/>
        </w:rPr>
        <w:t>.  The UN Committee on Economic, Social and Cultural Rights has stated that implementing this right requires a country to, within its maximum available resources, provide 'a minimum essential level of benefits to all individuals and families that will enable them to acquire at least essential health care, basic shelter and housing, water and sanitation, foodstuffs, and the most basic forms of education'.</w:t>
      </w:r>
    </w:p>
    <w:p w14:paraId="65CA60B5" w14:textId="77777777" w:rsidR="00BB519B" w:rsidRDefault="00BB519B" w:rsidP="008B6CDD">
      <w:pPr>
        <w:spacing w:before="0"/>
        <w:jc w:val="both"/>
        <w:rPr>
          <w:rFonts w:ascii="Arial" w:hAnsi="Arial" w:cs="Arial"/>
          <w:szCs w:val="24"/>
        </w:rPr>
      </w:pPr>
    </w:p>
    <w:p w14:paraId="6FFFF604" w14:textId="72DA043D" w:rsidR="00BB519B" w:rsidRPr="00DF20E6" w:rsidRDefault="00DF20E6" w:rsidP="00DF20E6">
      <w:pPr>
        <w:spacing w:before="0"/>
        <w:jc w:val="both"/>
        <w:textAlignment w:val="top"/>
        <w:rPr>
          <w:rFonts w:ascii="Arial" w:hAnsi="Arial" w:cs="Arial"/>
          <w:szCs w:val="24"/>
        </w:rPr>
      </w:pPr>
      <w:r>
        <w:rPr>
          <w:rFonts w:ascii="Arial" w:hAnsi="Arial" w:cs="Arial"/>
          <w:szCs w:val="24"/>
        </w:rPr>
        <w:t>Under both the Cashless Debit Card trial and Income Management</w:t>
      </w:r>
      <w:r w:rsidRPr="00DF20E6">
        <w:rPr>
          <w:rFonts w:ascii="Arial" w:hAnsi="Arial" w:cs="Arial"/>
          <w:szCs w:val="24"/>
        </w:rPr>
        <w:t>, the right to social security is limited only in the participant’s ability to use a proportion of their pa</w:t>
      </w:r>
      <w:r>
        <w:rPr>
          <w:rFonts w:ascii="Arial" w:hAnsi="Arial" w:cs="Arial"/>
          <w:szCs w:val="24"/>
        </w:rPr>
        <w:t>yment to purchase harmful goods</w:t>
      </w:r>
      <w:r w:rsidRPr="00DF20E6">
        <w:rPr>
          <w:rFonts w:ascii="Arial" w:hAnsi="Arial" w:cs="Arial"/>
          <w:szCs w:val="24"/>
        </w:rPr>
        <w:t>.  In targeted communities, support from leaders is driven by the view th</w:t>
      </w:r>
      <w:r>
        <w:rPr>
          <w:rFonts w:ascii="Arial" w:hAnsi="Arial" w:cs="Arial"/>
          <w:szCs w:val="24"/>
        </w:rPr>
        <w:t>at these measures</w:t>
      </w:r>
      <w:r w:rsidRPr="00DF20E6">
        <w:rPr>
          <w:rFonts w:ascii="Arial" w:hAnsi="Arial" w:cs="Arial"/>
          <w:szCs w:val="24"/>
        </w:rPr>
        <w:t xml:space="preserve"> can help address this harm, particularly where dependence is also high.  </w:t>
      </w:r>
    </w:p>
    <w:p w14:paraId="782DDC77" w14:textId="30E17F30" w:rsidR="00DF20E6" w:rsidRPr="00DF20E6" w:rsidRDefault="00DF20E6" w:rsidP="00DF20E6">
      <w:pPr>
        <w:spacing w:before="0"/>
        <w:jc w:val="both"/>
        <w:textAlignment w:val="top"/>
        <w:rPr>
          <w:rFonts w:ascii="Arial" w:hAnsi="Arial" w:cs="Arial"/>
          <w:szCs w:val="24"/>
        </w:rPr>
      </w:pPr>
    </w:p>
    <w:p w14:paraId="126FC243" w14:textId="627B2F34" w:rsidR="00DF20E6" w:rsidRPr="00DF20E6" w:rsidRDefault="00DF20E6" w:rsidP="00DF20E6">
      <w:pPr>
        <w:spacing w:before="0"/>
        <w:jc w:val="both"/>
        <w:textAlignment w:val="top"/>
        <w:rPr>
          <w:rFonts w:ascii="Arial" w:hAnsi="Arial" w:cs="Arial"/>
          <w:szCs w:val="24"/>
        </w:rPr>
      </w:pPr>
      <w:r>
        <w:rPr>
          <w:rFonts w:ascii="Arial" w:hAnsi="Arial" w:cs="Arial"/>
          <w:szCs w:val="24"/>
        </w:rPr>
        <w:t>The operation of the Cashless Debit Card and Income Management</w:t>
      </w:r>
      <w:r w:rsidRPr="00DF20E6">
        <w:rPr>
          <w:rFonts w:ascii="Arial" w:hAnsi="Arial" w:cs="Arial"/>
          <w:szCs w:val="24"/>
        </w:rPr>
        <w:t xml:space="preserve"> do not detract from the eligibility of a person to receive welfare, nor reduce the amount of a person’s social securit</w:t>
      </w:r>
      <w:r>
        <w:rPr>
          <w:rFonts w:ascii="Arial" w:hAnsi="Arial" w:cs="Arial"/>
          <w:szCs w:val="24"/>
        </w:rPr>
        <w:t>y entitlement.  Rather, these programs place</w:t>
      </w:r>
      <w:r w:rsidRPr="00DF20E6">
        <w:rPr>
          <w:rFonts w:ascii="Arial" w:hAnsi="Arial" w:cs="Arial"/>
          <w:szCs w:val="24"/>
        </w:rPr>
        <w:t xml:space="preserve"> a limitation on how payments can be spent and provides a mechanism to ensure that certain recipients of social security entitlements are restricted from spending money on alcohol, gambling and drugs.  </w:t>
      </w:r>
    </w:p>
    <w:p w14:paraId="1A0EAAEB" w14:textId="672BC0A9" w:rsidR="00DF20E6" w:rsidRPr="00DF20E6" w:rsidRDefault="00DF20E6" w:rsidP="00DF20E6">
      <w:pPr>
        <w:spacing w:before="0"/>
        <w:jc w:val="both"/>
        <w:textAlignment w:val="top"/>
        <w:rPr>
          <w:rFonts w:ascii="Arial" w:hAnsi="Arial" w:cs="Arial"/>
          <w:szCs w:val="24"/>
        </w:rPr>
      </w:pPr>
      <w:r w:rsidRPr="00DF20E6">
        <w:rPr>
          <w:rFonts w:ascii="Arial" w:hAnsi="Arial" w:cs="Arial"/>
          <w:szCs w:val="24"/>
        </w:rPr>
        <w:lastRenderedPageBreak/>
        <w:t>Given the objectives of the Cashless Debit Card trial</w:t>
      </w:r>
      <w:r>
        <w:rPr>
          <w:rFonts w:ascii="Arial" w:hAnsi="Arial" w:cs="Arial"/>
          <w:szCs w:val="24"/>
        </w:rPr>
        <w:t xml:space="preserve"> and Cape York Income Management</w:t>
      </w:r>
      <w:r w:rsidRPr="00DF20E6">
        <w:rPr>
          <w:rFonts w:ascii="Arial" w:hAnsi="Arial" w:cs="Arial"/>
          <w:szCs w:val="24"/>
        </w:rPr>
        <w:t xml:space="preserve">, the prevalence of social harm in the areas these schemes operate, any limitation on the right to social security is reasonable and proportionate. </w:t>
      </w:r>
    </w:p>
    <w:p w14:paraId="3FBFAA00" w14:textId="77777777" w:rsidR="00DF20E6" w:rsidRPr="00DF20E6" w:rsidRDefault="00DF20E6" w:rsidP="00DF20E6">
      <w:pPr>
        <w:spacing w:before="0"/>
        <w:jc w:val="both"/>
        <w:textAlignment w:val="top"/>
        <w:rPr>
          <w:rFonts w:ascii="Arial" w:hAnsi="Arial" w:cs="Arial"/>
          <w:szCs w:val="24"/>
        </w:rPr>
      </w:pPr>
      <w:r w:rsidRPr="00DF20E6">
        <w:rPr>
          <w:rFonts w:ascii="Arial" w:hAnsi="Arial" w:cs="Arial"/>
          <w:szCs w:val="24"/>
        </w:rPr>
        <w:t xml:space="preserve"> </w:t>
      </w:r>
    </w:p>
    <w:p w14:paraId="36E9976B" w14:textId="77777777" w:rsidR="00DF20E6" w:rsidRPr="008B6CDD" w:rsidRDefault="00DF20E6" w:rsidP="00DF20E6">
      <w:pPr>
        <w:spacing w:before="0"/>
        <w:jc w:val="both"/>
        <w:textAlignment w:val="top"/>
        <w:rPr>
          <w:rFonts w:ascii="Arial" w:hAnsi="Arial" w:cs="Arial"/>
          <w:szCs w:val="24"/>
          <w:u w:val="single"/>
        </w:rPr>
      </w:pPr>
      <w:r w:rsidRPr="008B6CDD">
        <w:rPr>
          <w:rFonts w:ascii="Arial" w:hAnsi="Arial" w:cs="Arial"/>
          <w:szCs w:val="24"/>
          <w:u w:val="single"/>
        </w:rPr>
        <w:t xml:space="preserve">The right to a private life  </w:t>
      </w:r>
    </w:p>
    <w:p w14:paraId="2E1BC2D6" w14:textId="2C0AB5E0" w:rsidR="00DF20E6" w:rsidRPr="00DF20E6" w:rsidRDefault="00DF20E6" w:rsidP="00DF20E6">
      <w:pPr>
        <w:spacing w:before="0"/>
        <w:jc w:val="both"/>
        <w:textAlignment w:val="top"/>
        <w:rPr>
          <w:rFonts w:ascii="Arial" w:hAnsi="Arial" w:cs="Arial"/>
          <w:szCs w:val="24"/>
        </w:rPr>
      </w:pPr>
      <w:r>
        <w:rPr>
          <w:rFonts w:ascii="Arial" w:hAnsi="Arial" w:cs="Arial"/>
          <w:szCs w:val="24"/>
        </w:rPr>
        <w:t xml:space="preserve"> </w:t>
      </w:r>
    </w:p>
    <w:p w14:paraId="7A0E6787" w14:textId="77777777" w:rsidR="00DF20E6" w:rsidRPr="00DF20E6" w:rsidRDefault="00DF20E6" w:rsidP="00DF20E6">
      <w:pPr>
        <w:spacing w:before="0"/>
        <w:jc w:val="both"/>
        <w:textAlignment w:val="top"/>
        <w:rPr>
          <w:rFonts w:ascii="Arial" w:hAnsi="Arial" w:cs="Arial"/>
          <w:szCs w:val="24"/>
        </w:rPr>
      </w:pPr>
      <w:r w:rsidRPr="00DF20E6">
        <w:rPr>
          <w:rFonts w:ascii="Arial" w:hAnsi="Arial" w:cs="Arial"/>
          <w:szCs w:val="24"/>
        </w:rPr>
        <w:t xml:space="preserve">Article 17 of the International Covenant on Civil and Political Rights sets out the right to a private life.  It prohibits arbitrary or unlawful interferences with an individual’s privacy, family, correspondence or home. </w:t>
      </w:r>
    </w:p>
    <w:p w14:paraId="15A69371" w14:textId="77777777" w:rsidR="00DF20E6" w:rsidRPr="00DF20E6" w:rsidRDefault="00DF20E6" w:rsidP="00DF20E6">
      <w:pPr>
        <w:spacing w:before="0"/>
        <w:jc w:val="both"/>
        <w:textAlignment w:val="top"/>
        <w:rPr>
          <w:rFonts w:ascii="Arial" w:hAnsi="Arial" w:cs="Arial"/>
          <w:szCs w:val="24"/>
        </w:rPr>
      </w:pPr>
      <w:r w:rsidRPr="00DF20E6">
        <w:rPr>
          <w:rFonts w:ascii="Arial" w:hAnsi="Arial" w:cs="Arial"/>
          <w:szCs w:val="24"/>
        </w:rPr>
        <w:t xml:space="preserve"> </w:t>
      </w:r>
    </w:p>
    <w:p w14:paraId="32731105" w14:textId="52B96928" w:rsidR="00DF20E6" w:rsidRPr="00DF20E6" w:rsidRDefault="00DF20E6" w:rsidP="00DF20E6">
      <w:pPr>
        <w:spacing w:before="0"/>
        <w:jc w:val="both"/>
        <w:textAlignment w:val="top"/>
        <w:rPr>
          <w:rFonts w:ascii="Arial" w:hAnsi="Arial" w:cs="Arial"/>
          <w:szCs w:val="24"/>
        </w:rPr>
      </w:pPr>
      <w:r w:rsidRPr="00DF20E6">
        <w:rPr>
          <w:rFonts w:ascii="Arial" w:hAnsi="Arial" w:cs="Arial"/>
          <w:szCs w:val="24"/>
        </w:rPr>
        <w:t xml:space="preserve">The Cashless Debit Card program </w:t>
      </w:r>
      <w:r>
        <w:rPr>
          <w:rFonts w:ascii="Arial" w:hAnsi="Arial" w:cs="Arial"/>
          <w:szCs w:val="24"/>
        </w:rPr>
        <w:t>and Income Management seek</w:t>
      </w:r>
      <w:r w:rsidRPr="00DF20E6">
        <w:rPr>
          <w:rFonts w:ascii="Arial" w:hAnsi="Arial" w:cs="Arial"/>
          <w:szCs w:val="24"/>
        </w:rPr>
        <w:t xml:space="preserve"> to achieve the legitimate objective of reducing immediate hardship and deprivation, reducing violence and harm, encouraging socially responsible behaviour, and reducing the likelihood that welfare payment recipients will be subject to harassment and abuse in relation to their welfare payments.  </w:t>
      </w:r>
    </w:p>
    <w:p w14:paraId="0360C4C9" w14:textId="77777777" w:rsidR="00DF20E6" w:rsidRPr="00DF20E6" w:rsidRDefault="00DF20E6" w:rsidP="00DF20E6">
      <w:pPr>
        <w:spacing w:before="0"/>
        <w:jc w:val="both"/>
        <w:textAlignment w:val="top"/>
        <w:rPr>
          <w:rFonts w:ascii="Arial" w:hAnsi="Arial" w:cs="Arial"/>
          <w:szCs w:val="24"/>
        </w:rPr>
      </w:pPr>
      <w:r w:rsidRPr="00DF20E6">
        <w:rPr>
          <w:rFonts w:ascii="Arial" w:hAnsi="Arial" w:cs="Arial"/>
          <w:szCs w:val="24"/>
        </w:rPr>
        <w:t xml:space="preserve"> </w:t>
      </w:r>
    </w:p>
    <w:p w14:paraId="326A0FF0" w14:textId="6213AF78" w:rsidR="00DF20E6" w:rsidRPr="00DF20E6" w:rsidRDefault="00DF20E6" w:rsidP="00DF20E6">
      <w:pPr>
        <w:spacing w:before="0"/>
        <w:jc w:val="both"/>
        <w:textAlignment w:val="top"/>
        <w:rPr>
          <w:rFonts w:ascii="Arial" w:hAnsi="Arial" w:cs="Arial"/>
          <w:szCs w:val="24"/>
        </w:rPr>
      </w:pPr>
      <w:r w:rsidRPr="00DF20E6">
        <w:rPr>
          <w:rFonts w:ascii="Arial" w:hAnsi="Arial" w:cs="Arial"/>
          <w:szCs w:val="24"/>
        </w:rPr>
        <w:t>By reducing a person’s choice in how and where they access and spend their social security payments, the Cashless Debit Card</w:t>
      </w:r>
      <w:r>
        <w:rPr>
          <w:rFonts w:ascii="Arial" w:hAnsi="Arial" w:cs="Arial"/>
          <w:szCs w:val="24"/>
        </w:rPr>
        <w:t xml:space="preserve"> and Income Management limit the right to a private life.  </w:t>
      </w:r>
      <w:r w:rsidRPr="00DF20E6">
        <w:rPr>
          <w:rFonts w:ascii="Arial" w:hAnsi="Arial" w:cs="Arial"/>
          <w:szCs w:val="24"/>
        </w:rPr>
        <w:t xml:space="preserve"> </w:t>
      </w:r>
    </w:p>
    <w:p w14:paraId="29F23784" w14:textId="77777777" w:rsidR="00DF20E6" w:rsidRPr="00DF20E6" w:rsidRDefault="00DF20E6" w:rsidP="00DF20E6">
      <w:pPr>
        <w:spacing w:before="0"/>
        <w:jc w:val="both"/>
        <w:textAlignment w:val="top"/>
        <w:rPr>
          <w:rFonts w:ascii="Arial" w:hAnsi="Arial" w:cs="Arial"/>
          <w:szCs w:val="24"/>
        </w:rPr>
      </w:pPr>
      <w:r w:rsidRPr="00DF20E6">
        <w:rPr>
          <w:rFonts w:ascii="Arial" w:hAnsi="Arial" w:cs="Arial"/>
          <w:szCs w:val="24"/>
        </w:rPr>
        <w:t xml:space="preserve"> </w:t>
      </w:r>
    </w:p>
    <w:p w14:paraId="2127CA78" w14:textId="77777777" w:rsidR="003450E9" w:rsidRDefault="00DF20E6" w:rsidP="00DF20E6">
      <w:pPr>
        <w:spacing w:before="0"/>
        <w:jc w:val="both"/>
        <w:textAlignment w:val="top"/>
        <w:rPr>
          <w:rFonts w:ascii="Arial" w:hAnsi="Arial" w:cs="Arial"/>
          <w:szCs w:val="24"/>
        </w:rPr>
      </w:pPr>
      <w:r w:rsidRPr="00DF20E6">
        <w:rPr>
          <w:rFonts w:ascii="Arial" w:hAnsi="Arial" w:cs="Arial"/>
          <w:szCs w:val="24"/>
        </w:rPr>
        <w:t xml:space="preserve">This limitation on the right to a private life is directly related to the objectives of </w:t>
      </w:r>
      <w:r>
        <w:rPr>
          <w:rFonts w:ascii="Arial" w:hAnsi="Arial" w:cs="Arial"/>
          <w:szCs w:val="24"/>
        </w:rPr>
        <w:t xml:space="preserve">these programs in </w:t>
      </w:r>
      <w:r w:rsidRPr="00DF20E6">
        <w:rPr>
          <w:rFonts w:ascii="Arial" w:hAnsi="Arial" w:cs="Arial"/>
          <w:szCs w:val="24"/>
        </w:rPr>
        <w:t>reducing</w:t>
      </w:r>
      <w:r>
        <w:rPr>
          <w:rFonts w:ascii="Arial" w:hAnsi="Arial" w:cs="Arial"/>
          <w:szCs w:val="24"/>
        </w:rPr>
        <w:t xml:space="preserve"> community and individual</w:t>
      </w:r>
      <w:r w:rsidRPr="00DF20E6">
        <w:rPr>
          <w:rFonts w:ascii="Arial" w:hAnsi="Arial" w:cs="Arial"/>
          <w:szCs w:val="24"/>
        </w:rPr>
        <w:t xml:space="preserve"> harm.  This is because the limitations put in place restrict transactions at businesses selling goods that contribute to such harm.  Therefore, the limitation that is placed on the right to a private life is directly related to improving the welfare of the recipient and any dependents.</w:t>
      </w:r>
      <w:r w:rsidR="003450E9">
        <w:rPr>
          <w:rFonts w:ascii="Arial" w:hAnsi="Arial" w:cs="Arial"/>
          <w:szCs w:val="24"/>
        </w:rPr>
        <w:t xml:space="preserve"> </w:t>
      </w:r>
    </w:p>
    <w:p w14:paraId="2685380D" w14:textId="77777777" w:rsidR="003450E9" w:rsidRDefault="003450E9" w:rsidP="00DF20E6">
      <w:pPr>
        <w:spacing w:before="0"/>
        <w:jc w:val="both"/>
        <w:textAlignment w:val="top"/>
        <w:rPr>
          <w:rFonts w:ascii="Arial" w:hAnsi="Arial" w:cs="Arial"/>
          <w:szCs w:val="24"/>
        </w:rPr>
      </w:pPr>
    </w:p>
    <w:p w14:paraId="075AA9CF" w14:textId="55D924FC" w:rsidR="00DC0EE5" w:rsidRDefault="003450E9" w:rsidP="004F66BA">
      <w:pPr>
        <w:spacing w:before="0"/>
        <w:jc w:val="both"/>
        <w:textAlignment w:val="top"/>
        <w:rPr>
          <w:rFonts w:ascii="Arial" w:hAnsi="Arial" w:cs="Arial"/>
          <w:szCs w:val="24"/>
        </w:rPr>
      </w:pPr>
      <w:r w:rsidRPr="003450E9">
        <w:rPr>
          <w:rFonts w:ascii="Arial" w:hAnsi="Arial" w:cs="Arial"/>
          <w:szCs w:val="24"/>
        </w:rPr>
        <w:t xml:space="preserve">Any limitation on a person’s right to privacy is reasonable and proportionate given the </w:t>
      </w:r>
      <w:r>
        <w:rPr>
          <w:rFonts w:ascii="Arial" w:hAnsi="Arial" w:cs="Arial"/>
          <w:szCs w:val="24"/>
        </w:rPr>
        <w:t>objectives of these programs</w:t>
      </w:r>
      <w:r w:rsidRPr="003450E9">
        <w:rPr>
          <w:rFonts w:ascii="Arial" w:hAnsi="Arial" w:cs="Arial"/>
          <w:szCs w:val="24"/>
        </w:rPr>
        <w:t xml:space="preserve">.  There are also effective community safeguards over the extent of the restrictions imposed.   </w:t>
      </w:r>
    </w:p>
    <w:p w14:paraId="5A26ABF0" w14:textId="77777777" w:rsidR="003450E9" w:rsidRDefault="003450E9" w:rsidP="003450E9">
      <w:pPr>
        <w:spacing w:before="0"/>
        <w:jc w:val="both"/>
        <w:textAlignment w:val="top"/>
        <w:rPr>
          <w:rFonts w:ascii="Arial" w:hAnsi="Arial" w:cs="Arial"/>
          <w:szCs w:val="24"/>
        </w:rPr>
      </w:pPr>
    </w:p>
    <w:p w14:paraId="58E752E8" w14:textId="206B9458" w:rsidR="003450E9" w:rsidRPr="008B6CDD" w:rsidRDefault="003450E9" w:rsidP="003450E9">
      <w:pPr>
        <w:spacing w:before="0"/>
        <w:jc w:val="both"/>
        <w:textAlignment w:val="top"/>
        <w:rPr>
          <w:rFonts w:ascii="Arial" w:hAnsi="Arial" w:cs="Arial"/>
          <w:szCs w:val="24"/>
          <w:u w:val="single"/>
        </w:rPr>
      </w:pPr>
      <w:r w:rsidRPr="008B6CDD">
        <w:rPr>
          <w:rFonts w:ascii="Arial" w:hAnsi="Arial" w:cs="Arial"/>
          <w:szCs w:val="24"/>
          <w:u w:val="single"/>
        </w:rPr>
        <w:t xml:space="preserve">The rights of equality and non-discrimination </w:t>
      </w:r>
    </w:p>
    <w:p w14:paraId="3D646220" w14:textId="77777777" w:rsidR="003450E9" w:rsidRPr="003450E9" w:rsidRDefault="003450E9" w:rsidP="003450E9">
      <w:pPr>
        <w:spacing w:before="0"/>
        <w:jc w:val="both"/>
        <w:textAlignment w:val="top"/>
        <w:rPr>
          <w:rFonts w:ascii="Arial" w:hAnsi="Arial" w:cs="Arial"/>
          <w:szCs w:val="24"/>
        </w:rPr>
      </w:pPr>
      <w:r w:rsidRPr="003450E9">
        <w:rPr>
          <w:rFonts w:ascii="Arial" w:hAnsi="Arial" w:cs="Arial"/>
          <w:szCs w:val="24"/>
        </w:rPr>
        <w:t xml:space="preserve"> </w:t>
      </w:r>
    </w:p>
    <w:p w14:paraId="4F154947" w14:textId="7F53DCF6" w:rsidR="003450E9" w:rsidRPr="003450E9" w:rsidRDefault="003450E9" w:rsidP="003450E9">
      <w:pPr>
        <w:spacing w:before="0"/>
        <w:jc w:val="both"/>
        <w:textAlignment w:val="top"/>
        <w:rPr>
          <w:rFonts w:ascii="Arial" w:hAnsi="Arial" w:cs="Arial"/>
          <w:szCs w:val="24"/>
        </w:rPr>
      </w:pPr>
      <w:r w:rsidRPr="003450E9">
        <w:rPr>
          <w:rFonts w:ascii="Arial" w:hAnsi="Arial" w:cs="Arial"/>
          <w:szCs w:val="24"/>
        </w:rPr>
        <w:t xml:space="preserve">The rights of equality and non-discrimination are provided for in a number of the seven core international human rights treaties to which Australia is a party, most relevantly the International Covenant on Civil and Political Rights (ICCPR) and the Convention on the Elimination of All Forms of Racial Discrimination (the CERD).  In particular, article 5 of the CERD requires parties ‘to prohibit and eliminate racial discrimination in all its forms and to guarantee the right of everyone, without distinction as to race, colour or national or ethnic origin, to equality before the law’, notably in the enjoyment of ‘the right to…social security and social services’ (article 5(e)(iv)).   </w:t>
      </w:r>
    </w:p>
    <w:p w14:paraId="7EA918F5" w14:textId="77777777" w:rsidR="003450E9" w:rsidRPr="003450E9" w:rsidRDefault="003450E9" w:rsidP="003450E9">
      <w:pPr>
        <w:spacing w:before="0"/>
        <w:jc w:val="both"/>
        <w:textAlignment w:val="top"/>
        <w:rPr>
          <w:rFonts w:ascii="Arial" w:hAnsi="Arial" w:cs="Arial"/>
          <w:szCs w:val="24"/>
        </w:rPr>
      </w:pPr>
      <w:r w:rsidRPr="003450E9">
        <w:rPr>
          <w:rFonts w:ascii="Arial" w:hAnsi="Arial" w:cs="Arial"/>
          <w:szCs w:val="24"/>
        </w:rPr>
        <w:t xml:space="preserve"> </w:t>
      </w:r>
    </w:p>
    <w:p w14:paraId="382F6BFC" w14:textId="77777777" w:rsidR="003450E9" w:rsidRPr="003450E9" w:rsidRDefault="003450E9" w:rsidP="003450E9">
      <w:pPr>
        <w:spacing w:before="0"/>
        <w:jc w:val="both"/>
        <w:textAlignment w:val="top"/>
        <w:rPr>
          <w:rFonts w:ascii="Arial" w:hAnsi="Arial" w:cs="Arial"/>
          <w:szCs w:val="24"/>
        </w:rPr>
      </w:pPr>
      <w:r w:rsidRPr="003450E9">
        <w:rPr>
          <w:rFonts w:ascii="Arial" w:hAnsi="Arial" w:cs="Arial"/>
          <w:szCs w:val="24"/>
        </w:rPr>
        <w:t xml:space="preserve">Discrimination is impermissible differential treatment among persons or groups that results in a person or a group being treated less favourably than others, based on a prohibited ground for discrimination, such as race.  However, the UN Human Rights Committee has recognised that ‘not every differentiation of treatment will constitute discrimination, if the criteria for such differentiation are reasonable and objective, and if the aim is to achieve a purpose which is legitimate under the Covenant’.   </w:t>
      </w:r>
    </w:p>
    <w:p w14:paraId="0E4E7B7D" w14:textId="32907364" w:rsidR="003450E9" w:rsidRDefault="003450E9" w:rsidP="003450E9">
      <w:pPr>
        <w:spacing w:before="0"/>
        <w:jc w:val="both"/>
        <w:textAlignment w:val="top"/>
        <w:rPr>
          <w:rFonts w:ascii="Arial" w:hAnsi="Arial" w:cs="Arial"/>
          <w:szCs w:val="24"/>
        </w:rPr>
      </w:pPr>
    </w:p>
    <w:p w14:paraId="4AA475CF" w14:textId="77777777" w:rsidR="00BB519B" w:rsidRPr="003450E9" w:rsidRDefault="00BB519B" w:rsidP="003450E9">
      <w:pPr>
        <w:spacing w:before="0"/>
        <w:jc w:val="both"/>
        <w:textAlignment w:val="top"/>
        <w:rPr>
          <w:rFonts w:ascii="Arial" w:hAnsi="Arial" w:cs="Arial"/>
          <w:szCs w:val="24"/>
        </w:rPr>
      </w:pPr>
    </w:p>
    <w:p w14:paraId="6BBA4FED" w14:textId="22487159" w:rsidR="003450E9" w:rsidRDefault="003450E9" w:rsidP="003450E9">
      <w:pPr>
        <w:spacing w:before="0"/>
        <w:jc w:val="both"/>
        <w:textAlignment w:val="top"/>
        <w:rPr>
          <w:rFonts w:ascii="Arial" w:hAnsi="Arial" w:cs="Arial"/>
          <w:szCs w:val="24"/>
        </w:rPr>
      </w:pPr>
      <w:r w:rsidRPr="003450E9">
        <w:rPr>
          <w:rFonts w:ascii="Arial" w:hAnsi="Arial" w:cs="Arial"/>
          <w:szCs w:val="24"/>
        </w:rPr>
        <w:lastRenderedPageBreak/>
        <w:t>The rights to equality and non-discrimination are not directly limited by the Cashless Debit Card</w:t>
      </w:r>
      <w:r>
        <w:rPr>
          <w:rFonts w:ascii="Arial" w:hAnsi="Arial" w:cs="Arial"/>
          <w:szCs w:val="24"/>
        </w:rPr>
        <w:t xml:space="preserve"> or Income Management</w:t>
      </w:r>
      <w:r w:rsidRPr="003450E9">
        <w:rPr>
          <w:rFonts w:ascii="Arial" w:hAnsi="Arial" w:cs="Arial"/>
          <w:szCs w:val="24"/>
        </w:rPr>
        <w:t>.  The</w:t>
      </w:r>
      <w:r>
        <w:rPr>
          <w:rFonts w:ascii="Arial" w:hAnsi="Arial" w:cs="Arial"/>
          <w:szCs w:val="24"/>
        </w:rPr>
        <w:t>se</w:t>
      </w:r>
      <w:r w:rsidRPr="003450E9">
        <w:rPr>
          <w:rFonts w:ascii="Arial" w:hAnsi="Arial" w:cs="Arial"/>
          <w:szCs w:val="24"/>
        </w:rPr>
        <w:t xml:space="preserve"> program</w:t>
      </w:r>
      <w:r>
        <w:rPr>
          <w:rFonts w:ascii="Arial" w:hAnsi="Arial" w:cs="Arial"/>
          <w:szCs w:val="24"/>
        </w:rPr>
        <w:t>s are</w:t>
      </w:r>
      <w:r w:rsidRPr="003450E9">
        <w:rPr>
          <w:rFonts w:ascii="Arial" w:hAnsi="Arial" w:cs="Arial"/>
          <w:szCs w:val="24"/>
        </w:rPr>
        <w:t xml:space="preserve"> not applied on the basis of race or cultural factors.</w:t>
      </w:r>
      <w:r w:rsidR="00BB519B">
        <w:rPr>
          <w:rFonts w:ascii="Arial" w:hAnsi="Arial" w:cs="Arial"/>
          <w:szCs w:val="24"/>
        </w:rPr>
        <w:t xml:space="preserve"> </w:t>
      </w:r>
      <w:r w:rsidRPr="003450E9">
        <w:rPr>
          <w:rFonts w:ascii="Arial" w:hAnsi="Arial" w:cs="Arial"/>
          <w:szCs w:val="24"/>
        </w:rPr>
        <w:t xml:space="preserve"> Locations for the</w:t>
      </w:r>
      <w:r>
        <w:rPr>
          <w:rFonts w:ascii="Arial" w:hAnsi="Arial" w:cs="Arial"/>
          <w:szCs w:val="24"/>
        </w:rPr>
        <w:t>se</w:t>
      </w:r>
      <w:r w:rsidRPr="003450E9">
        <w:rPr>
          <w:rFonts w:ascii="Arial" w:hAnsi="Arial" w:cs="Arial"/>
          <w:szCs w:val="24"/>
        </w:rPr>
        <w:t xml:space="preserve"> program have been chosen based on objective criteria.  This includes high levels of welfare dependence and community harm, as well as the outcomes of comprehensive community consultation.</w:t>
      </w:r>
    </w:p>
    <w:p w14:paraId="23142810" w14:textId="5751A196" w:rsidR="003450E9" w:rsidRDefault="003450E9" w:rsidP="003450E9">
      <w:pPr>
        <w:spacing w:before="0"/>
        <w:jc w:val="both"/>
        <w:textAlignment w:val="top"/>
        <w:rPr>
          <w:rFonts w:ascii="Arial" w:hAnsi="Arial" w:cs="Arial"/>
          <w:szCs w:val="24"/>
        </w:rPr>
      </w:pPr>
    </w:p>
    <w:p w14:paraId="0BD90A44" w14:textId="066CBB81" w:rsidR="003450E9" w:rsidRDefault="003450E9" w:rsidP="003450E9">
      <w:pPr>
        <w:spacing w:before="0"/>
        <w:jc w:val="both"/>
        <w:textAlignment w:val="top"/>
        <w:rPr>
          <w:rFonts w:ascii="Arial" w:hAnsi="Arial" w:cs="Arial"/>
          <w:szCs w:val="24"/>
        </w:rPr>
      </w:pPr>
      <w:r w:rsidRPr="003450E9">
        <w:rPr>
          <w:rFonts w:ascii="Arial" w:hAnsi="Arial" w:cs="Arial"/>
          <w:szCs w:val="24"/>
        </w:rPr>
        <w:t xml:space="preserve">Anyone residing in locations where the Cashless Debit Card trial operates, receiving a payment and being of a certain age as specified by instrument or legislation, will become a Cashless Debit Card trial participant.  The Cashless Debit Card trial is therefore not targeted at people of a particular race, but to welfare recipients </w:t>
      </w:r>
      <w:r>
        <w:rPr>
          <w:rFonts w:ascii="Arial" w:hAnsi="Arial" w:cs="Arial"/>
          <w:szCs w:val="24"/>
        </w:rPr>
        <w:t xml:space="preserve">who meet particular criteria.  </w:t>
      </w:r>
    </w:p>
    <w:p w14:paraId="16B03AB7" w14:textId="77777777" w:rsidR="003450E9" w:rsidRPr="003450E9" w:rsidRDefault="003450E9" w:rsidP="003450E9">
      <w:pPr>
        <w:spacing w:before="0"/>
        <w:jc w:val="both"/>
        <w:textAlignment w:val="top"/>
        <w:rPr>
          <w:rFonts w:ascii="Arial" w:hAnsi="Arial" w:cs="Arial"/>
          <w:szCs w:val="24"/>
        </w:rPr>
      </w:pPr>
    </w:p>
    <w:p w14:paraId="01C93110" w14:textId="285C00D3" w:rsidR="003450E9" w:rsidRPr="008B6CDD" w:rsidRDefault="003450E9" w:rsidP="003450E9">
      <w:pPr>
        <w:spacing w:before="0"/>
        <w:jc w:val="both"/>
        <w:textAlignment w:val="top"/>
        <w:rPr>
          <w:rFonts w:ascii="Arial" w:hAnsi="Arial" w:cs="Arial"/>
          <w:szCs w:val="24"/>
          <w:u w:val="single"/>
        </w:rPr>
      </w:pPr>
      <w:r w:rsidRPr="008B6CDD">
        <w:rPr>
          <w:rFonts w:ascii="Arial" w:hAnsi="Arial" w:cs="Arial"/>
          <w:szCs w:val="24"/>
          <w:u w:val="single"/>
        </w:rPr>
        <w:t xml:space="preserve">The right to self-determination </w:t>
      </w:r>
    </w:p>
    <w:p w14:paraId="1E6BD73B" w14:textId="77777777" w:rsidR="003450E9" w:rsidRPr="003450E9" w:rsidRDefault="003450E9" w:rsidP="003450E9">
      <w:pPr>
        <w:spacing w:before="0"/>
        <w:jc w:val="both"/>
        <w:textAlignment w:val="top"/>
        <w:rPr>
          <w:rFonts w:ascii="Arial" w:hAnsi="Arial" w:cs="Arial"/>
          <w:szCs w:val="24"/>
        </w:rPr>
      </w:pPr>
      <w:r w:rsidRPr="003450E9">
        <w:rPr>
          <w:rFonts w:ascii="Arial" w:hAnsi="Arial" w:cs="Arial"/>
          <w:szCs w:val="24"/>
        </w:rPr>
        <w:t xml:space="preserve"> </w:t>
      </w:r>
    </w:p>
    <w:p w14:paraId="2A2CB08E" w14:textId="1462032E" w:rsidR="003450E9" w:rsidRPr="003450E9" w:rsidRDefault="003450E9" w:rsidP="003450E9">
      <w:pPr>
        <w:spacing w:before="0"/>
        <w:jc w:val="both"/>
        <w:textAlignment w:val="top"/>
        <w:rPr>
          <w:rFonts w:ascii="Arial" w:hAnsi="Arial" w:cs="Arial"/>
          <w:szCs w:val="24"/>
        </w:rPr>
      </w:pPr>
      <w:r w:rsidRPr="003450E9">
        <w:rPr>
          <w:rFonts w:ascii="Arial" w:hAnsi="Arial" w:cs="Arial"/>
          <w:szCs w:val="24"/>
        </w:rPr>
        <w:t xml:space="preserve">Article 1 of the ICESCR states </w:t>
      </w:r>
      <w:r w:rsidR="00BB519B" w:rsidRPr="003450E9">
        <w:rPr>
          <w:rFonts w:ascii="Arial" w:hAnsi="Arial" w:cs="Arial"/>
          <w:szCs w:val="24"/>
        </w:rPr>
        <w:t>that</w:t>
      </w:r>
      <w:r w:rsidR="00BB519B">
        <w:rPr>
          <w:rFonts w:ascii="Arial" w:hAnsi="Arial" w:cs="Arial"/>
          <w:szCs w:val="24"/>
        </w:rPr>
        <w:t xml:space="preserve"> </w:t>
      </w:r>
      <w:r w:rsidR="004B5879">
        <w:rPr>
          <w:rFonts w:ascii="Arial" w:hAnsi="Arial" w:cs="Arial"/>
          <w:szCs w:val="24"/>
        </w:rPr>
        <w:t>‘</w:t>
      </w:r>
      <w:r w:rsidRPr="003450E9">
        <w:rPr>
          <w:rFonts w:ascii="Arial" w:hAnsi="Arial" w:cs="Arial"/>
          <w:szCs w:val="24"/>
        </w:rPr>
        <w:t>all peoples have the right of self-determination</w:t>
      </w:r>
      <w:r w:rsidR="004B5879">
        <w:rPr>
          <w:rFonts w:ascii="Arial" w:hAnsi="Arial" w:cs="Arial"/>
          <w:szCs w:val="24"/>
        </w:rPr>
        <w:t>’</w:t>
      </w:r>
      <w:r w:rsidRPr="003450E9">
        <w:rPr>
          <w:rFonts w:ascii="Arial" w:hAnsi="Arial" w:cs="Arial"/>
          <w:szCs w:val="24"/>
        </w:rPr>
        <w:t xml:space="preserve">.   By virtue of that right they freely determine their political status and freely pursue their economic, social and cultural development’.   </w:t>
      </w:r>
    </w:p>
    <w:p w14:paraId="0F7DF1F5" w14:textId="77777777" w:rsidR="003450E9" w:rsidRPr="003450E9" w:rsidRDefault="003450E9" w:rsidP="003450E9">
      <w:pPr>
        <w:spacing w:before="0"/>
        <w:jc w:val="both"/>
        <w:textAlignment w:val="top"/>
        <w:rPr>
          <w:rFonts w:ascii="Arial" w:hAnsi="Arial" w:cs="Arial"/>
          <w:szCs w:val="24"/>
        </w:rPr>
      </w:pPr>
      <w:r w:rsidRPr="003450E9">
        <w:rPr>
          <w:rFonts w:ascii="Arial" w:hAnsi="Arial" w:cs="Arial"/>
          <w:szCs w:val="24"/>
        </w:rPr>
        <w:t xml:space="preserve"> </w:t>
      </w:r>
    </w:p>
    <w:p w14:paraId="6DB80A95" w14:textId="0F20C1D9" w:rsidR="003450E9" w:rsidRPr="0007153C" w:rsidRDefault="003450E9" w:rsidP="003450E9">
      <w:pPr>
        <w:spacing w:before="0"/>
        <w:jc w:val="both"/>
        <w:textAlignment w:val="top"/>
        <w:rPr>
          <w:rFonts w:ascii="Arial" w:hAnsi="Arial" w:cs="Arial"/>
          <w:szCs w:val="24"/>
        </w:rPr>
      </w:pPr>
      <w:r w:rsidRPr="003450E9">
        <w:rPr>
          <w:rFonts w:ascii="Arial" w:hAnsi="Arial" w:cs="Arial"/>
          <w:szCs w:val="24"/>
        </w:rPr>
        <w:t xml:space="preserve">Under the Cashless Debit Card </w:t>
      </w:r>
      <w:r w:rsidR="00BB519B">
        <w:rPr>
          <w:rFonts w:ascii="Arial" w:hAnsi="Arial" w:cs="Arial"/>
          <w:szCs w:val="24"/>
        </w:rPr>
        <w:t>and Income Management</w:t>
      </w:r>
      <w:r w:rsidRPr="003450E9">
        <w:rPr>
          <w:rFonts w:ascii="Arial" w:hAnsi="Arial" w:cs="Arial"/>
          <w:szCs w:val="24"/>
        </w:rPr>
        <w:t xml:space="preserve">, people are able to spend their restricted funds on any goods or services except alcohol, gambling and illicit drugs because of having less access to discretionary cash.  The limitation on these products and services ensures that vulnerable people are protected from abuse of these substances, and any associated harm and violence.  </w:t>
      </w:r>
    </w:p>
    <w:p w14:paraId="487AFA61" w14:textId="77777777" w:rsidR="003450E9" w:rsidRPr="0007153C" w:rsidRDefault="003450E9" w:rsidP="003450E9">
      <w:pPr>
        <w:spacing w:before="0"/>
        <w:jc w:val="both"/>
        <w:textAlignment w:val="top"/>
        <w:rPr>
          <w:rFonts w:ascii="Arial" w:hAnsi="Arial" w:cs="Arial"/>
          <w:szCs w:val="24"/>
        </w:rPr>
      </w:pPr>
      <w:r w:rsidRPr="0007153C">
        <w:rPr>
          <w:rFonts w:ascii="Arial" w:hAnsi="Arial" w:cs="Arial"/>
          <w:szCs w:val="24"/>
        </w:rPr>
        <w:t xml:space="preserve"> </w:t>
      </w:r>
    </w:p>
    <w:p w14:paraId="30E425A5" w14:textId="0310CD07" w:rsidR="003450E9" w:rsidRPr="003450E9" w:rsidRDefault="003450E9" w:rsidP="003450E9">
      <w:pPr>
        <w:spacing w:before="0"/>
        <w:jc w:val="both"/>
        <w:textAlignment w:val="top"/>
        <w:rPr>
          <w:rFonts w:ascii="Arial" w:hAnsi="Arial" w:cs="Arial"/>
          <w:szCs w:val="24"/>
        </w:rPr>
      </w:pPr>
      <w:r w:rsidRPr="0007153C">
        <w:rPr>
          <w:rFonts w:ascii="Arial" w:hAnsi="Arial" w:cs="Arial"/>
          <w:szCs w:val="24"/>
        </w:rPr>
        <w:t xml:space="preserve">The </w:t>
      </w:r>
      <w:r w:rsidR="0007153C" w:rsidRPr="0007153C">
        <w:rPr>
          <w:rFonts w:ascii="Arial" w:hAnsi="Arial" w:cs="Arial"/>
          <w:szCs w:val="24"/>
        </w:rPr>
        <w:t>extension</w:t>
      </w:r>
      <w:r w:rsidRPr="0007153C">
        <w:rPr>
          <w:rFonts w:ascii="Arial" w:hAnsi="Arial" w:cs="Arial"/>
          <w:szCs w:val="24"/>
        </w:rPr>
        <w:t xml:space="preserve"> </w:t>
      </w:r>
      <w:r w:rsidR="0007153C" w:rsidRPr="0007153C">
        <w:rPr>
          <w:rFonts w:ascii="Arial" w:hAnsi="Arial" w:cs="Arial"/>
          <w:szCs w:val="24"/>
        </w:rPr>
        <w:t>of</w:t>
      </w:r>
      <w:r w:rsidRPr="0007153C">
        <w:rPr>
          <w:rFonts w:ascii="Arial" w:hAnsi="Arial" w:cs="Arial"/>
          <w:szCs w:val="24"/>
        </w:rPr>
        <w:t xml:space="preserve"> the Cashless Debit Card trial</w:t>
      </w:r>
      <w:r w:rsidR="0007153C" w:rsidRPr="0007153C">
        <w:rPr>
          <w:rFonts w:ascii="Arial" w:hAnsi="Arial" w:cs="Arial"/>
          <w:szCs w:val="24"/>
        </w:rPr>
        <w:t xml:space="preserve"> in existing sites and Income Management in the Cape York region</w:t>
      </w:r>
      <w:r w:rsidRPr="0007153C">
        <w:rPr>
          <w:rFonts w:ascii="Arial" w:hAnsi="Arial" w:cs="Arial"/>
          <w:szCs w:val="24"/>
        </w:rPr>
        <w:t xml:space="preserve"> will not impact on or interfere with a person’s right to freely pursue their economic, social or cultural development.</w:t>
      </w:r>
      <w:r w:rsidRPr="003450E9">
        <w:rPr>
          <w:rFonts w:ascii="Arial" w:hAnsi="Arial" w:cs="Arial"/>
          <w:szCs w:val="24"/>
        </w:rPr>
        <w:t xml:space="preserve">   </w:t>
      </w:r>
    </w:p>
    <w:p w14:paraId="3B84EC94" w14:textId="6F906001" w:rsidR="003450E9" w:rsidRDefault="003450E9" w:rsidP="003450E9">
      <w:pPr>
        <w:spacing w:before="0"/>
        <w:jc w:val="both"/>
        <w:textAlignment w:val="top"/>
        <w:rPr>
          <w:rFonts w:ascii="Arial" w:hAnsi="Arial" w:cs="Arial"/>
          <w:szCs w:val="24"/>
        </w:rPr>
      </w:pPr>
    </w:p>
    <w:p w14:paraId="2092BAA1" w14:textId="77777777" w:rsidR="003450E9" w:rsidRPr="008B6CDD" w:rsidRDefault="003450E9" w:rsidP="003450E9">
      <w:pPr>
        <w:spacing w:before="0"/>
        <w:jc w:val="both"/>
        <w:textAlignment w:val="top"/>
        <w:rPr>
          <w:rFonts w:ascii="Arial" w:hAnsi="Arial" w:cs="Arial"/>
          <w:szCs w:val="24"/>
          <w:u w:val="single"/>
        </w:rPr>
      </w:pPr>
      <w:r w:rsidRPr="008B6CDD">
        <w:rPr>
          <w:rFonts w:ascii="Arial" w:hAnsi="Arial" w:cs="Arial"/>
          <w:szCs w:val="24"/>
          <w:u w:val="single"/>
        </w:rPr>
        <w:t xml:space="preserve">The rights of children </w:t>
      </w:r>
    </w:p>
    <w:p w14:paraId="380E745A" w14:textId="77777777" w:rsidR="003450E9" w:rsidRPr="003450E9" w:rsidRDefault="003450E9" w:rsidP="003450E9">
      <w:pPr>
        <w:spacing w:before="0"/>
        <w:jc w:val="both"/>
        <w:textAlignment w:val="top"/>
        <w:rPr>
          <w:rFonts w:ascii="Arial" w:hAnsi="Arial" w:cs="Arial"/>
          <w:szCs w:val="24"/>
        </w:rPr>
      </w:pPr>
      <w:r w:rsidRPr="003450E9">
        <w:rPr>
          <w:rFonts w:ascii="Arial" w:hAnsi="Arial" w:cs="Arial"/>
          <w:szCs w:val="24"/>
        </w:rPr>
        <w:t xml:space="preserve"> </w:t>
      </w:r>
    </w:p>
    <w:p w14:paraId="10BFEB85" w14:textId="0A1D7533" w:rsidR="003450E9" w:rsidRDefault="003450E9" w:rsidP="003450E9">
      <w:pPr>
        <w:spacing w:before="0"/>
        <w:jc w:val="both"/>
        <w:textAlignment w:val="top"/>
        <w:rPr>
          <w:rFonts w:ascii="Arial" w:hAnsi="Arial" w:cs="Arial"/>
          <w:szCs w:val="24"/>
        </w:rPr>
      </w:pPr>
      <w:r w:rsidRPr="003450E9">
        <w:rPr>
          <w:rFonts w:ascii="Arial" w:hAnsi="Arial" w:cs="Arial"/>
          <w:szCs w:val="24"/>
        </w:rPr>
        <w:t>By ensuring that a portion of welfare payments is available to cover essential goods and services, welfare quarantining can improve living conditions for the children of welfare recipients</w:t>
      </w:r>
      <w:r>
        <w:rPr>
          <w:rFonts w:ascii="Arial" w:hAnsi="Arial" w:cs="Arial"/>
          <w:szCs w:val="24"/>
        </w:rPr>
        <w:t>.</w:t>
      </w:r>
    </w:p>
    <w:p w14:paraId="2725ECB6" w14:textId="74F6CB05" w:rsidR="003450E9" w:rsidRDefault="003450E9" w:rsidP="003450E9">
      <w:pPr>
        <w:spacing w:before="0"/>
        <w:jc w:val="both"/>
        <w:textAlignment w:val="top"/>
        <w:rPr>
          <w:rFonts w:ascii="Arial" w:hAnsi="Arial" w:cs="Arial"/>
          <w:szCs w:val="24"/>
        </w:rPr>
      </w:pPr>
    </w:p>
    <w:p w14:paraId="3AD774E7" w14:textId="10F6DF83" w:rsidR="003450E9" w:rsidRDefault="003450E9" w:rsidP="003450E9">
      <w:pPr>
        <w:spacing w:before="0"/>
        <w:jc w:val="both"/>
        <w:textAlignment w:val="top"/>
        <w:rPr>
          <w:rFonts w:ascii="Arial" w:hAnsi="Arial" w:cs="Arial"/>
          <w:szCs w:val="24"/>
        </w:rPr>
      </w:pPr>
      <w:r w:rsidRPr="003450E9">
        <w:rPr>
          <w:rFonts w:ascii="Arial" w:hAnsi="Arial" w:cs="Arial"/>
          <w:szCs w:val="24"/>
        </w:rPr>
        <w:t>Therefore, measures used to restrict payment spent</w:t>
      </w:r>
      <w:r>
        <w:rPr>
          <w:rFonts w:ascii="Arial" w:hAnsi="Arial" w:cs="Arial"/>
          <w:szCs w:val="24"/>
        </w:rPr>
        <w:t xml:space="preserve"> on alcohol, drugs and </w:t>
      </w:r>
      <w:r w:rsidR="00BB519B">
        <w:rPr>
          <w:rFonts w:ascii="Arial" w:hAnsi="Arial" w:cs="Arial"/>
          <w:szCs w:val="24"/>
        </w:rPr>
        <w:t>gambling</w:t>
      </w:r>
      <w:r w:rsidR="00BB519B" w:rsidRPr="003450E9">
        <w:rPr>
          <w:rFonts w:ascii="Arial" w:hAnsi="Arial" w:cs="Arial"/>
          <w:szCs w:val="24"/>
        </w:rPr>
        <w:t xml:space="preserve"> </w:t>
      </w:r>
      <w:r w:rsidR="00BB519B">
        <w:rPr>
          <w:rFonts w:ascii="Arial" w:hAnsi="Arial" w:cs="Arial"/>
          <w:szCs w:val="24"/>
        </w:rPr>
        <w:t>can</w:t>
      </w:r>
      <w:r w:rsidRPr="003450E9">
        <w:rPr>
          <w:rFonts w:ascii="Arial" w:hAnsi="Arial" w:cs="Arial"/>
          <w:szCs w:val="24"/>
        </w:rPr>
        <w:t xml:space="preserve"> be used to advance the right of children to the highest attainable standard of health and the right of children to adequate standards of living (articles 24, 26 and 27 of the Convention on the Rights of the Child, respectively).</w:t>
      </w:r>
    </w:p>
    <w:p w14:paraId="1EA0C047" w14:textId="17FD3731" w:rsidR="003450E9" w:rsidRDefault="003450E9" w:rsidP="003450E9">
      <w:pPr>
        <w:spacing w:before="0"/>
        <w:jc w:val="both"/>
        <w:textAlignment w:val="top"/>
        <w:rPr>
          <w:rFonts w:ascii="Arial" w:hAnsi="Arial" w:cs="Arial"/>
          <w:szCs w:val="24"/>
        </w:rPr>
      </w:pPr>
    </w:p>
    <w:p w14:paraId="185E7467" w14:textId="77777777" w:rsidR="003450E9" w:rsidRPr="008B6CDD" w:rsidRDefault="003450E9" w:rsidP="003450E9">
      <w:pPr>
        <w:spacing w:before="0"/>
        <w:jc w:val="both"/>
        <w:textAlignment w:val="top"/>
        <w:rPr>
          <w:rFonts w:ascii="Arial" w:hAnsi="Arial" w:cs="Arial"/>
          <w:szCs w:val="24"/>
          <w:u w:val="single"/>
        </w:rPr>
      </w:pPr>
      <w:r w:rsidRPr="008B6CDD">
        <w:rPr>
          <w:rFonts w:ascii="Arial" w:hAnsi="Arial" w:cs="Arial"/>
          <w:szCs w:val="24"/>
          <w:u w:val="single"/>
        </w:rPr>
        <w:t xml:space="preserve">Conclusion </w:t>
      </w:r>
    </w:p>
    <w:p w14:paraId="2B2BD4B0" w14:textId="671BA6B3" w:rsidR="003B14A3" w:rsidRDefault="003B14A3" w:rsidP="003450E9">
      <w:pPr>
        <w:spacing w:before="0"/>
        <w:jc w:val="both"/>
        <w:textAlignment w:val="top"/>
        <w:rPr>
          <w:rFonts w:ascii="Arial" w:hAnsi="Arial" w:cs="Arial"/>
          <w:szCs w:val="24"/>
        </w:rPr>
      </w:pPr>
    </w:p>
    <w:p w14:paraId="1E985606" w14:textId="739998E2" w:rsidR="003B14A3" w:rsidRDefault="003B14A3" w:rsidP="003B14A3">
      <w:pPr>
        <w:spacing w:before="0"/>
        <w:jc w:val="both"/>
        <w:textAlignment w:val="top"/>
        <w:rPr>
          <w:rFonts w:ascii="Arial" w:hAnsi="Arial" w:cs="Arial"/>
          <w:szCs w:val="24"/>
        </w:rPr>
      </w:pPr>
      <w:r>
        <w:rPr>
          <w:rFonts w:ascii="Arial" w:hAnsi="Arial" w:cs="Arial"/>
          <w:szCs w:val="24"/>
        </w:rPr>
        <w:t xml:space="preserve">This instrument is compatible with human rights.  It advances the protection of human rights by ensuring </w:t>
      </w:r>
      <w:r w:rsidRPr="003450E9">
        <w:rPr>
          <w:rFonts w:ascii="Arial" w:hAnsi="Arial" w:cs="Arial"/>
          <w:szCs w:val="24"/>
        </w:rPr>
        <w:t xml:space="preserve">that welfare payments are spent in the best interests of welfare recipients and their dependents by restricting spending on alcohol, drugs and gambling.  </w:t>
      </w:r>
    </w:p>
    <w:p w14:paraId="7C163F4C" w14:textId="6D8641CB" w:rsidR="00AD5460" w:rsidRDefault="00AD5460" w:rsidP="003B14A3">
      <w:pPr>
        <w:spacing w:before="0"/>
        <w:jc w:val="both"/>
        <w:textAlignment w:val="top"/>
        <w:rPr>
          <w:rFonts w:ascii="Arial" w:hAnsi="Arial" w:cs="Arial"/>
          <w:szCs w:val="24"/>
        </w:rPr>
      </w:pPr>
    </w:p>
    <w:p w14:paraId="0259DC6A" w14:textId="77777777" w:rsidR="00AD5460" w:rsidRDefault="00AD5460" w:rsidP="003B14A3">
      <w:pPr>
        <w:spacing w:before="0"/>
        <w:jc w:val="both"/>
        <w:textAlignment w:val="top"/>
        <w:rPr>
          <w:rFonts w:ascii="Arial" w:hAnsi="Arial" w:cs="Arial"/>
          <w:szCs w:val="24"/>
        </w:rPr>
      </w:pPr>
    </w:p>
    <w:p w14:paraId="06B511D6" w14:textId="77777777" w:rsidR="00AD5460" w:rsidRDefault="00AD5460" w:rsidP="003B14A3">
      <w:pPr>
        <w:spacing w:before="0"/>
        <w:jc w:val="both"/>
        <w:textAlignment w:val="top"/>
        <w:rPr>
          <w:rFonts w:ascii="Arial" w:hAnsi="Arial" w:cs="Arial"/>
          <w:szCs w:val="24"/>
        </w:rPr>
      </w:pPr>
    </w:p>
    <w:p w14:paraId="41D50E6D" w14:textId="77777777" w:rsidR="00AD5460" w:rsidRDefault="00AD5460" w:rsidP="003B14A3">
      <w:pPr>
        <w:spacing w:before="0"/>
        <w:jc w:val="both"/>
        <w:textAlignment w:val="top"/>
        <w:rPr>
          <w:rFonts w:ascii="Arial" w:hAnsi="Arial" w:cs="Arial"/>
          <w:szCs w:val="24"/>
        </w:rPr>
      </w:pPr>
    </w:p>
    <w:p w14:paraId="1ACF1ABE" w14:textId="6B79FC68" w:rsidR="003B14A3" w:rsidRDefault="003B14A3" w:rsidP="003B14A3">
      <w:pPr>
        <w:spacing w:before="0"/>
        <w:jc w:val="both"/>
        <w:textAlignment w:val="top"/>
        <w:rPr>
          <w:rFonts w:ascii="Arial" w:hAnsi="Arial" w:cs="Arial"/>
          <w:szCs w:val="24"/>
          <w:lang w:val="en-US"/>
        </w:rPr>
      </w:pPr>
      <w:r>
        <w:rPr>
          <w:rFonts w:ascii="Arial" w:hAnsi="Arial" w:cs="Arial"/>
          <w:szCs w:val="24"/>
        </w:rPr>
        <w:lastRenderedPageBreak/>
        <w:t>To the extent that this instrument may limit human rights those limitations are reasonable, necessary and proportionate to achieving the legitimate objective of reducing immediate hardship and deprivation and encouraging socially responsible behaviour and reducing the likelihood that welfare payment recipients will be subject to harassment and abuse in relation to their welfare payments.</w:t>
      </w:r>
    </w:p>
    <w:p w14:paraId="32F9C493" w14:textId="77777777" w:rsidR="003B14A3" w:rsidRPr="003450E9" w:rsidRDefault="003B14A3" w:rsidP="003450E9">
      <w:pPr>
        <w:spacing w:before="0"/>
        <w:jc w:val="both"/>
        <w:textAlignment w:val="top"/>
        <w:rPr>
          <w:rFonts w:ascii="Arial" w:hAnsi="Arial" w:cs="Arial"/>
          <w:szCs w:val="24"/>
        </w:rPr>
      </w:pPr>
    </w:p>
    <w:p w14:paraId="45127316" w14:textId="2AD71C10" w:rsidR="00AC457C" w:rsidRDefault="00AC457C">
      <w:pPr>
        <w:spacing w:before="0" w:after="200" w:line="276" w:lineRule="auto"/>
        <w:rPr>
          <w:rFonts w:ascii="Arial" w:hAnsi="Arial" w:cs="Arial"/>
          <w:b/>
          <w:szCs w:val="24"/>
        </w:rPr>
      </w:pPr>
    </w:p>
    <w:p w14:paraId="195C4F08" w14:textId="0550A8BF" w:rsidR="003B14A3" w:rsidRDefault="003B14A3">
      <w:pPr>
        <w:spacing w:before="0" w:after="200" w:line="276" w:lineRule="auto"/>
        <w:rPr>
          <w:rFonts w:ascii="Arial" w:hAnsi="Arial" w:cs="Arial"/>
          <w:b/>
          <w:szCs w:val="24"/>
        </w:rPr>
      </w:pPr>
    </w:p>
    <w:p w14:paraId="02665BC4" w14:textId="2BDB2068" w:rsidR="003B14A3" w:rsidRDefault="003B14A3">
      <w:pPr>
        <w:spacing w:before="0" w:after="200" w:line="276" w:lineRule="auto"/>
        <w:rPr>
          <w:rFonts w:ascii="Arial" w:hAnsi="Arial" w:cs="Arial"/>
          <w:b/>
          <w:szCs w:val="24"/>
        </w:rPr>
      </w:pPr>
    </w:p>
    <w:p w14:paraId="10770416" w14:textId="77777777" w:rsidR="003B14A3" w:rsidRDefault="003B14A3">
      <w:pPr>
        <w:spacing w:before="0" w:after="200" w:line="276" w:lineRule="auto"/>
        <w:rPr>
          <w:rFonts w:ascii="Arial" w:hAnsi="Arial" w:cs="Arial"/>
          <w:b/>
          <w:szCs w:val="24"/>
        </w:rPr>
      </w:pPr>
    </w:p>
    <w:p w14:paraId="6FD5ED6E" w14:textId="77777777" w:rsidR="002810A5" w:rsidRPr="00B44B07" w:rsidRDefault="00DC0EE5">
      <w:pPr>
        <w:spacing w:before="0" w:after="200" w:line="276" w:lineRule="auto"/>
        <w:jc w:val="center"/>
        <w:rPr>
          <w:rStyle w:val="BookTitle"/>
          <w:rFonts w:ascii="Arial" w:eastAsiaTheme="majorEastAsia" w:hAnsi="Arial" w:cs="Arial"/>
          <w:b/>
          <w:bCs/>
          <w:i w:val="0"/>
          <w:iCs w:val="0"/>
          <w:smallCaps w:val="0"/>
          <w:spacing w:val="0"/>
          <w:szCs w:val="24"/>
        </w:rPr>
      </w:pPr>
      <w:r>
        <w:rPr>
          <w:rFonts w:ascii="Arial" w:hAnsi="Arial" w:cs="Arial"/>
          <w:b/>
          <w:szCs w:val="24"/>
        </w:rPr>
        <w:t>Senator the Hon Anne Ruston, Minister for Families and Social Services</w:t>
      </w:r>
      <w:r w:rsidRPr="00BC76EB">
        <w:rPr>
          <w:rFonts w:ascii="Arial" w:hAnsi="Arial" w:cs="Arial"/>
          <w:szCs w:val="24"/>
        </w:rPr>
        <w:t xml:space="preserve"> </w:t>
      </w:r>
    </w:p>
    <w:sectPr w:rsidR="002810A5" w:rsidRPr="00B44B0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5C340" w14:textId="77777777" w:rsidR="000D6F2C" w:rsidRDefault="000D6F2C" w:rsidP="00AD1645">
      <w:pPr>
        <w:spacing w:before="0"/>
      </w:pPr>
      <w:r>
        <w:separator/>
      </w:r>
    </w:p>
  </w:endnote>
  <w:endnote w:type="continuationSeparator" w:id="0">
    <w:p w14:paraId="1A39FA34" w14:textId="77777777" w:rsidR="000D6F2C" w:rsidRDefault="000D6F2C"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F8F8" w14:textId="77777777" w:rsidR="008A48A8" w:rsidRDefault="008A4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50062" w14:textId="77777777" w:rsidR="0062394F" w:rsidRDefault="0062394F" w:rsidP="0062394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85260" w14:textId="77777777" w:rsidR="008A48A8" w:rsidRDefault="008A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DC98F" w14:textId="77777777" w:rsidR="000D6F2C" w:rsidRDefault="000D6F2C" w:rsidP="00AD1645">
      <w:pPr>
        <w:spacing w:before="0"/>
      </w:pPr>
      <w:r>
        <w:separator/>
      </w:r>
    </w:p>
  </w:footnote>
  <w:footnote w:type="continuationSeparator" w:id="0">
    <w:p w14:paraId="6C7DB83A" w14:textId="77777777" w:rsidR="000D6F2C" w:rsidRDefault="000D6F2C" w:rsidP="00AD164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31063" w14:textId="77777777" w:rsidR="008A48A8" w:rsidRDefault="008A4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ACA33" w14:textId="77777777" w:rsidR="008A48A8" w:rsidRDefault="008A48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863A7" w14:textId="77777777" w:rsidR="008A48A8" w:rsidRDefault="008A4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66C03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9365CA"/>
    <w:multiLevelType w:val="hybridMultilevel"/>
    <w:tmpl w:val="3F806FB8"/>
    <w:lvl w:ilvl="0" w:tplc="57409A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B27251"/>
    <w:multiLevelType w:val="hybridMultilevel"/>
    <w:tmpl w:val="509021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36058F4"/>
    <w:multiLevelType w:val="hybridMultilevel"/>
    <w:tmpl w:val="AAB2E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D4F2121"/>
    <w:multiLevelType w:val="hybridMultilevel"/>
    <w:tmpl w:val="2AEAD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980D93"/>
    <w:multiLevelType w:val="hybridMultilevel"/>
    <w:tmpl w:val="74FECF0C"/>
    <w:lvl w:ilvl="0" w:tplc="F5F66F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4A7931"/>
    <w:multiLevelType w:val="multilevel"/>
    <w:tmpl w:val="30A0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5A6224"/>
    <w:multiLevelType w:val="hybridMultilevel"/>
    <w:tmpl w:val="9F3E8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AA0A5E"/>
    <w:multiLevelType w:val="hybridMultilevel"/>
    <w:tmpl w:val="DF58F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CE6927"/>
    <w:multiLevelType w:val="hybridMultilevel"/>
    <w:tmpl w:val="A2BA6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941778"/>
    <w:multiLevelType w:val="hybridMultilevel"/>
    <w:tmpl w:val="265C1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17"/>
  </w:num>
  <w:num w:numId="5">
    <w:abstractNumId w:val="16"/>
  </w:num>
  <w:num w:numId="6">
    <w:abstractNumId w:val="2"/>
  </w:num>
  <w:num w:numId="7">
    <w:abstractNumId w:val="12"/>
  </w:num>
  <w:num w:numId="8">
    <w:abstractNumId w:val="19"/>
  </w:num>
  <w:num w:numId="9">
    <w:abstractNumId w:val="10"/>
  </w:num>
  <w:num w:numId="10">
    <w:abstractNumId w:val="20"/>
  </w:num>
  <w:num w:numId="11">
    <w:abstractNumId w:val="3"/>
  </w:num>
  <w:num w:numId="12">
    <w:abstractNumId w:val="8"/>
  </w:num>
  <w:num w:numId="13">
    <w:abstractNumId w:val="1"/>
  </w:num>
  <w:num w:numId="14">
    <w:abstractNumId w:val="11"/>
  </w:num>
  <w:num w:numId="15">
    <w:abstractNumId w:val="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4"/>
  </w:num>
  <w:num w:numId="19">
    <w:abstractNumId w:val="0"/>
  </w:num>
  <w:num w:numId="20">
    <w:abstractNumId w:val="24"/>
  </w:num>
  <w:num w:numId="21">
    <w:abstractNumId w:val="22"/>
  </w:num>
  <w:num w:numId="22">
    <w:abstractNumId w:val="23"/>
  </w:num>
  <w:num w:numId="23">
    <w:abstractNumId w:val="6"/>
  </w:num>
  <w:num w:numId="24">
    <w:abstractNumId w:val="21"/>
  </w:num>
  <w:num w:numId="25">
    <w:abstractNumId w:val="13"/>
  </w:num>
  <w:num w:numId="26">
    <w:abstractNumId w:val="1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2AA4"/>
    <w:rsid w:val="00004004"/>
    <w:rsid w:val="00004FF8"/>
    <w:rsid w:val="00005809"/>
    <w:rsid w:val="0000668E"/>
    <w:rsid w:val="00021ED2"/>
    <w:rsid w:val="00027FF3"/>
    <w:rsid w:val="00030AEE"/>
    <w:rsid w:val="00030B79"/>
    <w:rsid w:val="00031D0B"/>
    <w:rsid w:val="00034C3F"/>
    <w:rsid w:val="00043B6D"/>
    <w:rsid w:val="00045BF2"/>
    <w:rsid w:val="00051C3F"/>
    <w:rsid w:val="00066DAE"/>
    <w:rsid w:val="0007001B"/>
    <w:rsid w:val="0007153C"/>
    <w:rsid w:val="000728BE"/>
    <w:rsid w:val="00072F64"/>
    <w:rsid w:val="00073053"/>
    <w:rsid w:val="00074C1A"/>
    <w:rsid w:val="000760DC"/>
    <w:rsid w:val="00080E68"/>
    <w:rsid w:val="000844AF"/>
    <w:rsid w:val="00084B46"/>
    <w:rsid w:val="00085730"/>
    <w:rsid w:val="00096B8D"/>
    <w:rsid w:val="000A3525"/>
    <w:rsid w:val="000A3595"/>
    <w:rsid w:val="000A3C4B"/>
    <w:rsid w:val="000A3FA3"/>
    <w:rsid w:val="000A4C3F"/>
    <w:rsid w:val="000A772F"/>
    <w:rsid w:val="000B23D1"/>
    <w:rsid w:val="000B4130"/>
    <w:rsid w:val="000C2DDB"/>
    <w:rsid w:val="000C5204"/>
    <w:rsid w:val="000D00A4"/>
    <w:rsid w:val="000D365F"/>
    <w:rsid w:val="000D6F2C"/>
    <w:rsid w:val="000E02A0"/>
    <w:rsid w:val="000E3915"/>
    <w:rsid w:val="000F7D1E"/>
    <w:rsid w:val="00112D87"/>
    <w:rsid w:val="0011719D"/>
    <w:rsid w:val="00122184"/>
    <w:rsid w:val="00126429"/>
    <w:rsid w:val="001310C6"/>
    <w:rsid w:val="001371E1"/>
    <w:rsid w:val="00140359"/>
    <w:rsid w:val="001502F9"/>
    <w:rsid w:val="0015134A"/>
    <w:rsid w:val="00152472"/>
    <w:rsid w:val="00157363"/>
    <w:rsid w:val="00163809"/>
    <w:rsid w:val="0016653C"/>
    <w:rsid w:val="00175BC6"/>
    <w:rsid w:val="00191AEC"/>
    <w:rsid w:val="001920F3"/>
    <w:rsid w:val="00193840"/>
    <w:rsid w:val="001942CD"/>
    <w:rsid w:val="00196197"/>
    <w:rsid w:val="001A737C"/>
    <w:rsid w:val="001B105C"/>
    <w:rsid w:val="001B5379"/>
    <w:rsid w:val="001C64F9"/>
    <w:rsid w:val="001D08E0"/>
    <w:rsid w:val="001D69AF"/>
    <w:rsid w:val="001E09E5"/>
    <w:rsid w:val="001E0F7E"/>
    <w:rsid w:val="001E45B1"/>
    <w:rsid w:val="001E5B72"/>
    <w:rsid w:val="001E5D12"/>
    <w:rsid w:val="001E630D"/>
    <w:rsid w:val="001E7422"/>
    <w:rsid w:val="001F3F98"/>
    <w:rsid w:val="001F4805"/>
    <w:rsid w:val="001F4E3C"/>
    <w:rsid w:val="002020CB"/>
    <w:rsid w:val="00202FD1"/>
    <w:rsid w:val="002114FA"/>
    <w:rsid w:val="0021475B"/>
    <w:rsid w:val="002154EE"/>
    <w:rsid w:val="00224887"/>
    <w:rsid w:val="002329E1"/>
    <w:rsid w:val="002334D9"/>
    <w:rsid w:val="00234F9E"/>
    <w:rsid w:val="0024301B"/>
    <w:rsid w:val="0024465E"/>
    <w:rsid w:val="0024760C"/>
    <w:rsid w:val="002533F0"/>
    <w:rsid w:val="00256D04"/>
    <w:rsid w:val="00260B4F"/>
    <w:rsid w:val="00262803"/>
    <w:rsid w:val="002642C7"/>
    <w:rsid w:val="00264C31"/>
    <w:rsid w:val="0026619E"/>
    <w:rsid w:val="00267C0F"/>
    <w:rsid w:val="002741BD"/>
    <w:rsid w:val="00274CAF"/>
    <w:rsid w:val="00276D06"/>
    <w:rsid w:val="00276F09"/>
    <w:rsid w:val="002810A5"/>
    <w:rsid w:val="00283079"/>
    <w:rsid w:val="002926E3"/>
    <w:rsid w:val="002A0E63"/>
    <w:rsid w:val="002A2A71"/>
    <w:rsid w:val="002A523B"/>
    <w:rsid w:val="002A6007"/>
    <w:rsid w:val="002A63EA"/>
    <w:rsid w:val="002A7C97"/>
    <w:rsid w:val="002B0175"/>
    <w:rsid w:val="002C0F57"/>
    <w:rsid w:val="002C1403"/>
    <w:rsid w:val="002C1938"/>
    <w:rsid w:val="002C2252"/>
    <w:rsid w:val="002C6177"/>
    <w:rsid w:val="002D073D"/>
    <w:rsid w:val="002D0F1C"/>
    <w:rsid w:val="002D2B31"/>
    <w:rsid w:val="002D35D8"/>
    <w:rsid w:val="002D4387"/>
    <w:rsid w:val="002D4522"/>
    <w:rsid w:val="002E0BB1"/>
    <w:rsid w:val="002E45E2"/>
    <w:rsid w:val="002F1164"/>
    <w:rsid w:val="00300D8B"/>
    <w:rsid w:val="0030396E"/>
    <w:rsid w:val="00303A60"/>
    <w:rsid w:val="003119FD"/>
    <w:rsid w:val="00317705"/>
    <w:rsid w:val="00320B0B"/>
    <w:rsid w:val="00334F9D"/>
    <w:rsid w:val="00337065"/>
    <w:rsid w:val="003374A1"/>
    <w:rsid w:val="003430FC"/>
    <w:rsid w:val="003434E2"/>
    <w:rsid w:val="003450E9"/>
    <w:rsid w:val="00345FFE"/>
    <w:rsid w:val="0035378F"/>
    <w:rsid w:val="00353BB9"/>
    <w:rsid w:val="003606C5"/>
    <w:rsid w:val="00365424"/>
    <w:rsid w:val="003721CC"/>
    <w:rsid w:val="00374A77"/>
    <w:rsid w:val="00380666"/>
    <w:rsid w:val="00387D89"/>
    <w:rsid w:val="00392EB6"/>
    <w:rsid w:val="00393D4E"/>
    <w:rsid w:val="00394743"/>
    <w:rsid w:val="00394EDD"/>
    <w:rsid w:val="0039736B"/>
    <w:rsid w:val="003A04AD"/>
    <w:rsid w:val="003A5D6E"/>
    <w:rsid w:val="003B14A3"/>
    <w:rsid w:val="003B2BB8"/>
    <w:rsid w:val="003B44E1"/>
    <w:rsid w:val="003B5998"/>
    <w:rsid w:val="003C3368"/>
    <w:rsid w:val="003C54B6"/>
    <w:rsid w:val="003D34FF"/>
    <w:rsid w:val="003D5E06"/>
    <w:rsid w:val="003D6CA8"/>
    <w:rsid w:val="003D71F6"/>
    <w:rsid w:val="003E1009"/>
    <w:rsid w:val="003E1784"/>
    <w:rsid w:val="003F058E"/>
    <w:rsid w:val="00400273"/>
    <w:rsid w:val="00405B90"/>
    <w:rsid w:val="00420387"/>
    <w:rsid w:val="0042132E"/>
    <w:rsid w:val="00433368"/>
    <w:rsid w:val="00434A04"/>
    <w:rsid w:val="004418D5"/>
    <w:rsid w:val="00446D6C"/>
    <w:rsid w:val="00447672"/>
    <w:rsid w:val="0045240C"/>
    <w:rsid w:val="00453FC9"/>
    <w:rsid w:val="00454405"/>
    <w:rsid w:val="00456FBD"/>
    <w:rsid w:val="00457792"/>
    <w:rsid w:val="00463213"/>
    <w:rsid w:val="004646E1"/>
    <w:rsid w:val="00465FC3"/>
    <w:rsid w:val="00470C3D"/>
    <w:rsid w:val="004726FF"/>
    <w:rsid w:val="00480571"/>
    <w:rsid w:val="004814F1"/>
    <w:rsid w:val="00482411"/>
    <w:rsid w:val="00485CD3"/>
    <w:rsid w:val="00487A59"/>
    <w:rsid w:val="004956ED"/>
    <w:rsid w:val="0049646F"/>
    <w:rsid w:val="0049767B"/>
    <w:rsid w:val="00497768"/>
    <w:rsid w:val="004A0B8C"/>
    <w:rsid w:val="004A0C19"/>
    <w:rsid w:val="004A126A"/>
    <w:rsid w:val="004A24AF"/>
    <w:rsid w:val="004B3147"/>
    <w:rsid w:val="004B54CA"/>
    <w:rsid w:val="004B5879"/>
    <w:rsid w:val="004C00E3"/>
    <w:rsid w:val="004C163F"/>
    <w:rsid w:val="004C209A"/>
    <w:rsid w:val="004D336A"/>
    <w:rsid w:val="004D7DDF"/>
    <w:rsid w:val="004E1703"/>
    <w:rsid w:val="004E3A61"/>
    <w:rsid w:val="004E4778"/>
    <w:rsid w:val="004E56C8"/>
    <w:rsid w:val="004E5CBF"/>
    <w:rsid w:val="004E647A"/>
    <w:rsid w:val="004F0EF6"/>
    <w:rsid w:val="004F1CD0"/>
    <w:rsid w:val="004F264A"/>
    <w:rsid w:val="004F3BEA"/>
    <w:rsid w:val="004F5308"/>
    <w:rsid w:val="004F66BA"/>
    <w:rsid w:val="004F69ED"/>
    <w:rsid w:val="00502D48"/>
    <w:rsid w:val="00511520"/>
    <w:rsid w:val="00527238"/>
    <w:rsid w:val="005332C8"/>
    <w:rsid w:val="00540BD8"/>
    <w:rsid w:val="00545667"/>
    <w:rsid w:val="005501FE"/>
    <w:rsid w:val="005512DE"/>
    <w:rsid w:val="0055503B"/>
    <w:rsid w:val="00562CBC"/>
    <w:rsid w:val="00566538"/>
    <w:rsid w:val="00566BF6"/>
    <w:rsid w:val="00570884"/>
    <w:rsid w:val="00576330"/>
    <w:rsid w:val="0057641C"/>
    <w:rsid w:val="005766D2"/>
    <w:rsid w:val="0058158E"/>
    <w:rsid w:val="00583C98"/>
    <w:rsid w:val="00586A5A"/>
    <w:rsid w:val="00591D1A"/>
    <w:rsid w:val="00594251"/>
    <w:rsid w:val="005A1FF6"/>
    <w:rsid w:val="005A2612"/>
    <w:rsid w:val="005A3518"/>
    <w:rsid w:val="005C0271"/>
    <w:rsid w:val="005C390A"/>
    <w:rsid w:val="005C3AA9"/>
    <w:rsid w:val="005C54B4"/>
    <w:rsid w:val="005C78B2"/>
    <w:rsid w:val="005D72C6"/>
    <w:rsid w:val="005E4167"/>
    <w:rsid w:val="005E4362"/>
    <w:rsid w:val="005E4607"/>
    <w:rsid w:val="005E7B26"/>
    <w:rsid w:val="005F2A36"/>
    <w:rsid w:val="005F41C9"/>
    <w:rsid w:val="005F5E17"/>
    <w:rsid w:val="005F7756"/>
    <w:rsid w:val="006145B0"/>
    <w:rsid w:val="0061467E"/>
    <w:rsid w:val="00614C63"/>
    <w:rsid w:val="00620404"/>
    <w:rsid w:val="00622668"/>
    <w:rsid w:val="00622B71"/>
    <w:rsid w:val="00622D63"/>
    <w:rsid w:val="0062394F"/>
    <w:rsid w:val="00624E34"/>
    <w:rsid w:val="00630BE9"/>
    <w:rsid w:val="00632F44"/>
    <w:rsid w:val="006353E3"/>
    <w:rsid w:val="006367F9"/>
    <w:rsid w:val="006402A6"/>
    <w:rsid w:val="006407D3"/>
    <w:rsid w:val="0064167D"/>
    <w:rsid w:val="00641BBD"/>
    <w:rsid w:val="00646C45"/>
    <w:rsid w:val="00647281"/>
    <w:rsid w:val="00650B9C"/>
    <w:rsid w:val="00650C1C"/>
    <w:rsid w:val="006512A6"/>
    <w:rsid w:val="006546B7"/>
    <w:rsid w:val="006643AB"/>
    <w:rsid w:val="0067070B"/>
    <w:rsid w:val="00672BBC"/>
    <w:rsid w:val="00676BBD"/>
    <w:rsid w:val="00680D0B"/>
    <w:rsid w:val="00681C7F"/>
    <w:rsid w:val="00683FF5"/>
    <w:rsid w:val="006868A7"/>
    <w:rsid w:val="00687351"/>
    <w:rsid w:val="006873F3"/>
    <w:rsid w:val="006939EB"/>
    <w:rsid w:val="00694024"/>
    <w:rsid w:val="00694875"/>
    <w:rsid w:val="006A1F70"/>
    <w:rsid w:val="006A4CE7"/>
    <w:rsid w:val="006A5D55"/>
    <w:rsid w:val="006A6D51"/>
    <w:rsid w:val="006C36A2"/>
    <w:rsid w:val="006C5E5E"/>
    <w:rsid w:val="006D0780"/>
    <w:rsid w:val="006D46BB"/>
    <w:rsid w:val="006D4A7F"/>
    <w:rsid w:val="006D7E0F"/>
    <w:rsid w:val="006E156E"/>
    <w:rsid w:val="006E1B19"/>
    <w:rsid w:val="006F0769"/>
    <w:rsid w:val="00701486"/>
    <w:rsid w:val="00703186"/>
    <w:rsid w:val="00703353"/>
    <w:rsid w:val="00703564"/>
    <w:rsid w:val="00712815"/>
    <w:rsid w:val="00720E42"/>
    <w:rsid w:val="0072177C"/>
    <w:rsid w:val="00732A71"/>
    <w:rsid w:val="0073766B"/>
    <w:rsid w:val="0074777D"/>
    <w:rsid w:val="00754A45"/>
    <w:rsid w:val="00761511"/>
    <w:rsid w:val="00762A05"/>
    <w:rsid w:val="00766A6B"/>
    <w:rsid w:val="00767CAD"/>
    <w:rsid w:val="00771003"/>
    <w:rsid w:val="0077461F"/>
    <w:rsid w:val="007747D4"/>
    <w:rsid w:val="00776B68"/>
    <w:rsid w:val="0078126B"/>
    <w:rsid w:val="00784264"/>
    <w:rsid w:val="00785261"/>
    <w:rsid w:val="007907A8"/>
    <w:rsid w:val="007938F3"/>
    <w:rsid w:val="0079557B"/>
    <w:rsid w:val="007A0542"/>
    <w:rsid w:val="007A1E8B"/>
    <w:rsid w:val="007A23FF"/>
    <w:rsid w:val="007A2A56"/>
    <w:rsid w:val="007A2AA3"/>
    <w:rsid w:val="007A4CC7"/>
    <w:rsid w:val="007A53DD"/>
    <w:rsid w:val="007B0256"/>
    <w:rsid w:val="007B66CA"/>
    <w:rsid w:val="007B68EB"/>
    <w:rsid w:val="007B69DD"/>
    <w:rsid w:val="007C4060"/>
    <w:rsid w:val="007C5234"/>
    <w:rsid w:val="007D1DE6"/>
    <w:rsid w:val="007D502A"/>
    <w:rsid w:val="007D6273"/>
    <w:rsid w:val="007D63EE"/>
    <w:rsid w:val="007E4FAD"/>
    <w:rsid w:val="007F4006"/>
    <w:rsid w:val="007F44F6"/>
    <w:rsid w:val="0080240B"/>
    <w:rsid w:val="008030BF"/>
    <w:rsid w:val="00805CD5"/>
    <w:rsid w:val="00807CD7"/>
    <w:rsid w:val="00816CFA"/>
    <w:rsid w:val="00823425"/>
    <w:rsid w:val="0083135C"/>
    <w:rsid w:val="00841C22"/>
    <w:rsid w:val="00844FDB"/>
    <w:rsid w:val="0084517A"/>
    <w:rsid w:val="0085175C"/>
    <w:rsid w:val="00851CA3"/>
    <w:rsid w:val="00860BE9"/>
    <w:rsid w:val="008669B7"/>
    <w:rsid w:val="00870517"/>
    <w:rsid w:val="008707FE"/>
    <w:rsid w:val="00871F28"/>
    <w:rsid w:val="008724BA"/>
    <w:rsid w:val="008761FF"/>
    <w:rsid w:val="00880E92"/>
    <w:rsid w:val="00891B3A"/>
    <w:rsid w:val="008954BF"/>
    <w:rsid w:val="00896466"/>
    <w:rsid w:val="008975DB"/>
    <w:rsid w:val="008A2070"/>
    <w:rsid w:val="008A48A8"/>
    <w:rsid w:val="008A5217"/>
    <w:rsid w:val="008B026E"/>
    <w:rsid w:val="008B1AA5"/>
    <w:rsid w:val="008B4576"/>
    <w:rsid w:val="008B4CF1"/>
    <w:rsid w:val="008B6CDD"/>
    <w:rsid w:val="008C4973"/>
    <w:rsid w:val="008D2D41"/>
    <w:rsid w:val="008D2FC2"/>
    <w:rsid w:val="008D59CA"/>
    <w:rsid w:val="008D68B6"/>
    <w:rsid w:val="008D7A97"/>
    <w:rsid w:val="008E145B"/>
    <w:rsid w:val="008E1D0E"/>
    <w:rsid w:val="008E320A"/>
    <w:rsid w:val="008E4FA9"/>
    <w:rsid w:val="008E743F"/>
    <w:rsid w:val="008F4E07"/>
    <w:rsid w:val="008F5702"/>
    <w:rsid w:val="0090001F"/>
    <w:rsid w:val="0090702B"/>
    <w:rsid w:val="00912ED8"/>
    <w:rsid w:val="0091310A"/>
    <w:rsid w:val="009140F6"/>
    <w:rsid w:val="00915967"/>
    <w:rsid w:val="00915A96"/>
    <w:rsid w:val="009225F0"/>
    <w:rsid w:val="00925633"/>
    <w:rsid w:val="00930624"/>
    <w:rsid w:val="00932E80"/>
    <w:rsid w:val="009332B3"/>
    <w:rsid w:val="00935A03"/>
    <w:rsid w:val="009426E4"/>
    <w:rsid w:val="00946730"/>
    <w:rsid w:val="00950ACB"/>
    <w:rsid w:val="0095196E"/>
    <w:rsid w:val="009551F4"/>
    <w:rsid w:val="00956519"/>
    <w:rsid w:val="00962D6F"/>
    <w:rsid w:val="00963DCA"/>
    <w:rsid w:val="00966756"/>
    <w:rsid w:val="00966F79"/>
    <w:rsid w:val="00970C88"/>
    <w:rsid w:val="00971067"/>
    <w:rsid w:val="0097522B"/>
    <w:rsid w:val="00985038"/>
    <w:rsid w:val="0099649B"/>
    <w:rsid w:val="009A117D"/>
    <w:rsid w:val="009A4EAB"/>
    <w:rsid w:val="009A5D3E"/>
    <w:rsid w:val="009B6511"/>
    <w:rsid w:val="009B6654"/>
    <w:rsid w:val="009B71A9"/>
    <w:rsid w:val="009C249A"/>
    <w:rsid w:val="009C63A9"/>
    <w:rsid w:val="009C63B6"/>
    <w:rsid w:val="009D1179"/>
    <w:rsid w:val="009D1BE5"/>
    <w:rsid w:val="009D7A47"/>
    <w:rsid w:val="009E65DB"/>
    <w:rsid w:val="009F2C74"/>
    <w:rsid w:val="009F3C43"/>
    <w:rsid w:val="009F41FF"/>
    <w:rsid w:val="009F57BE"/>
    <w:rsid w:val="009F5A04"/>
    <w:rsid w:val="00A0522D"/>
    <w:rsid w:val="00A0613E"/>
    <w:rsid w:val="00A06B72"/>
    <w:rsid w:val="00A23FBC"/>
    <w:rsid w:val="00A27E85"/>
    <w:rsid w:val="00A32495"/>
    <w:rsid w:val="00A375D4"/>
    <w:rsid w:val="00A37984"/>
    <w:rsid w:val="00A42690"/>
    <w:rsid w:val="00A4616D"/>
    <w:rsid w:val="00A500B4"/>
    <w:rsid w:val="00A554F4"/>
    <w:rsid w:val="00A6045B"/>
    <w:rsid w:val="00A63D74"/>
    <w:rsid w:val="00A659E8"/>
    <w:rsid w:val="00A66DD0"/>
    <w:rsid w:val="00A719D2"/>
    <w:rsid w:val="00A763EC"/>
    <w:rsid w:val="00A77281"/>
    <w:rsid w:val="00A8767B"/>
    <w:rsid w:val="00A9472E"/>
    <w:rsid w:val="00A94C22"/>
    <w:rsid w:val="00AA0F80"/>
    <w:rsid w:val="00AA37AC"/>
    <w:rsid w:val="00AA45C6"/>
    <w:rsid w:val="00AA51E7"/>
    <w:rsid w:val="00AA7449"/>
    <w:rsid w:val="00AB1E7B"/>
    <w:rsid w:val="00AB4BDC"/>
    <w:rsid w:val="00AB7356"/>
    <w:rsid w:val="00AC01E6"/>
    <w:rsid w:val="00AC271F"/>
    <w:rsid w:val="00AC3820"/>
    <w:rsid w:val="00AC457C"/>
    <w:rsid w:val="00AC578D"/>
    <w:rsid w:val="00AC635D"/>
    <w:rsid w:val="00AC6C72"/>
    <w:rsid w:val="00AD1347"/>
    <w:rsid w:val="00AD1645"/>
    <w:rsid w:val="00AD5460"/>
    <w:rsid w:val="00AD69FE"/>
    <w:rsid w:val="00AE11F6"/>
    <w:rsid w:val="00AE3176"/>
    <w:rsid w:val="00AF0E6A"/>
    <w:rsid w:val="00AF714A"/>
    <w:rsid w:val="00B00CEC"/>
    <w:rsid w:val="00B01538"/>
    <w:rsid w:val="00B04EB0"/>
    <w:rsid w:val="00B261D9"/>
    <w:rsid w:val="00B27DD1"/>
    <w:rsid w:val="00B30BAC"/>
    <w:rsid w:val="00B33E33"/>
    <w:rsid w:val="00B376E6"/>
    <w:rsid w:val="00B400DB"/>
    <w:rsid w:val="00B44B07"/>
    <w:rsid w:val="00B46E8D"/>
    <w:rsid w:val="00B46FBF"/>
    <w:rsid w:val="00B52B87"/>
    <w:rsid w:val="00B54C30"/>
    <w:rsid w:val="00B57278"/>
    <w:rsid w:val="00B57332"/>
    <w:rsid w:val="00B644B0"/>
    <w:rsid w:val="00B6472A"/>
    <w:rsid w:val="00B73680"/>
    <w:rsid w:val="00B73FB6"/>
    <w:rsid w:val="00B74531"/>
    <w:rsid w:val="00B777D9"/>
    <w:rsid w:val="00B821A0"/>
    <w:rsid w:val="00B825A7"/>
    <w:rsid w:val="00B90E08"/>
    <w:rsid w:val="00B94040"/>
    <w:rsid w:val="00B95D02"/>
    <w:rsid w:val="00B97017"/>
    <w:rsid w:val="00B97EE8"/>
    <w:rsid w:val="00BA2DB9"/>
    <w:rsid w:val="00BB0D37"/>
    <w:rsid w:val="00BB519B"/>
    <w:rsid w:val="00BC04C9"/>
    <w:rsid w:val="00BC35F6"/>
    <w:rsid w:val="00BC3923"/>
    <w:rsid w:val="00BC48B9"/>
    <w:rsid w:val="00BC76EB"/>
    <w:rsid w:val="00BD25AE"/>
    <w:rsid w:val="00BD4A8E"/>
    <w:rsid w:val="00BD4DD9"/>
    <w:rsid w:val="00BD7E9D"/>
    <w:rsid w:val="00BE0CC6"/>
    <w:rsid w:val="00BE56A0"/>
    <w:rsid w:val="00BE7148"/>
    <w:rsid w:val="00BF2FB3"/>
    <w:rsid w:val="00C06C28"/>
    <w:rsid w:val="00C06E47"/>
    <w:rsid w:val="00C1217C"/>
    <w:rsid w:val="00C14AF4"/>
    <w:rsid w:val="00C157A1"/>
    <w:rsid w:val="00C21C68"/>
    <w:rsid w:val="00C2733D"/>
    <w:rsid w:val="00C3204C"/>
    <w:rsid w:val="00C3470C"/>
    <w:rsid w:val="00C37944"/>
    <w:rsid w:val="00C37BA8"/>
    <w:rsid w:val="00C4511C"/>
    <w:rsid w:val="00C455A2"/>
    <w:rsid w:val="00C472E5"/>
    <w:rsid w:val="00C47ED3"/>
    <w:rsid w:val="00C51C19"/>
    <w:rsid w:val="00C54BAF"/>
    <w:rsid w:val="00C559BF"/>
    <w:rsid w:val="00C66CFA"/>
    <w:rsid w:val="00C66E3A"/>
    <w:rsid w:val="00C706AF"/>
    <w:rsid w:val="00C71E54"/>
    <w:rsid w:val="00C7238E"/>
    <w:rsid w:val="00C72C80"/>
    <w:rsid w:val="00C77B41"/>
    <w:rsid w:val="00C972EC"/>
    <w:rsid w:val="00CA33B2"/>
    <w:rsid w:val="00CA3D78"/>
    <w:rsid w:val="00CA43C4"/>
    <w:rsid w:val="00CA6F15"/>
    <w:rsid w:val="00CB344C"/>
    <w:rsid w:val="00CB42CE"/>
    <w:rsid w:val="00CB5183"/>
    <w:rsid w:val="00CB5B8E"/>
    <w:rsid w:val="00CC20B5"/>
    <w:rsid w:val="00CC7EC4"/>
    <w:rsid w:val="00CD0DDB"/>
    <w:rsid w:val="00CD3626"/>
    <w:rsid w:val="00CD5B32"/>
    <w:rsid w:val="00CE1802"/>
    <w:rsid w:val="00CE49D8"/>
    <w:rsid w:val="00CF0527"/>
    <w:rsid w:val="00CF2D63"/>
    <w:rsid w:val="00CF36B7"/>
    <w:rsid w:val="00CF6FA8"/>
    <w:rsid w:val="00D0648E"/>
    <w:rsid w:val="00D12152"/>
    <w:rsid w:val="00D14A4C"/>
    <w:rsid w:val="00D15B17"/>
    <w:rsid w:val="00D1706F"/>
    <w:rsid w:val="00D205BC"/>
    <w:rsid w:val="00D2075E"/>
    <w:rsid w:val="00D21D83"/>
    <w:rsid w:val="00D24065"/>
    <w:rsid w:val="00D243C5"/>
    <w:rsid w:val="00D246DB"/>
    <w:rsid w:val="00D3071D"/>
    <w:rsid w:val="00D31C51"/>
    <w:rsid w:val="00D367AA"/>
    <w:rsid w:val="00D37C2C"/>
    <w:rsid w:val="00D459E0"/>
    <w:rsid w:val="00D520A1"/>
    <w:rsid w:val="00D57384"/>
    <w:rsid w:val="00D60B35"/>
    <w:rsid w:val="00D61C4B"/>
    <w:rsid w:val="00D65FB4"/>
    <w:rsid w:val="00D674D4"/>
    <w:rsid w:val="00D708CA"/>
    <w:rsid w:val="00D72F4B"/>
    <w:rsid w:val="00D77F11"/>
    <w:rsid w:val="00D802DE"/>
    <w:rsid w:val="00D849AE"/>
    <w:rsid w:val="00DA3EDC"/>
    <w:rsid w:val="00DA61CE"/>
    <w:rsid w:val="00DB3F43"/>
    <w:rsid w:val="00DB6E7A"/>
    <w:rsid w:val="00DC0EE5"/>
    <w:rsid w:val="00DC6261"/>
    <w:rsid w:val="00DC765C"/>
    <w:rsid w:val="00DD1B69"/>
    <w:rsid w:val="00DD3BC1"/>
    <w:rsid w:val="00DE0717"/>
    <w:rsid w:val="00DE3A1F"/>
    <w:rsid w:val="00DE64EB"/>
    <w:rsid w:val="00DE6F22"/>
    <w:rsid w:val="00DF0878"/>
    <w:rsid w:val="00DF20E6"/>
    <w:rsid w:val="00DF68B3"/>
    <w:rsid w:val="00E00402"/>
    <w:rsid w:val="00E01E71"/>
    <w:rsid w:val="00E027AF"/>
    <w:rsid w:val="00E15CFF"/>
    <w:rsid w:val="00E221DB"/>
    <w:rsid w:val="00E230ED"/>
    <w:rsid w:val="00E23C53"/>
    <w:rsid w:val="00E247EE"/>
    <w:rsid w:val="00E32139"/>
    <w:rsid w:val="00E32622"/>
    <w:rsid w:val="00E37E55"/>
    <w:rsid w:val="00E44FD4"/>
    <w:rsid w:val="00E5360B"/>
    <w:rsid w:val="00E676C3"/>
    <w:rsid w:val="00E708B1"/>
    <w:rsid w:val="00E72DC6"/>
    <w:rsid w:val="00E745BB"/>
    <w:rsid w:val="00E7675B"/>
    <w:rsid w:val="00E87016"/>
    <w:rsid w:val="00E907A4"/>
    <w:rsid w:val="00E96A85"/>
    <w:rsid w:val="00E9738E"/>
    <w:rsid w:val="00EA16F9"/>
    <w:rsid w:val="00EA2DDC"/>
    <w:rsid w:val="00EA3666"/>
    <w:rsid w:val="00EA532B"/>
    <w:rsid w:val="00EA677D"/>
    <w:rsid w:val="00EA6829"/>
    <w:rsid w:val="00EA76C2"/>
    <w:rsid w:val="00EB51BC"/>
    <w:rsid w:val="00EC0C59"/>
    <w:rsid w:val="00EC0D6A"/>
    <w:rsid w:val="00EC25F5"/>
    <w:rsid w:val="00EC3576"/>
    <w:rsid w:val="00EC47F6"/>
    <w:rsid w:val="00EC580E"/>
    <w:rsid w:val="00ED1D5E"/>
    <w:rsid w:val="00ED6613"/>
    <w:rsid w:val="00EE2764"/>
    <w:rsid w:val="00EE2BCB"/>
    <w:rsid w:val="00EF54F0"/>
    <w:rsid w:val="00F0576D"/>
    <w:rsid w:val="00F108ED"/>
    <w:rsid w:val="00F227A4"/>
    <w:rsid w:val="00F25256"/>
    <w:rsid w:val="00F328DA"/>
    <w:rsid w:val="00F33EC5"/>
    <w:rsid w:val="00F35271"/>
    <w:rsid w:val="00F35580"/>
    <w:rsid w:val="00F440E7"/>
    <w:rsid w:val="00F502A9"/>
    <w:rsid w:val="00F51836"/>
    <w:rsid w:val="00F52853"/>
    <w:rsid w:val="00F61A88"/>
    <w:rsid w:val="00F6297B"/>
    <w:rsid w:val="00F663F4"/>
    <w:rsid w:val="00F720BA"/>
    <w:rsid w:val="00F74408"/>
    <w:rsid w:val="00F754A3"/>
    <w:rsid w:val="00F916AB"/>
    <w:rsid w:val="00F925B9"/>
    <w:rsid w:val="00F95136"/>
    <w:rsid w:val="00FA105B"/>
    <w:rsid w:val="00FA6F53"/>
    <w:rsid w:val="00FA7196"/>
    <w:rsid w:val="00FB030F"/>
    <w:rsid w:val="00FB63C1"/>
    <w:rsid w:val="00FC1AD3"/>
    <w:rsid w:val="00FD2F20"/>
    <w:rsid w:val="00FD368E"/>
    <w:rsid w:val="00FD6BF4"/>
    <w:rsid w:val="00FD7A80"/>
    <w:rsid w:val="00FE5C69"/>
    <w:rsid w:val="00FE7083"/>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07C213"/>
  <w15:docId w15:val="{2C7DC711-E7A8-4035-ADA1-C225226F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Bullet Point,Bullet point,Bullet points,Content descriptions,List Paragraph1,List Paragraph11,NFP GP Bulleted List,FooterText,numbered,Paragraphe de liste1,Bulletr List Paragraph,列出段落,列出段落1,List Paragraph2,CV text,Dot p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Default">
    <w:name w:val="Default"/>
    <w:rsid w:val="00694024"/>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unhideWhenUsed/>
    <w:rsid w:val="00676BBD"/>
    <w:pPr>
      <w:numPr>
        <w:numId w:val="19"/>
      </w:numPr>
      <w:contextualSpacing/>
    </w:pPr>
  </w:style>
  <w:style w:type="paragraph" w:customStyle="1" w:styleId="tabletext">
    <w:name w:val="tabletext"/>
    <w:basedOn w:val="Normal"/>
    <w:rsid w:val="00487A59"/>
    <w:pPr>
      <w:spacing w:before="100" w:beforeAutospacing="1" w:after="100" w:afterAutospacing="1"/>
    </w:pPr>
    <w:rPr>
      <w:szCs w:val="24"/>
    </w:rPr>
  </w:style>
  <w:style w:type="character" w:customStyle="1" w:styleId="ListParagraphChar">
    <w:name w:val="List Paragraph Char"/>
    <w:aliases w:val="Recommendation Char,L Char,Bullet Point Char,Bullet point Char,Bullet points Char,Content descriptions Char,List Paragraph1 Char,List Paragraph11 Char,NFP GP Bulleted List Char,FooterText Char,numbered Char,Paragraphe de liste1 Char"/>
    <w:link w:val="ListParagraph"/>
    <w:uiPriority w:val="34"/>
    <w:qFormat/>
    <w:locked/>
    <w:rsid w:val="004E56C8"/>
    <w:rPr>
      <w:rFonts w:ascii="Times New Roman" w:eastAsia="Times New Roman" w:hAnsi="Times New Roman" w:cs="Times New Roman"/>
      <w:sz w:val="24"/>
      <w:szCs w:val="20"/>
      <w:lang w:eastAsia="en-AU"/>
    </w:rPr>
  </w:style>
  <w:style w:type="paragraph" w:styleId="Revision">
    <w:name w:val="Revision"/>
    <w:hidden/>
    <w:uiPriority w:val="99"/>
    <w:semiHidden/>
    <w:rsid w:val="009F2C74"/>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49446">
      <w:bodyDiv w:val="1"/>
      <w:marLeft w:val="0"/>
      <w:marRight w:val="0"/>
      <w:marTop w:val="0"/>
      <w:marBottom w:val="0"/>
      <w:divBdr>
        <w:top w:val="none" w:sz="0" w:space="0" w:color="auto"/>
        <w:left w:val="none" w:sz="0" w:space="0" w:color="auto"/>
        <w:bottom w:val="none" w:sz="0" w:space="0" w:color="auto"/>
        <w:right w:val="none" w:sz="0" w:space="0" w:color="auto"/>
      </w:divBdr>
    </w:div>
    <w:div w:id="627660750">
      <w:bodyDiv w:val="1"/>
      <w:marLeft w:val="0"/>
      <w:marRight w:val="0"/>
      <w:marTop w:val="0"/>
      <w:marBottom w:val="0"/>
      <w:divBdr>
        <w:top w:val="none" w:sz="0" w:space="0" w:color="auto"/>
        <w:left w:val="none" w:sz="0" w:space="0" w:color="auto"/>
        <w:bottom w:val="none" w:sz="0" w:space="0" w:color="auto"/>
        <w:right w:val="none" w:sz="0" w:space="0" w:color="auto"/>
      </w:divBdr>
    </w:div>
    <w:div w:id="691959862">
      <w:bodyDiv w:val="1"/>
      <w:marLeft w:val="0"/>
      <w:marRight w:val="0"/>
      <w:marTop w:val="0"/>
      <w:marBottom w:val="0"/>
      <w:divBdr>
        <w:top w:val="none" w:sz="0" w:space="0" w:color="auto"/>
        <w:left w:val="none" w:sz="0" w:space="0" w:color="auto"/>
        <w:bottom w:val="none" w:sz="0" w:space="0" w:color="auto"/>
        <w:right w:val="none" w:sz="0" w:space="0" w:color="auto"/>
      </w:divBdr>
    </w:div>
    <w:div w:id="780342241">
      <w:bodyDiv w:val="1"/>
      <w:marLeft w:val="0"/>
      <w:marRight w:val="0"/>
      <w:marTop w:val="0"/>
      <w:marBottom w:val="0"/>
      <w:divBdr>
        <w:top w:val="none" w:sz="0" w:space="0" w:color="auto"/>
        <w:left w:val="none" w:sz="0" w:space="0" w:color="auto"/>
        <w:bottom w:val="none" w:sz="0" w:space="0" w:color="auto"/>
        <w:right w:val="none" w:sz="0" w:space="0" w:color="auto"/>
      </w:divBdr>
    </w:div>
    <w:div w:id="1239559866">
      <w:bodyDiv w:val="1"/>
      <w:marLeft w:val="0"/>
      <w:marRight w:val="0"/>
      <w:marTop w:val="0"/>
      <w:marBottom w:val="0"/>
      <w:divBdr>
        <w:top w:val="none" w:sz="0" w:space="0" w:color="auto"/>
        <w:left w:val="none" w:sz="0" w:space="0" w:color="auto"/>
        <w:bottom w:val="none" w:sz="0" w:space="0" w:color="auto"/>
        <w:right w:val="none" w:sz="0" w:space="0" w:color="auto"/>
      </w:divBdr>
      <w:divsChild>
        <w:div w:id="1991517208">
          <w:marLeft w:val="0"/>
          <w:marRight w:val="0"/>
          <w:marTop w:val="0"/>
          <w:marBottom w:val="0"/>
          <w:divBdr>
            <w:top w:val="none" w:sz="0" w:space="0" w:color="auto"/>
            <w:left w:val="none" w:sz="0" w:space="0" w:color="auto"/>
            <w:bottom w:val="none" w:sz="0" w:space="0" w:color="auto"/>
            <w:right w:val="none" w:sz="0" w:space="0" w:color="auto"/>
          </w:divBdr>
          <w:divsChild>
            <w:div w:id="97067814">
              <w:marLeft w:val="0"/>
              <w:marRight w:val="0"/>
              <w:marTop w:val="0"/>
              <w:marBottom w:val="0"/>
              <w:divBdr>
                <w:top w:val="none" w:sz="0" w:space="0" w:color="auto"/>
                <w:left w:val="none" w:sz="0" w:space="0" w:color="auto"/>
                <w:bottom w:val="none" w:sz="0" w:space="0" w:color="auto"/>
                <w:right w:val="none" w:sz="0" w:space="0" w:color="auto"/>
              </w:divBdr>
              <w:divsChild>
                <w:div w:id="1597984714">
                  <w:marLeft w:val="0"/>
                  <w:marRight w:val="0"/>
                  <w:marTop w:val="0"/>
                  <w:marBottom w:val="0"/>
                  <w:divBdr>
                    <w:top w:val="none" w:sz="0" w:space="0" w:color="auto"/>
                    <w:left w:val="none" w:sz="0" w:space="0" w:color="auto"/>
                    <w:bottom w:val="none" w:sz="0" w:space="0" w:color="auto"/>
                    <w:right w:val="none" w:sz="0" w:space="0" w:color="auto"/>
                  </w:divBdr>
                  <w:divsChild>
                    <w:div w:id="1426657914">
                      <w:marLeft w:val="0"/>
                      <w:marRight w:val="0"/>
                      <w:marTop w:val="0"/>
                      <w:marBottom w:val="0"/>
                      <w:divBdr>
                        <w:top w:val="none" w:sz="0" w:space="0" w:color="auto"/>
                        <w:left w:val="none" w:sz="0" w:space="0" w:color="auto"/>
                        <w:bottom w:val="none" w:sz="0" w:space="0" w:color="auto"/>
                        <w:right w:val="none" w:sz="0" w:space="0" w:color="auto"/>
                      </w:divBdr>
                      <w:divsChild>
                        <w:div w:id="1029258727">
                          <w:marLeft w:val="0"/>
                          <w:marRight w:val="0"/>
                          <w:marTop w:val="0"/>
                          <w:marBottom w:val="0"/>
                          <w:divBdr>
                            <w:top w:val="none" w:sz="0" w:space="0" w:color="auto"/>
                            <w:left w:val="none" w:sz="0" w:space="0" w:color="auto"/>
                            <w:bottom w:val="none" w:sz="0" w:space="0" w:color="auto"/>
                            <w:right w:val="none" w:sz="0" w:space="0" w:color="auto"/>
                          </w:divBdr>
                          <w:divsChild>
                            <w:div w:id="1466778397">
                              <w:marLeft w:val="0"/>
                              <w:marRight w:val="0"/>
                              <w:marTop w:val="0"/>
                              <w:marBottom w:val="0"/>
                              <w:divBdr>
                                <w:top w:val="none" w:sz="0" w:space="0" w:color="auto"/>
                                <w:left w:val="none" w:sz="0" w:space="0" w:color="auto"/>
                                <w:bottom w:val="none" w:sz="0" w:space="0" w:color="auto"/>
                                <w:right w:val="none" w:sz="0" w:space="0" w:color="auto"/>
                              </w:divBdr>
                              <w:divsChild>
                                <w:div w:id="2067875834">
                                  <w:marLeft w:val="0"/>
                                  <w:marRight w:val="0"/>
                                  <w:marTop w:val="0"/>
                                  <w:marBottom w:val="0"/>
                                  <w:divBdr>
                                    <w:top w:val="none" w:sz="0" w:space="0" w:color="auto"/>
                                    <w:left w:val="none" w:sz="0" w:space="0" w:color="auto"/>
                                    <w:bottom w:val="none" w:sz="0" w:space="0" w:color="auto"/>
                                    <w:right w:val="none" w:sz="0" w:space="0" w:color="auto"/>
                                  </w:divBdr>
                                  <w:divsChild>
                                    <w:div w:id="1794251918">
                                      <w:marLeft w:val="0"/>
                                      <w:marRight w:val="0"/>
                                      <w:marTop w:val="0"/>
                                      <w:marBottom w:val="0"/>
                                      <w:divBdr>
                                        <w:top w:val="none" w:sz="0" w:space="0" w:color="auto"/>
                                        <w:left w:val="none" w:sz="0" w:space="0" w:color="auto"/>
                                        <w:bottom w:val="none" w:sz="0" w:space="0" w:color="auto"/>
                                        <w:right w:val="none" w:sz="0" w:space="0" w:color="auto"/>
                                      </w:divBdr>
                                      <w:divsChild>
                                        <w:div w:id="1181698870">
                                          <w:marLeft w:val="0"/>
                                          <w:marRight w:val="0"/>
                                          <w:marTop w:val="0"/>
                                          <w:marBottom w:val="0"/>
                                          <w:divBdr>
                                            <w:top w:val="none" w:sz="0" w:space="0" w:color="auto"/>
                                            <w:left w:val="none" w:sz="0" w:space="0" w:color="auto"/>
                                            <w:bottom w:val="none" w:sz="0" w:space="0" w:color="auto"/>
                                            <w:right w:val="none" w:sz="0" w:space="0" w:color="auto"/>
                                          </w:divBdr>
                                          <w:divsChild>
                                            <w:div w:id="537471498">
                                              <w:marLeft w:val="0"/>
                                              <w:marRight w:val="0"/>
                                              <w:marTop w:val="0"/>
                                              <w:marBottom w:val="0"/>
                                              <w:divBdr>
                                                <w:top w:val="none" w:sz="0" w:space="0" w:color="auto"/>
                                                <w:left w:val="none" w:sz="0" w:space="0" w:color="auto"/>
                                                <w:bottom w:val="none" w:sz="0" w:space="0" w:color="auto"/>
                                                <w:right w:val="none" w:sz="0" w:space="0" w:color="auto"/>
                                              </w:divBdr>
                                              <w:divsChild>
                                                <w:div w:id="1389838835">
                                                  <w:marLeft w:val="0"/>
                                                  <w:marRight w:val="0"/>
                                                  <w:marTop w:val="0"/>
                                                  <w:marBottom w:val="0"/>
                                                  <w:divBdr>
                                                    <w:top w:val="none" w:sz="0" w:space="0" w:color="auto"/>
                                                    <w:left w:val="none" w:sz="0" w:space="0" w:color="auto"/>
                                                    <w:bottom w:val="none" w:sz="0" w:space="0" w:color="auto"/>
                                                    <w:right w:val="none" w:sz="0" w:space="0" w:color="auto"/>
                                                  </w:divBdr>
                                                  <w:divsChild>
                                                    <w:div w:id="812677521">
                                                      <w:marLeft w:val="0"/>
                                                      <w:marRight w:val="0"/>
                                                      <w:marTop w:val="0"/>
                                                      <w:marBottom w:val="0"/>
                                                      <w:divBdr>
                                                        <w:top w:val="none" w:sz="0" w:space="0" w:color="auto"/>
                                                        <w:left w:val="none" w:sz="0" w:space="0" w:color="auto"/>
                                                        <w:bottom w:val="none" w:sz="0" w:space="0" w:color="auto"/>
                                                        <w:right w:val="none" w:sz="0" w:space="0" w:color="auto"/>
                                                      </w:divBdr>
                                                      <w:divsChild>
                                                        <w:div w:id="873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4593967">
      <w:bodyDiv w:val="1"/>
      <w:marLeft w:val="0"/>
      <w:marRight w:val="0"/>
      <w:marTop w:val="0"/>
      <w:marBottom w:val="0"/>
      <w:divBdr>
        <w:top w:val="none" w:sz="0" w:space="0" w:color="auto"/>
        <w:left w:val="none" w:sz="0" w:space="0" w:color="auto"/>
        <w:bottom w:val="none" w:sz="0" w:space="0" w:color="auto"/>
        <w:right w:val="none" w:sz="0" w:space="0" w:color="auto"/>
      </w:divBdr>
    </w:div>
    <w:div w:id="1539270444">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911114092">
      <w:bodyDiv w:val="1"/>
      <w:marLeft w:val="0"/>
      <w:marRight w:val="0"/>
      <w:marTop w:val="0"/>
      <w:marBottom w:val="0"/>
      <w:divBdr>
        <w:top w:val="none" w:sz="0" w:space="0" w:color="auto"/>
        <w:left w:val="none" w:sz="0" w:space="0" w:color="auto"/>
        <w:bottom w:val="none" w:sz="0" w:space="0" w:color="auto"/>
        <w:right w:val="none" w:sz="0" w:space="0" w:color="auto"/>
      </w:divBdr>
    </w:div>
    <w:div w:id="196414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07FA68ABB22C745B3EFAB80DB5D680B" ma:contentTypeVersion="" ma:contentTypeDescription="PDMS Document Site Content Type" ma:contentTypeScope="" ma:versionID="9a481231f49516459f2fc58c130a927a">
  <xsd:schema xmlns:xsd="http://www.w3.org/2001/XMLSchema" xmlns:xs="http://www.w3.org/2001/XMLSchema" xmlns:p="http://schemas.microsoft.com/office/2006/metadata/properties" xmlns:ns2="3C0016FD-66FE-45E3-BD46-A7157CC34EEB" targetNamespace="http://schemas.microsoft.com/office/2006/metadata/properties" ma:root="true" ma:fieldsID="9b4c5770f0e1c17827523eeef64e1166" ns2:_="">
    <xsd:import namespace="3C0016FD-66FE-45E3-BD46-A7157CC34EE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016FD-66FE-45E3-BD46-A7157CC34EE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C0016FD-66FE-45E3-BD46-A7157CC34E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61C3C-4141-4065-B45C-C7800E893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016FD-66FE-45E3-BD46-A7157CC34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CFD476-7A26-40BD-A5C4-96256BF4D6DE}">
  <ds:schemaRefs>
    <ds:schemaRef ds:uri="3C0016FD-66FE-45E3-BD46-A7157CC34EEB"/>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70F0AD6-0F5F-4B3D-A71D-38597810E975}">
  <ds:schemaRefs>
    <ds:schemaRef ds:uri="http://schemas.microsoft.com/sharepoint/v3/contenttype/forms"/>
  </ds:schemaRefs>
</ds:datastoreItem>
</file>

<file path=customXml/itemProps4.xml><?xml version="1.0" encoding="utf-8"?>
<ds:datastoreItem xmlns:ds="http://schemas.openxmlformats.org/officeDocument/2006/customXml" ds:itemID="{36339127-426B-493F-9328-EDE17505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2484</Words>
  <Characters>14160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TSAO, Thomas</dc:creator>
  <cp:lastModifiedBy>VOSS, Kathy</cp:lastModifiedBy>
  <cp:revision>2</cp:revision>
  <cp:lastPrinted>2020-02-14T04:50:00Z</cp:lastPrinted>
  <dcterms:created xsi:type="dcterms:W3CDTF">2020-05-06T06:17:00Z</dcterms:created>
  <dcterms:modified xsi:type="dcterms:W3CDTF">2020-05-06T06:17:00Z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mmendation number/s">
    <vt:lpwstr>13;#RC 2.4.1|f48efc12-f0bc-4951-b3b3-562d9287e9f8;#14;#RC 2.4.2|ef1dbc4c-e675-4da8-8e7b-3e2facdfdd53</vt:lpwstr>
  </property>
  <property fmtid="{D5CDD505-2E9C-101B-9397-08002B2CF9AE}" pid="3" name="_dlc_DocIdItemGuid">
    <vt:lpwstr>3bfb58da-eaa5-43a4-beb4-094f70bf1360</vt:lpwstr>
  </property>
  <property fmtid="{D5CDD505-2E9C-101B-9397-08002B2CF9AE}" pid="4" name="lb508a4dc5e84436a0fe496b536466aa">
    <vt:lpwstr>TSY RA-9072 - Retain as national archives|d71911a4-1e32-4fc6-834f-26c4fc33e217</vt:lpwstr>
  </property>
  <property fmtid="{D5CDD505-2E9C-101B-9397-08002B2CF9AE}" pid="5" name="ContentTypeId">
    <vt:lpwstr>0x010100266966F133664895A6EE3632470D45F500007FA68ABB22C745B3EFAB80DB5D680B</vt:lpwstr>
  </property>
  <property fmtid="{D5CDD505-2E9C-101B-9397-08002B2CF9AE}" pid="6" name="TSYRecordClass">
    <vt:lpwstr>4;#TSY RA-9072 - Retain as national archives|d71911a4-1e32-4fc6-834f-26c4fc33e217</vt:lpwstr>
  </property>
  <property fmtid="{D5CDD505-2E9C-101B-9397-08002B2CF9AE}" pid="7" name="TaxKeyword">
    <vt:lpwstr/>
  </property>
  <property fmtid="{D5CDD505-2E9C-101B-9397-08002B2CF9AE}" pid="8" name="_NewReviewCycle">
    <vt:lpwstr/>
  </property>
</Properties>
</file>