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15C0C" w14:textId="77777777" w:rsidR="001F2A16" w:rsidRPr="007E0A01" w:rsidRDefault="001F2A16" w:rsidP="00AF4CAF">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sidRPr="007E0A01">
        <w:rPr>
          <w:rFonts w:ascii="Arial" w:hAnsi="Arial" w:cs="Arial"/>
          <w:sz w:val="34"/>
          <w:szCs w:val="34"/>
        </w:rPr>
        <w:t>Explanatory Statement</w:t>
      </w:r>
    </w:p>
    <w:p w14:paraId="7FC51CAF" w14:textId="77777777" w:rsidR="001F2A16" w:rsidRPr="007E0A01" w:rsidRDefault="001F2A16" w:rsidP="00AF4CAF">
      <w:pPr>
        <w:pStyle w:val="Header"/>
        <w:pBdr>
          <w:top w:val="double" w:sz="4" w:space="1" w:color="auto"/>
          <w:bottom w:val="double" w:sz="4" w:space="1" w:color="auto"/>
        </w:pBdr>
        <w:tabs>
          <w:tab w:val="clear" w:pos="4153"/>
          <w:tab w:val="clear" w:pos="8306"/>
        </w:tabs>
        <w:jc w:val="center"/>
        <w:rPr>
          <w:rFonts w:ascii="Arial" w:hAnsi="Arial" w:cs="Arial"/>
          <w:sz w:val="34"/>
          <w:szCs w:val="34"/>
        </w:rPr>
      </w:pPr>
    </w:p>
    <w:p w14:paraId="47EA6E18" w14:textId="77777777" w:rsidR="0099555F" w:rsidRPr="007E0A01" w:rsidRDefault="0054068C" w:rsidP="00E24BB9">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Pr>
          <w:rFonts w:ascii="Arial" w:hAnsi="Arial" w:cs="Arial"/>
          <w:sz w:val="34"/>
          <w:szCs w:val="34"/>
        </w:rPr>
        <w:t xml:space="preserve">Superannuation Industry (Supervision) </w:t>
      </w:r>
      <w:r w:rsidR="00963AAA">
        <w:rPr>
          <w:rFonts w:ascii="Arial" w:hAnsi="Arial" w:cs="Arial"/>
          <w:sz w:val="34"/>
          <w:szCs w:val="34"/>
        </w:rPr>
        <w:t xml:space="preserve">In-house Asset Determination – </w:t>
      </w:r>
      <w:r w:rsidR="00363865">
        <w:rPr>
          <w:rFonts w:ascii="Arial" w:hAnsi="Arial" w:cs="Arial"/>
          <w:sz w:val="34"/>
          <w:szCs w:val="34"/>
        </w:rPr>
        <w:t>Intermediary</w:t>
      </w:r>
      <w:r w:rsidR="008B1D58">
        <w:rPr>
          <w:rFonts w:ascii="Arial" w:hAnsi="Arial" w:cs="Arial"/>
          <w:sz w:val="34"/>
          <w:szCs w:val="34"/>
        </w:rPr>
        <w:t xml:space="preserve"> </w:t>
      </w:r>
      <w:r w:rsidR="006626D7">
        <w:rPr>
          <w:rFonts w:ascii="Arial" w:hAnsi="Arial" w:cs="Arial"/>
          <w:sz w:val="34"/>
          <w:szCs w:val="34"/>
        </w:rPr>
        <w:t xml:space="preserve">Limited Recourse Borrowing </w:t>
      </w:r>
      <w:r w:rsidR="00963AAA">
        <w:rPr>
          <w:rFonts w:ascii="Arial" w:hAnsi="Arial" w:cs="Arial"/>
          <w:sz w:val="34"/>
          <w:szCs w:val="34"/>
        </w:rPr>
        <w:t>Arrangement</w:t>
      </w:r>
      <w:r>
        <w:rPr>
          <w:rFonts w:ascii="Arial" w:hAnsi="Arial" w:cs="Arial"/>
          <w:sz w:val="34"/>
          <w:szCs w:val="34"/>
        </w:rPr>
        <w:t xml:space="preserve"> Determination </w:t>
      </w:r>
      <w:r w:rsidR="002B35E2">
        <w:rPr>
          <w:rFonts w:ascii="Arial" w:hAnsi="Arial" w:cs="Arial"/>
          <w:sz w:val="34"/>
          <w:szCs w:val="34"/>
        </w:rPr>
        <w:t>2020</w:t>
      </w:r>
    </w:p>
    <w:p w14:paraId="078E66C3" w14:textId="77777777" w:rsidR="0099555F" w:rsidRPr="007E0A01" w:rsidRDefault="0099555F" w:rsidP="0099555F">
      <w:pPr>
        <w:pStyle w:val="Header"/>
        <w:tabs>
          <w:tab w:val="clear" w:pos="4153"/>
          <w:tab w:val="clear" w:pos="8306"/>
        </w:tabs>
        <w:jc w:val="center"/>
        <w:rPr>
          <w:rFonts w:ascii="Arial" w:hAnsi="Arial" w:cs="Arial"/>
          <w:szCs w:val="24"/>
        </w:rPr>
      </w:pPr>
    </w:p>
    <w:p w14:paraId="7D090AB9" w14:textId="77777777" w:rsidR="001F2A16" w:rsidRPr="009A6BA0" w:rsidRDefault="001F2A16" w:rsidP="009A6BA0">
      <w:pPr>
        <w:pStyle w:val="Header"/>
        <w:tabs>
          <w:tab w:val="clear" w:pos="4153"/>
          <w:tab w:val="clear" w:pos="8306"/>
        </w:tabs>
        <w:spacing w:after="120"/>
        <w:jc w:val="center"/>
        <w:rPr>
          <w:rFonts w:ascii="Arial" w:hAnsi="Arial" w:cs="Arial"/>
          <w:sz w:val="22"/>
          <w:szCs w:val="22"/>
        </w:rPr>
      </w:pPr>
    </w:p>
    <w:p w14:paraId="5EED4AC6" w14:textId="77777777" w:rsidR="00486653" w:rsidRPr="009A6BA0" w:rsidRDefault="00486653" w:rsidP="009A6BA0">
      <w:pPr>
        <w:pStyle w:val="Heading2"/>
        <w:rPr>
          <w:rFonts w:cs="Arial"/>
          <w:szCs w:val="22"/>
        </w:rPr>
      </w:pPr>
      <w:r w:rsidRPr="009A6BA0">
        <w:rPr>
          <w:rFonts w:cs="Arial"/>
          <w:szCs w:val="22"/>
        </w:rPr>
        <w:t>General Outline of Instrument</w:t>
      </w:r>
    </w:p>
    <w:p w14:paraId="505A799A" w14:textId="77777777" w:rsidR="00D77015" w:rsidRPr="009A6BA0" w:rsidRDefault="00C43D46"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This instrument is made und</w:t>
      </w:r>
      <w:bookmarkStart w:id="0" w:name="_GoBack"/>
      <w:bookmarkEnd w:id="0"/>
      <w:r w:rsidRPr="009A6BA0">
        <w:rPr>
          <w:rFonts w:ascii="Arial" w:hAnsi="Arial" w:cs="Arial"/>
          <w:sz w:val="22"/>
          <w:szCs w:val="22"/>
        </w:rPr>
        <w:t>er paragraph</w:t>
      </w:r>
      <w:r w:rsidR="000102A5" w:rsidRPr="009A6BA0">
        <w:rPr>
          <w:rFonts w:ascii="Arial" w:hAnsi="Arial" w:cs="Arial"/>
          <w:sz w:val="22"/>
          <w:szCs w:val="22"/>
        </w:rPr>
        <w:t xml:space="preserve"> 71</w:t>
      </w:r>
      <w:r w:rsidR="00960DC0" w:rsidRPr="009A6BA0">
        <w:rPr>
          <w:rFonts w:ascii="Arial" w:hAnsi="Arial" w:cs="Arial"/>
          <w:sz w:val="22"/>
          <w:szCs w:val="22"/>
        </w:rPr>
        <w:t>(1)</w:t>
      </w:r>
      <w:r w:rsidR="000102A5" w:rsidRPr="009A6BA0">
        <w:rPr>
          <w:rFonts w:ascii="Arial" w:hAnsi="Arial" w:cs="Arial"/>
          <w:sz w:val="22"/>
          <w:szCs w:val="22"/>
        </w:rPr>
        <w:t>(f)</w:t>
      </w:r>
      <w:r w:rsidR="00963AAA" w:rsidRPr="009A6BA0">
        <w:rPr>
          <w:rFonts w:ascii="Arial" w:hAnsi="Arial" w:cs="Arial"/>
          <w:sz w:val="22"/>
          <w:szCs w:val="22"/>
        </w:rPr>
        <w:t xml:space="preserve"> of the </w:t>
      </w:r>
      <w:r w:rsidR="00963AAA" w:rsidRPr="009A6BA0">
        <w:rPr>
          <w:rFonts w:ascii="Arial" w:hAnsi="Arial" w:cs="Arial"/>
          <w:i/>
          <w:sz w:val="22"/>
          <w:szCs w:val="22"/>
        </w:rPr>
        <w:t>Superannuation Industry (Supervision) Act 1993</w:t>
      </w:r>
      <w:r w:rsidRPr="009A6BA0">
        <w:rPr>
          <w:rFonts w:ascii="Arial" w:hAnsi="Arial" w:cs="Arial"/>
          <w:sz w:val="22"/>
          <w:szCs w:val="22"/>
        </w:rPr>
        <w:t xml:space="preserve"> (SIS</w:t>
      </w:r>
      <w:r w:rsidR="00373A9D" w:rsidRPr="009A6BA0">
        <w:rPr>
          <w:rFonts w:ascii="Arial" w:hAnsi="Arial" w:cs="Arial"/>
          <w:sz w:val="22"/>
          <w:szCs w:val="22"/>
        </w:rPr>
        <w:t>A</w:t>
      </w:r>
      <w:r w:rsidRPr="009A6BA0">
        <w:rPr>
          <w:rFonts w:ascii="Arial" w:hAnsi="Arial" w:cs="Arial"/>
          <w:sz w:val="22"/>
          <w:szCs w:val="22"/>
        </w:rPr>
        <w:t>)</w:t>
      </w:r>
      <w:r w:rsidR="00963AAA" w:rsidRPr="009A6BA0">
        <w:rPr>
          <w:rFonts w:ascii="Arial" w:hAnsi="Arial" w:cs="Arial"/>
          <w:sz w:val="22"/>
          <w:szCs w:val="22"/>
        </w:rPr>
        <w:t>.</w:t>
      </w:r>
    </w:p>
    <w:p w14:paraId="39F7E376" w14:textId="77777777" w:rsidR="00AD574C" w:rsidRPr="009A6BA0" w:rsidRDefault="00963AAA"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This instrument </w:t>
      </w:r>
      <w:r w:rsidR="00C43D46" w:rsidRPr="009A6BA0">
        <w:rPr>
          <w:rFonts w:ascii="Arial" w:hAnsi="Arial" w:cs="Arial"/>
          <w:sz w:val="22"/>
          <w:szCs w:val="22"/>
        </w:rPr>
        <w:t>ensures</w:t>
      </w:r>
      <w:r w:rsidRPr="009A6BA0">
        <w:rPr>
          <w:rFonts w:ascii="Arial" w:hAnsi="Arial" w:cs="Arial"/>
          <w:sz w:val="22"/>
          <w:szCs w:val="22"/>
        </w:rPr>
        <w:t xml:space="preserve"> that an investment </w:t>
      </w:r>
      <w:r w:rsidR="00AE2316" w:rsidRPr="009A6BA0">
        <w:rPr>
          <w:rFonts w:ascii="Arial" w:hAnsi="Arial" w:cs="Arial"/>
          <w:sz w:val="22"/>
          <w:szCs w:val="22"/>
        </w:rPr>
        <w:t xml:space="preserve">by a </w:t>
      </w:r>
      <w:proofErr w:type="spellStart"/>
      <w:r w:rsidR="00444211" w:rsidRPr="009A6BA0">
        <w:rPr>
          <w:rFonts w:ascii="Arial" w:hAnsi="Arial" w:cs="Arial"/>
          <w:sz w:val="22"/>
          <w:szCs w:val="22"/>
        </w:rPr>
        <w:t>self</w:t>
      </w:r>
      <w:r w:rsidR="00DF0919">
        <w:rPr>
          <w:rFonts w:ascii="Arial" w:hAnsi="Arial" w:cs="Arial"/>
          <w:sz w:val="22"/>
          <w:szCs w:val="22"/>
        </w:rPr>
        <w:t xml:space="preserve"> </w:t>
      </w:r>
      <w:r w:rsidR="00AE2316" w:rsidRPr="009A6BA0">
        <w:rPr>
          <w:rFonts w:ascii="Arial" w:hAnsi="Arial" w:cs="Arial"/>
          <w:sz w:val="22"/>
          <w:szCs w:val="22"/>
        </w:rPr>
        <w:t>managed</w:t>
      </w:r>
      <w:proofErr w:type="spellEnd"/>
      <w:r w:rsidR="00AE2316" w:rsidRPr="009A6BA0">
        <w:rPr>
          <w:rFonts w:ascii="Arial" w:hAnsi="Arial" w:cs="Arial"/>
          <w:sz w:val="22"/>
          <w:szCs w:val="22"/>
        </w:rPr>
        <w:t xml:space="preserve"> superannuation fund (fund) in a related trust that is in connection with</w:t>
      </w:r>
      <w:r w:rsidR="003D04C4" w:rsidRPr="009A6BA0">
        <w:rPr>
          <w:rFonts w:ascii="Arial" w:hAnsi="Arial" w:cs="Arial"/>
          <w:sz w:val="22"/>
          <w:szCs w:val="22"/>
        </w:rPr>
        <w:t xml:space="preserve"> </w:t>
      </w:r>
      <w:r w:rsidR="008B1D58" w:rsidRPr="009A6BA0">
        <w:rPr>
          <w:rFonts w:ascii="Arial" w:hAnsi="Arial" w:cs="Arial"/>
          <w:sz w:val="22"/>
          <w:szCs w:val="22"/>
        </w:rPr>
        <w:t>an Intermediary</w:t>
      </w:r>
      <w:r w:rsidRPr="009A6BA0">
        <w:rPr>
          <w:rFonts w:ascii="Arial" w:hAnsi="Arial" w:cs="Arial"/>
          <w:sz w:val="22"/>
          <w:szCs w:val="22"/>
        </w:rPr>
        <w:t xml:space="preserve"> </w:t>
      </w:r>
      <w:r w:rsidR="006626D7" w:rsidRPr="009A6BA0">
        <w:rPr>
          <w:rFonts w:ascii="Arial" w:hAnsi="Arial" w:cs="Arial"/>
          <w:sz w:val="22"/>
          <w:szCs w:val="22"/>
        </w:rPr>
        <w:t>Limited Borrowing</w:t>
      </w:r>
      <w:r w:rsidR="00A25D02" w:rsidRPr="009A6BA0">
        <w:rPr>
          <w:rFonts w:ascii="Arial" w:hAnsi="Arial" w:cs="Arial"/>
          <w:sz w:val="22"/>
          <w:szCs w:val="22"/>
        </w:rPr>
        <w:t xml:space="preserve"> Recourse</w:t>
      </w:r>
      <w:r w:rsidR="006626D7" w:rsidRPr="009A6BA0">
        <w:rPr>
          <w:rFonts w:ascii="Arial" w:hAnsi="Arial" w:cs="Arial"/>
          <w:sz w:val="22"/>
          <w:szCs w:val="22"/>
        </w:rPr>
        <w:t xml:space="preserve"> </w:t>
      </w:r>
      <w:r w:rsidRPr="009A6BA0">
        <w:rPr>
          <w:rFonts w:ascii="Arial" w:hAnsi="Arial" w:cs="Arial"/>
          <w:sz w:val="22"/>
          <w:szCs w:val="22"/>
        </w:rPr>
        <w:t>Arrangement</w:t>
      </w:r>
      <w:r w:rsidR="006626D7" w:rsidRPr="009A6BA0">
        <w:rPr>
          <w:rFonts w:ascii="Arial" w:hAnsi="Arial" w:cs="Arial"/>
          <w:sz w:val="22"/>
          <w:szCs w:val="22"/>
        </w:rPr>
        <w:t xml:space="preserve"> (</w:t>
      </w:r>
      <w:r w:rsidR="008B1D58" w:rsidRPr="009A6BA0">
        <w:rPr>
          <w:rFonts w:ascii="Arial" w:hAnsi="Arial" w:cs="Arial"/>
          <w:sz w:val="22"/>
          <w:szCs w:val="22"/>
        </w:rPr>
        <w:t xml:space="preserve">Intermediary </w:t>
      </w:r>
      <w:r w:rsidR="006626D7" w:rsidRPr="009A6BA0">
        <w:rPr>
          <w:rFonts w:ascii="Arial" w:hAnsi="Arial" w:cs="Arial"/>
          <w:sz w:val="22"/>
          <w:szCs w:val="22"/>
        </w:rPr>
        <w:t>L</w:t>
      </w:r>
      <w:r w:rsidR="00A25D02" w:rsidRPr="009A6BA0">
        <w:rPr>
          <w:rFonts w:ascii="Arial" w:hAnsi="Arial" w:cs="Arial"/>
          <w:sz w:val="22"/>
          <w:szCs w:val="22"/>
        </w:rPr>
        <w:t>RB</w:t>
      </w:r>
      <w:r w:rsidR="006626D7" w:rsidRPr="009A6BA0">
        <w:rPr>
          <w:rFonts w:ascii="Arial" w:hAnsi="Arial" w:cs="Arial"/>
          <w:sz w:val="22"/>
          <w:szCs w:val="22"/>
        </w:rPr>
        <w:t>A</w:t>
      </w:r>
      <w:r w:rsidR="009B56B5" w:rsidRPr="009A6BA0">
        <w:rPr>
          <w:rFonts w:ascii="Arial" w:hAnsi="Arial" w:cs="Arial"/>
          <w:sz w:val="22"/>
          <w:szCs w:val="22"/>
        </w:rPr>
        <w:t>)</w:t>
      </w:r>
      <w:r w:rsidR="00591C58" w:rsidRPr="009A6BA0">
        <w:rPr>
          <w:rFonts w:ascii="Arial" w:hAnsi="Arial" w:cs="Arial"/>
          <w:sz w:val="22"/>
          <w:szCs w:val="22"/>
        </w:rPr>
        <w:t xml:space="preserve"> </w:t>
      </w:r>
      <w:r w:rsidR="003D04C4" w:rsidRPr="009A6BA0">
        <w:rPr>
          <w:rFonts w:ascii="Arial" w:hAnsi="Arial" w:cs="Arial"/>
          <w:sz w:val="22"/>
          <w:szCs w:val="22"/>
        </w:rPr>
        <w:t xml:space="preserve">and </w:t>
      </w:r>
      <w:r w:rsidR="00591C58" w:rsidRPr="009A6BA0">
        <w:rPr>
          <w:rFonts w:ascii="Arial" w:hAnsi="Arial" w:cs="Arial"/>
          <w:sz w:val="22"/>
          <w:szCs w:val="22"/>
        </w:rPr>
        <w:t>that complies with section 67A</w:t>
      </w:r>
      <w:r w:rsidR="003D04C4" w:rsidRPr="009A6BA0">
        <w:rPr>
          <w:rFonts w:ascii="Arial" w:hAnsi="Arial" w:cs="Arial"/>
          <w:sz w:val="22"/>
          <w:szCs w:val="22"/>
        </w:rPr>
        <w:t xml:space="preserve"> of the SISA</w:t>
      </w:r>
      <w:r w:rsidR="00591C58" w:rsidRPr="009A6BA0">
        <w:rPr>
          <w:rFonts w:ascii="Arial" w:hAnsi="Arial" w:cs="Arial"/>
          <w:sz w:val="22"/>
          <w:szCs w:val="22"/>
        </w:rPr>
        <w:t xml:space="preserve"> </w:t>
      </w:r>
      <w:r w:rsidRPr="009A6BA0">
        <w:rPr>
          <w:rFonts w:ascii="Arial" w:hAnsi="Arial" w:cs="Arial"/>
          <w:sz w:val="22"/>
          <w:szCs w:val="22"/>
        </w:rPr>
        <w:t xml:space="preserve">is </w:t>
      </w:r>
      <w:r w:rsidR="00C43D46" w:rsidRPr="009A6BA0">
        <w:rPr>
          <w:rFonts w:ascii="Arial" w:hAnsi="Arial" w:cs="Arial"/>
          <w:sz w:val="22"/>
          <w:szCs w:val="22"/>
        </w:rPr>
        <w:t xml:space="preserve">excluded from being an in-house asset of </w:t>
      </w:r>
      <w:r w:rsidR="00AE2316" w:rsidRPr="009A6BA0">
        <w:rPr>
          <w:rFonts w:ascii="Arial" w:hAnsi="Arial" w:cs="Arial"/>
          <w:sz w:val="22"/>
          <w:szCs w:val="22"/>
        </w:rPr>
        <w:t>the fund</w:t>
      </w:r>
      <w:r w:rsidR="00C43D46" w:rsidRPr="009A6BA0">
        <w:rPr>
          <w:rFonts w:ascii="Arial" w:hAnsi="Arial" w:cs="Arial"/>
          <w:sz w:val="22"/>
          <w:szCs w:val="22"/>
        </w:rPr>
        <w:t xml:space="preserve"> in the circumstances described in the instrument.</w:t>
      </w:r>
    </w:p>
    <w:p w14:paraId="75DDE986" w14:textId="77777777" w:rsidR="00486653" w:rsidRPr="009A6BA0" w:rsidRDefault="00486653"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The instrument is a legislative instrument for the purposes of the </w:t>
      </w:r>
      <w:r w:rsidR="00147D0F" w:rsidRPr="009A6BA0">
        <w:rPr>
          <w:rFonts w:ascii="Arial" w:hAnsi="Arial" w:cs="Arial"/>
          <w:i/>
          <w:sz w:val="22"/>
          <w:szCs w:val="22"/>
        </w:rPr>
        <w:t xml:space="preserve">Legislation </w:t>
      </w:r>
      <w:r w:rsidRPr="009A6BA0">
        <w:rPr>
          <w:rFonts w:ascii="Arial" w:hAnsi="Arial" w:cs="Arial"/>
          <w:i/>
          <w:sz w:val="22"/>
          <w:szCs w:val="22"/>
        </w:rPr>
        <w:t>Act 2003</w:t>
      </w:r>
      <w:r w:rsidR="00DF0919">
        <w:rPr>
          <w:rFonts w:ascii="Arial" w:hAnsi="Arial" w:cs="Arial"/>
          <w:i/>
          <w:sz w:val="22"/>
          <w:szCs w:val="22"/>
        </w:rPr>
        <w:t xml:space="preserve"> </w:t>
      </w:r>
      <w:r w:rsidR="00DF0919">
        <w:rPr>
          <w:rFonts w:ascii="Arial" w:hAnsi="Arial" w:cs="Arial"/>
          <w:sz w:val="22"/>
          <w:szCs w:val="22"/>
        </w:rPr>
        <w:t>(LA)</w:t>
      </w:r>
      <w:r w:rsidRPr="009A6BA0">
        <w:rPr>
          <w:rFonts w:ascii="Arial" w:hAnsi="Arial" w:cs="Arial"/>
          <w:sz w:val="22"/>
          <w:szCs w:val="22"/>
        </w:rPr>
        <w:t>.</w:t>
      </w:r>
    </w:p>
    <w:p w14:paraId="5D54BAB4" w14:textId="77777777" w:rsidR="00717166" w:rsidRPr="009A6BA0" w:rsidRDefault="00717166"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Under subsection 33(3) of the </w:t>
      </w:r>
      <w:r w:rsidRPr="009A6BA0">
        <w:rPr>
          <w:rFonts w:ascii="Arial" w:hAnsi="Arial" w:cs="Arial"/>
          <w:i/>
          <w:sz w:val="22"/>
          <w:szCs w:val="22"/>
        </w:rPr>
        <w:t>Acts Interpretation Act 1901</w:t>
      </w:r>
      <w:r w:rsidRPr="009A6BA0">
        <w:rPr>
          <w:rFonts w:ascii="Arial" w:hAnsi="Arial" w:cs="Arial"/>
          <w:sz w:val="22"/>
          <w:szCs w:val="22"/>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168B8381" w14:textId="77777777" w:rsidR="00486653" w:rsidRPr="009A6BA0" w:rsidRDefault="00486653" w:rsidP="009A6BA0">
      <w:pPr>
        <w:spacing w:after="120"/>
        <w:rPr>
          <w:rFonts w:ascii="Arial" w:hAnsi="Arial" w:cs="Arial"/>
          <w:sz w:val="22"/>
          <w:szCs w:val="22"/>
        </w:rPr>
      </w:pPr>
    </w:p>
    <w:p w14:paraId="0140A5DD" w14:textId="77777777" w:rsidR="00726EA8" w:rsidRPr="009A6BA0" w:rsidRDefault="00726EA8" w:rsidP="009A6BA0">
      <w:pPr>
        <w:pStyle w:val="Heading2"/>
        <w:rPr>
          <w:rFonts w:cs="Arial"/>
          <w:szCs w:val="22"/>
        </w:rPr>
      </w:pPr>
      <w:r w:rsidRPr="009A6BA0">
        <w:rPr>
          <w:rFonts w:cs="Arial"/>
          <w:szCs w:val="22"/>
        </w:rPr>
        <w:t xml:space="preserve">No guarantee of </w:t>
      </w:r>
      <w:r w:rsidR="008B1D58" w:rsidRPr="009A6BA0">
        <w:rPr>
          <w:rFonts w:cs="Arial"/>
          <w:szCs w:val="22"/>
        </w:rPr>
        <w:t xml:space="preserve">financial or </w:t>
      </w:r>
      <w:r w:rsidRPr="009A6BA0">
        <w:rPr>
          <w:rFonts w:cs="Arial"/>
          <w:szCs w:val="22"/>
        </w:rPr>
        <w:t xml:space="preserve">commercial </w:t>
      </w:r>
      <w:r w:rsidR="008B1D58" w:rsidRPr="009A6BA0">
        <w:rPr>
          <w:rFonts w:cs="Arial"/>
          <w:szCs w:val="22"/>
        </w:rPr>
        <w:t>viability</w:t>
      </w:r>
    </w:p>
    <w:p w14:paraId="2827B307" w14:textId="77777777" w:rsidR="008B1D58" w:rsidRPr="009A6BA0" w:rsidRDefault="008B1D58"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This determination is being made to ensure consistent application of the SISA for arrangements that comply with section 67A of the SISA. The Commissioner does not sanction or guarantee Intermediary LRBAs. Further, the Commissioner gives no assurance that Intermediary LRBAs are commercially viable, that any charges are reasonable, appropriate or represent industry norms, or that any projected returns will be achieved or are reasonably based. Potential participants must form their own view about the commercial and financial viability </w:t>
      </w:r>
      <w:r w:rsidR="008409CD" w:rsidRPr="009A6BA0">
        <w:rPr>
          <w:rFonts w:ascii="Arial" w:hAnsi="Arial" w:cs="Arial"/>
          <w:sz w:val="22"/>
          <w:szCs w:val="22"/>
        </w:rPr>
        <w:t xml:space="preserve">of </w:t>
      </w:r>
      <w:r w:rsidRPr="009A6BA0">
        <w:rPr>
          <w:rFonts w:ascii="Arial" w:hAnsi="Arial" w:cs="Arial"/>
          <w:sz w:val="22"/>
          <w:szCs w:val="22"/>
        </w:rPr>
        <w:t>Intermediary LRBAs. The Commissioner recommends a financial (or other) adviser be consulted for such information.</w:t>
      </w:r>
    </w:p>
    <w:p w14:paraId="160BDFAD" w14:textId="77777777" w:rsidR="00726EA8" w:rsidRPr="009A6BA0" w:rsidRDefault="00726EA8" w:rsidP="009A6BA0">
      <w:pPr>
        <w:spacing w:after="120"/>
        <w:rPr>
          <w:rFonts w:ascii="Arial" w:hAnsi="Arial" w:cs="Arial"/>
          <w:sz w:val="22"/>
          <w:szCs w:val="22"/>
        </w:rPr>
      </w:pPr>
    </w:p>
    <w:p w14:paraId="60909D71" w14:textId="77777777" w:rsidR="00486653" w:rsidRPr="009A6BA0" w:rsidRDefault="00486653" w:rsidP="009A6BA0">
      <w:pPr>
        <w:pStyle w:val="Heading2"/>
        <w:rPr>
          <w:rFonts w:cs="Arial"/>
          <w:szCs w:val="22"/>
        </w:rPr>
      </w:pPr>
      <w:r w:rsidRPr="009A6BA0">
        <w:rPr>
          <w:rFonts w:cs="Arial"/>
          <w:szCs w:val="22"/>
        </w:rPr>
        <w:t>Date of effect</w:t>
      </w:r>
    </w:p>
    <w:p w14:paraId="26F4D2FA" w14:textId="77777777" w:rsidR="00AD574C" w:rsidRPr="009A6BA0" w:rsidRDefault="00380CC4"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The instrument commenced on</w:t>
      </w:r>
      <w:r w:rsidR="00E24BB9" w:rsidRPr="009A6BA0">
        <w:rPr>
          <w:rFonts w:ascii="Arial" w:hAnsi="Arial" w:cs="Arial"/>
          <w:sz w:val="22"/>
          <w:szCs w:val="22"/>
        </w:rPr>
        <w:t xml:space="preserve"> 24 September 2007.</w:t>
      </w:r>
    </w:p>
    <w:p w14:paraId="194E9797" w14:textId="77777777" w:rsidR="00795D0C" w:rsidRPr="009A6BA0" w:rsidRDefault="00486653"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color w:val="000000"/>
          <w:sz w:val="22"/>
          <w:szCs w:val="22"/>
        </w:rPr>
        <w:t xml:space="preserve">The instrument </w:t>
      </w:r>
      <w:r w:rsidR="00592A3F" w:rsidRPr="009A6BA0">
        <w:rPr>
          <w:rFonts w:ascii="Arial" w:hAnsi="Arial" w:cs="Arial"/>
          <w:color w:val="000000"/>
          <w:sz w:val="22"/>
          <w:szCs w:val="22"/>
        </w:rPr>
        <w:t>commences</w:t>
      </w:r>
      <w:r w:rsidRPr="009A6BA0">
        <w:rPr>
          <w:rFonts w:ascii="Arial" w:hAnsi="Arial" w:cs="Arial"/>
          <w:color w:val="000000"/>
          <w:sz w:val="22"/>
          <w:szCs w:val="22"/>
        </w:rPr>
        <w:t xml:space="preserve"> retrospectively to ensure that </w:t>
      </w:r>
      <w:r w:rsidR="00592A3F" w:rsidRPr="009A6BA0">
        <w:rPr>
          <w:rFonts w:ascii="Arial" w:hAnsi="Arial" w:cs="Arial"/>
          <w:color w:val="000000"/>
          <w:sz w:val="22"/>
          <w:szCs w:val="22"/>
        </w:rPr>
        <w:t xml:space="preserve">a trustee of a </w:t>
      </w:r>
      <w:r w:rsidR="0054068C" w:rsidRPr="009A6BA0">
        <w:rPr>
          <w:rFonts w:ascii="Arial" w:hAnsi="Arial" w:cs="Arial"/>
          <w:color w:val="000000"/>
          <w:sz w:val="22"/>
          <w:szCs w:val="22"/>
        </w:rPr>
        <w:t>fund</w:t>
      </w:r>
      <w:r w:rsidR="00592A3F" w:rsidRPr="009A6BA0">
        <w:rPr>
          <w:rFonts w:ascii="Arial" w:hAnsi="Arial" w:cs="Arial"/>
          <w:color w:val="000000"/>
          <w:sz w:val="22"/>
          <w:szCs w:val="22"/>
        </w:rPr>
        <w:t xml:space="preserve"> that has </w:t>
      </w:r>
      <w:proofErr w:type="gramStart"/>
      <w:r w:rsidR="003D04C4" w:rsidRPr="009A6BA0">
        <w:rPr>
          <w:rFonts w:ascii="Arial" w:hAnsi="Arial" w:cs="Arial"/>
          <w:color w:val="000000"/>
          <w:sz w:val="22"/>
          <w:szCs w:val="22"/>
        </w:rPr>
        <w:t>entered into</w:t>
      </w:r>
      <w:proofErr w:type="gramEnd"/>
      <w:r w:rsidR="00C84EDD" w:rsidRPr="009A6BA0">
        <w:rPr>
          <w:rFonts w:ascii="Arial" w:hAnsi="Arial" w:cs="Arial"/>
          <w:color w:val="000000"/>
          <w:sz w:val="22"/>
          <w:szCs w:val="22"/>
        </w:rPr>
        <w:t xml:space="preserve"> an </w:t>
      </w:r>
      <w:r w:rsidR="008B1D58" w:rsidRPr="009A6BA0">
        <w:rPr>
          <w:rFonts w:ascii="Arial" w:hAnsi="Arial" w:cs="Arial"/>
          <w:color w:val="000000"/>
          <w:sz w:val="22"/>
          <w:szCs w:val="22"/>
        </w:rPr>
        <w:t xml:space="preserve">Intermediary </w:t>
      </w:r>
      <w:r w:rsidR="00C84EDD" w:rsidRPr="009A6BA0">
        <w:rPr>
          <w:rFonts w:ascii="Arial" w:hAnsi="Arial" w:cs="Arial"/>
          <w:color w:val="000000"/>
          <w:sz w:val="22"/>
          <w:szCs w:val="22"/>
        </w:rPr>
        <w:t>LRBA</w:t>
      </w:r>
      <w:r w:rsidR="006E2F1F" w:rsidRPr="009A6BA0">
        <w:rPr>
          <w:rFonts w:ascii="Arial" w:hAnsi="Arial" w:cs="Arial"/>
          <w:color w:val="000000"/>
          <w:sz w:val="22"/>
          <w:szCs w:val="22"/>
        </w:rPr>
        <w:t xml:space="preserve"> as defined in subsection 5(</w:t>
      </w:r>
      <w:r w:rsidR="00545778">
        <w:rPr>
          <w:rFonts w:ascii="Arial" w:hAnsi="Arial" w:cs="Arial"/>
          <w:color w:val="000000"/>
          <w:sz w:val="22"/>
          <w:szCs w:val="22"/>
        </w:rPr>
        <w:t>b</w:t>
      </w:r>
      <w:r w:rsidR="006E2F1F" w:rsidRPr="009A6BA0">
        <w:rPr>
          <w:rFonts w:ascii="Arial" w:hAnsi="Arial" w:cs="Arial"/>
          <w:color w:val="000000"/>
          <w:sz w:val="22"/>
          <w:szCs w:val="22"/>
        </w:rPr>
        <w:t>) of the Legislative Instrument</w:t>
      </w:r>
      <w:r w:rsidR="00612847" w:rsidRPr="009A6BA0">
        <w:rPr>
          <w:rFonts w:ascii="Arial" w:hAnsi="Arial" w:cs="Arial"/>
          <w:color w:val="000000"/>
          <w:sz w:val="22"/>
          <w:szCs w:val="22"/>
        </w:rPr>
        <w:t xml:space="preserve"> </w:t>
      </w:r>
      <w:r w:rsidRPr="009A6BA0">
        <w:rPr>
          <w:rFonts w:ascii="Arial" w:hAnsi="Arial" w:cs="Arial"/>
          <w:color w:val="000000"/>
          <w:sz w:val="22"/>
          <w:szCs w:val="22"/>
        </w:rPr>
        <w:t>will not be disadvantaged</w:t>
      </w:r>
      <w:r w:rsidR="005030AD" w:rsidRPr="009A6BA0">
        <w:rPr>
          <w:rFonts w:ascii="Arial" w:hAnsi="Arial" w:cs="Arial"/>
          <w:color w:val="000000"/>
          <w:sz w:val="22"/>
          <w:szCs w:val="22"/>
        </w:rPr>
        <w:t>. U</w:t>
      </w:r>
      <w:r w:rsidR="005030AD" w:rsidRPr="009A6BA0">
        <w:rPr>
          <w:rFonts w:ascii="Arial" w:hAnsi="Arial" w:cs="Arial"/>
          <w:sz w:val="22"/>
          <w:szCs w:val="22"/>
        </w:rPr>
        <w:t>nder section 12(2) of the</w:t>
      </w:r>
      <w:r w:rsidR="00DF0919">
        <w:rPr>
          <w:rFonts w:ascii="Arial" w:hAnsi="Arial" w:cs="Arial"/>
          <w:sz w:val="22"/>
          <w:szCs w:val="22"/>
        </w:rPr>
        <w:t xml:space="preserve"> LA</w:t>
      </w:r>
      <w:r w:rsidR="00C84EDD" w:rsidRPr="009A6BA0">
        <w:rPr>
          <w:rFonts w:ascii="Arial" w:hAnsi="Arial" w:cs="Arial"/>
          <w:sz w:val="22"/>
          <w:szCs w:val="22"/>
        </w:rPr>
        <w:t>,</w:t>
      </w:r>
      <w:r w:rsidR="005030AD" w:rsidRPr="009A6BA0">
        <w:rPr>
          <w:rFonts w:ascii="Arial" w:hAnsi="Arial" w:cs="Arial"/>
          <w:sz w:val="22"/>
          <w:szCs w:val="22"/>
        </w:rPr>
        <w:t xml:space="preserve"> this instrument does not adversely affect the rights or liabilities of any person other than the Commonwealth.</w:t>
      </w:r>
    </w:p>
    <w:p w14:paraId="771A3C5E" w14:textId="77777777" w:rsidR="00486653" w:rsidRPr="009A6BA0" w:rsidRDefault="00486653" w:rsidP="009A6BA0">
      <w:pPr>
        <w:spacing w:after="120"/>
        <w:rPr>
          <w:rFonts w:ascii="Arial" w:hAnsi="Arial" w:cs="Arial"/>
          <w:sz w:val="22"/>
          <w:szCs w:val="22"/>
        </w:rPr>
      </w:pPr>
    </w:p>
    <w:p w14:paraId="448ACB0C" w14:textId="77777777" w:rsidR="00486653" w:rsidRPr="009A6BA0" w:rsidRDefault="00486653" w:rsidP="009A6BA0">
      <w:pPr>
        <w:pStyle w:val="Heading2"/>
        <w:rPr>
          <w:rFonts w:cs="Arial"/>
          <w:szCs w:val="22"/>
        </w:rPr>
      </w:pPr>
      <w:r w:rsidRPr="009A6BA0">
        <w:rPr>
          <w:rFonts w:cs="Arial"/>
          <w:szCs w:val="22"/>
        </w:rPr>
        <w:lastRenderedPageBreak/>
        <w:t xml:space="preserve">What is this instrument </w:t>
      </w:r>
      <w:proofErr w:type="gramStart"/>
      <w:r w:rsidRPr="009A6BA0">
        <w:rPr>
          <w:rFonts w:cs="Arial"/>
          <w:szCs w:val="22"/>
        </w:rPr>
        <w:t>about</w:t>
      </w:r>
      <w:proofErr w:type="gramEnd"/>
    </w:p>
    <w:p w14:paraId="1B9C7097" w14:textId="77777777" w:rsidR="00AD574C" w:rsidRPr="009A6BA0" w:rsidRDefault="00486653"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The purpose of this instrument </w:t>
      </w:r>
      <w:r w:rsidR="00C84EDD" w:rsidRPr="009A6BA0">
        <w:rPr>
          <w:rFonts w:ascii="Arial" w:hAnsi="Arial" w:cs="Arial"/>
          <w:sz w:val="22"/>
          <w:szCs w:val="22"/>
        </w:rPr>
        <w:t>is to exclude a</w:t>
      </w:r>
      <w:r w:rsidR="00EF76B8" w:rsidRPr="009A6BA0">
        <w:rPr>
          <w:rFonts w:ascii="Arial" w:hAnsi="Arial" w:cs="Arial"/>
          <w:sz w:val="22"/>
          <w:szCs w:val="22"/>
        </w:rPr>
        <w:t xml:space="preserve">n investment by a fund in a </w:t>
      </w:r>
      <w:r w:rsidR="002D1FB6" w:rsidRPr="009A6BA0">
        <w:rPr>
          <w:rFonts w:ascii="Arial" w:hAnsi="Arial" w:cs="Arial"/>
          <w:sz w:val="22"/>
          <w:szCs w:val="22"/>
        </w:rPr>
        <w:t xml:space="preserve"> related trust</w:t>
      </w:r>
      <w:r w:rsidR="00C84EDD" w:rsidRPr="009A6BA0">
        <w:rPr>
          <w:rFonts w:ascii="Arial" w:hAnsi="Arial" w:cs="Arial"/>
          <w:sz w:val="22"/>
          <w:szCs w:val="22"/>
        </w:rPr>
        <w:t xml:space="preserve"> from being an in-house asset of a </w:t>
      </w:r>
      <w:r w:rsidR="0054068C" w:rsidRPr="009A6BA0">
        <w:rPr>
          <w:rFonts w:ascii="Arial" w:hAnsi="Arial" w:cs="Arial"/>
          <w:sz w:val="22"/>
          <w:szCs w:val="22"/>
        </w:rPr>
        <w:t>fund</w:t>
      </w:r>
      <w:r w:rsidR="00E24BB9" w:rsidRPr="009A6BA0">
        <w:rPr>
          <w:rFonts w:ascii="Arial" w:hAnsi="Arial" w:cs="Arial"/>
          <w:sz w:val="22"/>
          <w:szCs w:val="22"/>
        </w:rPr>
        <w:t xml:space="preserve"> under paragraph 71(1)(f) of the SISA</w:t>
      </w:r>
      <w:r w:rsidR="00C84EDD" w:rsidRPr="009A6BA0">
        <w:rPr>
          <w:rFonts w:ascii="Arial" w:hAnsi="Arial" w:cs="Arial"/>
          <w:sz w:val="22"/>
          <w:szCs w:val="22"/>
        </w:rPr>
        <w:t xml:space="preserve"> </w:t>
      </w:r>
      <w:r w:rsidR="008F67CE" w:rsidRPr="009A6BA0">
        <w:rPr>
          <w:rFonts w:ascii="Arial" w:hAnsi="Arial" w:cs="Arial"/>
          <w:sz w:val="22"/>
          <w:szCs w:val="22"/>
        </w:rPr>
        <w:t xml:space="preserve">in circumstances where the </w:t>
      </w:r>
      <w:r w:rsidR="00EF76B8" w:rsidRPr="009A6BA0">
        <w:rPr>
          <w:rFonts w:ascii="Arial" w:hAnsi="Arial" w:cs="Arial"/>
          <w:sz w:val="22"/>
          <w:szCs w:val="22"/>
        </w:rPr>
        <w:t xml:space="preserve">investment in the </w:t>
      </w:r>
      <w:r w:rsidR="002D1FB6" w:rsidRPr="009A6BA0">
        <w:rPr>
          <w:rFonts w:ascii="Arial" w:hAnsi="Arial" w:cs="Arial"/>
          <w:sz w:val="22"/>
          <w:szCs w:val="22"/>
        </w:rPr>
        <w:t xml:space="preserve">related trust is in connection with an </w:t>
      </w:r>
      <w:r w:rsidR="008B1D58" w:rsidRPr="009A6BA0">
        <w:rPr>
          <w:rFonts w:ascii="Arial" w:hAnsi="Arial" w:cs="Arial"/>
          <w:sz w:val="22"/>
          <w:szCs w:val="22"/>
        </w:rPr>
        <w:t xml:space="preserve">Intermediary </w:t>
      </w:r>
      <w:r w:rsidR="00373A9D" w:rsidRPr="009A6BA0">
        <w:rPr>
          <w:rFonts w:ascii="Arial" w:hAnsi="Arial" w:cs="Arial"/>
          <w:sz w:val="22"/>
          <w:szCs w:val="22"/>
        </w:rPr>
        <w:t xml:space="preserve">LRBA </w:t>
      </w:r>
      <w:r w:rsidR="008F67CE" w:rsidRPr="009A6BA0">
        <w:rPr>
          <w:rFonts w:ascii="Arial" w:hAnsi="Arial" w:cs="Arial"/>
          <w:sz w:val="22"/>
          <w:szCs w:val="22"/>
        </w:rPr>
        <w:t xml:space="preserve">that </w:t>
      </w:r>
      <w:r w:rsidR="002D1FB6" w:rsidRPr="009A6BA0">
        <w:rPr>
          <w:rFonts w:ascii="Arial" w:hAnsi="Arial" w:cs="Arial"/>
          <w:sz w:val="22"/>
          <w:szCs w:val="22"/>
        </w:rPr>
        <w:t>complies with</w:t>
      </w:r>
      <w:r w:rsidR="008F67CE" w:rsidRPr="009A6BA0">
        <w:rPr>
          <w:rFonts w:ascii="Arial" w:hAnsi="Arial" w:cs="Arial"/>
          <w:sz w:val="22"/>
          <w:szCs w:val="22"/>
        </w:rPr>
        <w:t xml:space="preserve"> section 67A</w:t>
      </w:r>
      <w:r w:rsidR="00373A9D" w:rsidRPr="009A6BA0">
        <w:rPr>
          <w:rFonts w:ascii="Arial" w:hAnsi="Arial" w:cs="Arial"/>
          <w:sz w:val="22"/>
          <w:szCs w:val="22"/>
        </w:rPr>
        <w:t xml:space="preserve"> of the SISA</w:t>
      </w:r>
      <w:r w:rsidR="008F67CE" w:rsidRPr="009A6BA0">
        <w:rPr>
          <w:rFonts w:ascii="Arial" w:hAnsi="Arial" w:cs="Arial"/>
          <w:sz w:val="22"/>
          <w:szCs w:val="22"/>
        </w:rPr>
        <w:t>.</w:t>
      </w:r>
    </w:p>
    <w:p w14:paraId="5B98138A" w14:textId="77777777" w:rsidR="00B2576F" w:rsidRPr="009A6BA0" w:rsidRDefault="00B2576F" w:rsidP="009A6BA0">
      <w:pPr>
        <w:spacing w:after="120"/>
        <w:rPr>
          <w:rFonts w:ascii="Arial" w:hAnsi="Arial" w:cs="Arial"/>
          <w:sz w:val="22"/>
          <w:szCs w:val="22"/>
        </w:rPr>
      </w:pPr>
    </w:p>
    <w:p w14:paraId="7432884B" w14:textId="77777777" w:rsidR="00486653" w:rsidRPr="009A6BA0" w:rsidRDefault="00486653" w:rsidP="009A6BA0">
      <w:pPr>
        <w:pStyle w:val="Heading2"/>
        <w:rPr>
          <w:rFonts w:cs="Arial"/>
          <w:szCs w:val="22"/>
        </w:rPr>
      </w:pPr>
      <w:r w:rsidRPr="009A6BA0">
        <w:rPr>
          <w:rFonts w:cs="Arial"/>
          <w:szCs w:val="22"/>
        </w:rPr>
        <w:t xml:space="preserve">What is the effect of this </w:t>
      </w:r>
      <w:proofErr w:type="gramStart"/>
      <w:r w:rsidRPr="009A6BA0">
        <w:rPr>
          <w:rFonts w:cs="Arial"/>
          <w:szCs w:val="22"/>
        </w:rPr>
        <w:t>instrument</w:t>
      </w:r>
      <w:proofErr w:type="gramEnd"/>
    </w:p>
    <w:p w14:paraId="51A3AC6A" w14:textId="77777777" w:rsidR="00AD574C" w:rsidRPr="009A6BA0" w:rsidRDefault="00147D0F"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T</w:t>
      </w:r>
      <w:r w:rsidR="00486653" w:rsidRPr="009A6BA0">
        <w:rPr>
          <w:rFonts w:ascii="Arial" w:hAnsi="Arial" w:cs="Arial"/>
          <w:sz w:val="22"/>
          <w:szCs w:val="22"/>
        </w:rPr>
        <w:t xml:space="preserve">his instrument </w:t>
      </w:r>
      <w:r w:rsidRPr="009A6BA0">
        <w:rPr>
          <w:rFonts w:ascii="Arial" w:hAnsi="Arial" w:cs="Arial"/>
          <w:sz w:val="22"/>
          <w:szCs w:val="22"/>
        </w:rPr>
        <w:t xml:space="preserve">determines </w:t>
      </w:r>
      <w:r w:rsidR="000E42CA" w:rsidRPr="009A6BA0">
        <w:rPr>
          <w:rFonts w:ascii="Arial" w:hAnsi="Arial" w:cs="Arial"/>
          <w:sz w:val="22"/>
          <w:szCs w:val="22"/>
        </w:rPr>
        <w:t xml:space="preserve">that </w:t>
      </w:r>
      <w:r w:rsidR="00373A9D" w:rsidRPr="009A6BA0">
        <w:rPr>
          <w:rFonts w:ascii="Arial" w:hAnsi="Arial" w:cs="Arial"/>
          <w:sz w:val="22"/>
          <w:szCs w:val="22"/>
        </w:rPr>
        <w:t>an asset</w:t>
      </w:r>
      <w:r w:rsidR="00C91CB2" w:rsidRPr="009A6BA0">
        <w:rPr>
          <w:rFonts w:ascii="Arial" w:hAnsi="Arial" w:cs="Arial"/>
          <w:sz w:val="22"/>
          <w:szCs w:val="22"/>
        </w:rPr>
        <w:t xml:space="preserve"> (the investment in the related trust)</w:t>
      </w:r>
      <w:r w:rsidR="00373A9D" w:rsidRPr="009A6BA0">
        <w:rPr>
          <w:rFonts w:ascii="Arial" w:hAnsi="Arial" w:cs="Arial"/>
          <w:sz w:val="22"/>
          <w:szCs w:val="22"/>
        </w:rPr>
        <w:t xml:space="preserve"> covered by this Legislative Instrument is not an in-house asset of the </w:t>
      </w:r>
      <w:r w:rsidR="0054068C" w:rsidRPr="009A6BA0">
        <w:rPr>
          <w:rFonts w:ascii="Arial" w:hAnsi="Arial" w:cs="Arial"/>
          <w:sz w:val="22"/>
          <w:szCs w:val="22"/>
        </w:rPr>
        <w:t>fund</w:t>
      </w:r>
      <w:r w:rsidR="00373A9D" w:rsidRPr="009A6BA0">
        <w:rPr>
          <w:rFonts w:ascii="Arial" w:hAnsi="Arial" w:cs="Arial"/>
          <w:sz w:val="22"/>
          <w:szCs w:val="22"/>
        </w:rPr>
        <w:t>.</w:t>
      </w:r>
    </w:p>
    <w:p w14:paraId="0F1A526D" w14:textId="77777777" w:rsidR="009A6BA0" w:rsidRPr="009A6BA0" w:rsidRDefault="00CA78E8"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Compliance cost impact: Minor – There will be minimal impact for both implementati</w:t>
      </w:r>
      <w:r w:rsidR="00ED50D8" w:rsidRPr="009A6BA0">
        <w:rPr>
          <w:rFonts w:ascii="Arial" w:hAnsi="Arial" w:cs="Arial"/>
          <w:sz w:val="22"/>
          <w:szCs w:val="22"/>
        </w:rPr>
        <w:t>on and ongoing compliance costs</w:t>
      </w:r>
      <w:r w:rsidR="009A6BA0">
        <w:rPr>
          <w:rFonts w:ascii="Arial" w:hAnsi="Arial" w:cs="Arial"/>
          <w:sz w:val="22"/>
          <w:szCs w:val="22"/>
        </w:rPr>
        <w:t xml:space="preserve">. </w:t>
      </w:r>
      <w:r w:rsidR="00ED50D8" w:rsidRPr="009A6BA0">
        <w:rPr>
          <w:rFonts w:ascii="Arial" w:hAnsi="Arial" w:cs="Arial"/>
          <w:sz w:val="22"/>
          <w:szCs w:val="22"/>
        </w:rPr>
        <w:t>The legislative instrument is minor and machinery in nature.</w:t>
      </w:r>
    </w:p>
    <w:p w14:paraId="7FD8D2FF" w14:textId="77777777" w:rsidR="0099077E" w:rsidRPr="009A6BA0" w:rsidRDefault="0099077E" w:rsidP="009A6BA0">
      <w:pPr>
        <w:spacing w:after="120"/>
        <w:rPr>
          <w:rFonts w:ascii="Arial" w:hAnsi="Arial" w:cs="Arial"/>
          <w:sz w:val="22"/>
          <w:szCs w:val="22"/>
        </w:rPr>
      </w:pPr>
    </w:p>
    <w:p w14:paraId="3C2371B4" w14:textId="77777777" w:rsidR="00AD574C" w:rsidRPr="009A6BA0" w:rsidRDefault="0099077E" w:rsidP="009A6BA0">
      <w:pPr>
        <w:pStyle w:val="Heading2"/>
        <w:rPr>
          <w:rFonts w:cs="Arial"/>
          <w:szCs w:val="22"/>
        </w:rPr>
      </w:pPr>
      <w:r w:rsidRPr="009A6BA0">
        <w:rPr>
          <w:rFonts w:cs="Arial"/>
          <w:szCs w:val="22"/>
        </w:rPr>
        <w:t>Background</w:t>
      </w:r>
    </w:p>
    <w:p w14:paraId="36CDE3FA" w14:textId="77777777" w:rsidR="00373A9D" w:rsidRPr="009A6BA0" w:rsidRDefault="00373A9D"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A trustee of a </w:t>
      </w:r>
      <w:r w:rsidR="0054068C" w:rsidRPr="009A6BA0">
        <w:rPr>
          <w:rFonts w:ascii="Arial" w:hAnsi="Arial" w:cs="Arial"/>
          <w:sz w:val="22"/>
          <w:szCs w:val="22"/>
        </w:rPr>
        <w:t>fund</w:t>
      </w:r>
      <w:r w:rsidRPr="009A6BA0">
        <w:rPr>
          <w:rFonts w:ascii="Arial" w:hAnsi="Arial" w:cs="Arial"/>
          <w:sz w:val="22"/>
          <w:szCs w:val="22"/>
        </w:rPr>
        <w:t xml:space="preserve"> is </w:t>
      </w:r>
      <w:r w:rsidR="00C91CB2" w:rsidRPr="009A6BA0">
        <w:rPr>
          <w:rFonts w:ascii="Arial" w:hAnsi="Arial" w:cs="Arial"/>
          <w:sz w:val="22"/>
          <w:szCs w:val="22"/>
        </w:rPr>
        <w:t>prohibited</w:t>
      </w:r>
      <w:r w:rsidRPr="009A6BA0">
        <w:rPr>
          <w:rFonts w:ascii="Arial" w:hAnsi="Arial" w:cs="Arial"/>
          <w:sz w:val="22"/>
          <w:szCs w:val="22"/>
        </w:rPr>
        <w:t xml:space="preserve"> from borrowing money, or maintaining an existing borrowing of money, under section 67 of the SISA</w:t>
      </w:r>
      <w:r w:rsidR="009A6BA0">
        <w:rPr>
          <w:rFonts w:ascii="Arial" w:hAnsi="Arial" w:cs="Arial"/>
          <w:sz w:val="22"/>
          <w:szCs w:val="22"/>
        </w:rPr>
        <w:t xml:space="preserve">. </w:t>
      </w:r>
      <w:r w:rsidRPr="009A6BA0">
        <w:rPr>
          <w:rFonts w:ascii="Arial" w:hAnsi="Arial" w:cs="Arial"/>
          <w:sz w:val="22"/>
          <w:szCs w:val="22"/>
        </w:rPr>
        <w:t xml:space="preserve">An exception to this </w:t>
      </w:r>
      <w:r w:rsidR="00C91CB2" w:rsidRPr="009A6BA0">
        <w:rPr>
          <w:rFonts w:ascii="Arial" w:hAnsi="Arial" w:cs="Arial"/>
          <w:sz w:val="22"/>
          <w:szCs w:val="22"/>
        </w:rPr>
        <w:t>prohibition</w:t>
      </w:r>
      <w:r w:rsidRPr="009A6BA0">
        <w:rPr>
          <w:rFonts w:ascii="Arial" w:hAnsi="Arial" w:cs="Arial"/>
          <w:sz w:val="22"/>
          <w:szCs w:val="22"/>
        </w:rPr>
        <w:t xml:space="preserve"> is where a trustee of a </w:t>
      </w:r>
      <w:r w:rsidR="0054068C" w:rsidRPr="009A6BA0">
        <w:rPr>
          <w:rFonts w:ascii="Arial" w:hAnsi="Arial" w:cs="Arial"/>
          <w:sz w:val="22"/>
          <w:szCs w:val="22"/>
        </w:rPr>
        <w:t>fund</w:t>
      </w:r>
      <w:r w:rsidRPr="009A6BA0">
        <w:rPr>
          <w:rFonts w:ascii="Arial" w:hAnsi="Arial" w:cs="Arial"/>
          <w:sz w:val="22"/>
          <w:szCs w:val="22"/>
        </w:rPr>
        <w:t xml:space="preserve"> borrows money, or maintains a borrowing of money, under a LRBA that complies with section 67A of the SISA.</w:t>
      </w:r>
    </w:p>
    <w:p w14:paraId="13AFC2A4" w14:textId="77777777" w:rsidR="00C91CB2" w:rsidRPr="009A6BA0" w:rsidRDefault="00E11752"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A central element of a LRBA is that the amount which has been borrowed is applied for the acquisition of an acquirable asset. Further</w:t>
      </w:r>
      <w:r w:rsidR="00B32057" w:rsidRPr="009A6BA0">
        <w:rPr>
          <w:rFonts w:ascii="Arial" w:hAnsi="Arial" w:cs="Arial"/>
          <w:sz w:val="22"/>
          <w:szCs w:val="22"/>
        </w:rPr>
        <w:t>,</w:t>
      </w:r>
      <w:r w:rsidRPr="009A6BA0">
        <w:rPr>
          <w:rFonts w:ascii="Arial" w:hAnsi="Arial" w:cs="Arial"/>
          <w:sz w:val="22"/>
          <w:szCs w:val="22"/>
        </w:rPr>
        <w:t xml:space="preserve"> the acquirable asset </w:t>
      </w:r>
      <w:r w:rsidR="00226625" w:rsidRPr="009A6BA0">
        <w:rPr>
          <w:rFonts w:ascii="Arial" w:hAnsi="Arial" w:cs="Arial"/>
          <w:sz w:val="22"/>
          <w:szCs w:val="22"/>
        </w:rPr>
        <w:t>is held on trust (</w:t>
      </w:r>
      <w:r w:rsidR="00914347" w:rsidRPr="009A6BA0">
        <w:rPr>
          <w:rFonts w:ascii="Arial" w:hAnsi="Arial" w:cs="Arial"/>
          <w:sz w:val="22"/>
          <w:szCs w:val="22"/>
        </w:rPr>
        <w:t xml:space="preserve">a </w:t>
      </w:r>
      <w:r w:rsidRPr="009A6BA0">
        <w:rPr>
          <w:rFonts w:ascii="Arial" w:hAnsi="Arial" w:cs="Arial"/>
          <w:sz w:val="22"/>
          <w:szCs w:val="22"/>
        </w:rPr>
        <w:t xml:space="preserve">holding trust) in which the </w:t>
      </w:r>
      <w:r w:rsidR="0054068C" w:rsidRPr="009A6BA0">
        <w:rPr>
          <w:rFonts w:ascii="Arial" w:hAnsi="Arial" w:cs="Arial"/>
          <w:sz w:val="22"/>
          <w:szCs w:val="22"/>
        </w:rPr>
        <w:t>fund</w:t>
      </w:r>
      <w:r w:rsidRPr="009A6BA0">
        <w:rPr>
          <w:rFonts w:ascii="Arial" w:hAnsi="Arial" w:cs="Arial"/>
          <w:sz w:val="22"/>
          <w:szCs w:val="22"/>
        </w:rPr>
        <w:t xml:space="preserve"> has a beneficial interest. Because the trustee of the </w:t>
      </w:r>
      <w:r w:rsidR="0054068C" w:rsidRPr="009A6BA0">
        <w:rPr>
          <w:rFonts w:ascii="Arial" w:hAnsi="Arial" w:cs="Arial"/>
          <w:sz w:val="22"/>
          <w:szCs w:val="22"/>
        </w:rPr>
        <w:t>fund</w:t>
      </w:r>
      <w:r w:rsidRPr="009A6BA0">
        <w:rPr>
          <w:rFonts w:ascii="Arial" w:hAnsi="Arial" w:cs="Arial"/>
          <w:sz w:val="22"/>
          <w:szCs w:val="22"/>
        </w:rPr>
        <w:t xml:space="preserve"> </w:t>
      </w:r>
      <w:r w:rsidR="000E3B41" w:rsidRPr="009A6BA0">
        <w:rPr>
          <w:rFonts w:ascii="Arial" w:hAnsi="Arial" w:cs="Arial"/>
          <w:sz w:val="22"/>
          <w:szCs w:val="22"/>
        </w:rPr>
        <w:t>controls the holding trust</w:t>
      </w:r>
      <w:r w:rsidR="0002461F">
        <w:rPr>
          <w:rStyle w:val="FootnoteReference"/>
          <w:rFonts w:ascii="Arial" w:hAnsi="Arial" w:cs="Arial"/>
          <w:sz w:val="22"/>
          <w:szCs w:val="22"/>
        </w:rPr>
        <w:footnoteReference w:id="1"/>
      </w:r>
      <w:r w:rsidR="00226625" w:rsidRPr="009A6BA0">
        <w:rPr>
          <w:rFonts w:ascii="Arial" w:hAnsi="Arial" w:cs="Arial"/>
          <w:sz w:val="22"/>
          <w:szCs w:val="22"/>
        </w:rPr>
        <w:t xml:space="preserve"> in an LRBA</w:t>
      </w:r>
      <w:r w:rsidR="00914347" w:rsidRPr="009A6BA0">
        <w:rPr>
          <w:rFonts w:ascii="Arial" w:hAnsi="Arial" w:cs="Arial"/>
          <w:sz w:val="22"/>
          <w:szCs w:val="22"/>
        </w:rPr>
        <w:t>,</w:t>
      </w:r>
      <w:r w:rsidR="00B32057" w:rsidRPr="009A6BA0">
        <w:rPr>
          <w:rFonts w:ascii="Arial" w:hAnsi="Arial" w:cs="Arial"/>
          <w:sz w:val="22"/>
          <w:szCs w:val="22"/>
        </w:rPr>
        <w:t xml:space="preserve"> it is a related trust of the </w:t>
      </w:r>
      <w:r w:rsidR="0054068C" w:rsidRPr="009A6BA0">
        <w:rPr>
          <w:rFonts w:ascii="Arial" w:hAnsi="Arial" w:cs="Arial"/>
          <w:sz w:val="22"/>
          <w:szCs w:val="22"/>
        </w:rPr>
        <w:t>fund</w:t>
      </w:r>
      <w:r w:rsidR="00B32057" w:rsidRPr="009A6BA0">
        <w:rPr>
          <w:rFonts w:ascii="Arial" w:hAnsi="Arial" w:cs="Arial"/>
          <w:sz w:val="22"/>
          <w:szCs w:val="22"/>
        </w:rPr>
        <w:t xml:space="preserve"> and, but for the operation of subsection 71(8) of the SISA, an in-house asset of the </w:t>
      </w:r>
      <w:r w:rsidR="0054068C" w:rsidRPr="009A6BA0">
        <w:rPr>
          <w:rFonts w:ascii="Arial" w:hAnsi="Arial" w:cs="Arial"/>
          <w:sz w:val="22"/>
          <w:szCs w:val="22"/>
        </w:rPr>
        <w:t>fund</w:t>
      </w:r>
      <w:r w:rsidR="00B32057" w:rsidRPr="009A6BA0">
        <w:rPr>
          <w:rFonts w:ascii="Arial" w:hAnsi="Arial" w:cs="Arial"/>
          <w:sz w:val="22"/>
          <w:szCs w:val="22"/>
        </w:rPr>
        <w:t>.</w:t>
      </w:r>
      <w:r w:rsidR="0002461F">
        <w:rPr>
          <w:rStyle w:val="FootnoteReference"/>
          <w:rFonts w:ascii="Arial" w:hAnsi="Arial" w:cs="Arial"/>
          <w:sz w:val="22"/>
          <w:szCs w:val="22"/>
        </w:rPr>
        <w:footnoteReference w:id="2"/>
      </w:r>
    </w:p>
    <w:p w14:paraId="58CAD8BB" w14:textId="77777777" w:rsidR="009A6BA0" w:rsidRPr="009A6BA0" w:rsidRDefault="009E122A"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The in-house asset rules contained in Part 8 </w:t>
      </w:r>
      <w:r w:rsidR="00373A9D" w:rsidRPr="009A6BA0">
        <w:rPr>
          <w:rFonts w:ascii="Arial" w:hAnsi="Arial" w:cs="Arial"/>
          <w:sz w:val="22"/>
          <w:szCs w:val="22"/>
        </w:rPr>
        <w:t>of the SISA</w:t>
      </w:r>
      <w:r w:rsidR="00BE60B4" w:rsidRPr="009A6BA0">
        <w:rPr>
          <w:rFonts w:ascii="Arial" w:hAnsi="Arial" w:cs="Arial"/>
          <w:sz w:val="22"/>
          <w:szCs w:val="22"/>
        </w:rPr>
        <w:t xml:space="preserve"> seek</w:t>
      </w:r>
      <w:r w:rsidR="00E011A9" w:rsidRPr="009A6BA0">
        <w:rPr>
          <w:rFonts w:ascii="Arial" w:hAnsi="Arial" w:cs="Arial"/>
          <w:sz w:val="22"/>
          <w:szCs w:val="22"/>
        </w:rPr>
        <w:t>s</w:t>
      </w:r>
      <w:r w:rsidR="00BE60B4" w:rsidRPr="009A6BA0">
        <w:rPr>
          <w:rFonts w:ascii="Arial" w:hAnsi="Arial" w:cs="Arial"/>
          <w:sz w:val="22"/>
          <w:szCs w:val="22"/>
        </w:rPr>
        <w:t xml:space="preserve"> to limit the risks associated with superannuation fund investments in related parties and </w:t>
      </w:r>
      <w:r w:rsidRPr="009A6BA0">
        <w:rPr>
          <w:rFonts w:ascii="Arial" w:hAnsi="Arial" w:cs="Arial"/>
          <w:sz w:val="22"/>
          <w:szCs w:val="22"/>
        </w:rPr>
        <w:t>impose</w:t>
      </w:r>
      <w:r w:rsidR="00446B93" w:rsidRPr="009A6BA0">
        <w:rPr>
          <w:rFonts w:ascii="Arial" w:hAnsi="Arial" w:cs="Arial"/>
          <w:sz w:val="22"/>
          <w:szCs w:val="22"/>
        </w:rPr>
        <w:t>s</w:t>
      </w:r>
      <w:r w:rsidRPr="009A6BA0">
        <w:rPr>
          <w:rFonts w:ascii="Arial" w:hAnsi="Arial" w:cs="Arial"/>
          <w:sz w:val="22"/>
          <w:szCs w:val="22"/>
        </w:rPr>
        <w:t xml:space="preserve"> a </w:t>
      </w:r>
      <w:r w:rsidR="00BE60B4" w:rsidRPr="009A6BA0">
        <w:rPr>
          <w:rFonts w:ascii="Arial" w:hAnsi="Arial" w:cs="Arial"/>
          <w:sz w:val="22"/>
          <w:szCs w:val="22"/>
        </w:rPr>
        <w:t xml:space="preserve">5% </w:t>
      </w:r>
      <w:r w:rsidRPr="009A6BA0">
        <w:rPr>
          <w:rFonts w:ascii="Arial" w:hAnsi="Arial" w:cs="Arial"/>
          <w:sz w:val="22"/>
          <w:szCs w:val="22"/>
        </w:rPr>
        <w:t>limit on the value of in-house assets that a</w:t>
      </w:r>
      <w:r w:rsidR="00373A9D" w:rsidRPr="009A6BA0">
        <w:rPr>
          <w:rFonts w:ascii="Arial" w:hAnsi="Arial" w:cs="Arial"/>
          <w:sz w:val="22"/>
          <w:szCs w:val="22"/>
        </w:rPr>
        <w:t xml:space="preserve"> </w:t>
      </w:r>
      <w:r w:rsidR="0054068C" w:rsidRPr="009A6BA0">
        <w:rPr>
          <w:rFonts w:ascii="Arial" w:hAnsi="Arial" w:cs="Arial"/>
          <w:sz w:val="22"/>
          <w:szCs w:val="22"/>
        </w:rPr>
        <w:t>fund</w:t>
      </w:r>
      <w:r w:rsidR="00373A9D" w:rsidRPr="009A6BA0">
        <w:rPr>
          <w:rFonts w:ascii="Arial" w:hAnsi="Arial" w:cs="Arial"/>
          <w:sz w:val="22"/>
          <w:szCs w:val="22"/>
        </w:rPr>
        <w:t xml:space="preserve"> </w:t>
      </w:r>
      <w:r w:rsidRPr="009A6BA0">
        <w:rPr>
          <w:rFonts w:ascii="Arial" w:hAnsi="Arial" w:cs="Arial"/>
          <w:sz w:val="22"/>
          <w:szCs w:val="22"/>
        </w:rPr>
        <w:t>can hold.</w:t>
      </w:r>
    </w:p>
    <w:p w14:paraId="78E95EE3" w14:textId="77777777" w:rsidR="00AD574C" w:rsidRPr="009A6BA0" w:rsidRDefault="009E122A"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Subsection 71(8) </w:t>
      </w:r>
      <w:r w:rsidR="00285CAA" w:rsidRPr="009A6BA0">
        <w:rPr>
          <w:rFonts w:ascii="Arial" w:hAnsi="Arial" w:cs="Arial"/>
          <w:sz w:val="22"/>
          <w:szCs w:val="22"/>
        </w:rPr>
        <w:t xml:space="preserve">of the SISA </w:t>
      </w:r>
      <w:r w:rsidR="00AA19BF" w:rsidRPr="009A6BA0">
        <w:rPr>
          <w:rFonts w:ascii="Arial" w:hAnsi="Arial" w:cs="Arial"/>
          <w:sz w:val="22"/>
          <w:szCs w:val="22"/>
        </w:rPr>
        <w:t>excludes from</w:t>
      </w:r>
      <w:r w:rsidRPr="009A6BA0">
        <w:rPr>
          <w:rFonts w:ascii="Arial" w:hAnsi="Arial" w:cs="Arial"/>
          <w:sz w:val="22"/>
          <w:szCs w:val="22"/>
        </w:rPr>
        <w:t xml:space="preserve"> the definition of 'in-house asset' a </w:t>
      </w:r>
      <w:r w:rsidR="0054068C" w:rsidRPr="009A6BA0">
        <w:rPr>
          <w:rFonts w:ascii="Arial" w:hAnsi="Arial" w:cs="Arial"/>
          <w:sz w:val="22"/>
          <w:szCs w:val="22"/>
        </w:rPr>
        <w:t>fund</w:t>
      </w:r>
      <w:r w:rsidRPr="009A6BA0">
        <w:rPr>
          <w:rFonts w:ascii="Arial" w:hAnsi="Arial" w:cs="Arial"/>
          <w:sz w:val="22"/>
          <w:szCs w:val="22"/>
        </w:rPr>
        <w:t xml:space="preserve">'s investment in </w:t>
      </w:r>
      <w:r w:rsidR="00413E52" w:rsidRPr="009A6BA0">
        <w:rPr>
          <w:rFonts w:ascii="Arial" w:hAnsi="Arial" w:cs="Arial"/>
          <w:sz w:val="22"/>
          <w:szCs w:val="22"/>
        </w:rPr>
        <w:t xml:space="preserve">a related trust (the </w:t>
      </w:r>
      <w:r w:rsidRPr="009A6BA0">
        <w:rPr>
          <w:rFonts w:ascii="Arial" w:hAnsi="Arial" w:cs="Arial"/>
          <w:sz w:val="22"/>
          <w:szCs w:val="22"/>
        </w:rPr>
        <w:t>holding trust</w:t>
      </w:r>
      <w:r w:rsidR="00413E52" w:rsidRPr="009A6BA0">
        <w:rPr>
          <w:rFonts w:ascii="Arial" w:hAnsi="Arial" w:cs="Arial"/>
          <w:sz w:val="22"/>
          <w:szCs w:val="22"/>
        </w:rPr>
        <w:t>)</w:t>
      </w:r>
      <w:r w:rsidRPr="009A6BA0">
        <w:rPr>
          <w:rFonts w:ascii="Arial" w:hAnsi="Arial" w:cs="Arial"/>
          <w:sz w:val="22"/>
          <w:szCs w:val="22"/>
        </w:rPr>
        <w:t xml:space="preserve"> </w:t>
      </w:r>
      <w:r w:rsidR="00F16FCE" w:rsidRPr="009A6BA0">
        <w:rPr>
          <w:rFonts w:ascii="Arial" w:hAnsi="Arial" w:cs="Arial"/>
          <w:sz w:val="22"/>
          <w:szCs w:val="22"/>
        </w:rPr>
        <w:t>that is</w:t>
      </w:r>
      <w:r w:rsidR="006F5C09" w:rsidRPr="009A6BA0">
        <w:rPr>
          <w:rFonts w:ascii="Arial" w:hAnsi="Arial" w:cs="Arial"/>
          <w:sz w:val="22"/>
          <w:szCs w:val="22"/>
        </w:rPr>
        <w:t xml:space="preserve"> </w:t>
      </w:r>
      <w:r w:rsidR="00F16FCE" w:rsidRPr="009A6BA0">
        <w:rPr>
          <w:rFonts w:ascii="Arial" w:hAnsi="Arial" w:cs="Arial"/>
          <w:sz w:val="22"/>
          <w:szCs w:val="22"/>
        </w:rPr>
        <w:t>connected</w:t>
      </w:r>
      <w:r w:rsidR="006F5C09" w:rsidRPr="009A6BA0">
        <w:rPr>
          <w:rFonts w:ascii="Arial" w:hAnsi="Arial" w:cs="Arial"/>
          <w:sz w:val="22"/>
          <w:szCs w:val="22"/>
        </w:rPr>
        <w:t xml:space="preserve"> </w:t>
      </w:r>
      <w:r w:rsidR="00F16FCE" w:rsidRPr="009A6BA0">
        <w:rPr>
          <w:rFonts w:ascii="Arial" w:hAnsi="Arial" w:cs="Arial"/>
          <w:sz w:val="22"/>
          <w:szCs w:val="22"/>
        </w:rPr>
        <w:t>to</w:t>
      </w:r>
      <w:r w:rsidR="006F5C09" w:rsidRPr="009A6BA0">
        <w:rPr>
          <w:rFonts w:ascii="Arial" w:hAnsi="Arial" w:cs="Arial"/>
          <w:sz w:val="22"/>
          <w:szCs w:val="22"/>
        </w:rPr>
        <w:t xml:space="preserve"> a borrowing</w:t>
      </w:r>
      <w:r w:rsidR="00E011A9" w:rsidRPr="009A6BA0">
        <w:rPr>
          <w:rFonts w:ascii="Arial" w:hAnsi="Arial" w:cs="Arial"/>
          <w:sz w:val="22"/>
          <w:szCs w:val="22"/>
        </w:rPr>
        <w:t>,</w:t>
      </w:r>
      <w:r w:rsidR="006F5C09" w:rsidRPr="009A6BA0">
        <w:rPr>
          <w:rFonts w:ascii="Arial" w:hAnsi="Arial" w:cs="Arial"/>
          <w:sz w:val="22"/>
          <w:szCs w:val="22"/>
        </w:rPr>
        <w:t xml:space="preserve"> by the trustee of the </w:t>
      </w:r>
      <w:r w:rsidR="0054068C" w:rsidRPr="009A6BA0">
        <w:rPr>
          <w:rFonts w:ascii="Arial" w:hAnsi="Arial" w:cs="Arial"/>
          <w:sz w:val="22"/>
          <w:szCs w:val="22"/>
        </w:rPr>
        <w:t>fund</w:t>
      </w:r>
      <w:r w:rsidR="006F5C09" w:rsidRPr="009A6BA0">
        <w:rPr>
          <w:rFonts w:ascii="Arial" w:hAnsi="Arial" w:cs="Arial"/>
          <w:sz w:val="22"/>
          <w:szCs w:val="22"/>
        </w:rPr>
        <w:t xml:space="preserve"> that is covered by section 67A</w:t>
      </w:r>
      <w:r w:rsidR="00A05069" w:rsidRPr="009A6BA0">
        <w:rPr>
          <w:rFonts w:ascii="Arial" w:hAnsi="Arial" w:cs="Arial"/>
          <w:sz w:val="22"/>
          <w:szCs w:val="22"/>
        </w:rPr>
        <w:t xml:space="preserve"> of the SISA</w:t>
      </w:r>
      <w:r w:rsidRPr="009A6BA0">
        <w:rPr>
          <w:rFonts w:ascii="Arial" w:hAnsi="Arial" w:cs="Arial"/>
          <w:sz w:val="22"/>
          <w:szCs w:val="22"/>
        </w:rPr>
        <w:t xml:space="preserve">. That subsection provides that </w:t>
      </w:r>
      <w:r w:rsidR="00A05069" w:rsidRPr="009A6BA0">
        <w:rPr>
          <w:rFonts w:ascii="Arial" w:hAnsi="Arial" w:cs="Arial"/>
          <w:sz w:val="22"/>
          <w:szCs w:val="22"/>
        </w:rPr>
        <w:t>the investment is excluded from</w:t>
      </w:r>
      <w:r w:rsidR="001A5CE8" w:rsidRPr="009A6BA0">
        <w:rPr>
          <w:rFonts w:ascii="Arial" w:hAnsi="Arial" w:cs="Arial"/>
          <w:sz w:val="22"/>
          <w:szCs w:val="22"/>
        </w:rPr>
        <w:t xml:space="preserve"> </w:t>
      </w:r>
      <w:r w:rsidR="00A05069" w:rsidRPr="009A6BA0">
        <w:rPr>
          <w:rFonts w:ascii="Arial" w:hAnsi="Arial" w:cs="Arial"/>
          <w:sz w:val="22"/>
          <w:szCs w:val="22"/>
        </w:rPr>
        <w:t>being an in-house asset if</w:t>
      </w:r>
      <w:r w:rsidRPr="009A6BA0">
        <w:rPr>
          <w:rFonts w:ascii="Arial" w:hAnsi="Arial" w:cs="Arial"/>
          <w:sz w:val="22"/>
          <w:szCs w:val="22"/>
        </w:rPr>
        <w:t>:</w:t>
      </w:r>
    </w:p>
    <w:p w14:paraId="2BEA2C51" w14:textId="77777777" w:rsidR="00A05069" w:rsidRPr="009A6BA0" w:rsidRDefault="009E122A" w:rsidP="009A6BA0">
      <w:pPr>
        <w:numPr>
          <w:ilvl w:val="0"/>
          <w:numId w:val="23"/>
        </w:numPr>
        <w:spacing w:after="120"/>
        <w:ind w:left="1418" w:hanging="709"/>
        <w:rPr>
          <w:rFonts w:ascii="Arial" w:hAnsi="Arial" w:cs="Arial"/>
          <w:sz w:val="22"/>
          <w:szCs w:val="22"/>
        </w:rPr>
      </w:pPr>
      <w:r w:rsidRPr="009A6BA0">
        <w:rPr>
          <w:rFonts w:ascii="Arial" w:hAnsi="Arial" w:cs="Arial"/>
          <w:sz w:val="22"/>
          <w:szCs w:val="22"/>
        </w:rPr>
        <w:t>the only property of the related trust is the acquirable asset mentioned in paragraph 67A(1)(b)</w:t>
      </w:r>
      <w:r w:rsidR="00086E44" w:rsidRPr="009A6BA0">
        <w:rPr>
          <w:rFonts w:ascii="Arial" w:hAnsi="Arial" w:cs="Arial"/>
          <w:sz w:val="22"/>
          <w:szCs w:val="22"/>
        </w:rPr>
        <w:t xml:space="preserve"> of the SISA</w:t>
      </w:r>
      <w:r w:rsidRPr="009A6BA0">
        <w:rPr>
          <w:rFonts w:ascii="Arial" w:hAnsi="Arial" w:cs="Arial"/>
          <w:sz w:val="22"/>
          <w:szCs w:val="22"/>
        </w:rPr>
        <w:t>,</w:t>
      </w:r>
      <w:r w:rsidR="00A05069" w:rsidRPr="009A6BA0">
        <w:rPr>
          <w:rFonts w:ascii="Arial" w:hAnsi="Arial" w:cs="Arial"/>
          <w:sz w:val="22"/>
          <w:szCs w:val="22"/>
        </w:rPr>
        <w:t xml:space="preserve"> and</w:t>
      </w:r>
    </w:p>
    <w:p w14:paraId="51B2F106" w14:textId="77777777" w:rsidR="009E122A" w:rsidRPr="009A6BA0" w:rsidRDefault="001A5CE8" w:rsidP="009A6BA0">
      <w:pPr>
        <w:numPr>
          <w:ilvl w:val="0"/>
          <w:numId w:val="23"/>
        </w:numPr>
        <w:spacing w:after="120"/>
        <w:ind w:left="1418" w:hanging="709"/>
        <w:rPr>
          <w:rFonts w:ascii="Arial" w:hAnsi="Arial" w:cs="Arial"/>
          <w:sz w:val="22"/>
          <w:szCs w:val="22"/>
        </w:rPr>
      </w:pPr>
      <w:r w:rsidRPr="009A6BA0">
        <w:rPr>
          <w:rFonts w:ascii="Arial" w:hAnsi="Arial" w:cs="Arial"/>
          <w:sz w:val="22"/>
          <w:szCs w:val="22"/>
        </w:rPr>
        <w:t xml:space="preserve">the acquirable asset would not have been an in-house asset of the </w:t>
      </w:r>
      <w:r w:rsidR="00E011A9" w:rsidRPr="009A6BA0">
        <w:rPr>
          <w:rFonts w:ascii="Arial" w:hAnsi="Arial" w:cs="Arial"/>
          <w:sz w:val="22"/>
          <w:szCs w:val="22"/>
        </w:rPr>
        <w:t xml:space="preserve">fund </w:t>
      </w:r>
      <w:r w:rsidRPr="009A6BA0">
        <w:rPr>
          <w:rFonts w:ascii="Arial" w:hAnsi="Arial" w:cs="Arial"/>
          <w:sz w:val="22"/>
          <w:szCs w:val="22"/>
        </w:rPr>
        <w:t xml:space="preserve">if </w:t>
      </w:r>
      <w:r w:rsidR="00F16FCE" w:rsidRPr="009A6BA0">
        <w:rPr>
          <w:rFonts w:ascii="Arial" w:hAnsi="Arial" w:cs="Arial"/>
          <w:sz w:val="22"/>
          <w:szCs w:val="22"/>
        </w:rPr>
        <w:t xml:space="preserve">the </w:t>
      </w:r>
      <w:r w:rsidR="00E011A9" w:rsidRPr="009A6BA0">
        <w:rPr>
          <w:rFonts w:ascii="Arial" w:hAnsi="Arial" w:cs="Arial"/>
          <w:sz w:val="22"/>
          <w:szCs w:val="22"/>
        </w:rPr>
        <w:t xml:space="preserve">fund </w:t>
      </w:r>
      <w:r w:rsidRPr="009A6BA0">
        <w:rPr>
          <w:rFonts w:ascii="Arial" w:hAnsi="Arial" w:cs="Arial"/>
          <w:sz w:val="22"/>
          <w:szCs w:val="22"/>
        </w:rPr>
        <w:t>held the asset directly</w:t>
      </w:r>
      <w:r w:rsidR="00DB50D3">
        <w:rPr>
          <w:rFonts w:ascii="Arial" w:hAnsi="Arial" w:cs="Arial"/>
          <w:sz w:val="22"/>
          <w:szCs w:val="22"/>
        </w:rPr>
        <w:t>.</w:t>
      </w:r>
    </w:p>
    <w:p w14:paraId="58D5459A" w14:textId="77777777" w:rsidR="00F16FCE" w:rsidRPr="009A6BA0" w:rsidRDefault="00F16FCE"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The exclusion provided by subsection 71(8)</w:t>
      </w:r>
      <w:r w:rsidR="00E011A9" w:rsidRPr="009A6BA0">
        <w:rPr>
          <w:rFonts w:ascii="Arial" w:hAnsi="Arial" w:cs="Arial"/>
          <w:sz w:val="22"/>
          <w:szCs w:val="22"/>
        </w:rPr>
        <w:t xml:space="preserve"> of the SISA</w:t>
      </w:r>
      <w:r w:rsidRPr="009A6BA0">
        <w:rPr>
          <w:rFonts w:ascii="Arial" w:hAnsi="Arial" w:cs="Arial"/>
          <w:sz w:val="22"/>
          <w:szCs w:val="22"/>
        </w:rPr>
        <w:t xml:space="preserve"> only covers circumstances where the borrowing, covered by section 67A</w:t>
      </w:r>
      <w:r w:rsidR="00E011A9" w:rsidRPr="009A6BA0">
        <w:rPr>
          <w:rFonts w:ascii="Arial" w:hAnsi="Arial" w:cs="Arial"/>
          <w:sz w:val="22"/>
          <w:szCs w:val="22"/>
        </w:rPr>
        <w:t xml:space="preserve"> of the SISA</w:t>
      </w:r>
      <w:r w:rsidRPr="009A6BA0">
        <w:rPr>
          <w:rFonts w:ascii="Arial" w:hAnsi="Arial" w:cs="Arial"/>
          <w:sz w:val="22"/>
          <w:szCs w:val="22"/>
        </w:rPr>
        <w:t xml:space="preserve">, is </w:t>
      </w:r>
      <w:r w:rsidR="009D6F19" w:rsidRPr="009A6BA0">
        <w:rPr>
          <w:rFonts w:ascii="Arial" w:hAnsi="Arial" w:cs="Arial"/>
          <w:sz w:val="22"/>
          <w:szCs w:val="22"/>
        </w:rPr>
        <w:t xml:space="preserve">undertaken </w:t>
      </w:r>
      <w:r w:rsidRPr="009A6BA0">
        <w:rPr>
          <w:rFonts w:ascii="Arial" w:hAnsi="Arial" w:cs="Arial"/>
          <w:sz w:val="22"/>
          <w:szCs w:val="22"/>
        </w:rPr>
        <w:t xml:space="preserve">by the trustee of the </w:t>
      </w:r>
      <w:r w:rsidR="00B52494" w:rsidRPr="009A6BA0">
        <w:rPr>
          <w:rFonts w:ascii="Arial" w:hAnsi="Arial" w:cs="Arial"/>
          <w:sz w:val="22"/>
          <w:szCs w:val="22"/>
        </w:rPr>
        <w:t>fund</w:t>
      </w:r>
      <w:r w:rsidRPr="009A6BA0">
        <w:rPr>
          <w:rFonts w:ascii="Arial" w:hAnsi="Arial" w:cs="Arial"/>
          <w:sz w:val="22"/>
          <w:szCs w:val="22"/>
        </w:rPr>
        <w:t xml:space="preserve">. That is, </w:t>
      </w:r>
      <w:r w:rsidR="00226625" w:rsidRPr="009A6BA0">
        <w:rPr>
          <w:rFonts w:ascii="Arial" w:hAnsi="Arial" w:cs="Arial"/>
          <w:sz w:val="22"/>
          <w:szCs w:val="22"/>
        </w:rPr>
        <w:t>to be excluded from being an in</w:t>
      </w:r>
      <w:r w:rsidR="00DD42E6" w:rsidRPr="009A6BA0">
        <w:rPr>
          <w:rFonts w:ascii="Arial" w:hAnsi="Arial" w:cs="Arial"/>
          <w:sz w:val="22"/>
          <w:szCs w:val="22"/>
        </w:rPr>
        <w:noBreakHyphen/>
      </w:r>
      <w:r w:rsidR="00226625" w:rsidRPr="009A6BA0">
        <w:rPr>
          <w:rFonts w:ascii="Arial" w:hAnsi="Arial" w:cs="Arial"/>
          <w:sz w:val="22"/>
          <w:szCs w:val="22"/>
        </w:rPr>
        <w:t>house asset</w:t>
      </w:r>
      <w:r w:rsidR="00DF0919">
        <w:rPr>
          <w:rFonts w:ascii="Arial" w:hAnsi="Arial" w:cs="Arial"/>
          <w:sz w:val="22"/>
          <w:szCs w:val="22"/>
        </w:rPr>
        <w:t>,</w:t>
      </w:r>
      <w:r w:rsidR="00226625" w:rsidRPr="009A6BA0">
        <w:rPr>
          <w:rFonts w:ascii="Arial" w:hAnsi="Arial" w:cs="Arial"/>
          <w:sz w:val="22"/>
          <w:szCs w:val="22"/>
        </w:rPr>
        <w:t xml:space="preserve"> </w:t>
      </w:r>
      <w:r w:rsidRPr="009A6BA0">
        <w:rPr>
          <w:rFonts w:ascii="Arial" w:hAnsi="Arial" w:cs="Arial"/>
          <w:sz w:val="22"/>
          <w:szCs w:val="22"/>
        </w:rPr>
        <w:t xml:space="preserve">the </w:t>
      </w:r>
      <w:r w:rsidR="00B52494" w:rsidRPr="009A6BA0">
        <w:rPr>
          <w:rFonts w:ascii="Arial" w:hAnsi="Arial" w:cs="Arial"/>
          <w:sz w:val="22"/>
          <w:szCs w:val="22"/>
        </w:rPr>
        <w:t>fund</w:t>
      </w:r>
      <w:r w:rsidRPr="009A6BA0">
        <w:rPr>
          <w:rFonts w:ascii="Arial" w:hAnsi="Arial" w:cs="Arial"/>
          <w:sz w:val="22"/>
          <w:szCs w:val="22"/>
        </w:rPr>
        <w:t xml:space="preserve"> </w:t>
      </w:r>
      <w:r w:rsidR="00226625" w:rsidRPr="009A6BA0">
        <w:rPr>
          <w:rFonts w:ascii="Arial" w:hAnsi="Arial" w:cs="Arial"/>
          <w:sz w:val="22"/>
          <w:szCs w:val="22"/>
        </w:rPr>
        <w:t>must</w:t>
      </w:r>
      <w:r w:rsidRPr="009A6BA0">
        <w:rPr>
          <w:rFonts w:ascii="Arial" w:hAnsi="Arial" w:cs="Arial"/>
          <w:sz w:val="22"/>
          <w:szCs w:val="22"/>
        </w:rPr>
        <w:t xml:space="preserve"> borrow the amount</w:t>
      </w:r>
      <w:r w:rsidR="00226625" w:rsidRPr="009A6BA0">
        <w:rPr>
          <w:rFonts w:ascii="Arial" w:hAnsi="Arial" w:cs="Arial"/>
          <w:sz w:val="22"/>
          <w:szCs w:val="22"/>
        </w:rPr>
        <w:t xml:space="preserve"> directly</w:t>
      </w:r>
      <w:r w:rsidRPr="009A6BA0">
        <w:rPr>
          <w:rFonts w:ascii="Arial" w:hAnsi="Arial" w:cs="Arial"/>
          <w:sz w:val="22"/>
          <w:szCs w:val="22"/>
        </w:rPr>
        <w:t>.</w:t>
      </w:r>
    </w:p>
    <w:p w14:paraId="08DBF74C" w14:textId="77777777" w:rsidR="009D6F19" w:rsidRPr="009A6BA0" w:rsidRDefault="00F16FCE"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However, section 67A of the SISA provides an exception to the borrowing prohibition in circumstances where the trustee of the </w:t>
      </w:r>
      <w:r w:rsidR="00B52494" w:rsidRPr="009A6BA0">
        <w:rPr>
          <w:rFonts w:ascii="Arial" w:hAnsi="Arial" w:cs="Arial"/>
          <w:sz w:val="22"/>
          <w:szCs w:val="22"/>
        </w:rPr>
        <w:t>fund</w:t>
      </w:r>
      <w:r w:rsidRPr="009A6BA0">
        <w:rPr>
          <w:rFonts w:ascii="Arial" w:hAnsi="Arial" w:cs="Arial"/>
          <w:sz w:val="22"/>
          <w:szCs w:val="22"/>
        </w:rPr>
        <w:t xml:space="preserve"> borrows or maintains a borrowing.</w:t>
      </w:r>
    </w:p>
    <w:p w14:paraId="79AAC39F" w14:textId="77777777" w:rsidR="00F16FCE" w:rsidRPr="009A6BA0" w:rsidRDefault="00D867DB"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lastRenderedPageBreak/>
        <w:t>M</w:t>
      </w:r>
      <w:r w:rsidR="009D6F19" w:rsidRPr="009A6BA0">
        <w:rPr>
          <w:rFonts w:ascii="Arial" w:hAnsi="Arial" w:cs="Arial"/>
          <w:sz w:val="22"/>
          <w:szCs w:val="22"/>
        </w:rPr>
        <w:t xml:space="preserve">aintaining a borrowing of money includes circumstances where a </w:t>
      </w:r>
      <w:r w:rsidR="00B52494" w:rsidRPr="009A6BA0">
        <w:rPr>
          <w:rFonts w:ascii="Arial" w:hAnsi="Arial" w:cs="Arial"/>
          <w:sz w:val="22"/>
          <w:szCs w:val="22"/>
        </w:rPr>
        <w:t>fund</w:t>
      </w:r>
      <w:r w:rsidR="00226625" w:rsidRPr="009A6BA0">
        <w:rPr>
          <w:rFonts w:ascii="Arial" w:hAnsi="Arial" w:cs="Arial"/>
          <w:sz w:val="22"/>
          <w:szCs w:val="22"/>
        </w:rPr>
        <w:t xml:space="preserve"> trustee has become liable for</w:t>
      </w:r>
      <w:r w:rsidR="009D6F19" w:rsidRPr="009A6BA0">
        <w:rPr>
          <w:rFonts w:ascii="Arial" w:hAnsi="Arial" w:cs="Arial"/>
          <w:sz w:val="22"/>
          <w:szCs w:val="22"/>
        </w:rPr>
        <w:t xml:space="preserve"> obligations under a borrowing arrangement </w:t>
      </w:r>
      <w:proofErr w:type="gramStart"/>
      <w:r w:rsidR="009D6F19" w:rsidRPr="009A6BA0">
        <w:rPr>
          <w:rFonts w:ascii="Arial" w:hAnsi="Arial" w:cs="Arial"/>
          <w:sz w:val="22"/>
          <w:szCs w:val="22"/>
        </w:rPr>
        <w:t>entered into</w:t>
      </w:r>
      <w:proofErr w:type="gramEnd"/>
      <w:r w:rsidR="009D6F19" w:rsidRPr="009A6BA0">
        <w:rPr>
          <w:rFonts w:ascii="Arial" w:hAnsi="Arial" w:cs="Arial"/>
          <w:sz w:val="22"/>
          <w:szCs w:val="22"/>
        </w:rPr>
        <w:t xml:space="preserve"> by another party.</w:t>
      </w:r>
    </w:p>
    <w:p w14:paraId="271FA0A0" w14:textId="77777777" w:rsidR="00D254D5" w:rsidRPr="009A6BA0" w:rsidRDefault="00D254D5"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Therefore, while section 67A of the SISA may apply to circumstances where the trustee of a </w:t>
      </w:r>
      <w:r w:rsidR="00B52494" w:rsidRPr="009A6BA0">
        <w:rPr>
          <w:rFonts w:ascii="Arial" w:hAnsi="Arial" w:cs="Arial"/>
          <w:sz w:val="22"/>
          <w:szCs w:val="22"/>
        </w:rPr>
        <w:t>fund</w:t>
      </w:r>
      <w:r w:rsidRPr="009A6BA0">
        <w:rPr>
          <w:rFonts w:ascii="Arial" w:hAnsi="Arial" w:cs="Arial"/>
          <w:sz w:val="22"/>
          <w:szCs w:val="22"/>
        </w:rPr>
        <w:t xml:space="preserve"> borrows directly or maintains the borrowing of a third party, subsection 71(8) of the SISA only applies where the trustee of a </w:t>
      </w:r>
      <w:r w:rsidR="00B52494" w:rsidRPr="009A6BA0">
        <w:rPr>
          <w:rFonts w:ascii="Arial" w:hAnsi="Arial" w:cs="Arial"/>
          <w:sz w:val="22"/>
          <w:szCs w:val="22"/>
        </w:rPr>
        <w:t>fund</w:t>
      </w:r>
      <w:r w:rsidRPr="009A6BA0">
        <w:rPr>
          <w:rFonts w:ascii="Arial" w:hAnsi="Arial" w:cs="Arial"/>
          <w:sz w:val="22"/>
          <w:szCs w:val="22"/>
        </w:rPr>
        <w:t xml:space="preserve"> borrows directly.</w:t>
      </w:r>
    </w:p>
    <w:p w14:paraId="0361E954" w14:textId="77777777" w:rsidR="00C50405" w:rsidRPr="009A6BA0" w:rsidRDefault="00EA28D5"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Where the arrangement is undertaken as described below, this </w:t>
      </w:r>
      <w:r w:rsidR="00285CAA" w:rsidRPr="009A6BA0">
        <w:rPr>
          <w:rFonts w:ascii="Arial" w:hAnsi="Arial" w:cs="Arial"/>
          <w:sz w:val="22"/>
          <w:szCs w:val="22"/>
        </w:rPr>
        <w:t>Legislative I</w:t>
      </w:r>
      <w:r w:rsidRPr="009A6BA0">
        <w:rPr>
          <w:rFonts w:ascii="Arial" w:hAnsi="Arial" w:cs="Arial"/>
          <w:sz w:val="22"/>
          <w:szCs w:val="22"/>
        </w:rPr>
        <w:t xml:space="preserve">nstrument will apply to exclude a </w:t>
      </w:r>
      <w:r w:rsidR="00B52494" w:rsidRPr="009A6BA0">
        <w:rPr>
          <w:rFonts w:ascii="Arial" w:hAnsi="Arial" w:cs="Arial"/>
          <w:sz w:val="22"/>
          <w:szCs w:val="22"/>
        </w:rPr>
        <w:t>fund</w:t>
      </w:r>
      <w:r w:rsidRPr="009A6BA0">
        <w:rPr>
          <w:rFonts w:ascii="Arial" w:hAnsi="Arial" w:cs="Arial"/>
          <w:sz w:val="22"/>
          <w:szCs w:val="22"/>
        </w:rPr>
        <w:t>'s investment in such a related holding trust from being an in</w:t>
      </w:r>
      <w:r w:rsidR="00EF47C1" w:rsidRPr="009A6BA0">
        <w:rPr>
          <w:rFonts w:ascii="Arial" w:hAnsi="Arial" w:cs="Arial"/>
          <w:sz w:val="22"/>
          <w:szCs w:val="22"/>
        </w:rPr>
        <w:noBreakHyphen/>
      </w:r>
      <w:r w:rsidRPr="009A6BA0">
        <w:rPr>
          <w:rFonts w:ascii="Arial" w:hAnsi="Arial" w:cs="Arial"/>
          <w:sz w:val="22"/>
          <w:szCs w:val="22"/>
        </w:rPr>
        <w:t xml:space="preserve">house asset of the </w:t>
      </w:r>
      <w:r w:rsidR="0054068C" w:rsidRPr="009A6BA0">
        <w:rPr>
          <w:rFonts w:ascii="Arial" w:hAnsi="Arial" w:cs="Arial"/>
          <w:sz w:val="22"/>
          <w:szCs w:val="22"/>
        </w:rPr>
        <w:t>fund</w:t>
      </w:r>
      <w:r w:rsidRPr="009A6BA0">
        <w:rPr>
          <w:rFonts w:ascii="Arial" w:hAnsi="Arial" w:cs="Arial"/>
          <w:sz w:val="22"/>
          <w:szCs w:val="22"/>
        </w:rPr>
        <w:t>.</w:t>
      </w:r>
    </w:p>
    <w:p w14:paraId="5E40EEC4" w14:textId="77777777" w:rsidR="00285CAA" w:rsidRPr="009A6BA0" w:rsidRDefault="00285CAA" w:rsidP="009A6BA0">
      <w:pPr>
        <w:numPr>
          <w:ilvl w:val="0"/>
          <w:numId w:val="1"/>
        </w:numPr>
        <w:tabs>
          <w:tab w:val="clear" w:pos="720"/>
        </w:tabs>
        <w:spacing w:after="120"/>
        <w:ind w:left="709" w:hanging="709"/>
        <w:rPr>
          <w:rFonts w:ascii="Arial" w:hAnsi="Arial" w:cs="Arial"/>
          <w:sz w:val="22"/>
          <w:szCs w:val="22"/>
        </w:rPr>
      </w:pPr>
      <w:bookmarkStart w:id="1" w:name="_Ref20895421"/>
      <w:r w:rsidRPr="009A6BA0">
        <w:rPr>
          <w:rFonts w:ascii="Arial" w:hAnsi="Arial" w:cs="Arial"/>
          <w:sz w:val="22"/>
          <w:szCs w:val="22"/>
        </w:rPr>
        <w:t xml:space="preserve">This </w:t>
      </w:r>
      <w:r w:rsidR="00ED467F" w:rsidRPr="009A6BA0">
        <w:rPr>
          <w:rFonts w:ascii="Arial" w:hAnsi="Arial" w:cs="Arial"/>
          <w:sz w:val="22"/>
          <w:szCs w:val="22"/>
        </w:rPr>
        <w:t xml:space="preserve">is consistent with the policy intent that an </w:t>
      </w:r>
      <w:r w:rsidR="005E06E2" w:rsidRPr="009A6BA0">
        <w:rPr>
          <w:rFonts w:ascii="Arial" w:hAnsi="Arial" w:cs="Arial"/>
          <w:sz w:val="22"/>
          <w:szCs w:val="22"/>
        </w:rPr>
        <w:t xml:space="preserve">investment in a related trust </w:t>
      </w:r>
      <w:r w:rsidR="00673E7B" w:rsidRPr="009A6BA0">
        <w:rPr>
          <w:rFonts w:ascii="Arial" w:hAnsi="Arial" w:cs="Arial"/>
          <w:sz w:val="22"/>
          <w:szCs w:val="22"/>
        </w:rPr>
        <w:t>that is part of</w:t>
      </w:r>
      <w:r w:rsidR="005E06E2" w:rsidRPr="009A6BA0">
        <w:rPr>
          <w:rFonts w:ascii="Arial" w:hAnsi="Arial" w:cs="Arial"/>
          <w:sz w:val="22"/>
          <w:szCs w:val="22"/>
        </w:rPr>
        <w:t xml:space="preserve"> an LRBA </w:t>
      </w:r>
      <w:r w:rsidR="00673E7B" w:rsidRPr="009A6BA0">
        <w:rPr>
          <w:rFonts w:ascii="Arial" w:hAnsi="Arial" w:cs="Arial"/>
          <w:sz w:val="22"/>
          <w:szCs w:val="22"/>
        </w:rPr>
        <w:t xml:space="preserve">and </w:t>
      </w:r>
      <w:r w:rsidR="005E06E2" w:rsidRPr="009A6BA0">
        <w:rPr>
          <w:rFonts w:ascii="Arial" w:hAnsi="Arial" w:cs="Arial"/>
          <w:sz w:val="22"/>
          <w:szCs w:val="22"/>
        </w:rPr>
        <w:t>that meets the requirements of the borrowing exception in se</w:t>
      </w:r>
      <w:r w:rsidR="00ED467F" w:rsidRPr="009A6BA0">
        <w:rPr>
          <w:rFonts w:ascii="Arial" w:hAnsi="Arial" w:cs="Arial"/>
          <w:sz w:val="22"/>
          <w:szCs w:val="22"/>
        </w:rPr>
        <w:t>ction 67A of the SISA should only be an in-house asset under section 71</w:t>
      </w:r>
      <w:r w:rsidR="00673E7B" w:rsidRPr="009A6BA0">
        <w:rPr>
          <w:rFonts w:ascii="Arial" w:hAnsi="Arial" w:cs="Arial"/>
          <w:sz w:val="22"/>
          <w:szCs w:val="22"/>
        </w:rPr>
        <w:t xml:space="preserve"> of the SISA</w:t>
      </w:r>
      <w:r w:rsidR="00ED467F" w:rsidRPr="009A6BA0">
        <w:rPr>
          <w:rFonts w:ascii="Arial" w:hAnsi="Arial" w:cs="Arial"/>
          <w:sz w:val="22"/>
          <w:szCs w:val="22"/>
        </w:rPr>
        <w:t xml:space="preserve"> where the underlying asset would itself be an in-house asset of the </w:t>
      </w:r>
      <w:r w:rsidR="0054068C" w:rsidRPr="009A6BA0">
        <w:rPr>
          <w:rFonts w:ascii="Arial" w:hAnsi="Arial" w:cs="Arial"/>
          <w:sz w:val="22"/>
          <w:szCs w:val="22"/>
        </w:rPr>
        <w:t>fund</w:t>
      </w:r>
      <w:r w:rsidR="00ED467F" w:rsidRPr="009A6BA0">
        <w:rPr>
          <w:rFonts w:ascii="Arial" w:hAnsi="Arial" w:cs="Arial"/>
          <w:sz w:val="22"/>
          <w:szCs w:val="22"/>
        </w:rPr>
        <w:t xml:space="preserve"> if it were held directly.</w:t>
      </w:r>
      <w:r w:rsidR="00ED467F" w:rsidRPr="009A6BA0">
        <w:rPr>
          <w:rStyle w:val="FootnoteReference"/>
          <w:rFonts w:ascii="Arial" w:hAnsi="Arial" w:cs="Arial"/>
          <w:sz w:val="22"/>
          <w:szCs w:val="22"/>
        </w:rPr>
        <w:footnoteReference w:id="3"/>
      </w:r>
      <w:bookmarkEnd w:id="1"/>
    </w:p>
    <w:p w14:paraId="7C14B854" w14:textId="77777777" w:rsidR="00AD574C" w:rsidRPr="009A6BA0" w:rsidRDefault="00F317D8"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The Legislative Instrument is limited to an </w:t>
      </w:r>
      <w:r w:rsidR="00673E7B" w:rsidRPr="009A6BA0">
        <w:rPr>
          <w:rFonts w:ascii="Arial" w:hAnsi="Arial" w:cs="Arial"/>
          <w:sz w:val="22"/>
          <w:szCs w:val="22"/>
        </w:rPr>
        <w:t>investment in a related trust</w:t>
      </w:r>
      <w:r w:rsidRPr="009A6BA0">
        <w:rPr>
          <w:rFonts w:ascii="Arial" w:hAnsi="Arial" w:cs="Arial"/>
          <w:sz w:val="22"/>
          <w:szCs w:val="22"/>
        </w:rPr>
        <w:t xml:space="preserve"> by </w:t>
      </w:r>
      <w:r w:rsidR="00363865" w:rsidRPr="009A6BA0">
        <w:rPr>
          <w:rFonts w:ascii="Arial" w:hAnsi="Arial" w:cs="Arial"/>
          <w:sz w:val="22"/>
          <w:szCs w:val="22"/>
        </w:rPr>
        <w:t>a</w:t>
      </w:r>
      <w:r w:rsidRPr="009A6BA0">
        <w:rPr>
          <w:rFonts w:ascii="Arial" w:hAnsi="Arial" w:cs="Arial"/>
          <w:sz w:val="22"/>
          <w:szCs w:val="22"/>
        </w:rPr>
        <w:t xml:space="preserve"> </w:t>
      </w:r>
      <w:r w:rsidR="00B52494" w:rsidRPr="009A6BA0">
        <w:rPr>
          <w:rFonts w:ascii="Arial" w:hAnsi="Arial" w:cs="Arial"/>
          <w:sz w:val="22"/>
          <w:szCs w:val="22"/>
        </w:rPr>
        <w:t>fund</w:t>
      </w:r>
      <w:r w:rsidRPr="009A6BA0">
        <w:rPr>
          <w:rFonts w:ascii="Arial" w:hAnsi="Arial" w:cs="Arial"/>
          <w:sz w:val="22"/>
          <w:szCs w:val="22"/>
        </w:rPr>
        <w:t xml:space="preserve"> under an arrangement </w:t>
      </w:r>
      <w:proofErr w:type="gramStart"/>
      <w:r w:rsidRPr="009A6BA0">
        <w:rPr>
          <w:rFonts w:ascii="Arial" w:hAnsi="Arial" w:cs="Arial"/>
          <w:sz w:val="22"/>
          <w:szCs w:val="22"/>
        </w:rPr>
        <w:t>entered into</w:t>
      </w:r>
      <w:proofErr w:type="gramEnd"/>
      <w:r w:rsidRPr="009A6BA0">
        <w:rPr>
          <w:rFonts w:ascii="Arial" w:hAnsi="Arial" w:cs="Arial"/>
          <w:sz w:val="22"/>
          <w:szCs w:val="22"/>
        </w:rPr>
        <w:t xml:space="preserve"> by the parties </w:t>
      </w:r>
      <w:r w:rsidR="00086E44" w:rsidRPr="009A6BA0">
        <w:rPr>
          <w:rFonts w:ascii="Arial" w:hAnsi="Arial" w:cs="Arial"/>
          <w:sz w:val="22"/>
          <w:szCs w:val="22"/>
        </w:rPr>
        <w:t>that meets</w:t>
      </w:r>
      <w:r w:rsidRPr="009A6BA0">
        <w:rPr>
          <w:rFonts w:ascii="Arial" w:hAnsi="Arial" w:cs="Arial"/>
          <w:sz w:val="22"/>
          <w:szCs w:val="22"/>
        </w:rPr>
        <w:t xml:space="preserve"> the requirements in subsection 5(</w:t>
      </w:r>
      <w:r w:rsidR="00DF0919">
        <w:rPr>
          <w:rFonts w:ascii="Arial" w:hAnsi="Arial" w:cs="Arial"/>
          <w:sz w:val="22"/>
          <w:szCs w:val="22"/>
        </w:rPr>
        <w:t>b</w:t>
      </w:r>
      <w:r w:rsidRPr="009A6BA0">
        <w:rPr>
          <w:rFonts w:ascii="Arial" w:hAnsi="Arial" w:cs="Arial"/>
          <w:sz w:val="22"/>
          <w:szCs w:val="22"/>
        </w:rPr>
        <w:t>) of the Legislative Instrument.</w:t>
      </w:r>
    </w:p>
    <w:p w14:paraId="41F07AA2" w14:textId="77777777" w:rsidR="009A6BA0" w:rsidRPr="009A6BA0" w:rsidRDefault="008B3060"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In determining to exclude these assets from being an in</w:t>
      </w:r>
      <w:r w:rsidR="00387505" w:rsidRPr="009A6BA0">
        <w:rPr>
          <w:rFonts w:ascii="Arial" w:hAnsi="Arial" w:cs="Arial"/>
          <w:sz w:val="22"/>
          <w:szCs w:val="22"/>
        </w:rPr>
        <w:noBreakHyphen/>
      </w:r>
      <w:r w:rsidRPr="009A6BA0">
        <w:rPr>
          <w:rFonts w:ascii="Arial" w:hAnsi="Arial" w:cs="Arial"/>
          <w:sz w:val="22"/>
          <w:szCs w:val="22"/>
        </w:rPr>
        <w:t xml:space="preserve">house asset of </w:t>
      </w:r>
      <w:r w:rsidR="00673E7B" w:rsidRPr="009A6BA0">
        <w:rPr>
          <w:rFonts w:ascii="Arial" w:hAnsi="Arial" w:cs="Arial"/>
          <w:sz w:val="22"/>
          <w:szCs w:val="22"/>
        </w:rPr>
        <w:t>a</w:t>
      </w:r>
      <w:r w:rsidRPr="009A6BA0">
        <w:rPr>
          <w:rFonts w:ascii="Arial" w:hAnsi="Arial" w:cs="Arial"/>
          <w:sz w:val="22"/>
          <w:szCs w:val="22"/>
        </w:rPr>
        <w:t xml:space="preserve"> </w:t>
      </w:r>
      <w:r w:rsidR="00B52494" w:rsidRPr="009A6BA0">
        <w:rPr>
          <w:rFonts w:ascii="Arial" w:hAnsi="Arial" w:cs="Arial"/>
          <w:sz w:val="22"/>
          <w:szCs w:val="22"/>
        </w:rPr>
        <w:t>fund</w:t>
      </w:r>
      <w:r w:rsidRPr="009A6BA0">
        <w:rPr>
          <w:rFonts w:ascii="Arial" w:hAnsi="Arial" w:cs="Arial"/>
          <w:sz w:val="22"/>
          <w:szCs w:val="22"/>
        </w:rPr>
        <w:t>, an important consideration was</w:t>
      </w:r>
      <w:r w:rsidR="00673E7B" w:rsidRPr="009A6BA0">
        <w:rPr>
          <w:rFonts w:ascii="Arial" w:hAnsi="Arial" w:cs="Arial"/>
          <w:sz w:val="22"/>
          <w:szCs w:val="22"/>
        </w:rPr>
        <w:t xml:space="preserve"> that the arrangement must comply with section 67A of the SISA</w:t>
      </w:r>
      <w:r w:rsidR="00446B93" w:rsidRPr="009A6BA0">
        <w:rPr>
          <w:rFonts w:ascii="Arial" w:hAnsi="Arial" w:cs="Arial"/>
          <w:sz w:val="22"/>
          <w:szCs w:val="22"/>
        </w:rPr>
        <w:t>.</w:t>
      </w:r>
      <w:r w:rsidR="00673E7B" w:rsidRPr="009A6BA0">
        <w:rPr>
          <w:rFonts w:ascii="Arial" w:hAnsi="Arial" w:cs="Arial"/>
          <w:sz w:val="22"/>
          <w:szCs w:val="22"/>
        </w:rPr>
        <w:t xml:space="preserve"> </w:t>
      </w:r>
      <w:proofErr w:type="gramStart"/>
      <w:r w:rsidR="00446B93" w:rsidRPr="009A6BA0">
        <w:rPr>
          <w:rFonts w:ascii="Arial" w:hAnsi="Arial" w:cs="Arial"/>
          <w:sz w:val="22"/>
          <w:szCs w:val="22"/>
        </w:rPr>
        <w:t>I</w:t>
      </w:r>
      <w:r w:rsidR="00673E7B" w:rsidRPr="009A6BA0">
        <w:rPr>
          <w:rFonts w:ascii="Arial" w:hAnsi="Arial" w:cs="Arial"/>
          <w:sz w:val="22"/>
          <w:szCs w:val="22"/>
        </w:rPr>
        <w:t>n particular</w:t>
      </w:r>
      <w:r w:rsidR="00446B93" w:rsidRPr="009A6BA0">
        <w:rPr>
          <w:rFonts w:ascii="Arial" w:hAnsi="Arial" w:cs="Arial"/>
          <w:sz w:val="22"/>
          <w:szCs w:val="22"/>
        </w:rPr>
        <w:t>,</w:t>
      </w:r>
      <w:r w:rsidR="00DF0919">
        <w:rPr>
          <w:rFonts w:ascii="Arial" w:hAnsi="Arial" w:cs="Arial"/>
          <w:sz w:val="22"/>
          <w:szCs w:val="22"/>
        </w:rPr>
        <w:t xml:space="preserve"> </w:t>
      </w:r>
      <w:r w:rsidR="00673E7B" w:rsidRPr="009A6BA0">
        <w:rPr>
          <w:rFonts w:ascii="Arial" w:hAnsi="Arial" w:cs="Arial"/>
          <w:sz w:val="22"/>
          <w:szCs w:val="22"/>
        </w:rPr>
        <w:t>that</w:t>
      </w:r>
      <w:proofErr w:type="gramEnd"/>
      <w:r w:rsidRPr="009A6BA0">
        <w:rPr>
          <w:rFonts w:ascii="Arial" w:hAnsi="Arial" w:cs="Arial"/>
          <w:sz w:val="22"/>
          <w:szCs w:val="22"/>
        </w:rPr>
        <w:t xml:space="preserve"> the rights of the Holding Trustee, the lender and any other party against the trustee of the </w:t>
      </w:r>
      <w:r w:rsidR="00B52494" w:rsidRPr="009A6BA0">
        <w:rPr>
          <w:rFonts w:ascii="Arial" w:hAnsi="Arial" w:cs="Arial"/>
          <w:sz w:val="22"/>
          <w:szCs w:val="22"/>
        </w:rPr>
        <w:t>fund</w:t>
      </w:r>
      <w:r w:rsidRPr="009A6BA0">
        <w:rPr>
          <w:rFonts w:ascii="Arial" w:hAnsi="Arial" w:cs="Arial"/>
          <w:sz w:val="22"/>
          <w:szCs w:val="22"/>
        </w:rPr>
        <w:t xml:space="preserve"> under the borrowing arrangement is limited </w:t>
      </w:r>
      <w:r w:rsidR="00673E7B" w:rsidRPr="009A6BA0">
        <w:rPr>
          <w:rFonts w:ascii="Arial" w:hAnsi="Arial" w:cs="Arial"/>
          <w:sz w:val="22"/>
          <w:szCs w:val="22"/>
        </w:rPr>
        <w:t xml:space="preserve">to </w:t>
      </w:r>
      <w:r w:rsidRPr="009A6BA0">
        <w:rPr>
          <w:rFonts w:ascii="Arial" w:hAnsi="Arial" w:cs="Arial"/>
          <w:sz w:val="22"/>
          <w:szCs w:val="22"/>
        </w:rPr>
        <w:t xml:space="preserve">only the </w:t>
      </w:r>
      <w:r w:rsidR="00673E7B" w:rsidRPr="009A6BA0">
        <w:rPr>
          <w:rFonts w:ascii="Arial" w:hAnsi="Arial" w:cs="Arial"/>
          <w:sz w:val="22"/>
          <w:szCs w:val="22"/>
        </w:rPr>
        <w:t xml:space="preserve">acquirable </w:t>
      </w:r>
      <w:r w:rsidRPr="009A6BA0">
        <w:rPr>
          <w:rFonts w:ascii="Arial" w:hAnsi="Arial" w:cs="Arial"/>
          <w:sz w:val="22"/>
          <w:szCs w:val="22"/>
        </w:rPr>
        <w:t>asset.</w:t>
      </w:r>
    </w:p>
    <w:p w14:paraId="419D661A" w14:textId="77777777" w:rsidR="00B82517" w:rsidRPr="009A6BA0" w:rsidRDefault="00446B93"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The ATO has reviewed the </w:t>
      </w:r>
      <w:proofErr w:type="gramStart"/>
      <w:r w:rsidRPr="009A6BA0">
        <w:rPr>
          <w:rFonts w:ascii="Arial" w:hAnsi="Arial" w:cs="Arial"/>
          <w:sz w:val="22"/>
          <w:szCs w:val="22"/>
        </w:rPr>
        <w:t>particular arrangement</w:t>
      </w:r>
      <w:proofErr w:type="gramEnd"/>
      <w:r w:rsidRPr="009A6BA0">
        <w:rPr>
          <w:rFonts w:ascii="Arial" w:hAnsi="Arial" w:cs="Arial"/>
          <w:sz w:val="22"/>
          <w:szCs w:val="22"/>
        </w:rPr>
        <w:t xml:space="preserve"> and is satisfied that</w:t>
      </w:r>
      <w:r w:rsidR="00086E44" w:rsidRPr="009A6BA0">
        <w:rPr>
          <w:rFonts w:ascii="Arial" w:hAnsi="Arial" w:cs="Arial"/>
          <w:sz w:val="22"/>
          <w:szCs w:val="22"/>
        </w:rPr>
        <w:t xml:space="preserve"> where the requirements of subsection 5(</w:t>
      </w:r>
      <w:r w:rsidR="00545778">
        <w:rPr>
          <w:rFonts w:ascii="Arial" w:hAnsi="Arial" w:cs="Arial"/>
          <w:sz w:val="22"/>
          <w:szCs w:val="22"/>
        </w:rPr>
        <w:t>b</w:t>
      </w:r>
      <w:r w:rsidR="00086E44" w:rsidRPr="009A6BA0">
        <w:rPr>
          <w:rFonts w:ascii="Arial" w:hAnsi="Arial" w:cs="Arial"/>
          <w:sz w:val="22"/>
          <w:szCs w:val="22"/>
        </w:rPr>
        <w:t>) of the Legislative Instrument are satisfied,</w:t>
      </w:r>
      <w:r w:rsidRPr="009A6BA0">
        <w:rPr>
          <w:rFonts w:ascii="Arial" w:hAnsi="Arial" w:cs="Arial"/>
          <w:sz w:val="22"/>
          <w:szCs w:val="22"/>
        </w:rPr>
        <w:t xml:space="preserve"> it complies with section 67A of the SISA. Central to this conclusion is that the deed, which limits </w:t>
      </w:r>
      <w:r w:rsidR="008D4EFE" w:rsidRPr="009A6BA0">
        <w:rPr>
          <w:rFonts w:ascii="Arial" w:hAnsi="Arial" w:cs="Arial"/>
          <w:sz w:val="22"/>
          <w:szCs w:val="22"/>
        </w:rPr>
        <w:t>the rights of the Holding Trustee or any Guarantors against the trustee of the fund in connection with default on the borrowing, is disclosed to the lender.</w:t>
      </w:r>
    </w:p>
    <w:p w14:paraId="4E62D7B3" w14:textId="77777777" w:rsidR="009A6BA0" w:rsidRPr="009A6BA0" w:rsidRDefault="00B82517" w:rsidP="009A6BA0">
      <w:pPr>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This determination is specific to trustees of funds who have entered the Intermediary LRBA described in subsection 5(</w:t>
      </w:r>
      <w:r w:rsidR="00DF0919">
        <w:rPr>
          <w:rFonts w:ascii="Arial" w:hAnsi="Arial" w:cs="Arial"/>
          <w:sz w:val="22"/>
          <w:szCs w:val="22"/>
        </w:rPr>
        <w:t>b</w:t>
      </w:r>
      <w:r w:rsidRPr="009A6BA0">
        <w:rPr>
          <w:rFonts w:ascii="Arial" w:hAnsi="Arial" w:cs="Arial"/>
          <w:sz w:val="22"/>
          <w:szCs w:val="22"/>
        </w:rPr>
        <w:t>) of the Legislative Instrument and described below. The Legislative Instrument cannot be relied on by other trustees of a fund even if they have entered into a similar arrangement.</w:t>
      </w:r>
    </w:p>
    <w:p w14:paraId="40F9C937" w14:textId="79610192" w:rsidR="00B82517" w:rsidRPr="009A6BA0" w:rsidRDefault="00B82517" w:rsidP="009A6BA0">
      <w:pPr>
        <w:keepNext/>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Trustees of a fund who have or are proposing to enter into an LRBA arrangement where the trustee of the fund is maintaining the borrowing of a third party, other than the Intermediary LRBA covered by this Legislative Instrument, should seek advice from the Commissioner of Taxation to confirm;</w:t>
      </w:r>
    </w:p>
    <w:p w14:paraId="49A91EFE" w14:textId="77777777" w:rsidR="00B82517" w:rsidRPr="009A6BA0" w:rsidRDefault="0018149E" w:rsidP="009A6BA0">
      <w:pPr>
        <w:numPr>
          <w:ilvl w:val="1"/>
          <w:numId w:val="1"/>
        </w:numPr>
        <w:tabs>
          <w:tab w:val="clear" w:pos="1440"/>
        </w:tabs>
        <w:spacing w:after="120"/>
        <w:ind w:left="1418" w:hanging="709"/>
        <w:rPr>
          <w:rFonts w:ascii="Arial" w:hAnsi="Arial" w:cs="Arial"/>
          <w:sz w:val="22"/>
          <w:szCs w:val="22"/>
        </w:rPr>
      </w:pPr>
      <w:r>
        <w:rPr>
          <w:rFonts w:ascii="Arial" w:hAnsi="Arial" w:cs="Arial"/>
          <w:sz w:val="22"/>
          <w:szCs w:val="22"/>
        </w:rPr>
        <w:t xml:space="preserve">that </w:t>
      </w:r>
      <w:r w:rsidR="00B82517" w:rsidRPr="009A6BA0">
        <w:rPr>
          <w:rFonts w:ascii="Arial" w:hAnsi="Arial" w:cs="Arial"/>
          <w:sz w:val="22"/>
          <w:szCs w:val="22"/>
        </w:rPr>
        <w:t>the arrangement complies with section 67A of the SISA, and</w:t>
      </w:r>
    </w:p>
    <w:p w14:paraId="7816D235" w14:textId="77777777" w:rsidR="000102A5" w:rsidRPr="009A6BA0" w:rsidRDefault="00B82517" w:rsidP="009A6BA0">
      <w:pPr>
        <w:numPr>
          <w:ilvl w:val="1"/>
          <w:numId w:val="1"/>
        </w:numPr>
        <w:tabs>
          <w:tab w:val="clear" w:pos="1440"/>
        </w:tabs>
        <w:spacing w:after="120"/>
        <w:ind w:left="1418" w:hanging="709"/>
        <w:rPr>
          <w:rFonts w:ascii="Arial" w:hAnsi="Arial" w:cs="Arial"/>
          <w:sz w:val="22"/>
          <w:szCs w:val="22"/>
        </w:rPr>
      </w:pPr>
      <w:r w:rsidRPr="009A6BA0">
        <w:rPr>
          <w:rFonts w:ascii="Arial" w:hAnsi="Arial" w:cs="Arial"/>
          <w:sz w:val="22"/>
          <w:szCs w:val="22"/>
        </w:rPr>
        <w:t xml:space="preserve">whether it is appropriate in the circumstances to exclude the investment in the related trust from being an </w:t>
      </w:r>
      <w:proofErr w:type="gramStart"/>
      <w:r w:rsidRPr="009A6BA0">
        <w:rPr>
          <w:rFonts w:ascii="Arial" w:hAnsi="Arial" w:cs="Arial"/>
          <w:sz w:val="22"/>
          <w:szCs w:val="22"/>
        </w:rPr>
        <w:t>in house</w:t>
      </w:r>
      <w:proofErr w:type="gramEnd"/>
      <w:r w:rsidRPr="009A6BA0">
        <w:rPr>
          <w:rFonts w:ascii="Arial" w:hAnsi="Arial" w:cs="Arial"/>
          <w:sz w:val="22"/>
          <w:szCs w:val="22"/>
        </w:rPr>
        <w:t xml:space="preserve"> asset.</w:t>
      </w:r>
    </w:p>
    <w:p w14:paraId="1E8B3697" w14:textId="77777777" w:rsidR="009A6BA0" w:rsidRPr="009A6BA0" w:rsidRDefault="009A6BA0" w:rsidP="009A6BA0">
      <w:pPr>
        <w:spacing w:after="120"/>
        <w:rPr>
          <w:rFonts w:ascii="Arial" w:hAnsi="Arial" w:cs="Arial"/>
          <w:sz w:val="22"/>
          <w:szCs w:val="22"/>
        </w:rPr>
      </w:pPr>
    </w:p>
    <w:p w14:paraId="5DB9F1BB" w14:textId="77777777" w:rsidR="00AD574C" w:rsidRPr="009A6BA0" w:rsidRDefault="000102A5" w:rsidP="009A6BA0">
      <w:pPr>
        <w:pStyle w:val="Heading2"/>
        <w:rPr>
          <w:rFonts w:cs="Arial"/>
          <w:szCs w:val="22"/>
        </w:rPr>
      </w:pPr>
      <w:r w:rsidRPr="009A6BA0">
        <w:rPr>
          <w:rFonts w:cs="Arial"/>
          <w:szCs w:val="22"/>
        </w:rPr>
        <w:lastRenderedPageBreak/>
        <w:t>The Arrangement</w:t>
      </w:r>
    </w:p>
    <w:p w14:paraId="417B7996" w14:textId="198637BA" w:rsidR="00AD574C" w:rsidRPr="009A6BA0" w:rsidRDefault="008B3060" w:rsidP="00272A05">
      <w:pPr>
        <w:keepNext/>
        <w:numPr>
          <w:ilvl w:val="0"/>
          <w:numId w:val="1"/>
        </w:numPr>
        <w:tabs>
          <w:tab w:val="clear" w:pos="720"/>
        </w:tabs>
        <w:spacing w:after="120"/>
        <w:ind w:left="709" w:hanging="709"/>
        <w:rPr>
          <w:rFonts w:ascii="Arial" w:hAnsi="Arial" w:cs="Arial"/>
          <w:sz w:val="22"/>
          <w:szCs w:val="22"/>
        </w:rPr>
      </w:pPr>
      <w:r w:rsidRPr="009A6BA0">
        <w:rPr>
          <w:rFonts w:ascii="Arial" w:hAnsi="Arial" w:cs="Arial"/>
          <w:sz w:val="22"/>
          <w:szCs w:val="22"/>
        </w:rPr>
        <w:t xml:space="preserve">The </w:t>
      </w:r>
      <w:r w:rsidR="00363865" w:rsidRPr="009A6BA0">
        <w:rPr>
          <w:rFonts w:ascii="Arial" w:hAnsi="Arial" w:cs="Arial"/>
          <w:sz w:val="22"/>
          <w:szCs w:val="22"/>
        </w:rPr>
        <w:t xml:space="preserve">Intermediary </w:t>
      </w:r>
      <w:r w:rsidRPr="009A6BA0">
        <w:rPr>
          <w:rFonts w:ascii="Arial" w:hAnsi="Arial" w:cs="Arial"/>
          <w:sz w:val="22"/>
          <w:szCs w:val="22"/>
        </w:rPr>
        <w:t xml:space="preserve">LRBA </w:t>
      </w:r>
      <w:r w:rsidR="00444211" w:rsidRPr="009A6BA0">
        <w:rPr>
          <w:rFonts w:ascii="Arial" w:hAnsi="Arial" w:cs="Arial"/>
          <w:sz w:val="22"/>
          <w:szCs w:val="22"/>
        </w:rPr>
        <w:t>is defined as</w:t>
      </w:r>
      <w:r w:rsidRPr="009A6BA0">
        <w:rPr>
          <w:rFonts w:ascii="Arial" w:hAnsi="Arial" w:cs="Arial"/>
          <w:sz w:val="22"/>
          <w:szCs w:val="22"/>
        </w:rPr>
        <w:t xml:space="preserve"> an arrangement, </w:t>
      </w:r>
      <w:proofErr w:type="gramStart"/>
      <w:r w:rsidRPr="009A6BA0">
        <w:rPr>
          <w:rFonts w:ascii="Arial" w:hAnsi="Arial" w:cs="Arial"/>
          <w:sz w:val="22"/>
          <w:szCs w:val="22"/>
        </w:rPr>
        <w:t>entered into</w:t>
      </w:r>
      <w:proofErr w:type="gramEnd"/>
      <w:r w:rsidRPr="009A6BA0">
        <w:rPr>
          <w:rFonts w:ascii="Arial" w:hAnsi="Arial" w:cs="Arial"/>
          <w:sz w:val="22"/>
          <w:szCs w:val="22"/>
        </w:rPr>
        <w:t xml:space="preserve"> by the parties </w:t>
      </w:r>
      <w:r w:rsidR="00363865" w:rsidRPr="009A6BA0">
        <w:rPr>
          <w:rFonts w:ascii="Arial" w:hAnsi="Arial" w:cs="Arial"/>
          <w:sz w:val="22"/>
          <w:szCs w:val="22"/>
        </w:rPr>
        <w:t>which meets the following requirements</w:t>
      </w:r>
      <w:r w:rsidRPr="009A6BA0">
        <w:rPr>
          <w:rFonts w:ascii="Arial" w:hAnsi="Arial" w:cs="Arial"/>
          <w:sz w:val="22"/>
          <w:szCs w:val="22"/>
        </w:rPr>
        <w:t>:</w:t>
      </w:r>
    </w:p>
    <w:p w14:paraId="38F4437D" w14:textId="77777777" w:rsidR="00AD574C" w:rsidRPr="009A6BA0" w:rsidRDefault="008B3060" w:rsidP="00777787">
      <w:pPr>
        <w:numPr>
          <w:ilvl w:val="0"/>
          <w:numId w:val="18"/>
        </w:numPr>
        <w:spacing w:after="120"/>
        <w:ind w:left="1418" w:hanging="709"/>
        <w:rPr>
          <w:rFonts w:ascii="Arial" w:hAnsi="Arial" w:cs="Arial"/>
          <w:sz w:val="22"/>
          <w:szCs w:val="22"/>
        </w:rPr>
      </w:pPr>
      <w:r w:rsidRPr="009A6BA0">
        <w:rPr>
          <w:rFonts w:ascii="Arial" w:hAnsi="Arial" w:cs="Arial"/>
          <w:sz w:val="22"/>
          <w:szCs w:val="22"/>
        </w:rPr>
        <w:t xml:space="preserve">a holding trust is established with members of a </w:t>
      </w:r>
      <w:r w:rsidR="00B52494" w:rsidRPr="009A6BA0">
        <w:rPr>
          <w:rFonts w:ascii="Arial" w:hAnsi="Arial" w:cs="Arial"/>
          <w:sz w:val="22"/>
          <w:szCs w:val="22"/>
        </w:rPr>
        <w:t>fund</w:t>
      </w:r>
      <w:r w:rsidRPr="009A6BA0">
        <w:rPr>
          <w:rFonts w:ascii="Arial" w:hAnsi="Arial" w:cs="Arial"/>
          <w:sz w:val="22"/>
          <w:szCs w:val="22"/>
        </w:rPr>
        <w:t xml:space="preserve"> being the only</w:t>
      </w:r>
      <w:r w:rsidR="00363865" w:rsidRPr="009A6BA0">
        <w:rPr>
          <w:rFonts w:ascii="Arial" w:hAnsi="Arial" w:cs="Arial"/>
          <w:sz w:val="22"/>
          <w:szCs w:val="22"/>
        </w:rPr>
        <w:t xml:space="preserve"> trustees or</w:t>
      </w:r>
      <w:r w:rsidRPr="009A6BA0">
        <w:rPr>
          <w:rFonts w:ascii="Arial" w:hAnsi="Arial" w:cs="Arial"/>
          <w:sz w:val="22"/>
          <w:szCs w:val="22"/>
        </w:rPr>
        <w:t xml:space="preserve"> shareholders and directors of the</w:t>
      </w:r>
      <w:r w:rsidR="00363865" w:rsidRPr="009A6BA0">
        <w:rPr>
          <w:rFonts w:ascii="Arial" w:hAnsi="Arial" w:cs="Arial"/>
          <w:sz w:val="22"/>
          <w:szCs w:val="22"/>
        </w:rPr>
        <w:t xml:space="preserve"> corporate trustee</w:t>
      </w:r>
      <w:r w:rsidRPr="009A6BA0">
        <w:rPr>
          <w:rFonts w:ascii="Arial" w:hAnsi="Arial" w:cs="Arial"/>
          <w:sz w:val="22"/>
          <w:szCs w:val="22"/>
        </w:rPr>
        <w:t xml:space="preserve"> </w:t>
      </w:r>
      <w:r w:rsidR="00363865" w:rsidRPr="009A6BA0">
        <w:rPr>
          <w:rFonts w:ascii="Arial" w:hAnsi="Arial" w:cs="Arial"/>
          <w:sz w:val="22"/>
          <w:szCs w:val="22"/>
        </w:rPr>
        <w:t>(</w:t>
      </w:r>
      <w:r w:rsidRPr="009A6BA0">
        <w:rPr>
          <w:rFonts w:ascii="Arial" w:hAnsi="Arial" w:cs="Arial"/>
          <w:sz w:val="22"/>
          <w:szCs w:val="22"/>
        </w:rPr>
        <w:t>Holding Trustee</w:t>
      </w:r>
      <w:r w:rsidR="00363865" w:rsidRPr="009A6BA0">
        <w:rPr>
          <w:rFonts w:ascii="Arial" w:hAnsi="Arial" w:cs="Arial"/>
          <w:sz w:val="22"/>
          <w:szCs w:val="22"/>
        </w:rPr>
        <w:t>)</w:t>
      </w:r>
      <w:r w:rsidRPr="009A6BA0">
        <w:rPr>
          <w:rFonts w:ascii="Arial" w:hAnsi="Arial" w:cs="Arial"/>
          <w:sz w:val="22"/>
          <w:szCs w:val="22"/>
        </w:rPr>
        <w:t>;</w:t>
      </w:r>
    </w:p>
    <w:p w14:paraId="0DCDDDA4" w14:textId="77777777" w:rsidR="00AD574C" w:rsidRPr="009A6BA0" w:rsidRDefault="008B3060" w:rsidP="00777787">
      <w:pPr>
        <w:numPr>
          <w:ilvl w:val="0"/>
          <w:numId w:val="18"/>
        </w:numPr>
        <w:spacing w:after="120"/>
        <w:ind w:left="1418" w:hanging="709"/>
        <w:rPr>
          <w:rFonts w:ascii="Arial" w:hAnsi="Arial" w:cs="Arial"/>
          <w:sz w:val="22"/>
          <w:szCs w:val="22"/>
        </w:rPr>
      </w:pPr>
      <w:r w:rsidRPr="009A6BA0">
        <w:rPr>
          <w:rFonts w:ascii="Arial" w:hAnsi="Arial" w:cs="Arial"/>
          <w:sz w:val="22"/>
          <w:szCs w:val="22"/>
        </w:rPr>
        <w:t xml:space="preserve">the trustee of the </w:t>
      </w:r>
      <w:r w:rsidR="00B52494" w:rsidRPr="009A6BA0">
        <w:rPr>
          <w:rFonts w:ascii="Arial" w:hAnsi="Arial" w:cs="Arial"/>
          <w:sz w:val="22"/>
          <w:szCs w:val="22"/>
        </w:rPr>
        <w:t>fund</w:t>
      </w:r>
      <w:r w:rsidRPr="009A6BA0">
        <w:rPr>
          <w:rFonts w:ascii="Arial" w:hAnsi="Arial" w:cs="Arial"/>
          <w:sz w:val="22"/>
          <w:szCs w:val="22"/>
        </w:rPr>
        <w:t xml:space="preserve"> is a beneficiary of the holding trust;</w:t>
      </w:r>
    </w:p>
    <w:p w14:paraId="2DBC9E24" w14:textId="77777777" w:rsidR="00AD574C" w:rsidRPr="009A6BA0" w:rsidRDefault="008B3060" w:rsidP="00777787">
      <w:pPr>
        <w:numPr>
          <w:ilvl w:val="0"/>
          <w:numId w:val="18"/>
        </w:numPr>
        <w:spacing w:after="120"/>
        <w:ind w:left="1418" w:hanging="709"/>
        <w:rPr>
          <w:rFonts w:ascii="Arial" w:hAnsi="Arial" w:cs="Arial"/>
          <w:sz w:val="22"/>
          <w:szCs w:val="22"/>
        </w:rPr>
      </w:pPr>
      <w:r w:rsidRPr="009A6BA0">
        <w:rPr>
          <w:rFonts w:ascii="Arial" w:hAnsi="Arial" w:cs="Arial"/>
          <w:sz w:val="22"/>
          <w:szCs w:val="22"/>
        </w:rPr>
        <w:t xml:space="preserve">the Holding Trustee </w:t>
      </w:r>
      <w:r w:rsidR="00ED0CDC" w:rsidRPr="009A6BA0">
        <w:rPr>
          <w:rFonts w:ascii="Arial" w:hAnsi="Arial" w:cs="Arial"/>
          <w:sz w:val="22"/>
          <w:szCs w:val="22"/>
        </w:rPr>
        <w:t xml:space="preserve">holds </w:t>
      </w:r>
      <w:r w:rsidRPr="009A6BA0">
        <w:rPr>
          <w:rFonts w:ascii="Arial" w:hAnsi="Arial" w:cs="Arial"/>
          <w:sz w:val="22"/>
          <w:szCs w:val="22"/>
        </w:rPr>
        <w:t xml:space="preserve">an </w:t>
      </w:r>
      <w:r w:rsidR="00961536" w:rsidRPr="009A6BA0">
        <w:rPr>
          <w:rFonts w:ascii="Arial" w:hAnsi="Arial" w:cs="Arial"/>
          <w:sz w:val="22"/>
          <w:szCs w:val="22"/>
        </w:rPr>
        <w:t xml:space="preserve">acquirable </w:t>
      </w:r>
      <w:r w:rsidRPr="009A6BA0">
        <w:rPr>
          <w:rFonts w:ascii="Arial" w:hAnsi="Arial" w:cs="Arial"/>
          <w:sz w:val="22"/>
          <w:szCs w:val="22"/>
        </w:rPr>
        <w:t xml:space="preserve">asset (Asset) on trust for the trustee of the </w:t>
      </w:r>
      <w:r w:rsidR="00B52494" w:rsidRPr="009A6BA0">
        <w:rPr>
          <w:rFonts w:ascii="Arial" w:hAnsi="Arial" w:cs="Arial"/>
          <w:sz w:val="22"/>
          <w:szCs w:val="22"/>
        </w:rPr>
        <w:t>fund</w:t>
      </w:r>
      <w:r w:rsidRPr="009A6BA0">
        <w:rPr>
          <w:rFonts w:ascii="Arial" w:hAnsi="Arial" w:cs="Arial"/>
          <w:sz w:val="22"/>
          <w:szCs w:val="22"/>
        </w:rPr>
        <w:t>, who is beneficially entitled to the Asset;</w:t>
      </w:r>
    </w:p>
    <w:p w14:paraId="380BA272" w14:textId="77777777" w:rsidR="008B3060" w:rsidRPr="009A6BA0" w:rsidRDefault="008B3060" w:rsidP="00777787">
      <w:pPr>
        <w:numPr>
          <w:ilvl w:val="0"/>
          <w:numId w:val="18"/>
        </w:numPr>
        <w:spacing w:after="120"/>
        <w:ind w:left="1418" w:hanging="709"/>
        <w:rPr>
          <w:rFonts w:ascii="Arial" w:hAnsi="Arial" w:cs="Arial"/>
          <w:sz w:val="22"/>
          <w:szCs w:val="22"/>
        </w:rPr>
      </w:pPr>
      <w:r w:rsidRPr="009A6BA0">
        <w:rPr>
          <w:rFonts w:ascii="Arial" w:hAnsi="Arial" w:cs="Arial"/>
          <w:sz w:val="22"/>
          <w:szCs w:val="22"/>
        </w:rPr>
        <w:t>the Asset is a single acquirable asset (as referred to in subsection 67</w:t>
      </w:r>
      <w:proofErr w:type="gramStart"/>
      <w:r w:rsidRPr="009A6BA0">
        <w:rPr>
          <w:rFonts w:ascii="Arial" w:hAnsi="Arial" w:cs="Arial"/>
          <w:sz w:val="22"/>
          <w:szCs w:val="22"/>
        </w:rPr>
        <w:t>A(</w:t>
      </w:r>
      <w:proofErr w:type="gramEnd"/>
      <w:r w:rsidRPr="009A6BA0">
        <w:rPr>
          <w:rFonts w:ascii="Arial" w:hAnsi="Arial" w:cs="Arial"/>
          <w:sz w:val="22"/>
          <w:szCs w:val="22"/>
        </w:rPr>
        <w:t xml:space="preserve">1)) that the trustee of the </w:t>
      </w:r>
      <w:r w:rsidR="00B52494" w:rsidRPr="009A6BA0">
        <w:rPr>
          <w:rFonts w:ascii="Arial" w:hAnsi="Arial" w:cs="Arial"/>
          <w:sz w:val="22"/>
          <w:szCs w:val="22"/>
        </w:rPr>
        <w:t>fund</w:t>
      </w:r>
      <w:r w:rsidRPr="009A6BA0">
        <w:rPr>
          <w:rFonts w:ascii="Arial" w:hAnsi="Arial" w:cs="Arial"/>
          <w:sz w:val="22"/>
          <w:szCs w:val="22"/>
        </w:rPr>
        <w:t xml:space="preserve"> is allowed to acquire under the SIS</w:t>
      </w:r>
      <w:r w:rsidR="004576BB" w:rsidRPr="009A6BA0">
        <w:rPr>
          <w:rFonts w:ascii="Arial" w:hAnsi="Arial" w:cs="Arial"/>
          <w:sz w:val="22"/>
          <w:szCs w:val="22"/>
        </w:rPr>
        <w:t>A</w:t>
      </w:r>
      <w:r w:rsidRPr="009A6BA0">
        <w:rPr>
          <w:rFonts w:ascii="Arial" w:hAnsi="Arial" w:cs="Arial"/>
          <w:sz w:val="22"/>
          <w:szCs w:val="22"/>
        </w:rPr>
        <w:t>;</w:t>
      </w:r>
    </w:p>
    <w:p w14:paraId="3163C150" w14:textId="77777777" w:rsidR="008B3060" w:rsidRPr="009A6BA0" w:rsidRDefault="008B3060" w:rsidP="00777787">
      <w:pPr>
        <w:numPr>
          <w:ilvl w:val="0"/>
          <w:numId w:val="18"/>
        </w:numPr>
        <w:spacing w:after="120"/>
        <w:ind w:left="1418" w:hanging="709"/>
        <w:rPr>
          <w:rFonts w:ascii="Arial" w:hAnsi="Arial" w:cs="Arial"/>
          <w:sz w:val="22"/>
          <w:szCs w:val="22"/>
        </w:rPr>
      </w:pPr>
      <w:r w:rsidRPr="009A6BA0">
        <w:rPr>
          <w:rFonts w:ascii="Arial" w:hAnsi="Arial" w:cs="Arial"/>
          <w:sz w:val="22"/>
          <w:szCs w:val="22"/>
        </w:rPr>
        <w:t xml:space="preserve">the Holding Trustee </w:t>
      </w:r>
      <w:proofErr w:type="gramStart"/>
      <w:r w:rsidRPr="009A6BA0">
        <w:rPr>
          <w:rFonts w:ascii="Arial" w:hAnsi="Arial" w:cs="Arial"/>
          <w:sz w:val="22"/>
          <w:szCs w:val="22"/>
        </w:rPr>
        <w:t>enters into</w:t>
      </w:r>
      <w:proofErr w:type="gramEnd"/>
      <w:r w:rsidRPr="009A6BA0">
        <w:rPr>
          <w:rFonts w:ascii="Arial" w:hAnsi="Arial" w:cs="Arial"/>
          <w:sz w:val="22"/>
          <w:szCs w:val="22"/>
        </w:rPr>
        <w:t xml:space="preserve"> a borrowing as principal with a lender with the borrowing secured by a mortgage over the Asset;</w:t>
      </w:r>
    </w:p>
    <w:p w14:paraId="5AFBE1FE" w14:textId="77777777" w:rsidR="006B5A7B" w:rsidRPr="009A6BA0" w:rsidRDefault="004576BB" w:rsidP="00777787">
      <w:pPr>
        <w:numPr>
          <w:ilvl w:val="0"/>
          <w:numId w:val="18"/>
        </w:numPr>
        <w:spacing w:after="120"/>
        <w:ind w:left="1418" w:hanging="709"/>
        <w:rPr>
          <w:rFonts w:ascii="Arial" w:hAnsi="Arial" w:cs="Arial"/>
          <w:sz w:val="22"/>
          <w:szCs w:val="22"/>
        </w:rPr>
      </w:pPr>
      <w:r w:rsidRPr="009A6BA0">
        <w:rPr>
          <w:rFonts w:ascii="Arial" w:hAnsi="Arial" w:cs="Arial"/>
          <w:sz w:val="22"/>
          <w:szCs w:val="22"/>
        </w:rPr>
        <w:t>the contract or deed of borrowing, referred to in paragraph (</w:t>
      </w:r>
      <w:r w:rsidR="00545778">
        <w:rPr>
          <w:rFonts w:ascii="Arial" w:hAnsi="Arial" w:cs="Arial"/>
          <w:sz w:val="22"/>
          <w:szCs w:val="22"/>
        </w:rPr>
        <w:t>5</w:t>
      </w:r>
      <w:r w:rsidRPr="009A6BA0">
        <w:rPr>
          <w:rFonts w:ascii="Arial" w:hAnsi="Arial" w:cs="Arial"/>
          <w:sz w:val="22"/>
          <w:szCs w:val="22"/>
        </w:rPr>
        <w:t xml:space="preserve">), between the Holding Trustee and the lender </w:t>
      </w:r>
      <w:r w:rsidR="00DB50D3">
        <w:rPr>
          <w:rFonts w:ascii="Arial" w:hAnsi="Arial" w:cs="Arial"/>
          <w:sz w:val="22"/>
          <w:szCs w:val="22"/>
        </w:rPr>
        <w:t>may</w:t>
      </w:r>
      <w:r w:rsidR="00DB50D3" w:rsidRPr="009A6BA0">
        <w:rPr>
          <w:rFonts w:ascii="Arial" w:hAnsi="Arial" w:cs="Arial"/>
          <w:sz w:val="22"/>
          <w:szCs w:val="22"/>
        </w:rPr>
        <w:t xml:space="preserve"> </w:t>
      </w:r>
      <w:r w:rsidRPr="009A6BA0">
        <w:rPr>
          <w:rFonts w:ascii="Arial" w:hAnsi="Arial" w:cs="Arial"/>
          <w:sz w:val="22"/>
          <w:szCs w:val="22"/>
        </w:rPr>
        <w:t>not limit the lenders right of recourse</w:t>
      </w:r>
      <w:r w:rsidR="00A25D02" w:rsidRPr="009A6BA0">
        <w:rPr>
          <w:rFonts w:ascii="Arial" w:hAnsi="Arial" w:cs="Arial"/>
          <w:sz w:val="22"/>
          <w:szCs w:val="22"/>
        </w:rPr>
        <w:t>, under the contract or deed,</w:t>
      </w:r>
      <w:r w:rsidRPr="009A6BA0">
        <w:rPr>
          <w:rFonts w:ascii="Arial" w:hAnsi="Arial" w:cs="Arial"/>
          <w:sz w:val="22"/>
          <w:szCs w:val="22"/>
        </w:rPr>
        <w:t xml:space="preserve"> </w:t>
      </w:r>
      <w:r w:rsidR="00CC1B7C" w:rsidRPr="009A6BA0">
        <w:rPr>
          <w:rFonts w:ascii="Arial" w:hAnsi="Arial" w:cs="Arial"/>
          <w:sz w:val="22"/>
          <w:szCs w:val="22"/>
        </w:rPr>
        <w:t>to only the Asset</w:t>
      </w:r>
      <w:r w:rsidR="00363865" w:rsidRPr="009A6BA0">
        <w:rPr>
          <w:rFonts w:ascii="Arial" w:hAnsi="Arial" w:cs="Arial"/>
          <w:sz w:val="22"/>
          <w:szCs w:val="22"/>
        </w:rPr>
        <w:t xml:space="preserve"> in the event of default</w:t>
      </w:r>
      <w:r w:rsidR="00CC1B7C" w:rsidRPr="009A6BA0">
        <w:rPr>
          <w:rFonts w:ascii="Arial" w:hAnsi="Arial" w:cs="Arial"/>
          <w:sz w:val="22"/>
          <w:szCs w:val="22"/>
        </w:rPr>
        <w:t>.</w:t>
      </w:r>
    </w:p>
    <w:p w14:paraId="0C19B581" w14:textId="77777777" w:rsidR="008B3060" w:rsidRPr="009A6BA0" w:rsidRDefault="006B5A7B" w:rsidP="00777787">
      <w:pPr>
        <w:numPr>
          <w:ilvl w:val="0"/>
          <w:numId w:val="18"/>
        </w:numPr>
        <w:spacing w:after="120"/>
        <w:ind w:left="1418" w:hanging="709"/>
        <w:rPr>
          <w:rFonts w:ascii="Arial" w:hAnsi="Arial" w:cs="Arial"/>
          <w:sz w:val="22"/>
          <w:szCs w:val="22"/>
        </w:rPr>
      </w:pPr>
      <w:r w:rsidRPr="009A6BA0">
        <w:rPr>
          <w:rFonts w:ascii="Arial" w:hAnsi="Arial" w:cs="Arial"/>
          <w:sz w:val="22"/>
          <w:szCs w:val="22"/>
        </w:rPr>
        <w:t xml:space="preserve">the </w:t>
      </w:r>
      <w:r w:rsidR="00363865" w:rsidRPr="009A6BA0">
        <w:rPr>
          <w:rFonts w:ascii="Arial" w:hAnsi="Arial" w:cs="Arial"/>
          <w:sz w:val="22"/>
          <w:szCs w:val="22"/>
        </w:rPr>
        <w:t>lender</w:t>
      </w:r>
      <w:r w:rsidRPr="009A6BA0">
        <w:rPr>
          <w:rFonts w:ascii="Arial" w:hAnsi="Arial" w:cs="Arial"/>
          <w:sz w:val="22"/>
          <w:szCs w:val="22"/>
        </w:rPr>
        <w:t xml:space="preserve"> may require that </w:t>
      </w:r>
      <w:r w:rsidR="004576BB" w:rsidRPr="009A6BA0">
        <w:rPr>
          <w:rFonts w:ascii="Arial" w:hAnsi="Arial" w:cs="Arial"/>
          <w:sz w:val="22"/>
          <w:szCs w:val="22"/>
        </w:rPr>
        <w:t>personal guarantees</w:t>
      </w:r>
      <w:r w:rsidRPr="009A6BA0">
        <w:rPr>
          <w:rFonts w:ascii="Arial" w:hAnsi="Arial" w:cs="Arial"/>
          <w:sz w:val="22"/>
          <w:szCs w:val="22"/>
        </w:rPr>
        <w:t xml:space="preserve"> are</w:t>
      </w:r>
      <w:r w:rsidR="004576BB" w:rsidRPr="009A6BA0">
        <w:rPr>
          <w:rFonts w:ascii="Arial" w:hAnsi="Arial" w:cs="Arial"/>
          <w:sz w:val="22"/>
          <w:szCs w:val="22"/>
        </w:rPr>
        <w:t xml:space="preserve"> given</w:t>
      </w:r>
      <w:r w:rsidRPr="009A6BA0">
        <w:rPr>
          <w:rFonts w:ascii="Arial" w:hAnsi="Arial" w:cs="Arial"/>
          <w:sz w:val="22"/>
          <w:szCs w:val="22"/>
        </w:rPr>
        <w:t xml:space="preserve"> </w:t>
      </w:r>
      <w:r w:rsidR="00363865" w:rsidRPr="009A6BA0">
        <w:rPr>
          <w:rFonts w:ascii="Arial" w:hAnsi="Arial" w:cs="Arial"/>
          <w:sz w:val="22"/>
          <w:szCs w:val="22"/>
        </w:rPr>
        <w:t>as part of the Intermediary LRBA</w:t>
      </w:r>
      <w:r w:rsidR="004576BB" w:rsidRPr="009A6BA0">
        <w:rPr>
          <w:rFonts w:ascii="Arial" w:hAnsi="Arial" w:cs="Arial"/>
          <w:sz w:val="22"/>
          <w:szCs w:val="22"/>
        </w:rPr>
        <w:t>;</w:t>
      </w:r>
    </w:p>
    <w:p w14:paraId="5154BC60" w14:textId="77777777" w:rsidR="008B3060" w:rsidRPr="009A6BA0" w:rsidRDefault="00363865" w:rsidP="0002461F">
      <w:pPr>
        <w:keepNext/>
        <w:numPr>
          <w:ilvl w:val="0"/>
          <w:numId w:val="18"/>
        </w:numPr>
        <w:spacing w:after="120"/>
        <w:ind w:left="1418" w:hanging="709"/>
        <w:rPr>
          <w:rFonts w:ascii="Arial" w:hAnsi="Arial" w:cs="Arial"/>
          <w:sz w:val="22"/>
          <w:szCs w:val="22"/>
        </w:rPr>
      </w:pPr>
      <w:r w:rsidRPr="009A6BA0">
        <w:rPr>
          <w:rFonts w:ascii="Arial" w:hAnsi="Arial" w:cs="Arial"/>
          <w:sz w:val="22"/>
          <w:szCs w:val="22"/>
        </w:rPr>
        <w:t>the arrangement is established by a</w:t>
      </w:r>
      <w:r w:rsidR="00CD2663" w:rsidRPr="009A6BA0">
        <w:rPr>
          <w:rFonts w:ascii="Arial" w:hAnsi="Arial" w:cs="Arial"/>
          <w:sz w:val="22"/>
          <w:szCs w:val="22"/>
        </w:rPr>
        <w:t xml:space="preserve"> legally binding</w:t>
      </w:r>
      <w:r w:rsidRPr="009A6BA0">
        <w:rPr>
          <w:rFonts w:ascii="Arial" w:hAnsi="Arial" w:cs="Arial"/>
          <w:sz w:val="22"/>
          <w:szCs w:val="22"/>
        </w:rPr>
        <w:t xml:space="preserve"> deed</w:t>
      </w:r>
      <w:r w:rsidR="002D3026" w:rsidRPr="009A6BA0">
        <w:rPr>
          <w:rFonts w:ascii="Arial" w:hAnsi="Arial" w:cs="Arial"/>
          <w:sz w:val="22"/>
          <w:szCs w:val="22"/>
        </w:rPr>
        <w:t>(s)</w:t>
      </w:r>
      <w:r w:rsidRPr="009A6BA0">
        <w:rPr>
          <w:rFonts w:ascii="Arial" w:hAnsi="Arial" w:cs="Arial"/>
          <w:sz w:val="22"/>
          <w:szCs w:val="22"/>
        </w:rPr>
        <w:t xml:space="preserve"> under which </w:t>
      </w:r>
      <w:r w:rsidR="008B3060" w:rsidRPr="009A6BA0">
        <w:rPr>
          <w:rFonts w:ascii="Arial" w:hAnsi="Arial" w:cs="Arial"/>
          <w:sz w:val="22"/>
          <w:szCs w:val="22"/>
        </w:rPr>
        <w:t xml:space="preserve">the trustee of the </w:t>
      </w:r>
      <w:r w:rsidR="00B52494" w:rsidRPr="009A6BA0">
        <w:rPr>
          <w:rFonts w:ascii="Arial" w:hAnsi="Arial" w:cs="Arial"/>
          <w:sz w:val="22"/>
          <w:szCs w:val="22"/>
        </w:rPr>
        <w:t>fund</w:t>
      </w:r>
      <w:r w:rsidR="008B3060" w:rsidRPr="009A6BA0">
        <w:rPr>
          <w:rFonts w:ascii="Arial" w:hAnsi="Arial" w:cs="Arial"/>
          <w:sz w:val="22"/>
          <w:szCs w:val="22"/>
        </w:rPr>
        <w:t xml:space="preserve"> and the Holding trustee agree for:</w:t>
      </w:r>
    </w:p>
    <w:p w14:paraId="3ACB96A7" w14:textId="77777777" w:rsidR="008B3060" w:rsidRPr="009A6BA0" w:rsidRDefault="008B3060" w:rsidP="00777787">
      <w:pPr>
        <w:numPr>
          <w:ilvl w:val="1"/>
          <w:numId w:val="18"/>
        </w:numPr>
        <w:spacing w:after="120"/>
        <w:ind w:left="2127" w:hanging="709"/>
        <w:rPr>
          <w:rFonts w:ascii="Arial" w:hAnsi="Arial" w:cs="Arial"/>
          <w:sz w:val="22"/>
          <w:szCs w:val="22"/>
        </w:rPr>
      </w:pPr>
      <w:r w:rsidRPr="009A6BA0">
        <w:rPr>
          <w:rFonts w:ascii="Arial" w:hAnsi="Arial" w:cs="Arial"/>
          <w:sz w:val="22"/>
          <w:szCs w:val="22"/>
        </w:rPr>
        <w:t xml:space="preserve">the trustee of the </w:t>
      </w:r>
      <w:r w:rsidR="00B52494" w:rsidRPr="009A6BA0">
        <w:rPr>
          <w:rFonts w:ascii="Arial" w:hAnsi="Arial" w:cs="Arial"/>
          <w:sz w:val="22"/>
          <w:szCs w:val="22"/>
        </w:rPr>
        <w:t>fund</w:t>
      </w:r>
      <w:r w:rsidRPr="009A6BA0">
        <w:rPr>
          <w:rFonts w:ascii="Arial" w:hAnsi="Arial" w:cs="Arial"/>
          <w:sz w:val="22"/>
          <w:szCs w:val="22"/>
        </w:rPr>
        <w:t xml:space="preserve"> to maintain </w:t>
      </w:r>
      <w:r w:rsidR="004576BB" w:rsidRPr="009A6BA0">
        <w:rPr>
          <w:rFonts w:ascii="Arial" w:hAnsi="Arial" w:cs="Arial"/>
          <w:sz w:val="22"/>
          <w:szCs w:val="22"/>
        </w:rPr>
        <w:t>all</w:t>
      </w:r>
      <w:r w:rsidRPr="009A6BA0">
        <w:rPr>
          <w:rFonts w:ascii="Arial" w:hAnsi="Arial" w:cs="Arial"/>
          <w:sz w:val="22"/>
          <w:szCs w:val="22"/>
        </w:rPr>
        <w:t xml:space="preserve"> borrowing</w:t>
      </w:r>
      <w:r w:rsidR="004576BB" w:rsidRPr="009A6BA0">
        <w:rPr>
          <w:rFonts w:ascii="Arial" w:hAnsi="Arial" w:cs="Arial"/>
          <w:sz w:val="22"/>
          <w:szCs w:val="22"/>
        </w:rPr>
        <w:t xml:space="preserve"> obligations</w:t>
      </w:r>
      <w:r w:rsidRPr="009A6BA0">
        <w:rPr>
          <w:rFonts w:ascii="Arial" w:hAnsi="Arial" w:cs="Arial"/>
          <w:sz w:val="22"/>
          <w:szCs w:val="22"/>
        </w:rPr>
        <w:t xml:space="preserve"> entered into by the Holding Trustee </w:t>
      </w:r>
      <w:r w:rsidR="003D379A" w:rsidRPr="009A6BA0">
        <w:rPr>
          <w:rFonts w:ascii="Arial" w:hAnsi="Arial" w:cs="Arial"/>
          <w:sz w:val="22"/>
          <w:szCs w:val="22"/>
        </w:rPr>
        <w:t xml:space="preserve">in respect of </w:t>
      </w:r>
      <w:r w:rsidRPr="009A6BA0">
        <w:rPr>
          <w:rFonts w:ascii="Arial" w:hAnsi="Arial" w:cs="Arial"/>
          <w:sz w:val="22"/>
          <w:szCs w:val="22"/>
        </w:rPr>
        <w:t>the borrowing arrangement referred to in paragraph (</w:t>
      </w:r>
      <w:r w:rsidR="00444211" w:rsidRPr="009A6BA0">
        <w:rPr>
          <w:rFonts w:ascii="Arial" w:hAnsi="Arial" w:cs="Arial"/>
          <w:sz w:val="22"/>
          <w:szCs w:val="22"/>
        </w:rPr>
        <w:t>5</w:t>
      </w:r>
      <w:r w:rsidRPr="009A6BA0">
        <w:rPr>
          <w:rFonts w:ascii="Arial" w:hAnsi="Arial" w:cs="Arial"/>
          <w:sz w:val="22"/>
          <w:szCs w:val="22"/>
        </w:rPr>
        <w:t>);</w:t>
      </w:r>
    </w:p>
    <w:p w14:paraId="2F5F4E19" w14:textId="77777777" w:rsidR="004576BB" w:rsidRPr="009A6BA0" w:rsidRDefault="004576BB" w:rsidP="00777787">
      <w:pPr>
        <w:numPr>
          <w:ilvl w:val="1"/>
          <w:numId w:val="18"/>
        </w:numPr>
        <w:spacing w:after="120"/>
        <w:ind w:left="2127" w:hanging="709"/>
        <w:rPr>
          <w:rFonts w:ascii="Arial" w:hAnsi="Arial" w:cs="Arial"/>
          <w:sz w:val="22"/>
          <w:szCs w:val="22"/>
        </w:rPr>
      </w:pPr>
      <w:r w:rsidRPr="009A6BA0">
        <w:rPr>
          <w:rFonts w:ascii="Arial" w:hAnsi="Arial" w:cs="Arial"/>
          <w:sz w:val="22"/>
          <w:szCs w:val="22"/>
        </w:rPr>
        <w:t xml:space="preserve">the trustee of the </w:t>
      </w:r>
      <w:r w:rsidR="00B52494" w:rsidRPr="009A6BA0">
        <w:rPr>
          <w:rFonts w:ascii="Arial" w:hAnsi="Arial" w:cs="Arial"/>
          <w:sz w:val="22"/>
          <w:szCs w:val="22"/>
        </w:rPr>
        <w:t>fund</w:t>
      </w:r>
      <w:r w:rsidRPr="009A6BA0">
        <w:rPr>
          <w:rFonts w:ascii="Arial" w:hAnsi="Arial" w:cs="Arial"/>
          <w:sz w:val="22"/>
          <w:szCs w:val="22"/>
        </w:rPr>
        <w:t xml:space="preserve"> is absolutely entitled to any income derived from the Asset, less fees, costs, charges and expenses incidental to the acquisition, holding or management of the Asset;</w:t>
      </w:r>
    </w:p>
    <w:p w14:paraId="7643EF38" w14:textId="77777777" w:rsidR="008B3060" w:rsidRPr="009A6BA0" w:rsidRDefault="008B3060" w:rsidP="00777787">
      <w:pPr>
        <w:numPr>
          <w:ilvl w:val="1"/>
          <w:numId w:val="18"/>
        </w:numPr>
        <w:spacing w:after="120"/>
        <w:ind w:left="2127" w:hanging="709"/>
        <w:rPr>
          <w:rFonts w:ascii="Arial" w:hAnsi="Arial" w:cs="Arial"/>
          <w:sz w:val="22"/>
          <w:szCs w:val="22"/>
        </w:rPr>
      </w:pPr>
      <w:r w:rsidRPr="009A6BA0">
        <w:rPr>
          <w:rFonts w:ascii="Arial" w:hAnsi="Arial" w:cs="Arial"/>
          <w:sz w:val="22"/>
          <w:szCs w:val="22"/>
        </w:rPr>
        <w:t xml:space="preserve">the trustee of the </w:t>
      </w:r>
      <w:r w:rsidR="00B52494" w:rsidRPr="009A6BA0">
        <w:rPr>
          <w:rFonts w:ascii="Arial" w:hAnsi="Arial" w:cs="Arial"/>
          <w:sz w:val="22"/>
          <w:szCs w:val="22"/>
        </w:rPr>
        <w:t>fund</w:t>
      </w:r>
      <w:r w:rsidRPr="009A6BA0">
        <w:rPr>
          <w:rFonts w:ascii="Arial" w:hAnsi="Arial" w:cs="Arial"/>
          <w:sz w:val="22"/>
          <w:szCs w:val="22"/>
        </w:rPr>
        <w:t xml:space="preserve"> has the right to </w:t>
      </w:r>
      <w:r w:rsidR="00497BC6" w:rsidRPr="009A6BA0">
        <w:rPr>
          <w:rFonts w:ascii="Arial" w:hAnsi="Arial" w:cs="Arial"/>
          <w:sz w:val="22"/>
          <w:szCs w:val="22"/>
        </w:rPr>
        <w:t>acquire</w:t>
      </w:r>
      <w:r w:rsidRPr="009A6BA0">
        <w:rPr>
          <w:rFonts w:ascii="Arial" w:hAnsi="Arial" w:cs="Arial"/>
          <w:sz w:val="22"/>
          <w:szCs w:val="22"/>
        </w:rPr>
        <w:t xml:space="preserve"> the legal title of the Asset on completion of the borrowing referred to in paragraph (</w:t>
      </w:r>
      <w:r w:rsidR="00444211" w:rsidRPr="009A6BA0">
        <w:rPr>
          <w:rFonts w:ascii="Arial" w:hAnsi="Arial" w:cs="Arial"/>
          <w:sz w:val="22"/>
          <w:szCs w:val="22"/>
        </w:rPr>
        <w:t>5</w:t>
      </w:r>
      <w:r w:rsidRPr="009A6BA0">
        <w:rPr>
          <w:rFonts w:ascii="Arial" w:hAnsi="Arial" w:cs="Arial"/>
          <w:sz w:val="22"/>
          <w:szCs w:val="22"/>
        </w:rPr>
        <w:t>);</w:t>
      </w:r>
    </w:p>
    <w:p w14:paraId="273D24E4" w14:textId="77777777" w:rsidR="004576BB" w:rsidRPr="009A6BA0" w:rsidRDefault="004576BB" w:rsidP="00777787">
      <w:pPr>
        <w:numPr>
          <w:ilvl w:val="1"/>
          <w:numId w:val="18"/>
        </w:numPr>
        <w:spacing w:after="120"/>
        <w:ind w:left="2127" w:hanging="709"/>
        <w:rPr>
          <w:rFonts w:ascii="Arial" w:hAnsi="Arial" w:cs="Arial"/>
          <w:sz w:val="22"/>
          <w:szCs w:val="22"/>
        </w:rPr>
      </w:pPr>
      <w:r w:rsidRPr="009A6BA0">
        <w:rPr>
          <w:rFonts w:ascii="Arial" w:hAnsi="Arial" w:cs="Arial"/>
          <w:sz w:val="22"/>
          <w:szCs w:val="22"/>
        </w:rPr>
        <w:t xml:space="preserve">the rights of the Holding Trustee or any Guarantors against the trustee of the </w:t>
      </w:r>
      <w:r w:rsidR="00B52494" w:rsidRPr="009A6BA0">
        <w:rPr>
          <w:rFonts w:ascii="Arial" w:hAnsi="Arial" w:cs="Arial"/>
          <w:sz w:val="22"/>
          <w:szCs w:val="22"/>
        </w:rPr>
        <w:t>fund</w:t>
      </w:r>
      <w:r w:rsidRPr="009A6BA0">
        <w:rPr>
          <w:rFonts w:ascii="Arial" w:hAnsi="Arial" w:cs="Arial"/>
          <w:sz w:val="22"/>
          <w:szCs w:val="22"/>
        </w:rPr>
        <w:t xml:space="preserve"> </w:t>
      </w:r>
      <w:r w:rsidR="007341DF" w:rsidRPr="009A6BA0">
        <w:rPr>
          <w:rFonts w:ascii="Arial" w:hAnsi="Arial" w:cs="Arial"/>
          <w:sz w:val="22"/>
          <w:szCs w:val="22"/>
        </w:rPr>
        <w:t>following the</w:t>
      </w:r>
      <w:r w:rsidRPr="009A6BA0">
        <w:rPr>
          <w:rFonts w:ascii="Arial" w:hAnsi="Arial" w:cs="Arial"/>
          <w:sz w:val="22"/>
          <w:szCs w:val="22"/>
        </w:rPr>
        <w:t xml:space="preserve"> default on the borrowing referred to in paragraph (</w:t>
      </w:r>
      <w:r w:rsidR="00444211" w:rsidRPr="009A6BA0">
        <w:rPr>
          <w:rFonts w:ascii="Arial" w:hAnsi="Arial" w:cs="Arial"/>
          <w:sz w:val="22"/>
          <w:szCs w:val="22"/>
        </w:rPr>
        <w:t>5</w:t>
      </w:r>
      <w:r w:rsidRPr="009A6BA0">
        <w:rPr>
          <w:rFonts w:ascii="Arial" w:hAnsi="Arial" w:cs="Arial"/>
          <w:sz w:val="22"/>
          <w:szCs w:val="22"/>
        </w:rPr>
        <w:t>) is limited to the Asset.</w:t>
      </w:r>
    </w:p>
    <w:p w14:paraId="6FBD07E1" w14:textId="3CC5441A" w:rsidR="008B3060" w:rsidRPr="009A6BA0" w:rsidRDefault="005E136D" w:rsidP="00777787">
      <w:pPr>
        <w:numPr>
          <w:ilvl w:val="0"/>
          <w:numId w:val="18"/>
        </w:numPr>
        <w:spacing w:after="120"/>
        <w:ind w:left="1418" w:hanging="709"/>
        <w:rPr>
          <w:rFonts w:ascii="Arial" w:hAnsi="Arial" w:cs="Arial"/>
          <w:sz w:val="22"/>
          <w:szCs w:val="22"/>
        </w:rPr>
      </w:pPr>
      <w:r>
        <w:rPr>
          <w:rFonts w:ascii="Segoe UI" w:hAnsi="Segoe UI" w:cs="Segoe UI"/>
          <w:color w:val="000000"/>
          <w:sz w:val="21"/>
          <w:szCs w:val="21"/>
        </w:rPr>
        <w:t>the documentation referred to in paragraph (8) in connection to the borrowing referred to in paragraph (5), is disclosed to the lender at the time of the borrowing</w:t>
      </w:r>
    </w:p>
    <w:p w14:paraId="41E446C3" w14:textId="77777777" w:rsidR="000102A5" w:rsidRPr="009A6BA0" w:rsidRDefault="000102A5" w:rsidP="009A6BA0">
      <w:pPr>
        <w:spacing w:after="120"/>
        <w:rPr>
          <w:rFonts w:ascii="Arial" w:hAnsi="Arial" w:cs="Arial"/>
          <w:sz w:val="22"/>
          <w:szCs w:val="22"/>
        </w:rPr>
      </w:pPr>
    </w:p>
    <w:p w14:paraId="6D7B82C6" w14:textId="77777777" w:rsidR="00486653" w:rsidRPr="009A6BA0" w:rsidRDefault="00AD574C" w:rsidP="009A6BA0">
      <w:pPr>
        <w:pStyle w:val="Heading2"/>
        <w:rPr>
          <w:rFonts w:cs="Arial"/>
          <w:szCs w:val="22"/>
        </w:rPr>
      </w:pPr>
      <w:r w:rsidRPr="009A6BA0">
        <w:rPr>
          <w:rFonts w:cs="Arial"/>
          <w:szCs w:val="22"/>
        </w:rPr>
        <w:t>Consultation</w:t>
      </w:r>
    </w:p>
    <w:p w14:paraId="3654E143" w14:textId="548261D9" w:rsidR="00AD574C" w:rsidRDefault="00882756" w:rsidP="009A6BA0">
      <w:pPr>
        <w:numPr>
          <w:ilvl w:val="0"/>
          <w:numId w:val="1"/>
        </w:numPr>
        <w:tabs>
          <w:tab w:val="clear" w:pos="720"/>
        </w:tabs>
        <w:spacing w:after="120"/>
        <w:ind w:left="709" w:hanging="709"/>
        <w:rPr>
          <w:rFonts w:ascii="Arial" w:hAnsi="Arial" w:cs="Arial"/>
          <w:sz w:val="22"/>
          <w:szCs w:val="22"/>
        </w:rPr>
      </w:pPr>
      <w:r w:rsidRPr="00882756">
        <w:rPr>
          <w:rFonts w:ascii="Arial" w:hAnsi="Arial" w:cs="Arial"/>
          <w:color w:val="000000"/>
          <w:sz w:val="22"/>
          <w:szCs w:val="22"/>
        </w:rPr>
        <w:t xml:space="preserve">Subsection 17(1) of the </w:t>
      </w:r>
      <w:r w:rsidRPr="00356C95">
        <w:rPr>
          <w:rFonts w:ascii="Arial" w:hAnsi="Arial" w:cs="Arial"/>
          <w:i/>
          <w:color w:val="000000"/>
          <w:sz w:val="22"/>
          <w:szCs w:val="22"/>
        </w:rPr>
        <w:t>Legislation Act 2003</w:t>
      </w:r>
      <w:r w:rsidRPr="00882756">
        <w:rPr>
          <w:rFonts w:ascii="Arial" w:hAnsi="Arial" w:cs="Arial"/>
          <w:color w:val="000000"/>
          <w:sz w:val="22"/>
          <w:szCs w:val="22"/>
        </w:rPr>
        <w:t xml:space="preserve"> requires, before the making of a determination, that the Commissioner is satisfied that appropriate and reasonably practicable consultation has been </w:t>
      </w:r>
      <w:proofErr w:type="gramStart"/>
      <w:r w:rsidRPr="00882756">
        <w:rPr>
          <w:rFonts w:ascii="Arial" w:hAnsi="Arial" w:cs="Arial"/>
          <w:color w:val="000000"/>
          <w:sz w:val="22"/>
          <w:szCs w:val="22"/>
        </w:rPr>
        <w:t>undertaken.</w:t>
      </w:r>
      <w:r w:rsidR="00072BB3" w:rsidRPr="009A6BA0">
        <w:rPr>
          <w:rFonts w:ascii="Arial" w:hAnsi="Arial" w:cs="Arial"/>
          <w:sz w:val="22"/>
          <w:szCs w:val="22"/>
        </w:rPr>
        <w:t>.</w:t>
      </w:r>
      <w:proofErr w:type="gramEnd"/>
    </w:p>
    <w:p w14:paraId="5038E588" w14:textId="77777777" w:rsidR="00E45E72" w:rsidRDefault="00882756" w:rsidP="00E45E72">
      <w:pPr>
        <w:numPr>
          <w:ilvl w:val="0"/>
          <w:numId w:val="1"/>
        </w:numPr>
        <w:spacing w:after="120"/>
        <w:rPr>
          <w:rFonts w:ascii="Arial" w:hAnsi="Arial" w:cs="Arial"/>
          <w:sz w:val="22"/>
          <w:szCs w:val="22"/>
        </w:rPr>
      </w:pPr>
      <w:r w:rsidRPr="00882756">
        <w:rPr>
          <w:rFonts w:ascii="Arial" w:hAnsi="Arial" w:cs="Arial"/>
          <w:sz w:val="22"/>
          <w:szCs w:val="22"/>
        </w:rPr>
        <w:t xml:space="preserve">For this determination, broad consultation was undertaken for a period of </w:t>
      </w:r>
      <w:r w:rsidR="00B92BF6">
        <w:rPr>
          <w:rFonts w:ascii="Arial" w:hAnsi="Arial" w:cs="Arial"/>
          <w:sz w:val="22"/>
          <w:szCs w:val="22"/>
        </w:rPr>
        <w:t>4</w:t>
      </w:r>
      <w:r w:rsidRPr="00882756">
        <w:rPr>
          <w:rFonts w:ascii="Arial" w:hAnsi="Arial" w:cs="Arial"/>
          <w:sz w:val="22"/>
          <w:szCs w:val="22"/>
        </w:rPr>
        <w:t xml:space="preserve"> weeks commencing on</w:t>
      </w:r>
      <w:r>
        <w:rPr>
          <w:rFonts w:ascii="Arial" w:hAnsi="Arial" w:cs="Arial"/>
          <w:sz w:val="22"/>
          <w:szCs w:val="22"/>
        </w:rPr>
        <w:t xml:space="preserve"> </w:t>
      </w:r>
      <w:r w:rsidR="00742302">
        <w:rPr>
          <w:rFonts w:ascii="Arial" w:hAnsi="Arial" w:cs="Arial"/>
          <w:sz w:val="22"/>
          <w:szCs w:val="22"/>
        </w:rPr>
        <w:t>10 February 2020</w:t>
      </w:r>
      <w:r w:rsidR="00E45E72">
        <w:rPr>
          <w:rFonts w:ascii="Arial" w:hAnsi="Arial" w:cs="Arial"/>
          <w:sz w:val="22"/>
          <w:szCs w:val="22"/>
        </w:rPr>
        <w:t xml:space="preserve">.  </w:t>
      </w:r>
      <w:r w:rsidR="00E45E72" w:rsidRPr="00882756">
        <w:rPr>
          <w:rFonts w:ascii="Arial" w:hAnsi="Arial" w:cs="Arial"/>
          <w:sz w:val="22"/>
          <w:szCs w:val="22"/>
        </w:rPr>
        <w:t xml:space="preserve">The draft determination and draft explanatory statement were published on the ATO Legal database. </w:t>
      </w:r>
      <w:r w:rsidR="00E45E72" w:rsidRPr="00882756">
        <w:rPr>
          <w:rFonts w:ascii="Arial" w:hAnsi="Arial" w:cs="Arial"/>
          <w:sz w:val="22"/>
          <w:szCs w:val="22"/>
        </w:rPr>
        <w:lastRenderedPageBreak/>
        <w:t>Publication was advertised via the ‘What’s new’ page on that system and via the ‘Open Consultation’ page on ato.gov.au.  Major tax and superannuation publishers and associations monitor these pages and include the details in the daily and weekly Alerts and newsletters to their subscribers and members. This ensures advice of the draft is disseminated widely across the tax professional community, and that they are in an informed position to provide comments and feedback.</w:t>
      </w:r>
    </w:p>
    <w:p w14:paraId="7152A094" w14:textId="28F0954E" w:rsidR="00882756" w:rsidRDefault="00882756" w:rsidP="00356C95">
      <w:pPr>
        <w:spacing w:after="120"/>
        <w:ind w:left="709"/>
        <w:rPr>
          <w:rFonts w:ascii="Arial" w:hAnsi="Arial" w:cs="Arial"/>
          <w:sz w:val="22"/>
          <w:szCs w:val="22"/>
        </w:rPr>
      </w:pPr>
    </w:p>
    <w:p w14:paraId="3510A404" w14:textId="23972D2E" w:rsidR="00B85F38" w:rsidRDefault="00B85F38" w:rsidP="009A6BA0">
      <w:pPr>
        <w:numPr>
          <w:ilvl w:val="0"/>
          <w:numId w:val="1"/>
        </w:numPr>
        <w:tabs>
          <w:tab w:val="clear" w:pos="720"/>
        </w:tabs>
        <w:spacing w:after="120"/>
        <w:ind w:left="709" w:hanging="709"/>
        <w:rPr>
          <w:rFonts w:ascii="Arial" w:hAnsi="Arial" w:cs="Arial"/>
          <w:sz w:val="22"/>
          <w:szCs w:val="22"/>
        </w:rPr>
      </w:pPr>
      <w:r>
        <w:rPr>
          <w:rFonts w:ascii="Arial" w:hAnsi="Arial" w:cs="Arial"/>
          <w:sz w:val="22"/>
          <w:szCs w:val="22"/>
        </w:rPr>
        <w:t>Targeted consultation was</w:t>
      </w:r>
      <w:r w:rsidR="00262EE6">
        <w:rPr>
          <w:rFonts w:ascii="Arial" w:hAnsi="Arial" w:cs="Arial"/>
          <w:sz w:val="22"/>
          <w:szCs w:val="22"/>
        </w:rPr>
        <w:t xml:space="preserve"> also</w:t>
      </w:r>
      <w:r>
        <w:rPr>
          <w:rFonts w:ascii="Arial" w:hAnsi="Arial" w:cs="Arial"/>
          <w:sz w:val="22"/>
          <w:szCs w:val="22"/>
        </w:rPr>
        <w:t xml:space="preserve"> </w:t>
      </w:r>
      <w:r w:rsidR="00E45E72">
        <w:rPr>
          <w:rFonts w:ascii="Arial" w:hAnsi="Arial" w:cs="Arial"/>
          <w:sz w:val="22"/>
          <w:szCs w:val="22"/>
        </w:rPr>
        <w:t>under</w:t>
      </w:r>
      <w:r>
        <w:rPr>
          <w:rFonts w:ascii="Arial" w:hAnsi="Arial" w:cs="Arial"/>
          <w:sz w:val="22"/>
          <w:szCs w:val="22"/>
        </w:rPr>
        <w:t xml:space="preserve">taken with </w:t>
      </w:r>
      <w:r w:rsidR="00262EE6">
        <w:rPr>
          <w:rFonts w:ascii="Arial" w:hAnsi="Arial" w:cs="Arial"/>
          <w:sz w:val="22"/>
          <w:szCs w:val="22"/>
        </w:rPr>
        <w:t>more than 20 professional associates and professional firms.</w:t>
      </w:r>
    </w:p>
    <w:p w14:paraId="23A16A99" w14:textId="77777777" w:rsidR="001159D2" w:rsidRDefault="001159D2" w:rsidP="00B85F38">
      <w:pPr>
        <w:pStyle w:val="ListParagraph"/>
        <w:numPr>
          <w:ilvl w:val="0"/>
          <w:numId w:val="27"/>
        </w:numPr>
        <w:spacing w:after="120"/>
        <w:rPr>
          <w:rFonts w:ascii="Arial" w:hAnsi="Arial" w:cs="Arial"/>
        </w:rPr>
      </w:pPr>
      <w:r>
        <w:rPr>
          <w:rFonts w:ascii="Arial" w:hAnsi="Arial" w:cs="Arial"/>
        </w:rPr>
        <w:t>AMP</w:t>
      </w:r>
    </w:p>
    <w:p w14:paraId="4A7F0A3F" w14:textId="02834275" w:rsidR="00B85F38" w:rsidRDefault="00B85F38" w:rsidP="00B85F38">
      <w:pPr>
        <w:pStyle w:val="ListParagraph"/>
        <w:numPr>
          <w:ilvl w:val="0"/>
          <w:numId w:val="27"/>
        </w:numPr>
        <w:spacing w:after="120"/>
        <w:rPr>
          <w:rFonts w:ascii="Arial" w:hAnsi="Arial" w:cs="Arial"/>
        </w:rPr>
      </w:pPr>
      <w:r>
        <w:rPr>
          <w:rFonts w:ascii="Arial" w:hAnsi="Arial" w:cs="Arial"/>
        </w:rPr>
        <w:t>ARC Super</w:t>
      </w:r>
    </w:p>
    <w:p w14:paraId="1E70313A" w14:textId="5BC0F9C2" w:rsidR="00B85F38" w:rsidRDefault="00B85F38" w:rsidP="00B85F38">
      <w:pPr>
        <w:pStyle w:val="ListParagraph"/>
        <w:numPr>
          <w:ilvl w:val="0"/>
          <w:numId w:val="27"/>
        </w:numPr>
        <w:spacing w:after="120"/>
        <w:rPr>
          <w:rFonts w:ascii="Arial" w:hAnsi="Arial" w:cs="Arial"/>
        </w:rPr>
      </w:pPr>
      <w:r>
        <w:rPr>
          <w:rFonts w:ascii="Arial" w:hAnsi="Arial" w:cs="Arial"/>
        </w:rPr>
        <w:t xml:space="preserve">ASF Audits </w:t>
      </w:r>
    </w:p>
    <w:p w14:paraId="153A6C2F" w14:textId="1E3624D8" w:rsidR="00B85F38" w:rsidRDefault="00B85F38" w:rsidP="00B85F38">
      <w:pPr>
        <w:pStyle w:val="ListParagraph"/>
        <w:numPr>
          <w:ilvl w:val="0"/>
          <w:numId w:val="27"/>
        </w:numPr>
        <w:spacing w:after="120"/>
        <w:rPr>
          <w:rFonts w:ascii="Arial" w:hAnsi="Arial" w:cs="Arial"/>
        </w:rPr>
      </w:pPr>
      <w:r>
        <w:rPr>
          <w:rFonts w:ascii="Arial" w:hAnsi="Arial" w:cs="Arial"/>
        </w:rPr>
        <w:t xml:space="preserve">Auditing and Assurance Standards Board </w:t>
      </w:r>
    </w:p>
    <w:p w14:paraId="1E302FD6" w14:textId="18D11C64" w:rsidR="00B85F38" w:rsidRDefault="00B85F38" w:rsidP="00B85F38">
      <w:pPr>
        <w:pStyle w:val="ListParagraph"/>
        <w:numPr>
          <w:ilvl w:val="0"/>
          <w:numId w:val="27"/>
        </w:numPr>
        <w:spacing w:after="120"/>
        <w:rPr>
          <w:rFonts w:ascii="Arial" w:hAnsi="Arial" w:cs="Arial"/>
        </w:rPr>
      </w:pPr>
      <w:r>
        <w:rPr>
          <w:rFonts w:ascii="Arial" w:hAnsi="Arial" w:cs="Arial"/>
        </w:rPr>
        <w:t xml:space="preserve">Australian Securities and Investments Commission </w:t>
      </w:r>
    </w:p>
    <w:p w14:paraId="7994DBC5" w14:textId="10FFE133" w:rsidR="00B85F38" w:rsidRDefault="00B85F38" w:rsidP="00B85F38">
      <w:pPr>
        <w:pStyle w:val="ListParagraph"/>
        <w:numPr>
          <w:ilvl w:val="0"/>
          <w:numId w:val="27"/>
        </w:numPr>
        <w:spacing w:after="120"/>
        <w:rPr>
          <w:rFonts w:ascii="Arial" w:hAnsi="Arial" w:cs="Arial"/>
        </w:rPr>
      </w:pPr>
      <w:r>
        <w:rPr>
          <w:rFonts w:ascii="Arial" w:hAnsi="Arial" w:cs="Arial"/>
        </w:rPr>
        <w:t>BDO</w:t>
      </w:r>
    </w:p>
    <w:p w14:paraId="436F0904" w14:textId="309C9226" w:rsidR="00B85F38" w:rsidRDefault="00B85F38" w:rsidP="00B85F38">
      <w:pPr>
        <w:pStyle w:val="ListParagraph"/>
        <w:numPr>
          <w:ilvl w:val="0"/>
          <w:numId w:val="27"/>
        </w:numPr>
        <w:spacing w:after="120"/>
        <w:rPr>
          <w:rFonts w:ascii="Arial" w:hAnsi="Arial" w:cs="Arial"/>
        </w:rPr>
      </w:pPr>
      <w:r>
        <w:rPr>
          <w:rFonts w:ascii="Arial" w:hAnsi="Arial" w:cs="Arial"/>
        </w:rPr>
        <w:t>Chartered Accountants Australia and New Zealand</w:t>
      </w:r>
    </w:p>
    <w:p w14:paraId="5B69F4E5" w14:textId="019F9A38" w:rsidR="00292CE8" w:rsidRDefault="00292CE8" w:rsidP="00B85F38">
      <w:pPr>
        <w:pStyle w:val="ListParagraph"/>
        <w:numPr>
          <w:ilvl w:val="0"/>
          <w:numId w:val="27"/>
        </w:numPr>
        <w:spacing w:after="120"/>
        <w:rPr>
          <w:rFonts w:ascii="Arial" w:hAnsi="Arial" w:cs="Arial"/>
        </w:rPr>
      </w:pPr>
      <w:r>
        <w:rPr>
          <w:rFonts w:ascii="Arial" w:hAnsi="Arial" w:cs="Arial"/>
        </w:rPr>
        <w:t>Class</w:t>
      </w:r>
      <w:r w:rsidR="00A5787E">
        <w:rPr>
          <w:rFonts w:ascii="Arial" w:hAnsi="Arial" w:cs="Arial"/>
        </w:rPr>
        <w:t xml:space="preserve"> Super</w:t>
      </w:r>
    </w:p>
    <w:p w14:paraId="067E4BCB" w14:textId="62EC04B9" w:rsidR="00292CE8" w:rsidRDefault="00292CE8" w:rsidP="00B85F38">
      <w:pPr>
        <w:pStyle w:val="ListParagraph"/>
        <w:numPr>
          <w:ilvl w:val="0"/>
          <w:numId w:val="27"/>
        </w:numPr>
        <w:spacing w:after="120"/>
        <w:rPr>
          <w:rFonts w:ascii="Arial" w:hAnsi="Arial" w:cs="Arial"/>
        </w:rPr>
      </w:pPr>
      <w:r>
        <w:rPr>
          <w:rFonts w:ascii="Arial" w:hAnsi="Arial" w:cs="Arial"/>
        </w:rPr>
        <w:t>C</w:t>
      </w:r>
      <w:r w:rsidR="00A5787E">
        <w:rPr>
          <w:rFonts w:ascii="Arial" w:hAnsi="Arial" w:cs="Arial"/>
        </w:rPr>
        <w:t>orporate Seminars Australia</w:t>
      </w:r>
    </w:p>
    <w:p w14:paraId="6351DEBE" w14:textId="137E17C2" w:rsidR="00B85F38" w:rsidRDefault="00B85F38" w:rsidP="00B85F38">
      <w:pPr>
        <w:pStyle w:val="ListParagraph"/>
        <w:numPr>
          <w:ilvl w:val="0"/>
          <w:numId w:val="27"/>
        </w:numPr>
        <w:spacing w:after="120"/>
        <w:rPr>
          <w:rFonts w:ascii="Arial" w:hAnsi="Arial" w:cs="Arial"/>
        </w:rPr>
      </w:pPr>
      <w:r>
        <w:rPr>
          <w:rFonts w:ascii="Arial" w:hAnsi="Arial" w:cs="Arial"/>
        </w:rPr>
        <w:t>CPA Australia</w:t>
      </w:r>
    </w:p>
    <w:p w14:paraId="17E68684" w14:textId="75CF3664" w:rsidR="00B85F38" w:rsidRDefault="00B85F38" w:rsidP="00B85F38">
      <w:pPr>
        <w:pStyle w:val="ListParagraph"/>
        <w:numPr>
          <w:ilvl w:val="0"/>
          <w:numId w:val="27"/>
        </w:numPr>
        <w:spacing w:after="120"/>
        <w:rPr>
          <w:rFonts w:ascii="Arial" w:hAnsi="Arial" w:cs="Arial"/>
        </w:rPr>
      </w:pPr>
      <w:r>
        <w:rPr>
          <w:rFonts w:ascii="Arial" w:hAnsi="Arial" w:cs="Arial"/>
        </w:rPr>
        <w:t>EY</w:t>
      </w:r>
    </w:p>
    <w:p w14:paraId="17881247" w14:textId="3DFDFB21" w:rsidR="001159D2" w:rsidRDefault="001159D2" w:rsidP="00B85F38">
      <w:pPr>
        <w:pStyle w:val="ListParagraph"/>
        <w:numPr>
          <w:ilvl w:val="0"/>
          <w:numId w:val="27"/>
        </w:numPr>
        <w:spacing w:after="120"/>
        <w:rPr>
          <w:rFonts w:ascii="Arial" w:hAnsi="Arial" w:cs="Arial"/>
        </w:rPr>
      </w:pPr>
      <w:r>
        <w:rPr>
          <w:rFonts w:ascii="Arial" w:hAnsi="Arial" w:cs="Arial"/>
        </w:rPr>
        <w:t>F</w:t>
      </w:r>
      <w:r w:rsidR="00C00A71">
        <w:rPr>
          <w:rFonts w:ascii="Arial" w:hAnsi="Arial" w:cs="Arial"/>
        </w:rPr>
        <w:t xml:space="preserve">inancial </w:t>
      </w:r>
      <w:r>
        <w:rPr>
          <w:rFonts w:ascii="Arial" w:hAnsi="Arial" w:cs="Arial"/>
        </w:rPr>
        <w:t>P</w:t>
      </w:r>
      <w:r w:rsidR="00C00A71">
        <w:rPr>
          <w:rFonts w:ascii="Arial" w:hAnsi="Arial" w:cs="Arial"/>
        </w:rPr>
        <w:t xml:space="preserve">lanning </w:t>
      </w:r>
      <w:r>
        <w:rPr>
          <w:rFonts w:ascii="Arial" w:hAnsi="Arial" w:cs="Arial"/>
        </w:rPr>
        <w:t>A</w:t>
      </w:r>
      <w:r w:rsidR="00C00A71">
        <w:rPr>
          <w:rFonts w:ascii="Arial" w:hAnsi="Arial" w:cs="Arial"/>
        </w:rPr>
        <w:t>ssociation of</w:t>
      </w:r>
      <w:r w:rsidR="00F47F3A">
        <w:rPr>
          <w:rFonts w:ascii="Arial" w:hAnsi="Arial" w:cs="Arial"/>
        </w:rPr>
        <w:t xml:space="preserve"> Australia</w:t>
      </w:r>
    </w:p>
    <w:p w14:paraId="3A8030A9" w14:textId="5397E552" w:rsidR="0030019E" w:rsidRDefault="0030019E" w:rsidP="00B85F38">
      <w:pPr>
        <w:pStyle w:val="ListParagraph"/>
        <w:numPr>
          <w:ilvl w:val="0"/>
          <w:numId w:val="27"/>
        </w:numPr>
        <w:spacing w:after="120"/>
        <w:rPr>
          <w:rFonts w:ascii="Arial" w:hAnsi="Arial" w:cs="Arial"/>
        </w:rPr>
      </w:pPr>
      <w:r>
        <w:rPr>
          <w:rFonts w:ascii="Arial" w:hAnsi="Arial" w:cs="Arial"/>
        </w:rPr>
        <w:t>Heffron</w:t>
      </w:r>
      <w:r w:rsidR="00A5787E">
        <w:rPr>
          <w:rFonts w:ascii="Arial" w:hAnsi="Arial" w:cs="Arial"/>
        </w:rPr>
        <w:t xml:space="preserve"> SMSF Solutions</w:t>
      </w:r>
    </w:p>
    <w:p w14:paraId="2966991C" w14:textId="54FE343B" w:rsidR="00B85F38" w:rsidRDefault="00B85F38" w:rsidP="00B85F38">
      <w:pPr>
        <w:pStyle w:val="ListParagraph"/>
        <w:numPr>
          <w:ilvl w:val="0"/>
          <w:numId w:val="27"/>
        </w:numPr>
        <w:spacing w:after="120"/>
        <w:rPr>
          <w:rFonts w:ascii="Arial" w:hAnsi="Arial" w:cs="Arial"/>
        </w:rPr>
      </w:pPr>
      <w:r>
        <w:rPr>
          <w:rFonts w:ascii="Arial" w:hAnsi="Arial" w:cs="Arial"/>
        </w:rPr>
        <w:t xml:space="preserve">Institute of Public Accountants </w:t>
      </w:r>
    </w:p>
    <w:p w14:paraId="1EA4ABE3" w14:textId="05456DCF" w:rsidR="001159D2" w:rsidRDefault="001159D2" w:rsidP="00B85F38">
      <w:pPr>
        <w:pStyle w:val="ListParagraph"/>
        <w:numPr>
          <w:ilvl w:val="0"/>
          <w:numId w:val="27"/>
        </w:numPr>
        <w:spacing w:after="120"/>
        <w:rPr>
          <w:rFonts w:ascii="Arial" w:hAnsi="Arial" w:cs="Arial"/>
        </w:rPr>
      </w:pPr>
      <w:r>
        <w:rPr>
          <w:rFonts w:ascii="Arial" w:hAnsi="Arial" w:cs="Arial"/>
        </w:rPr>
        <w:t>Legalwise Seminars</w:t>
      </w:r>
    </w:p>
    <w:p w14:paraId="24B3BE9F" w14:textId="0300D86F" w:rsidR="001159D2" w:rsidRDefault="001159D2" w:rsidP="001159D2">
      <w:pPr>
        <w:pStyle w:val="ListParagraph"/>
        <w:numPr>
          <w:ilvl w:val="0"/>
          <w:numId w:val="27"/>
        </w:numPr>
        <w:spacing w:after="120"/>
        <w:rPr>
          <w:rFonts w:ascii="Arial" w:hAnsi="Arial" w:cs="Arial"/>
        </w:rPr>
      </w:pPr>
      <w:r>
        <w:rPr>
          <w:rFonts w:ascii="Arial" w:hAnsi="Arial" w:cs="Arial"/>
        </w:rPr>
        <w:t>National Tax</w:t>
      </w:r>
      <w:r w:rsidR="00550FA8">
        <w:rPr>
          <w:rFonts w:ascii="Arial" w:hAnsi="Arial" w:cs="Arial"/>
        </w:rPr>
        <w:t xml:space="preserve"> and Accountants’ Association </w:t>
      </w:r>
    </w:p>
    <w:p w14:paraId="0582B95F" w14:textId="02B5D920" w:rsidR="00692DFA" w:rsidRDefault="00F3333F" w:rsidP="00B85F38">
      <w:pPr>
        <w:pStyle w:val="ListParagraph"/>
        <w:numPr>
          <w:ilvl w:val="0"/>
          <w:numId w:val="27"/>
        </w:numPr>
        <w:spacing w:after="120"/>
        <w:rPr>
          <w:rFonts w:ascii="Arial" w:hAnsi="Arial" w:cs="Arial"/>
        </w:rPr>
      </w:pPr>
      <w:r>
        <w:rPr>
          <w:rFonts w:ascii="Arial" w:hAnsi="Arial" w:cs="Arial"/>
        </w:rPr>
        <w:t xml:space="preserve">Institute of Public Accountants </w:t>
      </w:r>
    </w:p>
    <w:p w14:paraId="413415CF" w14:textId="1B79737D" w:rsidR="00B85F38" w:rsidRDefault="00B85F38" w:rsidP="00B85F38">
      <w:pPr>
        <w:pStyle w:val="ListParagraph"/>
        <w:numPr>
          <w:ilvl w:val="0"/>
          <w:numId w:val="27"/>
        </w:numPr>
        <w:spacing w:after="120"/>
        <w:rPr>
          <w:rFonts w:ascii="Arial" w:hAnsi="Arial" w:cs="Arial"/>
        </w:rPr>
      </w:pPr>
      <w:r>
        <w:rPr>
          <w:rFonts w:ascii="Arial" w:hAnsi="Arial" w:cs="Arial"/>
        </w:rPr>
        <w:t>Reliance Auditing Services</w:t>
      </w:r>
    </w:p>
    <w:p w14:paraId="276EA88D" w14:textId="533C4FDE" w:rsidR="00135E9F" w:rsidRDefault="00135E9F" w:rsidP="00B85F38">
      <w:pPr>
        <w:pStyle w:val="ListParagraph"/>
        <w:numPr>
          <w:ilvl w:val="0"/>
          <w:numId w:val="27"/>
        </w:numPr>
        <w:spacing w:after="120"/>
        <w:rPr>
          <w:rFonts w:ascii="Arial" w:hAnsi="Arial" w:cs="Arial"/>
        </w:rPr>
      </w:pPr>
      <w:r>
        <w:rPr>
          <w:rFonts w:ascii="Arial" w:hAnsi="Arial" w:cs="Arial"/>
        </w:rPr>
        <w:t>S</w:t>
      </w:r>
      <w:r w:rsidR="00A5787E">
        <w:rPr>
          <w:rFonts w:ascii="Arial" w:hAnsi="Arial" w:cs="Arial"/>
        </w:rPr>
        <w:t>MSF Independent Superannuation Funds Association</w:t>
      </w:r>
    </w:p>
    <w:p w14:paraId="1D504EC4" w14:textId="4BD0DAC7" w:rsidR="00B85F38" w:rsidRDefault="00B85F38" w:rsidP="00B85F38">
      <w:pPr>
        <w:pStyle w:val="ListParagraph"/>
        <w:numPr>
          <w:ilvl w:val="0"/>
          <w:numId w:val="27"/>
        </w:numPr>
        <w:spacing w:after="120"/>
        <w:rPr>
          <w:rFonts w:ascii="Arial" w:hAnsi="Arial" w:cs="Arial"/>
        </w:rPr>
      </w:pPr>
      <w:r>
        <w:rPr>
          <w:rFonts w:ascii="Arial" w:hAnsi="Arial" w:cs="Arial"/>
        </w:rPr>
        <w:t>SMSF Association</w:t>
      </w:r>
    </w:p>
    <w:p w14:paraId="3C0CFF13" w14:textId="59A25EE2" w:rsidR="00A5787E" w:rsidRDefault="00A5787E" w:rsidP="00B85F38">
      <w:pPr>
        <w:pStyle w:val="ListParagraph"/>
        <w:numPr>
          <w:ilvl w:val="0"/>
          <w:numId w:val="27"/>
        </w:numPr>
        <w:spacing w:after="120"/>
        <w:rPr>
          <w:rFonts w:ascii="Arial" w:hAnsi="Arial" w:cs="Arial"/>
        </w:rPr>
      </w:pPr>
      <w:r>
        <w:rPr>
          <w:rFonts w:ascii="Arial" w:hAnsi="Arial" w:cs="Arial"/>
        </w:rPr>
        <w:t>SMSF Auditors Association of Australia</w:t>
      </w:r>
    </w:p>
    <w:p w14:paraId="174B6CF4" w14:textId="2665EA0C" w:rsidR="00292CE8" w:rsidRDefault="00292CE8" w:rsidP="00B85F38">
      <w:pPr>
        <w:pStyle w:val="ListParagraph"/>
        <w:numPr>
          <w:ilvl w:val="0"/>
          <w:numId w:val="27"/>
        </w:numPr>
        <w:spacing w:after="120"/>
        <w:rPr>
          <w:rFonts w:ascii="Arial" w:hAnsi="Arial" w:cs="Arial"/>
        </w:rPr>
      </w:pPr>
      <w:r>
        <w:rPr>
          <w:rFonts w:ascii="Arial" w:hAnsi="Arial" w:cs="Arial"/>
        </w:rPr>
        <w:t>Super Concepts</w:t>
      </w:r>
    </w:p>
    <w:p w14:paraId="5FC7D570" w14:textId="3CAB40EA" w:rsidR="00B85F38" w:rsidRDefault="00B85F38" w:rsidP="00B85F38">
      <w:pPr>
        <w:pStyle w:val="ListParagraph"/>
        <w:numPr>
          <w:ilvl w:val="0"/>
          <w:numId w:val="27"/>
        </w:numPr>
        <w:spacing w:after="120"/>
        <w:rPr>
          <w:rFonts w:ascii="Arial" w:hAnsi="Arial" w:cs="Arial"/>
        </w:rPr>
      </w:pPr>
      <w:r>
        <w:rPr>
          <w:rFonts w:ascii="Arial" w:hAnsi="Arial" w:cs="Arial"/>
        </w:rPr>
        <w:t xml:space="preserve">Super Sphere </w:t>
      </w:r>
    </w:p>
    <w:p w14:paraId="5EE3AAB5" w14:textId="5F18C1CF" w:rsidR="006F1CFD" w:rsidRDefault="006F1CFD" w:rsidP="00B85F38">
      <w:pPr>
        <w:pStyle w:val="ListParagraph"/>
        <w:numPr>
          <w:ilvl w:val="0"/>
          <w:numId w:val="27"/>
        </w:numPr>
        <w:spacing w:after="120"/>
        <w:rPr>
          <w:rFonts w:ascii="Arial" w:hAnsi="Arial" w:cs="Arial"/>
        </w:rPr>
      </w:pPr>
      <w:r>
        <w:rPr>
          <w:rFonts w:ascii="Arial" w:hAnsi="Arial" w:cs="Arial"/>
        </w:rPr>
        <w:t>Tactical Super</w:t>
      </w:r>
    </w:p>
    <w:p w14:paraId="21227F34" w14:textId="39E3453B" w:rsidR="00E24DF3" w:rsidRDefault="00586633" w:rsidP="00B85F38">
      <w:pPr>
        <w:pStyle w:val="ListParagraph"/>
        <w:numPr>
          <w:ilvl w:val="0"/>
          <w:numId w:val="27"/>
        </w:numPr>
        <w:spacing w:after="120"/>
        <w:rPr>
          <w:rFonts w:ascii="Arial" w:hAnsi="Arial" w:cs="Arial"/>
        </w:rPr>
      </w:pPr>
      <w:r>
        <w:rPr>
          <w:rFonts w:ascii="Arial" w:hAnsi="Arial" w:cs="Arial"/>
        </w:rPr>
        <w:t xml:space="preserve">The </w:t>
      </w:r>
      <w:r w:rsidR="00E24DF3">
        <w:rPr>
          <w:rFonts w:ascii="Arial" w:hAnsi="Arial" w:cs="Arial"/>
        </w:rPr>
        <w:t>Tax Institute</w:t>
      </w:r>
      <w:r w:rsidR="006F1CFD">
        <w:rPr>
          <w:rFonts w:ascii="Arial" w:hAnsi="Arial" w:cs="Arial"/>
        </w:rPr>
        <w:t xml:space="preserve"> of Australia</w:t>
      </w:r>
    </w:p>
    <w:p w14:paraId="616DF63C" w14:textId="77777777" w:rsidR="00B85F38" w:rsidRDefault="00B85F38" w:rsidP="00B85F38">
      <w:pPr>
        <w:pStyle w:val="ListParagraph"/>
        <w:numPr>
          <w:ilvl w:val="0"/>
          <w:numId w:val="27"/>
        </w:numPr>
        <w:spacing w:after="120"/>
        <w:rPr>
          <w:rFonts w:ascii="Arial" w:hAnsi="Arial" w:cs="Arial"/>
        </w:rPr>
      </w:pPr>
      <w:r>
        <w:rPr>
          <w:rFonts w:ascii="Arial" w:hAnsi="Arial" w:cs="Arial"/>
        </w:rPr>
        <w:t xml:space="preserve">Veritas Audit </w:t>
      </w:r>
    </w:p>
    <w:p w14:paraId="0BD848F5" w14:textId="4D6B209B" w:rsidR="00B85F38" w:rsidRPr="00356C95" w:rsidRDefault="00B85F38" w:rsidP="00356C95">
      <w:pPr>
        <w:pStyle w:val="ListParagraph"/>
        <w:spacing w:after="120"/>
        <w:ind w:left="1429"/>
        <w:rPr>
          <w:rFonts w:ascii="Arial" w:hAnsi="Arial" w:cs="Arial"/>
        </w:rPr>
      </w:pPr>
    </w:p>
    <w:p w14:paraId="01438F9F" w14:textId="79AD03FE" w:rsidR="000A2A6D" w:rsidRDefault="000A2A6D" w:rsidP="00882756">
      <w:pPr>
        <w:spacing w:after="120"/>
        <w:rPr>
          <w:rFonts w:ascii="Arial" w:hAnsi="Arial" w:cs="Arial"/>
          <w:i/>
          <w:iCs/>
          <w:sz w:val="22"/>
          <w:szCs w:val="22"/>
        </w:rPr>
      </w:pPr>
    </w:p>
    <w:p w14:paraId="61DA2AA0" w14:textId="2F8F45EE" w:rsidR="00B8149F" w:rsidRPr="009A6BA0" w:rsidRDefault="000A2A6D" w:rsidP="009A6BA0">
      <w:pPr>
        <w:spacing w:after="120"/>
        <w:rPr>
          <w:rFonts w:ascii="Arial" w:hAnsi="Arial" w:cs="Arial"/>
          <w:sz w:val="22"/>
          <w:szCs w:val="22"/>
        </w:rPr>
      </w:pPr>
      <w:r>
        <w:rPr>
          <w:rFonts w:ascii="Arial" w:hAnsi="Arial" w:cs="Arial"/>
          <w:i/>
          <w:iCs/>
          <w:sz w:val="22"/>
          <w:szCs w:val="22"/>
        </w:rPr>
        <w:t xml:space="preserve">31. </w:t>
      </w:r>
      <w:r w:rsidR="002A67DF" w:rsidRPr="002A67DF">
        <w:rPr>
          <w:rFonts w:ascii="Arial" w:hAnsi="Arial" w:cs="Arial"/>
          <w:sz w:val="22"/>
          <w:szCs w:val="22"/>
        </w:rPr>
        <w:t>The ATO received comments from</w:t>
      </w:r>
      <w:r w:rsidR="00262EE6">
        <w:rPr>
          <w:rFonts w:ascii="Arial" w:hAnsi="Arial" w:cs="Arial"/>
          <w:sz w:val="22"/>
          <w:szCs w:val="22"/>
        </w:rPr>
        <w:t xml:space="preserve"> four </w:t>
      </w:r>
      <w:r w:rsidR="002A67DF" w:rsidRPr="002A67DF">
        <w:rPr>
          <w:rFonts w:ascii="Arial" w:hAnsi="Arial" w:cs="Arial"/>
          <w:sz w:val="22"/>
          <w:szCs w:val="22"/>
        </w:rPr>
        <w:t xml:space="preserve">organisations in response to </w:t>
      </w:r>
      <w:r w:rsidR="002A67DF">
        <w:rPr>
          <w:rFonts w:ascii="Arial" w:hAnsi="Arial" w:cs="Arial"/>
          <w:sz w:val="22"/>
          <w:szCs w:val="22"/>
        </w:rPr>
        <w:t xml:space="preserve">the </w:t>
      </w:r>
      <w:r w:rsidR="002A67DF" w:rsidRPr="002A67DF">
        <w:rPr>
          <w:rFonts w:ascii="Arial" w:hAnsi="Arial" w:cs="Arial"/>
          <w:sz w:val="22"/>
          <w:szCs w:val="22"/>
        </w:rPr>
        <w:t xml:space="preserve">request </w:t>
      </w:r>
      <w:r w:rsidR="002A67DF">
        <w:rPr>
          <w:rFonts w:ascii="Arial" w:hAnsi="Arial" w:cs="Arial"/>
          <w:sz w:val="22"/>
          <w:szCs w:val="22"/>
        </w:rPr>
        <w:t>for</w:t>
      </w:r>
      <w:r w:rsidR="002A67DF" w:rsidRPr="002A67DF">
        <w:rPr>
          <w:rFonts w:ascii="Arial" w:hAnsi="Arial" w:cs="Arial"/>
          <w:sz w:val="22"/>
          <w:szCs w:val="22"/>
        </w:rPr>
        <w:t xml:space="preserve"> feedback on this </w:t>
      </w:r>
      <w:r w:rsidR="00262EE6">
        <w:rPr>
          <w:rFonts w:ascii="Arial" w:hAnsi="Arial" w:cs="Arial"/>
          <w:sz w:val="22"/>
          <w:szCs w:val="22"/>
        </w:rPr>
        <w:t>I</w:t>
      </w:r>
      <w:r w:rsidR="002A67DF" w:rsidRPr="002A67DF">
        <w:rPr>
          <w:rFonts w:ascii="Arial" w:hAnsi="Arial" w:cs="Arial"/>
          <w:sz w:val="22"/>
          <w:szCs w:val="22"/>
        </w:rPr>
        <w:t xml:space="preserve">nstrument.  Two feedback providers commented on the policy intent of the law and </w:t>
      </w:r>
      <w:r w:rsidR="00262EE6">
        <w:rPr>
          <w:rFonts w:ascii="Arial" w:hAnsi="Arial" w:cs="Arial"/>
          <w:sz w:val="22"/>
          <w:szCs w:val="22"/>
        </w:rPr>
        <w:t xml:space="preserve">their comments </w:t>
      </w:r>
      <w:r w:rsidR="002A67DF" w:rsidRPr="002A67DF">
        <w:rPr>
          <w:rFonts w:ascii="Arial" w:hAnsi="Arial" w:cs="Arial"/>
          <w:sz w:val="22"/>
          <w:szCs w:val="22"/>
        </w:rPr>
        <w:t xml:space="preserve">were out of scope for inclusion in this instrument.  Two other feedback providers made specific comments on the </w:t>
      </w:r>
      <w:r w:rsidR="00262EE6">
        <w:rPr>
          <w:rFonts w:ascii="Arial" w:hAnsi="Arial" w:cs="Arial"/>
          <w:sz w:val="22"/>
          <w:szCs w:val="22"/>
        </w:rPr>
        <w:t>I</w:t>
      </w:r>
      <w:r w:rsidR="002A67DF" w:rsidRPr="002A67DF">
        <w:rPr>
          <w:rFonts w:ascii="Arial" w:hAnsi="Arial" w:cs="Arial"/>
          <w:sz w:val="22"/>
          <w:szCs w:val="22"/>
        </w:rPr>
        <w:t xml:space="preserve">nstrument.  </w:t>
      </w:r>
      <w:r w:rsidR="00262EE6">
        <w:rPr>
          <w:rFonts w:ascii="Arial" w:hAnsi="Arial" w:cs="Arial"/>
          <w:sz w:val="22"/>
          <w:szCs w:val="22"/>
        </w:rPr>
        <w:t xml:space="preserve">The </w:t>
      </w:r>
      <w:r w:rsidR="002A67DF">
        <w:rPr>
          <w:rFonts w:ascii="Arial" w:hAnsi="Arial" w:cs="Arial"/>
          <w:sz w:val="22"/>
          <w:szCs w:val="22"/>
        </w:rPr>
        <w:t xml:space="preserve">comments </w:t>
      </w:r>
      <w:r w:rsidR="002A67DF" w:rsidRPr="002A67DF">
        <w:rPr>
          <w:rFonts w:ascii="Arial" w:hAnsi="Arial" w:cs="Arial"/>
          <w:sz w:val="22"/>
          <w:szCs w:val="22"/>
        </w:rPr>
        <w:t xml:space="preserve">were </w:t>
      </w:r>
      <w:proofErr w:type="gramStart"/>
      <w:r w:rsidR="00262EE6">
        <w:rPr>
          <w:rFonts w:ascii="Arial" w:hAnsi="Arial" w:cs="Arial"/>
          <w:sz w:val="22"/>
          <w:szCs w:val="22"/>
        </w:rPr>
        <w:t>taken into account</w:t>
      </w:r>
      <w:proofErr w:type="gramEnd"/>
      <w:r w:rsidR="00262EE6">
        <w:rPr>
          <w:rFonts w:ascii="Arial" w:hAnsi="Arial" w:cs="Arial"/>
          <w:sz w:val="22"/>
          <w:szCs w:val="22"/>
        </w:rPr>
        <w:t xml:space="preserve"> in finalising this Legislative Instrument.</w:t>
      </w:r>
      <w:r w:rsidR="002A67DF" w:rsidRPr="002A67DF">
        <w:rPr>
          <w:rFonts w:ascii="Arial" w:hAnsi="Arial" w:cs="Arial"/>
          <w:sz w:val="22"/>
          <w:szCs w:val="22"/>
        </w:rPr>
        <w:t xml:space="preserve">  </w:t>
      </w:r>
    </w:p>
    <w:p w14:paraId="09A22388" w14:textId="77777777" w:rsidR="00A31C26" w:rsidRPr="009A6BA0" w:rsidRDefault="00A31C26" w:rsidP="009A6BA0">
      <w:pPr>
        <w:pStyle w:val="Heading2"/>
        <w:rPr>
          <w:rFonts w:cs="Arial"/>
          <w:szCs w:val="22"/>
        </w:rPr>
      </w:pPr>
      <w:r w:rsidRPr="009A6BA0">
        <w:rPr>
          <w:rFonts w:cs="Arial"/>
          <w:szCs w:val="22"/>
        </w:rPr>
        <w:t>Exemption from disallowance and sunsetting regime</w:t>
      </w:r>
    </w:p>
    <w:p w14:paraId="2C39D600" w14:textId="77777777" w:rsidR="00961536" w:rsidRPr="009A6BA0" w:rsidRDefault="00961536" w:rsidP="009A6BA0">
      <w:pPr>
        <w:numPr>
          <w:ilvl w:val="0"/>
          <w:numId w:val="1"/>
        </w:numPr>
        <w:tabs>
          <w:tab w:val="clear" w:pos="720"/>
        </w:tabs>
        <w:spacing w:after="120"/>
        <w:ind w:left="709" w:hanging="709"/>
        <w:rPr>
          <w:rFonts w:ascii="Arial" w:hAnsi="Arial" w:cs="Arial"/>
          <w:color w:val="000000"/>
          <w:sz w:val="22"/>
          <w:szCs w:val="22"/>
        </w:rPr>
      </w:pPr>
      <w:r w:rsidRPr="009A6BA0">
        <w:rPr>
          <w:rFonts w:ascii="Arial" w:hAnsi="Arial" w:cs="Arial"/>
          <w:sz w:val="22"/>
          <w:szCs w:val="22"/>
        </w:rPr>
        <w:t xml:space="preserve">Part 4 of the LA provides for the sunsetting of legislative instruments. However, paragraph 54(2)(b) of the LA provides that Part 4 of the LA does not apply if the legislative instrument is prescribed by regulation. Section 11 of the </w:t>
      </w:r>
      <w:r w:rsidR="00F350F3" w:rsidRPr="009A6BA0">
        <w:rPr>
          <w:rFonts w:ascii="Arial" w:hAnsi="Arial" w:cs="Arial"/>
          <w:i/>
          <w:sz w:val="22"/>
          <w:szCs w:val="22"/>
        </w:rPr>
        <w:t>Legislation (Exemptions and Other Matters) Regulation 2015</w:t>
      </w:r>
      <w:r w:rsidR="00F350F3" w:rsidRPr="009A6BA0">
        <w:rPr>
          <w:rFonts w:ascii="Arial" w:hAnsi="Arial" w:cs="Arial"/>
          <w:sz w:val="22"/>
          <w:szCs w:val="22"/>
        </w:rPr>
        <w:t xml:space="preserve"> (EOMR)</w:t>
      </w:r>
      <w:r w:rsidRPr="009A6BA0">
        <w:rPr>
          <w:rFonts w:ascii="Arial" w:hAnsi="Arial" w:cs="Arial"/>
          <w:sz w:val="22"/>
          <w:szCs w:val="22"/>
        </w:rPr>
        <w:t xml:space="preserve"> provides a list of instruments that are not subject to sunsetting. Item 6 of the table in section 11 of the EOMR lists instruments (other than regulations) relating to superannuation. As a result, Part 4 of the LA does not apply to this instrument. </w:t>
      </w:r>
      <w:proofErr w:type="gramStart"/>
      <w:r w:rsidRPr="009A6BA0">
        <w:rPr>
          <w:rFonts w:ascii="Arial" w:hAnsi="Arial" w:cs="Arial"/>
          <w:sz w:val="22"/>
          <w:szCs w:val="22"/>
        </w:rPr>
        <w:t>Therefore</w:t>
      </w:r>
      <w:proofErr w:type="gramEnd"/>
      <w:r w:rsidRPr="009A6BA0">
        <w:rPr>
          <w:rFonts w:ascii="Arial" w:hAnsi="Arial" w:cs="Arial"/>
          <w:sz w:val="22"/>
          <w:szCs w:val="22"/>
        </w:rPr>
        <w:t xml:space="preserve"> this instrument will not sunset.</w:t>
      </w:r>
    </w:p>
    <w:p w14:paraId="41D37D51" w14:textId="77777777" w:rsidR="00A31C26" w:rsidRPr="009A6BA0" w:rsidRDefault="00A31C26" w:rsidP="009A6BA0">
      <w:pPr>
        <w:numPr>
          <w:ilvl w:val="0"/>
          <w:numId w:val="1"/>
        </w:numPr>
        <w:tabs>
          <w:tab w:val="clear" w:pos="720"/>
        </w:tabs>
        <w:spacing w:after="120"/>
        <w:ind w:left="709" w:hanging="709"/>
        <w:rPr>
          <w:rFonts w:ascii="Arial" w:hAnsi="Arial" w:cs="Arial"/>
          <w:color w:val="000000"/>
          <w:sz w:val="22"/>
          <w:szCs w:val="22"/>
        </w:rPr>
      </w:pPr>
      <w:r w:rsidRPr="009A6BA0">
        <w:rPr>
          <w:rFonts w:ascii="Arial" w:hAnsi="Arial" w:cs="Arial"/>
          <w:sz w:val="22"/>
          <w:szCs w:val="22"/>
        </w:rPr>
        <w:t>Section 42 of the LA provides for the disallowance of legislative instruments. However, paragraph 44(2)(b) of the LA provides that section 42 does not apply to legislative instruments prescribed by regulation. Section 9 of the EOMR provides a list of instruments that are not subject to disallowance. Item 4 of the table in section 9 of the EOMR lists instruments (other than regulations) relating to superannuation. As a result, this instrument is not a disallowable legislative instrument under section 42 of the LA.</w:t>
      </w:r>
    </w:p>
    <w:p w14:paraId="697B528E" w14:textId="77777777" w:rsidR="00CC1B7C" w:rsidRPr="009A6BA0" w:rsidRDefault="00CC1B7C" w:rsidP="009A6BA0">
      <w:pPr>
        <w:spacing w:after="120"/>
        <w:rPr>
          <w:rFonts w:ascii="Arial" w:hAnsi="Arial" w:cs="Arial"/>
          <w:sz w:val="22"/>
          <w:szCs w:val="22"/>
        </w:rPr>
      </w:pPr>
    </w:p>
    <w:p w14:paraId="3B1B1263" w14:textId="77777777" w:rsidR="00AD574C" w:rsidRPr="009A6BA0" w:rsidRDefault="00A31C26" w:rsidP="009A6BA0">
      <w:pPr>
        <w:pStyle w:val="Heading2"/>
        <w:rPr>
          <w:rFonts w:cs="Arial"/>
          <w:szCs w:val="22"/>
        </w:rPr>
      </w:pPr>
      <w:r w:rsidRPr="009A6BA0">
        <w:rPr>
          <w:rFonts w:cs="Arial"/>
          <w:szCs w:val="22"/>
        </w:rPr>
        <w:t>Statement of compatibility with Human Rights</w:t>
      </w:r>
    </w:p>
    <w:p w14:paraId="189D4306" w14:textId="77777777" w:rsidR="008540EA" w:rsidRPr="009A6BA0" w:rsidRDefault="00A31C26" w:rsidP="009A6BA0">
      <w:pPr>
        <w:spacing w:after="120"/>
        <w:rPr>
          <w:rFonts w:ascii="Arial" w:hAnsi="Arial" w:cs="Arial"/>
          <w:color w:val="000000"/>
          <w:sz w:val="22"/>
          <w:szCs w:val="22"/>
        </w:rPr>
      </w:pPr>
      <w:r w:rsidRPr="009A6BA0">
        <w:rPr>
          <w:rFonts w:ascii="Arial" w:hAnsi="Arial" w:cs="Arial"/>
          <w:color w:val="000000"/>
          <w:sz w:val="22"/>
          <w:szCs w:val="22"/>
        </w:rPr>
        <w:t xml:space="preserve">As section 42 of the LA does not apply to this instrument, a Statement of compatibility with Human Rights in respect of this instrument is not required under section 9 of the </w:t>
      </w:r>
      <w:r w:rsidRPr="009A6BA0">
        <w:rPr>
          <w:rFonts w:ascii="Arial" w:hAnsi="Arial" w:cs="Arial"/>
          <w:i/>
          <w:iCs/>
          <w:color w:val="000000"/>
          <w:sz w:val="22"/>
          <w:szCs w:val="22"/>
        </w:rPr>
        <w:t>Human Rights (Parliamentary Scrutiny) Act 2011</w:t>
      </w:r>
      <w:r w:rsidRPr="009A6BA0">
        <w:rPr>
          <w:rFonts w:ascii="Arial" w:hAnsi="Arial" w:cs="Arial"/>
          <w:color w:val="000000"/>
          <w:sz w:val="22"/>
          <w:szCs w:val="22"/>
        </w:rPr>
        <w:t>.</w:t>
      </w:r>
    </w:p>
    <w:p w14:paraId="6420F599" w14:textId="77777777" w:rsidR="00961536" w:rsidRPr="009A6BA0" w:rsidRDefault="00961536" w:rsidP="009A6BA0">
      <w:pPr>
        <w:spacing w:after="120"/>
        <w:rPr>
          <w:rFonts w:ascii="Arial" w:hAnsi="Arial" w:cs="Arial"/>
          <w:color w:val="000000"/>
          <w:sz w:val="22"/>
          <w:szCs w:val="22"/>
        </w:rPr>
      </w:pPr>
    </w:p>
    <w:p w14:paraId="5F7AE62A" w14:textId="77777777" w:rsidR="00961536" w:rsidRPr="009A6BA0" w:rsidRDefault="00961536" w:rsidP="009A6BA0">
      <w:pPr>
        <w:pStyle w:val="Heading2"/>
        <w:spacing w:after="60"/>
        <w:rPr>
          <w:rFonts w:cs="Arial"/>
          <w:szCs w:val="22"/>
        </w:rPr>
      </w:pPr>
      <w:r w:rsidRPr="009A6BA0">
        <w:rPr>
          <w:rFonts w:cs="Arial"/>
          <w:szCs w:val="22"/>
        </w:rPr>
        <w:t>Legislative references:</w:t>
      </w:r>
    </w:p>
    <w:p w14:paraId="08DCD591" w14:textId="77777777" w:rsidR="00961536" w:rsidRPr="009A6BA0" w:rsidRDefault="00961536" w:rsidP="009A6BA0">
      <w:pPr>
        <w:rPr>
          <w:rFonts w:ascii="Arial" w:hAnsi="Arial" w:cs="Arial"/>
          <w:i/>
          <w:sz w:val="22"/>
          <w:szCs w:val="22"/>
        </w:rPr>
      </w:pPr>
      <w:r w:rsidRPr="009A6BA0">
        <w:rPr>
          <w:rFonts w:ascii="Arial" w:hAnsi="Arial" w:cs="Arial"/>
          <w:i/>
          <w:sz w:val="22"/>
          <w:szCs w:val="22"/>
        </w:rPr>
        <w:t>Acts Interpretation Act 1901</w:t>
      </w:r>
    </w:p>
    <w:p w14:paraId="1AF9DC44" w14:textId="77777777" w:rsidR="00961536" w:rsidRPr="009A6BA0" w:rsidRDefault="00961536" w:rsidP="009A6BA0">
      <w:pPr>
        <w:rPr>
          <w:rFonts w:ascii="Arial" w:hAnsi="Arial" w:cs="Arial"/>
          <w:b/>
          <w:i/>
          <w:sz w:val="22"/>
          <w:szCs w:val="22"/>
        </w:rPr>
      </w:pPr>
      <w:r w:rsidRPr="009A6BA0">
        <w:rPr>
          <w:rFonts w:ascii="Arial" w:hAnsi="Arial" w:cs="Arial"/>
          <w:i/>
          <w:sz w:val="22"/>
          <w:szCs w:val="22"/>
        </w:rPr>
        <w:t>Human Rights Parliamentary Scrutiny Act 2011</w:t>
      </w:r>
    </w:p>
    <w:p w14:paraId="7E83E634" w14:textId="77777777" w:rsidR="00961536" w:rsidRPr="009A6BA0" w:rsidRDefault="00961536" w:rsidP="009A6BA0">
      <w:pPr>
        <w:rPr>
          <w:rFonts w:ascii="Arial" w:hAnsi="Arial" w:cs="Arial"/>
          <w:i/>
          <w:sz w:val="22"/>
          <w:szCs w:val="22"/>
        </w:rPr>
      </w:pPr>
      <w:r w:rsidRPr="009A6BA0">
        <w:rPr>
          <w:rFonts w:ascii="Arial" w:hAnsi="Arial" w:cs="Arial"/>
          <w:i/>
          <w:sz w:val="22"/>
          <w:szCs w:val="22"/>
        </w:rPr>
        <w:t>Legislation Act 2003</w:t>
      </w:r>
    </w:p>
    <w:p w14:paraId="2523605D" w14:textId="77777777" w:rsidR="00961536" w:rsidRPr="009A6BA0" w:rsidRDefault="00961536" w:rsidP="009A6BA0">
      <w:pPr>
        <w:rPr>
          <w:rFonts w:ascii="Arial" w:hAnsi="Arial" w:cs="Arial"/>
          <w:i/>
          <w:sz w:val="22"/>
          <w:szCs w:val="22"/>
        </w:rPr>
      </w:pPr>
      <w:r w:rsidRPr="009A6BA0">
        <w:rPr>
          <w:rFonts w:ascii="Arial" w:hAnsi="Arial" w:cs="Arial"/>
          <w:i/>
          <w:sz w:val="22"/>
          <w:szCs w:val="22"/>
        </w:rPr>
        <w:t>Legislation (Exemptions and Other Matters) Regulation 2015</w:t>
      </w:r>
    </w:p>
    <w:p w14:paraId="593492D8" w14:textId="77777777" w:rsidR="00961536" w:rsidRPr="009A6BA0" w:rsidRDefault="00961536" w:rsidP="009A6BA0">
      <w:pPr>
        <w:rPr>
          <w:rFonts w:ascii="Arial" w:hAnsi="Arial" w:cs="Arial"/>
          <w:i/>
          <w:sz w:val="22"/>
          <w:szCs w:val="22"/>
        </w:rPr>
      </w:pPr>
      <w:r w:rsidRPr="009A6BA0">
        <w:rPr>
          <w:rFonts w:ascii="Arial" w:hAnsi="Arial" w:cs="Arial"/>
          <w:i/>
          <w:sz w:val="22"/>
          <w:szCs w:val="22"/>
        </w:rPr>
        <w:t>Superannuation Industry (Supervision) Act 1993</w:t>
      </w:r>
    </w:p>
    <w:p w14:paraId="50F2581C" w14:textId="77777777" w:rsidR="00961536" w:rsidRPr="00356C95" w:rsidRDefault="00961536" w:rsidP="009A6BA0">
      <w:pPr>
        <w:rPr>
          <w:rFonts w:ascii="Arial" w:hAnsi="Arial" w:cs="Arial"/>
          <w:i/>
          <w:iCs/>
          <w:sz w:val="22"/>
          <w:szCs w:val="22"/>
        </w:rPr>
      </w:pPr>
      <w:r w:rsidRPr="00356C95">
        <w:rPr>
          <w:rFonts w:ascii="Arial" w:hAnsi="Arial" w:cs="Arial"/>
          <w:i/>
          <w:iCs/>
          <w:sz w:val="22"/>
          <w:szCs w:val="22"/>
        </w:rPr>
        <w:t>Tax Laws Amendment (2007 Measures No. 4) Bill 2007</w:t>
      </w:r>
    </w:p>
    <w:sectPr w:rsidR="00961536" w:rsidRPr="00356C95" w:rsidSect="00146ED8">
      <w:headerReference w:type="even" r:id="rId14"/>
      <w:headerReference w:type="default" r:id="rId15"/>
      <w:footerReference w:type="default" r:id="rId16"/>
      <w:headerReference w:type="first" r:id="rId17"/>
      <w:footerReference w:type="first" r:id="rId18"/>
      <w:pgSz w:w="11906" w:h="16838" w:code="9"/>
      <w:pgMar w:top="1440" w:right="1700" w:bottom="1358" w:left="184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3620" w14:textId="77777777" w:rsidR="009F2BB4" w:rsidRDefault="009F2BB4">
      <w:r>
        <w:separator/>
      </w:r>
    </w:p>
  </w:endnote>
  <w:endnote w:type="continuationSeparator" w:id="0">
    <w:p w14:paraId="594437F7" w14:textId="77777777" w:rsidR="009F2BB4" w:rsidRDefault="009F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487073281"/>
      <w:docPartObj>
        <w:docPartGallery w:val="Page Numbers (Bottom of Page)"/>
        <w:docPartUnique/>
      </w:docPartObj>
    </w:sdtPr>
    <w:sdtEndPr>
      <w:rPr>
        <w:noProof/>
      </w:rPr>
    </w:sdtEndPr>
    <w:sdtContent>
      <w:p w14:paraId="2ED77099" w14:textId="77777777" w:rsidR="009A6BA0" w:rsidRPr="009A6BA0" w:rsidRDefault="009A6BA0" w:rsidP="009A6BA0">
        <w:pPr>
          <w:pStyle w:val="Footer"/>
          <w:jc w:val="center"/>
          <w:rPr>
            <w:rFonts w:ascii="Arial" w:hAnsi="Arial" w:cs="Arial"/>
            <w:sz w:val="20"/>
          </w:rPr>
        </w:pPr>
        <w:r w:rsidRPr="009A6BA0">
          <w:rPr>
            <w:rFonts w:ascii="Arial" w:hAnsi="Arial" w:cs="Arial"/>
            <w:sz w:val="20"/>
          </w:rPr>
          <w:fldChar w:fldCharType="begin"/>
        </w:r>
        <w:r w:rsidRPr="009A6BA0">
          <w:rPr>
            <w:rFonts w:ascii="Arial" w:hAnsi="Arial" w:cs="Arial"/>
            <w:sz w:val="20"/>
          </w:rPr>
          <w:instrText xml:space="preserve"> PAGE   \* MERGEFORMAT </w:instrText>
        </w:r>
        <w:r w:rsidRPr="009A6BA0">
          <w:rPr>
            <w:rFonts w:ascii="Arial" w:hAnsi="Arial" w:cs="Arial"/>
            <w:sz w:val="20"/>
          </w:rPr>
          <w:fldChar w:fldCharType="separate"/>
        </w:r>
        <w:r w:rsidR="00B5058C">
          <w:rPr>
            <w:rFonts w:ascii="Arial" w:hAnsi="Arial" w:cs="Arial"/>
            <w:noProof/>
            <w:sz w:val="20"/>
          </w:rPr>
          <w:t>6</w:t>
        </w:r>
        <w:r w:rsidRPr="009A6BA0">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53727357"/>
      <w:docPartObj>
        <w:docPartGallery w:val="Page Numbers (Bottom of Page)"/>
        <w:docPartUnique/>
      </w:docPartObj>
    </w:sdtPr>
    <w:sdtEndPr>
      <w:rPr>
        <w:noProof/>
      </w:rPr>
    </w:sdtEndPr>
    <w:sdtContent>
      <w:p w14:paraId="353D8715" w14:textId="77777777" w:rsidR="00147D0F" w:rsidRPr="009A6BA0" w:rsidRDefault="00147D0F" w:rsidP="009A6BA0">
        <w:pPr>
          <w:pStyle w:val="Footer"/>
          <w:jc w:val="center"/>
          <w:rPr>
            <w:rFonts w:ascii="Arial" w:hAnsi="Arial" w:cs="Arial"/>
            <w:sz w:val="20"/>
          </w:rPr>
        </w:pPr>
        <w:r w:rsidRPr="009A6BA0">
          <w:rPr>
            <w:rFonts w:ascii="Arial" w:hAnsi="Arial" w:cs="Arial"/>
            <w:sz w:val="20"/>
          </w:rPr>
          <w:fldChar w:fldCharType="begin"/>
        </w:r>
        <w:r w:rsidRPr="009A6BA0">
          <w:rPr>
            <w:rFonts w:ascii="Arial" w:hAnsi="Arial" w:cs="Arial"/>
            <w:sz w:val="20"/>
          </w:rPr>
          <w:instrText xml:space="preserve"> PAGE   \* MERGEFORMAT </w:instrText>
        </w:r>
        <w:r w:rsidRPr="009A6BA0">
          <w:rPr>
            <w:rFonts w:ascii="Arial" w:hAnsi="Arial" w:cs="Arial"/>
            <w:sz w:val="20"/>
          </w:rPr>
          <w:fldChar w:fldCharType="separate"/>
        </w:r>
        <w:r w:rsidR="00A5787E">
          <w:rPr>
            <w:rFonts w:ascii="Arial" w:hAnsi="Arial" w:cs="Arial"/>
            <w:noProof/>
            <w:sz w:val="20"/>
          </w:rPr>
          <w:t>1</w:t>
        </w:r>
        <w:r w:rsidRPr="009A6BA0">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F7C5" w14:textId="77777777" w:rsidR="009F2BB4" w:rsidRDefault="009F2BB4">
      <w:r>
        <w:separator/>
      </w:r>
    </w:p>
  </w:footnote>
  <w:footnote w:type="continuationSeparator" w:id="0">
    <w:p w14:paraId="415F5E0D" w14:textId="77777777" w:rsidR="009F2BB4" w:rsidRDefault="009F2BB4">
      <w:r>
        <w:continuationSeparator/>
      </w:r>
    </w:p>
  </w:footnote>
  <w:footnote w:id="1">
    <w:p w14:paraId="36B55FFC" w14:textId="77777777" w:rsidR="0002461F" w:rsidRPr="0002461F" w:rsidRDefault="0002461F" w:rsidP="0002461F">
      <w:pPr>
        <w:pStyle w:val="FootnoteText"/>
        <w:ind w:left="113" w:hanging="113"/>
        <w:rPr>
          <w:rFonts w:ascii="Arial" w:hAnsi="Arial" w:cs="Arial"/>
          <w:sz w:val="18"/>
          <w:szCs w:val="18"/>
        </w:rPr>
      </w:pPr>
      <w:r w:rsidRPr="0002461F">
        <w:rPr>
          <w:rStyle w:val="FootnoteReference"/>
          <w:rFonts w:ascii="Arial" w:hAnsi="Arial" w:cs="Arial"/>
          <w:sz w:val="18"/>
          <w:szCs w:val="18"/>
        </w:rPr>
        <w:footnoteRef/>
      </w:r>
      <w:r w:rsidRPr="0002461F">
        <w:rPr>
          <w:rFonts w:ascii="Arial" w:hAnsi="Arial" w:cs="Arial"/>
          <w:sz w:val="18"/>
          <w:szCs w:val="18"/>
        </w:rPr>
        <w:t xml:space="preserve"> Within the meaning of subsection 70E(2) of the SISA.</w:t>
      </w:r>
    </w:p>
  </w:footnote>
  <w:footnote w:id="2">
    <w:p w14:paraId="67301465" w14:textId="77777777" w:rsidR="0002461F" w:rsidRPr="0002461F" w:rsidRDefault="0002461F" w:rsidP="0002461F">
      <w:pPr>
        <w:pStyle w:val="FootnoteText"/>
        <w:ind w:left="113" w:hanging="113"/>
        <w:rPr>
          <w:rFonts w:ascii="Arial" w:hAnsi="Arial" w:cs="Arial"/>
          <w:sz w:val="18"/>
          <w:szCs w:val="18"/>
        </w:rPr>
      </w:pPr>
      <w:r w:rsidRPr="0002461F">
        <w:rPr>
          <w:rStyle w:val="FootnoteReference"/>
          <w:rFonts w:ascii="Arial" w:hAnsi="Arial" w:cs="Arial"/>
          <w:sz w:val="18"/>
          <w:szCs w:val="18"/>
        </w:rPr>
        <w:footnoteRef/>
      </w:r>
      <w:r w:rsidRPr="0002461F">
        <w:rPr>
          <w:rFonts w:ascii="Arial" w:hAnsi="Arial" w:cs="Arial"/>
          <w:sz w:val="18"/>
          <w:szCs w:val="18"/>
        </w:rPr>
        <w:t xml:space="preserve"> See section 71(1) of the SISA.</w:t>
      </w:r>
    </w:p>
  </w:footnote>
  <w:footnote w:id="3">
    <w:p w14:paraId="3A8B5C54" w14:textId="77777777" w:rsidR="00ED467F" w:rsidRPr="0002461F" w:rsidRDefault="00ED467F" w:rsidP="0002461F">
      <w:pPr>
        <w:pStyle w:val="FootnoteText"/>
        <w:ind w:left="113" w:hanging="113"/>
        <w:rPr>
          <w:rFonts w:ascii="Arial" w:hAnsi="Arial" w:cs="Arial"/>
          <w:sz w:val="18"/>
          <w:szCs w:val="18"/>
        </w:rPr>
      </w:pPr>
      <w:r w:rsidRPr="0002461F">
        <w:rPr>
          <w:rStyle w:val="FootnoteReference"/>
          <w:rFonts w:ascii="Arial" w:hAnsi="Arial" w:cs="Arial"/>
          <w:sz w:val="18"/>
          <w:szCs w:val="18"/>
        </w:rPr>
        <w:footnoteRef/>
      </w:r>
      <w:r w:rsidRPr="0002461F">
        <w:rPr>
          <w:rFonts w:ascii="Arial" w:hAnsi="Arial" w:cs="Arial"/>
          <w:sz w:val="18"/>
          <w:szCs w:val="18"/>
        </w:rPr>
        <w:t xml:space="preserve"> See paragraphs 3.15 to 3.16 of the Explanatory Memorandum to </w:t>
      </w:r>
      <w:r w:rsidRPr="008F53AF">
        <w:rPr>
          <w:rFonts w:ascii="Arial" w:hAnsi="Arial" w:cs="Arial"/>
          <w:sz w:val="18"/>
          <w:szCs w:val="18"/>
        </w:rPr>
        <w:t>Tax Laws Amendment (2007 Measures No. 4) Bill 2007</w:t>
      </w:r>
      <w:r w:rsidRPr="0002461F">
        <w:rPr>
          <w:rFonts w:ascii="Arial" w:hAnsi="Arial" w:cs="Arial"/>
          <w:sz w:val="18"/>
          <w:szCs w:val="18"/>
        </w:rPr>
        <w:t xml:space="preserve"> with respect to the introduction of subsection 71(8) of the SISA</w:t>
      </w:r>
      <w:r w:rsidR="009A6BA0" w:rsidRPr="0002461F">
        <w:rPr>
          <w:rFonts w:ascii="Arial" w:hAnsi="Arial" w:cs="Arial"/>
          <w:sz w:val="18"/>
          <w:szCs w:val="18"/>
        </w:rPr>
        <w:t xml:space="preserve">. </w:t>
      </w:r>
      <w:r w:rsidRPr="0002461F">
        <w:rPr>
          <w:rFonts w:ascii="Arial" w:hAnsi="Arial" w:cs="Arial"/>
          <w:sz w:val="18"/>
          <w:szCs w:val="18"/>
        </w:rPr>
        <w:t>Note that these paragraphs refer to the concept of an ‘instalment warrant’ under subsection 67(4A) of the SISA which operated before the introduction of section 67A of the SISA</w:t>
      </w:r>
      <w:r w:rsidR="009A6BA0" w:rsidRPr="0002461F">
        <w:rPr>
          <w:rFonts w:ascii="Arial" w:hAnsi="Arial" w:cs="Arial"/>
          <w:sz w:val="18"/>
          <w:szCs w:val="18"/>
        </w:rPr>
        <w:t xml:space="preserve">. </w:t>
      </w:r>
      <w:r w:rsidRPr="0002461F">
        <w:rPr>
          <w:rFonts w:ascii="Arial" w:hAnsi="Arial" w:cs="Arial"/>
          <w:sz w:val="18"/>
          <w:szCs w:val="18"/>
        </w:rPr>
        <w:t>However, the policy is still relevant to a LRBA that meets the requirements of section 67A.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5923" w14:textId="77777777" w:rsidR="00587C50" w:rsidRPr="0067541C" w:rsidRDefault="00587C50">
    <w:pPr>
      <w:pStyle w:val="Header"/>
      <w:rPr>
        <w:rFonts w:ascii="Arial" w:hAnsi="Arial" w:cs="Arial"/>
        <w:sz w:val="52"/>
      </w:rPr>
    </w:pPr>
    <w:r w:rsidRPr="0067541C">
      <w:rPr>
        <w:rFonts w:ascii="Arial" w:hAnsi="Arial" w:cs="Arial"/>
        <w:sz w:val="20"/>
      </w:rPr>
      <w:t>Taxation Determination</w:t>
    </w:r>
  </w:p>
  <w:p w14:paraId="244E695C" w14:textId="77777777" w:rsidR="009A6BA0" w:rsidRDefault="00587C50">
    <w:pPr>
      <w:pStyle w:val="Header"/>
      <w:rPr>
        <w:rFonts w:ascii="Arial" w:hAnsi="Arial" w:cs="Arial"/>
        <w:b/>
        <w:sz w:val="52"/>
      </w:rPr>
    </w:pPr>
    <w:r w:rsidRPr="0067541C">
      <w:rPr>
        <w:rFonts w:ascii="Arial" w:hAnsi="Arial" w:cs="Arial"/>
        <w:b/>
        <w:sz w:val="52"/>
      </w:rPr>
      <w:t>TD</w:t>
    </w:r>
  </w:p>
  <w:p w14:paraId="6F2CB97F" w14:textId="77777777" w:rsidR="00587C50" w:rsidRPr="0067541C" w:rsidRDefault="00587C50">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r w:rsidR="00ED12CD">
      <w:rPr>
        <w:rFonts w:ascii="Arial" w:hAnsi="Arial" w:cs="Arial"/>
        <w:noProof/>
        <w:snapToGrid w:val="0"/>
        <w:sz w:val="20"/>
        <w:lang w:eastAsia="en-US"/>
      </w:rPr>
      <w:t>1</w:t>
    </w:r>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 xml:space="preserve">FOI status:  </w:t>
    </w:r>
    <w:r w:rsidRPr="0067541C">
      <w:rPr>
        <w:rFonts w:ascii="Arial" w:hAnsi="Arial" w:cs="Arial"/>
        <w:b/>
        <w:sz w:val="20"/>
      </w:rPr>
      <w:t>may be released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C419" w14:textId="77777777" w:rsidR="00587C50" w:rsidRPr="00C56782" w:rsidRDefault="00587C50" w:rsidP="001828A4">
    <w:pPr>
      <w:pStyle w:val="Header"/>
      <w:tabs>
        <w:tab w:val="clear" w:pos="4153"/>
        <w:tab w:val="clear" w:pos="8306"/>
        <w:tab w:val="center" w:pos="1418"/>
        <w:tab w:val="right" w:pos="8789"/>
      </w:tabs>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FFBB" w14:textId="77777777" w:rsidR="00146ED8" w:rsidRPr="00333FE9" w:rsidRDefault="00146ED8" w:rsidP="00B67BD4">
    <w:pPr>
      <w:framePr w:w="4426" w:h="706" w:hSpace="180" w:wrap="around" w:vAnchor="page" w:hAnchor="page" w:x="6466" w:y="1066"/>
      <w:pBdr>
        <w:top w:val="single" w:sz="12" w:space="1" w:color="auto"/>
        <w:left w:val="single" w:sz="12" w:space="1" w:color="auto"/>
        <w:bottom w:val="single" w:sz="12" w:space="1" w:color="auto"/>
        <w:right w:val="single" w:sz="12" w:space="1" w:color="auto"/>
      </w:pBdr>
      <w:jc w:val="center"/>
      <w:rPr>
        <w:rFonts w:ascii="Arial" w:hAnsi="Arial" w:cs="Arial"/>
        <w:sz w:val="20"/>
      </w:rPr>
    </w:pPr>
    <w:r>
      <w:rPr>
        <w:rFonts w:ascii="Arial" w:hAnsi="Arial" w:cs="Arial"/>
        <w:sz w:val="20"/>
      </w:rPr>
      <w:t xml:space="preserve">Australian </w:t>
    </w:r>
    <w:r w:rsidRPr="00333FE9">
      <w:rPr>
        <w:rFonts w:ascii="Arial" w:hAnsi="Arial" w:cs="Arial"/>
        <w:sz w:val="20"/>
      </w:rPr>
      <w:t xml:space="preserve">Taxation </w:t>
    </w:r>
    <w:r>
      <w:rPr>
        <w:rFonts w:ascii="Arial" w:hAnsi="Arial" w:cs="Arial"/>
        <w:sz w:val="20"/>
      </w:rPr>
      <w:t>Office Legislative Instrument</w:t>
    </w:r>
  </w:p>
  <w:p w14:paraId="2C3F78F5" w14:textId="6D0DB83D" w:rsidR="00146ED8" w:rsidRPr="00146ED8" w:rsidRDefault="00146ED8" w:rsidP="00B67BD4">
    <w:pPr>
      <w:framePr w:w="4426" w:h="706" w:hSpace="180" w:wrap="around" w:vAnchor="page" w:hAnchor="page" w:x="6466" w:y="1066"/>
      <w:pBdr>
        <w:top w:val="single" w:sz="12" w:space="1" w:color="auto"/>
        <w:left w:val="single" w:sz="12" w:space="1" w:color="auto"/>
        <w:bottom w:val="single" w:sz="12" w:space="1" w:color="auto"/>
        <w:right w:val="single" w:sz="12" w:space="1" w:color="auto"/>
      </w:pBdr>
      <w:rPr>
        <w:rFonts w:ascii="Arial" w:hAnsi="Arial" w:cs="Arial"/>
        <w:sz w:val="28"/>
        <w:szCs w:val="28"/>
      </w:rPr>
    </w:pPr>
    <w:r>
      <w:rPr>
        <w:rFonts w:ascii="Arial" w:hAnsi="Arial" w:cs="Arial"/>
        <w:b/>
        <w:sz w:val="32"/>
        <w:szCs w:val="32"/>
      </w:rPr>
      <w:t xml:space="preserve">  </w:t>
    </w:r>
    <w:r w:rsidRPr="00146ED8">
      <w:rPr>
        <w:rFonts w:ascii="Arial" w:hAnsi="Arial" w:cs="Arial"/>
        <w:b/>
        <w:sz w:val="28"/>
        <w:szCs w:val="28"/>
      </w:rPr>
      <w:t xml:space="preserve">Instrument ID: </w:t>
    </w:r>
    <w:r w:rsidR="002B35E2">
      <w:rPr>
        <w:rFonts w:ascii="Arial" w:hAnsi="Arial" w:cs="Arial"/>
        <w:b/>
        <w:sz w:val="28"/>
        <w:szCs w:val="28"/>
      </w:rPr>
      <w:t>2020</w:t>
    </w:r>
    <w:r w:rsidRPr="00146ED8">
      <w:rPr>
        <w:rFonts w:ascii="Arial" w:hAnsi="Arial" w:cs="Arial"/>
        <w:b/>
        <w:sz w:val="28"/>
        <w:szCs w:val="28"/>
      </w:rPr>
      <w:t>/</w:t>
    </w:r>
    <w:r w:rsidR="0054068C">
      <w:rPr>
        <w:rFonts w:ascii="Arial" w:hAnsi="Arial" w:cs="Arial"/>
        <w:b/>
        <w:sz w:val="28"/>
        <w:szCs w:val="28"/>
      </w:rPr>
      <w:t>SEO</w:t>
    </w:r>
    <w:r w:rsidRPr="00146ED8">
      <w:rPr>
        <w:rFonts w:ascii="Arial" w:hAnsi="Arial" w:cs="Arial"/>
        <w:b/>
        <w:sz w:val="28"/>
        <w:szCs w:val="28"/>
      </w:rPr>
      <w:t>/</w:t>
    </w:r>
    <w:r w:rsidR="002B35E2">
      <w:rPr>
        <w:rFonts w:ascii="Arial" w:hAnsi="Arial" w:cs="Arial"/>
        <w:b/>
        <w:sz w:val="28"/>
        <w:szCs w:val="28"/>
      </w:rPr>
      <w:t>00</w:t>
    </w:r>
    <w:r w:rsidR="00167F80">
      <w:rPr>
        <w:rFonts w:ascii="Arial" w:hAnsi="Arial" w:cs="Arial"/>
        <w:b/>
        <w:sz w:val="28"/>
        <w:szCs w:val="28"/>
      </w:rPr>
      <w:t>11</w:t>
    </w:r>
  </w:p>
  <w:p w14:paraId="1A10288C"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47C7D4ED" wp14:editId="584052CD">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78F038A8" w14:textId="77777777" w:rsidR="00CC1833" w:rsidRPr="001A6644" w:rsidRDefault="00CC1833" w:rsidP="001828A4">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C6D"/>
    <w:multiLevelType w:val="hybridMultilevel"/>
    <w:tmpl w:val="C01A3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80218"/>
    <w:multiLevelType w:val="hybridMultilevel"/>
    <w:tmpl w:val="22D0CE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CD16A91"/>
    <w:multiLevelType w:val="hybridMultilevel"/>
    <w:tmpl w:val="0F3CF08C"/>
    <w:lvl w:ilvl="0" w:tplc="04104052">
      <w:start w:val="1"/>
      <w:numFmt w:val="decimal"/>
      <w:lvlText w:val="%1."/>
      <w:lvlJc w:val="left"/>
      <w:pPr>
        <w:tabs>
          <w:tab w:val="num" w:pos="720"/>
        </w:tabs>
        <w:ind w:left="720" w:hanging="360"/>
      </w:pPr>
      <w:rPr>
        <w:rFonts w:hint="default"/>
        <w:sz w:val="22"/>
        <w:szCs w:val="22"/>
      </w:rPr>
    </w:lvl>
    <w:lvl w:ilvl="1" w:tplc="04104052">
      <w:start w:val="1"/>
      <w:numFmt w:val="decimal"/>
      <w:lvlText w:val="%2."/>
      <w:lvlJc w:val="left"/>
      <w:pPr>
        <w:tabs>
          <w:tab w:val="num" w:pos="1440"/>
        </w:tabs>
        <w:ind w:left="1440" w:hanging="360"/>
      </w:pPr>
      <w:rPr>
        <w:rFonts w:hint="default"/>
        <w:sz w:val="22"/>
        <w:szCs w:val="22"/>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D95A5E"/>
    <w:multiLevelType w:val="hybridMultilevel"/>
    <w:tmpl w:val="11BE0E88"/>
    <w:lvl w:ilvl="0" w:tplc="0C090001">
      <w:start w:val="1"/>
      <w:numFmt w:val="bullet"/>
      <w:lvlText w:val=""/>
      <w:lvlJc w:val="left"/>
      <w:pPr>
        <w:ind w:left="741" w:hanging="360"/>
      </w:pPr>
      <w:rPr>
        <w:rFonts w:ascii="Symbol" w:hAnsi="Symbol" w:hint="default"/>
      </w:rPr>
    </w:lvl>
    <w:lvl w:ilvl="1" w:tplc="0C090003">
      <w:start w:val="1"/>
      <w:numFmt w:val="bullet"/>
      <w:lvlText w:val="o"/>
      <w:lvlJc w:val="left"/>
      <w:pPr>
        <w:ind w:left="1461" w:hanging="360"/>
      </w:pPr>
      <w:rPr>
        <w:rFonts w:ascii="Courier New" w:hAnsi="Courier New" w:cs="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cs="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cs="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4" w15:restartNumberingAfterBreak="0">
    <w:nsid w:val="150A53C5"/>
    <w:multiLevelType w:val="hybridMultilevel"/>
    <w:tmpl w:val="4E92C6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495A8D"/>
    <w:multiLevelType w:val="hybridMultilevel"/>
    <w:tmpl w:val="4044E144"/>
    <w:lvl w:ilvl="0" w:tplc="02224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C67442"/>
    <w:multiLevelType w:val="hybridMultilevel"/>
    <w:tmpl w:val="33D61944"/>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60C1EEF"/>
    <w:multiLevelType w:val="hybridMultilevel"/>
    <w:tmpl w:val="8B525260"/>
    <w:lvl w:ilvl="0" w:tplc="B7EC8BD2">
      <w:start w:val="1"/>
      <w:numFmt w:val="decimal"/>
      <w:lvlText w:val="(%1)"/>
      <w:lvlJc w:val="left"/>
      <w:pPr>
        <w:ind w:left="1440" w:hanging="360"/>
      </w:pPr>
      <w:rPr>
        <w:rFonts w:hint="default"/>
      </w:rPr>
    </w:lvl>
    <w:lvl w:ilvl="1" w:tplc="073248BA">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7C77D53"/>
    <w:multiLevelType w:val="hybridMultilevel"/>
    <w:tmpl w:val="1ED08BF6"/>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77752A"/>
    <w:multiLevelType w:val="hybridMultilevel"/>
    <w:tmpl w:val="EB7C84F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65A69"/>
    <w:multiLevelType w:val="hybridMultilevel"/>
    <w:tmpl w:val="5E3EDACC"/>
    <w:lvl w:ilvl="0" w:tplc="5650CDFE">
      <w:start w:val="1"/>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FCC3903"/>
    <w:multiLevelType w:val="hybridMultilevel"/>
    <w:tmpl w:val="809430A4"/>
    <w:lvl w:ilvl="0" w:tplc="04104052">
      <w:start w:val="1"/>
      <w:numFmt w:val="decimal"/>
      <w:lvlText w:val="%1."/>
      <w:lvlJc w:val="left"/>
      <w:pPr>
        <w:tabs>
          <w:tab w:val="num" w:pos="720"/>
        </w:tabs>
        <w:ind w:left="720" w:hanging="360"/>
      </w:pPr>
      <w:rPr>
        <w:rFonts w:hint="default"/>
        <w:sz w:val="22"/>
        <w:szCs w:val="22"/>
      </w:rPr>
    </w:lvl>
    <w:lvl w:ilvl="1" w:tplc="C2ACD91E">
      <w:start w:val="1"/>
      <w:numFmt w:val="lowerLetter"/>
      <w:lvlText w:val="(%2)"/>
      <w:lvlJc w:val="left"/>
      <w:pPr>
        <w:tabs>
          <w:tab w:val="num" w:pos="1440"/>
        </w:tabs>
        <w:ind w:left="1440" w:hanging="360"/>
      </w:pPr>
      <w:rPr>
        <w:rFonts w:hint="default"/>
        <w:sz w:val="22"/>
        <w:szCs w:val="22"/>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FDE64EB"/>
    <w:multiLevelType w:val="hybridMultilevel"/>
    <w:tmpl w:val="B192A77E"/>
    <w:lvl w:ilvl="0" w:tplc="CFA0D5F4">
      <w:start w:val="10"/>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B45D0D"/>
    <w:multiLevelType w:val="hybridMultilevel"/>
    <w:tmpl w:val="D74E4B50"/>
    <w:lvl w:ilvl="0" w:tplc="51D82C2A">
      <w:numFmt w:val="bullet"/>
      <w:lvlText w:val="-"/>
      <w:lvlJc w:val="left"/>
      <w:pPr>
        <w:ind w:left="1449" w:hanging="360"/>
      </w:pPr>
      <w:rPr>
        <w:rFonts w:ascii="Cambria" w:eastAsia="Calibri" w:hAnsi="Cambria" w:cs="Times New Roman" w:hint="default"/>
      </w:rPr>
    </w:lvl>
    <w:lvl w:ilvl="1" w:tplc="0C090003">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14" w15:restartNumberingAfterBreak="0">
    <w:nsid w:val="49E228DC"/>
    <w:multiLevelType w:val="hybridMultilevel"/>
    <w:tmpl w:val="86EC7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D532762"/>
    <w:multiLevelType w:val="hybridMultilevel"/>
    <w:tmpl w:val="79A891E2"/>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2A26519"/>
    <w:multiLevelType w:val="hybridMultilevel"/>
    <w:tmpl w:val="DE40E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FE0FB8"/>
    <w:multiLevelType w:val="hybridMultilevel"/>
    <w:tmpl w:val="4044E144"/>
    <w:lvl w:ilvl="0" w:tplc="02224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63D34F49"/>
    <w:multiLevelType w:val="hybridMultilevel"/>
    <w:tmpl w:val="E85A64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46B2E49"/>
    <w:multiLevelType w:val="hybridMultilevel"/>
    <w:tmpl w:val="A59274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7917E37"/>
    <w:multiLevelType w:val="hybridMultilevel"/>
    <w:tmpl w:val="C48A85F0"/>
    <w:lvl w:ilvl="0" w:tplc="EC44A7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71461B"/>
    <w:multiLevelType w:val="hybridMultilevel"/>
    <w:tmpl w:val="4A4CB74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C4317D"/>
    <w:multiLevelType w:val="hybridMultilevel"/>
    <w:tmpl w:val="2B466CA4"/>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5C67077"/>
    <w:multiLevelType w:val="hybridMultilevel"/>
    <w:tmpl w:val="ACCA4AF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5" w15:restartNumberingAfterBreak="0">
    <w:nsid w:val="7EED216A"/>
    <w:multiLevelType w:val="hybridMultilevel"/>
    <w:tmpl w:val="E33ABBE6"/>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3"/>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0"/>
  </w:num>
  <w:num w:numId="11">
    <w:abstractNumId w:val="23"/>
  </w:num>
  <w:num w:numId="12">
    <w:abstractNumId w:val="15"/>
  </w:num>
  <w:num w:numId="13">
    <w:abstractNumId w:val="8"/>
  </w:num>
  <w:num w:numId="14">
    <w:abstractNumId w:val="6"/>
  </w:num>
  <w:num w:numId="15">
    <w:abstractNumId w:val="19"/>
  </w:num>
  <w:num w:numId="16">
    <w:abstractNumId w:val="22"/>
  </w:num>
  <w:num w:numId="17">
    <w:abstractNumId w:val="21"/>
  </w:num>
  <w:num w:numId="18">
    <w:abstractNumId w:val="7"/>
  </w:num>
  <w:num w:numId="19">
    <w:abstractNumId w:val="9"/>
  </w:num>
  <w:num w:numId="20">
    <w:abstractNumId w:val="10"/>
  </w:num>
  <w:num w:numId="21">
    <w:abstractNumId w:val="2"/>
  </w:num>
  <w:num w:numId="22">
    <w:abstractNumId w:val="25"/>
  </w:num>
  <w:num w:numId="23">
    <w:abstractNumId w:val="5"/>
  </w:num>
  <w:num w:numId="24">
    <w:abstractNumId w:val="17"/>
  </w:num>
  <w:num w:numId="25">
    <w:abstractNumId w:val="12"/>
  </w:num>
  <w:num w:numId="26">
    <w:abstractNumId w:val="4"/>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05E4D"/>
    <w:rsid w:val="000102A5"/>
    <w:rsid w:val="000117B2"/>
    <w:rsid w:val="0001796D"/>
    <w:rsid w:val="00017BF0"/>
    <w:rsid w:val="0002461F"/>
    <w:rsid w:val="0002568B"/>
    <w:rsid w:val="00043FA7"/>
    <w:rsid w:val="000552E8"/>
    <w:rsid w:val="00056585"/>
    <w:rsid w:val="0005674F"/>
    <w:rsid w:val="0006365C"/>
    <w:rsid w:val="00065C6E"/>
    <w:rsid w:val="00070954"/>
    <w:rsid w:val="00072BB3"/>
    <w:rsid w:val="00073F1B"/>
    <w:rsid w:val="00075B58"/>
    <w:rsid w:val="00086E44"/>
    <w:rsid w:val="000A2A6D"/>
    <w:rsid w:val="000B11DD"/>
    <w:rsid w:val="000B44C9"/>
    <w:rsid w:val="000B7644"/>
    <w:rsid w:val="000C390A"/>
    <w:rsid w:val="000C77DD"/>
    <w:rsid w:val="000E295B"/>
    <w:rsid w:val="000E3B41"/>
    <w:rsid w:val="000E42CA"/>
    <w:rsid w:val="000E45A0"/>
    <w:rsid w:val="00107460"/>
    <w:rsid w:val="00112415"/>
    <w:rsid w:val="001159D2"/>
    <w:rsid w:val="00120CD5"/>
    <w:rsid w:val="00135E9F"/>
    <w:rsid w:val="00136547"/>
    <w:rsid w:val="0013678D"/>
    <w:rsid w:val="00137415"/>
    <w:rsid w:val="00140A34"/>
    <w:rsid w:val="00146ED8"/>
    <w:rsid w:val="00147D0F"/>
    <w:rsid w:val="00162B79"/>
    <w:rsid w:val="00167202"/>
    <w:rsid w:val="00167F80"/>
    <w:rsid w:val="001724FC"/>
    <w:rsid w:val="00176AD8"/>
    <w:rsid w:val="0018149E"/>
    <w:rsid w:val="001828A4"/>
    <w:rsid w:val="001A3BE2"/>
    <w:rsid w:val="001A5CE8"/>
    <w:rsid w:val="001C02B3"/>
    <w:rsid w:val="001C35E7"/>
    <w:rsid w:val="001C4578"/>
    <w:rsid w:val="001C5011"/>
    <w:rsid w:val="001F0EAF"/>
    <w:rsid w:val="001F28A6"/>
    <w:rsid w:val="001F2962"/>
    <w:rsid w:val="001F2A16"/>
    <w:rsid w:val="001F38BB"/>
    <w:rsid w:val="001F6921"/>
    <w:rsid w:val="001F7C3E"/>
    <w:rsid w:val="001F7DF2"/>
    <w:rsid w:val="00201969"/>
    <w:rsid w:val="00204D6A"/>
    <w:rsid w:val="00212557"/>
    <w:rsid w:val="00213FA5"/>
    <w:rsid w:val="0021698E"/>
    <w:rsid w:val="00216F74"/>
    <w:rsid w:val="00226625"/>
    <w:rsid w:val="0023733A"/>
    <w:rsid w:val="0024044F"/>
    <w:rsid w:val="00245D00"/>
    <w:rsid w:val="00247480"/>
    <w:rsid w:val="00257F2D"/>
    <w:rsid w:val="00262EE6"/>
    <w:rsid w:val="00262F9F"/>
    <w:rsid w:val="00266D2D"/>
    <w:rsid w:val="00272A05"/>
    <w:rsid w:val="0027331F"/>
    <w:rsid w:val="00285CAA"/>
    <w:rsid w:val="00285E76"/>
    <w:rsid w:val="00286E62"/>
    <w:rsid w:val="002916FE"/>
    <w:rsid w:val="00292CE8"/>
    <w:rsid w:val="002949C3"/>
    <w:rsid w:val="002A10A4"/>
    <w:rsid w:val="002A26FE"/>
    <w:rsid w:val="002A67DF"/>
    <w:rsid w:val="002B1423"/>
    <w:rsid w:val="002B35E2"/>
    <w:rsid w:val="002B6563"/>
    <w:rsid w:val="002D1FB6"/>
    <w:rsid w:val="002D3026"/>
    <w:rsid w:val="002D5BBF"/>
    <w:rsid w:val="002F1257"/>
    <w:rsid w:val="0030019E"/>
    <w:rsid w:val="00301795"/>
    <w:rsid w:val="00310C61"/>
    <w:rsid w:val="00314476"/>
    <w:rsid w:val="00316716"/>
    <w:rsid w:val="003171B3"/>
    <w:rsid w:val="0032559D"/>
    <w:rsid w:val="00333567"/>
    <w:rsid w:val="00344575"/>
    <w:rsid w:val="0035113C"/>
    <w:rsid w:val="00354525"/>
    <w:rsid w:val="00356C95"/>
    <w:rsid w:val="00361F92"/>
    <w:rsid w:val="00363865"/>
    <w:rsid w:val="00371F05"/>
    <w:rsid w:val="00373A9D"/>
    <w:rsid w:val="00380CC4"/>
    <w:rsid w:val="00387505"/>
    <w:rsid w:val="003B52CD"/>
    <w:rsid w:val="003C0686"/>
    <w:rsid w:val="003D04C4"/>
    <w:rsid w:val="003D08CF"/>
    <w:rsid w:val="003D0CBA"/>
    <w:rsid w:val="003D0F6A"/>
    <w:rsid w:val="003D379A"/>
    <w:rsid w:val="003D4BA8"/>
    <w:rsid w:val="003E28C4"/>
    <w:rsid w:val="003E5269"/>
    <w:rsid w:val="00405394"/>
    <w:rsid w:val="004066E4"/>
    <w:rsid w:val="0040680B"/>
    <w:rsid w:val="00406A48"/>
    <w:rsid w:val="00407361"/>
    <w:rsid w:val="00413E52"/>
    <w:rsid w:val="00417C55"/>
    <w:rsid w:val="00421C78"/>
    <w:rsid w:val="00424A7B"/>
    <w:rsid w:val="00436130"/>
    <w:rsid w:val="00444211"/>
    <w:rsid w:val="004447C1"/>
    <w:rsid w:val="00446B93"/>
    <w:rsid w:val="0045590D"/>
    <w:rsid w:val="004576BB"/>
    <w:rsid w:val="0046211F"/>
    <w:rsid w:val="0046787B"/>
    <w:rsid w:val="00486653"/>
    <w:rsid w:val="00497BC6"/>
    <w:rsid w:val="004A5FDA"/>
    <w:rsid w:val="004B7823"/>
    <w:rsid w:val="004D098C"/>
    <w:rsid w:val="004D24A9"/>
    <w:rsid w:val="004E5357"/>
    <w:rsid w:val="004F24A5"/>
    <w:rsid w:val="004F4A07"/>
    <w:rsid w:val="004F5EB1"/>
    <w:rsid w:val="004F6887"/>
    <w:rsid w:val="005030AD"/>
    <w:rsid w:val="0051249C"/>
    <w:rsid w:val="00512851"/>
    <w:rsid w:val="005176E7"/>
    <w:rsid w:val="00520330"/>
    <w:rsid w:val="00524B6B"/>
    <w:rsid w:val="005309A4"/>
    <w:rsid w:val="0054068C"/>
    <w:rsid w:val="00540721"/>
    <w:rsid w:val="005413EE"/>
    <w:rsid w:val="00545778"/>
    <w:rsid w:val="00550FA8"/>
    <w:rsid w:val="00561D17"/>
    <w:rsid w:val="00573B6E"/>
    <w:rsid w:val="00586633"/>
    <w:rsid w:val="00587443"/>
    <w:rsid w:val="00587C50"/>
    <w:rsid w:val="005917F3"/>
    <w:rsid w:val="00591C58"/>
    <w:rsid w:val="00592A3F"/>
    <w:rsid w:val="005B0672"/>
    <w:rsid w:val="005B0ACD"/>
    <w:rsid w:val="005B50A2"/>
    <w:rsid w:val="005C3408"/>
    <w:rsid w:val="005C3EC3"/>
    <w:rsid w:val="005D611B"/>
    <w:rsid w:val="005E06E2"/>
    <w:rsid w:val="005E112B"/>
    <w:rsid w:val="005E136D"/>
    <w:rsid w:val="005F1ACE"/>
    <w:rsid w:val="005F1AF9"/>
    <w:rsid w:val="005F256D"/>
    <w:rsid w:val="0060183A"/>
    <w:rsid w:val="00603110"/>
    <w:rsid w:val="00611C8E"/>
    <w:rsid w:val="00612847"/>
    <w:rsid w:val="00614DE8"/>
    <w:rsid w:val="00625403"/>
    <w:rsid w:val="00631F30"/>
    <w:rsid w:val="00642420"/>
    <w:rsid w:val="00646158"/>
    <w:rsid w:val="00662144"/>
    <w:rsid w:val="006626D7"/>
    <w:rsid w:val="0066622C"/>
    <w:rsid w:val="00666487"/>
    <w:rsid w:val="00673B37"/>
    <w:rsid w:val="00673E7B"/>
    <w:rsid w:val="00676A03"/>
    <w:rsid w:val="00692DFA"/>
    <w:rsid w:val="00693421"/>
    <w:rsid w:val="006945EA"/>
    <w:rsid w:val="006B5470"/>
    <w:rsid w:val="006B5A7B"/>
    <w:rsid w:val="006C00A7"/>
    <w:rsid w:val="006C45E1"/>
    <w:rsid w:val="006D0138"/>
    <w:rsid w:val="006D6F52"/>
    <w:rsid w:val="006E2F1F"/>
    <w:rsid w:val="006F1CFD"/>
    <w:rsid w:val="006F5C09"/>
    <w:rsid w:val="00701718"/>
    <w:rsid w:val="0070270F"/>
    <w:rsid w:val="00710359"/>
    <w:rsid w:val="00712FFF"/>
    <w:rsid w:val="00717166"/>
    <w:rsid w:val="00722DBF"/>
    <w:rsid w:val="00726EA8"/>
    <w:rsid w:val="007326A7"/>
    <w:rsid w:val="007341DF"/>
    <w:rsid w:val="00735157"/>
    <w:rsid w:val="00742302"/>
    <w:rsid w:val="007431C9"/>
    <w:rsid w:val="00766ADD"/>
    <w:rsid w:val="00775490"/>
    <w:rsid w:val="00777787"/>
    <w:rsid w:val="00795D0C"/>
    <w:rsid w:val="00797737"/>
    <w:rsid w:val="007A15C9"/>
    <w:rsid w:val="007A55BA"/>
    <w:rsid w:val="007A5D4C"/>
    <w:rsid w:val="007B3877"/>
    <w:rsid w:val="007C13B6"/>
    <w:rsid w:val="007C1FBD"/>
    <w:rsid w:val="007C5C8E"/>
    <w:rsid w:val="007E0A01"/>
    <w:rsid w:val="007E22F5"/>
    <w:rsid w:val="007F25F3"/>
    <w:rsid w:val="007F4901"/>
    <w:rsid w:val="008044FB"/>
    <w:rsid w:val="008152DE"/>
    <w:rsid w:val="008368A0"/>
    <w:rsid w:val="00836B02"/>
    <w:rsid w:val="008409CD"/>
    <w:rsid w:val="008430AD"/>
    <w:rsid w:val="008467D4"/>
    <w:rsid w:val="00850FB0"/>
    <w:rsid w:val="0085238E"/>
    <w:rsid w:val="008540EA"/>
    <w:rsid w:val="00856F6C"/>
    <w:rsid w:val="00866A00"/>
    <w:rsid w:val="008702A6"/>
    <w:rsid w:val="00871DA0"/>
    <w:rsid w:val="008757CE"/>
    <w:rsid w:val="00882756"/>
    <w:rsid w:val="0088392C"/>
    <w:rsid w:val="008848EF"/>
    <w:rsid w:val="00897C0E"/>
    <w:rsid w:val="00897E31"/>
    <w:rsid w:val="008A046F"/>
    <w:rsid w:val="008A319B"/>
    <w:rsid w:val="008A405A"/>
    <w:rsid w:val="008A6A6A"/>
    <w:rsid w:val="008B19A2"/>
    <w:rsid w:val="008B1D58"/>
    <w:rsid w:val="008B3060"/>
    <w:rsid w:val="008B4934"/>
    <w:rsid w:val="008B650A"/>
    <w:rsid w:val="008B787C"/>
    <w:rsid w:val="008C3898"/>
    <w:rsid w:val="008C66CC"/>
    <w:rsid w:val="008D0BAF"/>
    <w:rsid w:val="008D4EFE"/>
    <w:rsid w:val="008F483C"/>
    <w:rsid w:val="008F53AF"/>
    <w:rsid w:val="008F644F"/>
    <w:rsid w:val="008F67CE"/>
    <w:rsid w:val="009017B1"/>
    <w:rsid w:val="00912D61"/>
    <w:rsid w:val="00914347"/>
    <w:rsid w:val="00927A30"/>
    <w:rsid w:val="009322D7"/>
    <w:rsid w:val="00932BDE"/>
    <w:rsid w:val="00960DC0"/>
    <w:rsid w:val="00961536"/>
    <w:rsid w:val="00963AAA"/>
    <w:rsid w:val="00967725"/>
    <w:rsid w:val="0097605A"/>
    <w:rsid w:val="00977328"/>
    <w:rsid w:val="0099020A"/>
    <w:rsid w:val="009902F8"/>
    <w:rsid w:val="0099077E"/>
    <w:rsid w:val="00993BB8"/>
    <w:rsid w:val="0099555F"/>
    <w:rsid w:val="009A1D8C"/>
    <w:rsid w:val="009A22A1"/>
    <w:rsid w:val="009A30C4"/>
    <w:rsid w:val="009A6BA0"/>
    <w:rsid w:val="009B3A1B"/>
    <w:rsid w:val="009B56B5"/>
    <w:rsid w:val="009B6332"/>
    <w:rsid w:val="009C0912"/>
    <w:rsid w:val="009D6694"/>
    <w:rsid w:val="009D6F19"/>
    <w:rsid w:val="009E122A"/>
    <w:rsid w:val="009F0300"/>
    <w:rsid w:val="009F2BB4"/>
    <w:rsid w:val="00A05069"/>
    <w:rsid w:val="00A167A8"/>
    <w:rsid w:val="00A21F0A"/>
    <w:rsid w:val="00A2344E"/>
    <w:rsid w:val="00A25D02"/>
    <w:rsid w:val="00A26011"/>
    <w:rsid w:val="00A31C26"/>
    <w:rsid w:val="00A506C2"/>
    <w:rsid w:val="00A52E1C"/>
    <w:rsid w:val="00A5787E"/>
    <w:rsid w:val="00A62886"/>
    <w:rsid w:val="00A62C12"/>
    <w:rsid w:val="00A74C38"/>
    <w:rsid w:val="00A77D24"/>
    <w:rsid w:val="00A8572F"/>
    <w:rsid w:val="00A93E07"/>
    <w:rsid w:val="00A979CF"/>
    <w:rsid w:val="00AA0833"/>
    <w:rsid w:val="00AA19BF"/>
    <w:rsid w:val="00AA4DF8"/>
    <w:rsid w:val="00AB780C"/>
    <w:rsid w:val="00AD3C03"/>
    <w:rsid w:val="00AD574C"/>
    <w:rsid w:val="00AD5ADE"/>
    <w:rsid w:val="00AE2316"/>
    <w:rsid w:val="00AE7138"/>
    <w:rsid w:val="00AF366D"/>
    <w:rsid w:val="00AF4CAF"/>
    <w:rsid w:val="00B0097F"/>
    <w:rsid w:val="00B02479"/>
    <w:rsid w:val="00B117BA"/>
    <w:rsid w:val="00B20D87"/>
    <w:rsid w:val="00B2576F"/>
    <w:rsid w:val="00B32057"/>
    <w:rsid w:val="00B5058C"/>
    <w:rsid w:val="00B52494"/>
    <w:rsid w:val="00B578AC"/>
    <w:rsid w:val="00B6433F"/>
    <w:rsid w:val="00B64CF5"/>
    <w:rsid w:val="00B67BD4"/>
    <w:rsid w:val="00B76C9B"/>
    <w:rsid w:val="00B8149F"/>
    <w:rsid w:val="00B823A1"/>
    <w:rsid w:val="00B82517"/>
    <w:rsid w:val="00B8428B"/>
    <w:rsid w:val="00B85F38"/>
    <w:rsid w:val="00B92BF6"/>
    <w:rsid w:val="00BA41F5"/>
    <w:rsid w:val="00BA594A"/>
    <w:rsid w:val="00BB36A2"/>
    <w:rsid w:val="00BB3C9C"/>
    <w:rsid w:val="00BD2299"/>
    <w:rsid w:val="00BE0214"/>
    <w:rsid w:val="00BE60B4"/>
    <w:rsid w:val="00BE6A47"/>
    <w:rsid w:val="00BF4822"/>
    <w:rsid w:val="00BF783D"/>
    <w:rsid w:val="00C00A71"/>
    <w:rsid w:val="00C01D22"/>
    <w:rsid w:val="00C104B6"/>
    <w:rsid w:val="00C10F02"/>
    <w:rsid w:val="00C114F4"/>
    <w:rsid w:val="00C11D03"/>
    <w:rsid w:val="00C1636A"/>
    <w:rsid w:val="00C16CF4"/>
    <w:rsid w:val="00C31967"/>
    <w:rsid w:val="00C371DE"/>
    <w:rsid w:val="00C409AE"/>
    <w:rsid w:val="00C42D50"/>
    <w:rsid w:val="00C43D46"/>
    <w:rsid w:val="00C50405"/>
    <w:rsid w:val="00C54DF8"/>
    <w:rsid w:val="00C55332"/>
    <w:rsid w:val="00C56782"/>
    <w:rsid w:val="00C60B49"/>
    <w:rsid w:val="00C63EA1"/>
    <w:rsid w:val="00C7440A"/>
    <w:rsid w:val="00C84EDD"/>
    <w:rsid w:val="00C865ED"/>
    <w:rsid w:val="00C8775A"/>
    <w:rsid w:val="00C91CB2"/>
    <w:rsid w:val="00CA0877"/>
    <w:rsid w:val="00CA6B59"/>
    <w:rsid w:val="00CA78E8"/>
    <w:rsid w:val="00CB3B6C"/>
    <w:rsid w:val="00CB498B"/>
    <w:rsid w:val="00CC1833"/>
    <w:rsid w:val="00CC189F"/>
    <w:rsid w:val="00CC1B7C"/>
    <w:rsid w:val="00CC3368"/>
    <w:rsid w:val="00CC6002"/>
    <w:rsid w:val="00CD2663"/>
    <w:rsid w:val="00CF19C4"/>
    <w:rsid w:val="00D13C04"/>
    <w:rsid w:val="00D20A78"/>
    <w:rsid w:val="00D254D5"/>
    <w:rsid w:val="00D278BA"/>
    <w:rsid w:val="00D40454"/>
    <w:rsid w:val="00D4059C"/>
    <w:rsid w:val="00D53D8F"/>
    <w:rsid w:val="00D55DA7"/>
    <w:rsid w:val="00D61C76"/>
    <w:rsid w:val="00D77015"/>
    <w:rsid w:val="00D867DB"/>
    <w:rsid w:val="00D92B48"/>
    <w:rsid w:val="00DB1693"/>
    <w:rsid w:val="00DB50D3"/>
    <w:rsid w:val="00DD2D27"/>
    <w:rsid w:val="00DD42E6"/>
    <w:rsid w:val="00DD5B07"/>
    <w:rsid w:val="00DE4CEA"/>
    <w:rsid w:val="00DE6821"/>
    <w:rsid w:val="00DF0919"/>
    <w:rsid w:val="00DF2022"/>
    <w:rsid w:val="00DF34BE"/>
    <w:rsid w:val="00DF5D59"/>
    <w:rsid w:val="00DF7843"/>
    <w:rsid w:val="00E011A9"/>
    <w:rsid w:val="00E11752"/>
    <w:rsid w:val="00E239E4"/>
    <w:rsid w:val="00E24BB9"/>
    <w:rsid w:val="00E24DF3"/>
    <w:rsid w:val="00E36A38"/>
    <w:rsid w:val="00E45E72"/>
    <w:rsid w:val="00E460B8"/>
    <w:rsid w:val="00E53399"/>
    <w:rsid w:val="00E74C17"/>
    <w:rsid w:val="00E77995"/>
    <w:rsid w:val="00E8619B"/>
    <w:rsid w:val="00E87099"/>
    <w:rsid w:val="00EA28D5"/>
    <w:rsid w:val="00EA28E6"/>
    <w:rsid w:val="00EA57CC"/>
    <w:rsid w:val="00EA782E"/>
    <w:rsid w:val="00EB75C6"/>
    <w:rsid w:val="00ED0CDC"/>
    <w:rsid w:val="00ED12CD"/>
    <w:rsid w:val="00ED467F"/>
    <w:rsid w:val="00ED50D8"/>
    <w:rsid w:val="00EF0C98"/>
    <w:rsid w:val="00EF47C1"/>
    <w:rsid w:val="00EF76B8"/>
    <w:rsid w:val="00EF78C4"/>
    <w:rsid w:val="00F04CD7"/>
    <w:rsid w:val="00F16FCE"/>
    <w:rsid w:val="00F23E15"/>
    <w:rsid w:val="00F244A2"/>
    <w:rsid w:val="00F25AFD"/>
    <w:rsid w:val="00F317D8"/>
    <w:rsid w:val="00F3333F"/>
    <w:rsid w:val="00F35064"/>
    <w:rsid w:val="00F350F3"/>
    <w:rsid w:val="00F374D8"/>
    <w:rsid w:val="00F47F3A"/>
    <w:rsid w:val="00F5124A"/>
    <w:rsid w:val="00F5684D"/>
    <w:rsid w:val="00F57AB6"/>
    <w:rsid w:val="00F6480F"/>
    <w:rsid w:val="00F70C2E"/>
    <w:rsid w:val="00F7545A"/>
    <w:rsid w:val="00F86713"/>
    <w:rsid w:val="00F932E0"/>
    <w:rsid w:val="00FB7701"/>
    <w:rsid w:val="00FC40F0"/>
    <w:rsid w:val="00FC6D3B"/>
    <w:rsid w:val="00FD0129"/>
    <w:rsid w:val="00FE1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954ED4"/>
  <w15:docId w15:val="{C5804C41-905C-4CDA-A242-7168C020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26EA8"/>
    <w:rPr>
      <w:sz w:val="24"/>
    </w:rPr>
  </w:style>
  <w:style w:type="paragraph" w:styleId="Heading2">
    <w:name w:val="heading 2"/>
    <w:basedOn w:val="Normal"/>
    <w:next w:val="Normal"/>
    <w:qFormat/>
    <w:rsid w:val="0099555F"/>
    <w:pPr>
      <w:keepNext/>
      <w:spacing w:after="120"/>
      <w:outlineLvl w:val="1"/>
    </w:pPr>
    <w:rPr>
      <w:rFonts w:ascii="Arial" w:hAnsi="Arial"/>
      <w:b/>
      <w:sz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555F"/>
    <w:pPr>
      <w:spacing w:before="100" w:beforeAutospacing="1" w:after="100" w:afterAutospacing="1"/>
    </w:pPr>
    <w:rPr>
      <w:szCs w:val="24"/>
    </w:rPr>
  </w:style>
  <w:style w:type="paragraph" w:styleId="Footer">
    <w:name w:val="footer"/>
    <w:basedOn w:val="Normal"/>
    <w:link w:val="FooterChar"/>
    <w:uiPriority w:val="99"/>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semiHidden/>
    <w:rsid w:val="00A26011"/>
    <w:rPr>
      <w:sz w:val="16"/>
      <w:szCs w:val="16"/>
    </w:rPr>
  </w:style>
  <w:style w:type="paragraph" w:styleId="CommentText">
    <w:name w:val="annotation text"/>
    <w:basedOn w:val="Normal"/>
    <w:link w:val="CommentTextChar"/>
    <w:uiPriority w:val="99"/>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CommentTextChar">
    <w:name w:val="Comment Text Char"/>
    <w:basedOn w:val="DefaultParagraphFont"/>
    <w:link w:val="CommentText"/>
    <w:uiPriority w:val="99"/>
    <w:rsid w:val="00361F92"/>
  </w:style>
  <w:style w:type="paragraph" w:styleId="Revision">
    <w:name w:val="Revision"/>
    <w:hidden/>
    <w:uiPriority w:val="99"/>
    <w:semiHidden/>
    <w:rsid w:val="005B0672"/>
    <w:rPr>
      <w:sz w:val="24"/>
    </w:rPr>
  </w:style>
  <w:style w:type="character" w:customStyle="1" w:styleId="FooterChar">
    <w:name w:val="Footer Char"/>
    <w:basedOn w:val="DefaultParagraphFont"/>
    <w:link w:val="Footer"/>
    <w:uiPriority w:val="99"/>
    <w:rsid w:val="00147D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1594">
      <w:bodyDiv w:val="1"/>
      <w:marLeft w:val="0"/>
      <w:marRight w:val="0"/>
      <w:marTop w:val="0"/>
      <w:marBottom w:val="0"/>
      <w:divBdr>
        <w:top w:val="none" w:sz="0" w:space="0" w:color="auto"/>
        <w:left w:val="none" w:sz="0" w:space="0" w:color="auto"/>
        <w:bottom w:val="none" w:sz="0" w:space="0" w:color="auto"/>
        <w:right w:val="none" w:sz="0" w:space="0" w:color="auto"/>
      </w:divBdr>
    </w:div>
    <w:div w:id="212155479">
      <w:bodyDiv w:val="1"/>
      <w:marLeft w:val="75"/>
      <w:marRight w:val="75"/>
      <w:marTop w:val="75"/>
      <w:marBottom w:val="75"/>
      <w:divBdr>
        <w:top w:val="none" w:sz="0" w:space="0" w:color="auto"/>
        <w:left w:val="none" w:sz="0" w:space="0" w:color="auto"/>
        <w:bottom w:val="none" w:sz="0" w:space="0" w:color="auto"/>
        <w:right w:val="none" w:sz="0" w:space="0" w:color="auto"/>
      </w:divBdr>
    </w:div>
    <w:div w:id="454716734">
      <w:bodyDiv w:val="1"/>
      <w:marLeft w:val="0"/>
      <w:marRight w:val="0"/>
      <w:marTop w:val="0"/>
      <w:marBottom w:val="0"/>
      <w:divBdr>
        <w:top w:val="none" w:sz="0" w:space="0" w:color="auto"/>
        <w:left w:val="none" w:sz="0" w:space="0" w:color="auto"/>
        <w:bottom w:val="none" w:sz="0" w:space="0" w:color="auto"/>
        <w:right w:val="none" w:sz="0" w:space="0" w:color="auto"/>
      </w:divBdr>
    </w:div>
    <w:div w:id="902330303">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368028072">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4">
          <w:marLeft w:val="0"/>
          <w:marRight w:val="0"/>
          <w:marTop w:val="0"/>
          <w:marBottom w:val="0"/>
          <w:divBdr>
            <w:top w:val="none" w:sz="0" w:space="0" w:color="auto"/>
            <w:left w:val="none" w:sz="0" w:space="0" w:color="auto"/>
            <w:bottom w:val="none" w:sz="0" w:space="0" w:color="auto"/>
            <w:right w:val="none" w:sz="0" w:space="0" w:color="auto"/>
          </w:divBdr>
          <w:divsChild>
            <w:div w:id="100075036">
              <w:marLeft w:val="0"/>
              <w:marRight w:val="0"/>
              <w:marTop w:val="0"/>
              <w:marBottom w:val="0"/>
              <w:divBdr>
                <w:top w:val="none" w:sz="0" w:space="0" w:color="auto"/>
                <w:left w:val="none" w:sz="0" w:space="0" w:color="auto"/>
                <w:bottom w:val="none" w:sz="0" w:space="0" w:color="auto"/>
                <w:right w:val="none" w:sz="0" w:space="0" w:color="auto"/>
              </w:divBdr>
              <w:divsChild>
                <w:div w:id="1476027639">
                  <w:marLeft w:val="0"/>
                  <w:marRight w:val="0"/>
                  <w:marTop w:val="0"/>
                  <w:marBottom w:val="0"/>
                  <w:divBdr>
                    <w:top w:val="none" w:sz="0" w:space="0" w:color="auto"/>
                    <w:left w:val="none" w:sz="0" w:space="0" w:color="auto"/>
                    <w:bottom w:val="none" w:sz="0" w:space="0" w:color="auto"/>
                    <w:right w:val="none" w:sz="0" w:space="0" w:color="auto"/>
                  </w:divBdr>
                  <w:divsChild>
                    <w:div w:id="1831364811">
                      <w:marLeft w:val="0"/>
                      <w:marRight w:val="0"/>
                      <w:marTop w:val="0"/>
                      <w:marBottom w:val="0"/>
                      <w:divBdr>
                        <w:top w:val="none" w:sz="0" w:space="0" w:color="auto"/>
                        <w:left w:val="none" w:sz="0" w:space="0" w:color="auto"/>
                        <w:bottom w:val="none" w:sz="0" w:space="0" w:color="auto"/>
                        <w:right w:val="none" w:sz="0" w:space="0" w:color="auto"/>
                      </w:divBdr>
                      <w:divsChild>
                        <w:div w:id="1829832230">
                          <w:marLeft w:val="0"/>
                          <w:marRight w:val="0"/>
                          <w:marTop w:val="0"/>
                          <w:marBottom w:val="0"/>
                          <w:divBdr>
                            <w:top w:val="none" w:sz="0" w:space="0" w:color="auto"/>
                            <w:left w:val="none" w:sz="0" w:space="0" w:color="auto"/>
                            <w:bottom w:val="none" w:sz="0" w:space="0" w:color="auto"/>
                            <w:right w:val="none" w:sz="0" w:space="0" w:color="auto"/>
                          </w:divBdr>
                          <w:divsChild>
                            <w:div w:id="123236509">
                              <w:marLeft w:val="0"/>
                              <w:marRight w:val="0"/>
                              <w:marTop w:val="0"/>
                              <w:marBottom w:val="0"/>
                              <w:divBdr>
                                <w:top w:val="none" w:sz="0" w:space="0" w:color="auto"/>
                                <w:left w:val="none" w:sz="0" w:space="0" w:color="auto"/>
                                <w:bottom w:val="none" w:sz="0" w:space="0" w:color="auto"/>
                                <w:right w:val="none" w:sz="0" w:space="0" w:color="auto"/>
                              </w:divBdr>
                              <w:divsChild>
                                <w:div w:id="283268245">
                                  <w:marLeft w:val="0"/>
                                  <w:marRight w:val="0"/>
                                  <w:marTop w:val="0"/>
                                  <w:marBottom w:val="0"/>
                                  <w:divBdr>
                                    <w:top w:val="none" w:sz="0" w:space="0" w:color="auto"/>
                                    <w:left w:val="none" w:sz="0" w:space="0" w:color="auto"/>
                                    <w:bottom w:val="none" w:sz="0" w:space="0" w:color="auto"/>
                                    <w:right w:val="none" w:sz="0" w:space="0" w:color="auto"/>
                                  </w:divBdr>
                                  <w:divsChild>
                                    <w:div w:id="1220049769">
                                      <w:marLeft w:val="0"/>
                                      <w:marRight w:val="0"/>
                                      <w:marTop w:val="0"/>
                                      <w:marBottom w:val="0"/>
                                      <w:divBdr>
                                        <w:top w:val="none" w:sz="0" w:space="0" w:color="auto"/>
                                        <w:left w:val="none" w:sz="0" w:space="0" w:color="auto"/>
                                        <w:bottom w:val="none" w:sz="0" w:space="0" w:color="auto"/>
                                        <w:right w:val="none" w:sz="0" w:space="0" w:color="auto"/>
                                      </w:divBdr>
                                      <w:divsChild>
                                        <w:div w:id="2098087713">
                                          <w:marLeft w:val="0"/>
                                          <w:marRight w:val="0"/>
                                          <w:marTop w:val="0"/>
                                          <w:marBottom w:val="0"/>
                                          <w:divBdr>
                                            <w:top w:val="none" w:sz="0" w:space="0" w:color="auto"/>
                                            <w:left w:val="none" w:sz="0" w:space="0" w:color="auto"/>
                                            <w:bottom w:val="none" w:sz="0" w:space="0" w:color="auto"/>
                                            <w:right w:val="none" w:sz="0" w:space="0" w:color="auto"/>
                                          </w:divBdr>
                                          <w:divsChild>
                                            <w:div w:id="1591352859">
                                              <w:marLeft w:val="0"/>
                                              <w:marRight w:val="0"/>
                                              <w:marTop w:val="0"/>
                                              <w:marBottom w:val="0"/>
                                              <w:divBdr>
                                                <w:top w:val="none" w:sz="0" w:space="0" w:color="auto"/>
                                                <w:left w:val="none" w:sz="0" w:space="0" w:color="auto"/>
                                                <w:bottom w:val="none" w:sz="0" w:space="0" w:color="auto"/>
                                                <w:right w:val="none" w:sz="0" w:space="0" w:color="auto"/>
                                              </w:divBdr>
                                              <w:divsChild>
                                                <w:div w:id="218058456">
                                                  <w:marLeft w:val="0"/>
                                                  <w:marRight w:val="0"/>
                                                  <w:marTop w:val="0"/>
                                                  <w:marBottom w:val="0"/>
                                                  <w:divBdr>
                                                    <w:top w:val="none" w:sz="0" w:space="0" w:color="auto"/>
                                                    <w:left w:val="none" w:sz="0" w:space="0" w:color="auto"/>
                                                    <w:bottom w:val="none" w:sz="0" w:space="0" w:color="auto"/>
                                                    <w:right w:val="none" w:sz="0" w:space="0" w:color="auto"/>
                                                  </w:divBdr>
                                                  <w:divsChild>
                                                    <w:div w:id="362751055">
                                                      <w:marLeft w:val="0"/>
                                                      <w:marRight w:val="0"/>
                                                      <w:marTop w:val="0"/>
                                                      <w:marBottom w:val="0"/>
                                                      <w:divBdr>
                                                        <w:top w:val="none" w:sz="0" w:space="0" w:color="auto"/>
                                                        <w:left w:val="none" w:sz="0" w:space="0" w:color="auto"/>
                                                        <w:bottom w:val="none" w:sz="0" w:space="0" w:color="auto"/>
                                                        <w:right w:val="none" w:sz="0" w:space="0" w:color="auto"/>
                                                      </w:divBdr>
                                                      <w:divsChild>
                                                        <w:div w:id="4782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6806864">
      <w:bodyDiv w:val="1"/>
      <w:marLeft w:val="0"/>
      <w:marRight w:val="0"/>
      <w:marTop w:val="0"/>
      <w:marBottom w:val="0"/>
      <w:divBdr>
        <w:top w:val="none" w:sz="0" w:space="0" w:color="auto"/>
        <w:left w:val="none" w:sz="0" w:space="0" w:color="auto"/>
        <w:bottom w:val="none" w:sz="0" w:space="0" w:color="auto"/>
        <w:right w:val="none" w:sz="0" w:space="0" w:color="auto"/>
      </w:divBdr>
    </w:div>
    <w:div w:id="1806657487">
      <w:bodyDiv w:val="1"/>
      <w:marLeft w:val="75"/>
      <w:marRight w:val="75"/>
      <w:marTop w:val="75"/>
      <w:marBottom w:val="75"/>
      <w:divBdr>
        <w:top w:val="none" w:sz="0" w:space="0" w:color="auto"/>
        <w:left w:val="none" w:sz="0" w:space="0" w:color="auto"/>
        <w:bottom w:val="none" w:sz="0" w:space="0" w:color="auto"/>
        <w:right w:val="none" w:sz="0" w:space="0" w:color="auto"/>
      </w:divBdr>
      <w:divsChild>
        <w:div w:id="1708413387">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2096054584">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 w:id="2118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http://sharepoint</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c65f9449-2a65-4a94-823f-6ddb40b10aaa">
      <Value>Governance</Value>
    </Category>
    <TaxKeywordTaxHTField xmlns="5e039acd-daf0-4ba3-b421-e9b9ae1a3620">
      <Terms xmlns="http://schemas.microsoft.com/office/infopath/2007/PartnerControls"/>
    </TaxKeywordTaxHTField>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Branch xmlns="c65f9449-2a65-4a94-823f-6ddb40b10aaa">Law Design &amp; Governance</Branch>
    <TaxCatchAll xmlns="5e039acd-daf0-4ba3-b421-e9b9ae1a3620">
      <Value>1</Value>
    </TaxCatchAll>
    <_dlc_ExpireDateSaved xmlns="http://schemas.microsoft.com/sharepoint/v3" xsi:nil="true"/>
    <_dlc_ExpireDate xmlns="http://schemas.microsoft.com/sharepoint/v3">2027-04-21T01:40:16+00:00</_dlc_ExpireDate>
    <_dlc_DocId xmlns="5e039acd-daf0-4ba3-b421-e9b9ae1a3620">5YHNKJZSV77T-1853-1466</_dlc_DocId>
    <_dlc_DocIdUrl xmlns="5e039acd-daf0-4ba3-b421-e9b9ae1a3620">
      <Url>http://sharepoint/GASites/IntegratedTaxDesign/_layouts/DocIdRedir.aspx?ID=5YHNKJZSV77T-1853-1466</Url>
      <Description>5YHNKJZSV77T-1853-1466</Description>
    </_dlc_DocIdUrl>
    <Description0 xmlns="c65f9449-2a65-4a94-823f-6ddb40b10a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A64679C44DADA04984EEB770C4791873006B50A42D46FE94428A184B3B20B7217F" ma:contentTypeVersion="43" ma:contentTypeDescription="" ma:contentTypeScope="" ma:versionID="2afd382d7d354886d10c54a3da152149">
  <xsd:schema xmlns:xsd="http://www.w3.org/2001/XMLSchema" xmlns:xs="http://www.w3.org/2001/XMLSchema" xmlns:p="http://schemas.microsoft.com/office/2006/metadata/properties" xmlns:ns1="http://schemas.microsoft.com/sharepoint/v3" xmlns:ns2="5e039acd-daf0-4ba3-b421-e9b9ae1a3620" xmlns:ns3="c65f9449-2a65-4a94-823f-6ddb40b10aaa" targetNamespace="http://schemas.microsoft.com/office/2006/metadata/properties" ma:root="true" ma:fieldsID="ffb66b1a5010f932ec52a51dac9611d4" ns1:_="" ns2:_="" ns3:_="">
    <xsd:import namespace="http://schemas.microsoft.com/sharepoint/v3"/>
    <xsd:import namespace="5e039acd-daf0-4ba3-b421-e9b9ae1a3620"/>
    <xsd:import namespace="c65f9449-2a65-4a94-823f-6ddb40b10aaa"/>
    <xsd:element name="properties">
      <xsd:complexType>
        <xsd:sequence>
          <xsd:element name="documentManagement">
            <xsd:complexType>
              <xsd:all>
                <xsd:element ref="ns3:Description0" minOccurs="0"/>
                <xsd:element ref="ns3:Branch" minOccurs="0"/>
                <xsd:element ref="ns3:Category" minOccurs="0"/>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nillable="true"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All Tags" ma:fieldId="{23f27201-bee3-471e-b2e7-b64fd8b7ca38}" ma:taxonomyMulti="true" ma:sspId="552124a6-5639-4054-9398-f49b47b0070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f9449-2a65-4a94-823f-6ddb40b10aaa" elementFormDefault="qualified">
    <xsd:import namespace="http://schemas.microsoft.com/office/2006/documentManagement/types"/>
    <xsd:import namespace="http://schemas.microsoft.com/office/infopath/2007/PartnerControls"/>
    <xsd:element name="Description0" ma:index="2" nillable="true" ma:displayName="Description" ma:description="What is the document for, brief description" ma:internalName="Description0">
      <xsd:simpleType>
        <xsd:restriction base="dms:Note">
          <xsd:maxLength value="255"/>
        </xsd:restriction>
      </xsd:simpleType>
    </xsd:element>
    <xsd:element name="Branch" ma:index="5" nillable="true" ma:displayName="Branch" ma:format="Dropdown" ma:internalName="Branch" ma:readOnly="false">
      <xsd:simpleType>
        <xsd:restriction base="dms:Choice">
          <xsd:enumeration value="Revenue Analysis Branch"/>
          <xsd:enumeration value="Law Design &amp; Governance"/>
          <xsd:enumeration value="ATO Design &amp; Innovation"/>
          <xsd:enumeration value="ATO Policy Integration"/>
          <xsd:enumeration value="ITD Business Management"/>
        </xsd:restriction>
      </xsd:simpleType>
    </xsd:element>
    <xsd:element name="Category" ma:index="6" nillable="true" ma:displayName="Category" ma:internalName="Category" ma:readOnly="false">
      <xsd:complexType>
        <xsd:complexContent>
          <xsd:extension base="dms:MultiChoice">
            <xsd:sequence>
              <xsd:element name="Value" maxOccurs="unbounded" minOccurs="0" nillable="true">
                <xsd:simpleType>
                  <xsd:restriction base="dms:Choice">
                    <xsd:enumeration value="ITD Talks"/>
                    <xsd:enumeration value="ITD Forum"/>
                    <xsd:enumeration value="Policy Advice"/>
                    <xsd:enumeration value="Data analysis"/>
                    <xsd:enumeration value="Tax Reviews"/>
                    <xsd:enumeration value="Early engagement"/>
                    <xsd:enumeration value="Government relations"/>
                    <xsd:enumeration value="Costings"/>
                    <xsd:enumeration value="ITD Matters"/>
                    <xsd:enumeration value="How to guides"/>
                    <xsd:enumeration value="Governance"/>
                    <xsd:enumeration value="Stakeholder engagement"/>
                    <xsd:enumeration value="Risk management"/>
                    <xsd:enumeration value="Technical advice"/>
                    <xsd:enumeration value="Secondments"/>
                    <xsd:enumeration value="Rotations"/>
                    <xsd:enumeration value="Graduates"/>
                    <xsd:enumeration value="L&amp;D"/>
                    <xsd:enumeration value="Project management"/>
                    <xsd:enumeration value="Technology"/>
                    <xsd:enumeration value="Capability plan"/>
                    <xsd:enumeration value="Innovation"/>
                    <xsd:enumeration value="Support"/>
                    <xsd:enumeration value="Self Service Framework"/>
                    <xsd:enumeration value="Design groups"/>
                    <xsd:enumeration value="Branch Pla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56F5-71FC-48FA-B98E-E9A58F8032CA}">
  <ds:schemaRefs>
    <ds:schemaRef ds:uri="http://schemas.microsoft.com/office/2006/metadata/customXsn"/>
  </ds:schemaRefs>
</ds:datastoreItem>
</file>

<file path=customXml/itemProps2.xml><?xml version="1.0" encoding="utf-8"?>
<ds:datastoreItem xmlns:ds="http://schemas.openxmlformats.org/officeDocument/2006/customXml" ds:itemID="{9BBF1B00-FC19-4B1C-9D8B-7145DEC969EB}">
  <ds:schemaRefs>
    <ds:schemaRef ds:uri="http://schemas.microsoft.com/sharepoint/events"/>
  </ds:schemaRefs>
</ds:datastoreItem>
</file>

<file path=customXml/itemProps3.xml><?xml version="1.0" encoding="utf-8"?>
<ds:datastoreItem xmlns:ds="http://schemas.openxmlformats.org/officeDocument/2006/customXml" ds:itemID="{2CD597C1-B965-4E1A-A465-326C0C3A3173}">
  <ds:schemaRefs>
    <ds:schemaRef ds:uri="http://schemas.microsoft.com/office/2006/metadata/properties"/>
    <ds:schemaRef ds:uri="http://schemas.microsoft.com/office/infopath/2007/PartnerControls"/>
    <ds:schemaRef ds:uri="c65f9449-2a65-4a94-823f-6ddb40b10aaa"/>
    <ds:schemaRef ds:uri="5e039acd-daf0-4ba3-b421-e9b9ae1a3620"/>
    <ds:schemaRef ds:uri="http://schemas.microsoft.com/sharepoint/v3"/>
  </ds:schemaRefs>
</ds:datastoreItem>
</file>

<file path=customXml/itemProps4.xml><?xml version="1.0" encoding="utf-8"?>
<ds:datastoreItem xmlns:ds="http://schemas.openxmlformats.org/officeDocument/2006/customXml" ds:itemID="{C2FC20C5-498D-4972-B93B-EF96A69BE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c65f9449-2a65-4a94-823f-6ddb40b1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92B523-521B-4F01-8DAB-0EC284B7888D}">
  <ds:schemaRefs>
    <ds:schemaRef ds:uri="office.server.policy"/>
  </ds:schemaRefs>
</ds:datastoreItem>
</file>

<file path=customXml/itemProps6.xml><?xml version="1.0" encoding="utf-8"?>
<ds:datastoreItem xmlns:ds="http://schemas.openxmlformats.org/officeDocument/2006/customXml" ds:itemID="{A9D21B34-0B68-411B-A3EA-94C6FDB92CD2}">
  <ds:schemaRefs>
    <ds:schemaRef ds:uri="http://schemas.microsoft.com/sharepoint/v3/contenttype/forms"/>
  </ds:schemaRefs>
</ds:datastoreItem>
</file>

<file path=customXml/itemProps7.xml><?xml version="1.0" encoding="utf-8"?>
<ds:datastoreItem xmlns:ds="http://schemas.openxmlformats.org/officeDocument/2006/customXml" ds:itemID="{9E8A591D-19F7-41C6-96EE-82E0DD58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11319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[INSERT HERE THE TITLE OF THE INSTRUMENT] Legislative Instrument 200X</vt:lpstr>
    </vt:vector>
  </TitlesOfParts>
  <Company>Australian Taxation Office</Company>
  <LinksUpToDate>false</LinksUpToDate>
  <CharactersWithSpaces>13498</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HERE THE TITLE OF THE INSTRUMENT] Legislative Instrument 200X</dc:title>
  <dc:creator>ubafu</dc:creator>
  <cp:lastModifiedBy>Ashlee Spears</cp:lastModifiedBy>
  <cp:revision>2</cp:revision>
  <cp:lastPrinted>2017-04-21T01:19:00Z</cp:lastPrinted>
  <dcterms:created xsi:type="dcterms:W3CDTF">2020-05-13T23:41:00Z</dcterms:created>
  <dcterms:modified xsi:type="dcterms:W3CDTF">2020-05-13T23:41:00Z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0x010100A64679C44DADA04984EEB770C4791873006B50A42D46FE94428A184B3B20B7217F</vt:lpwstr>
  </property>
  <property fmtid="{D5CDD505-2E9C-101B-9397-08002B2CF9AE}" pid="3" name="_dlc_policyId">
    <vt:lpwstr>0x010100A64679C44DADA04984EEB770C4791873|1060299444</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b7595fec-83a9-468b-b75f-c1145ef2e88e</vt:lpwstr>
  </property>
  <property fmtid="{D5CDD505-2E9C-101B-9397-08002B2CF9AE}" pid="6" name="TaxKeyword">
    <vt:lpwstr/>
  </property>
  <property fmtid="{D5CDD505-2E9C-101B-9397-08002B2CF9AE}" pid="7" name="Security Classification">
    <vt:lpwstr>1;#UNCLASSIFIED|1bbb598d-ed8e-4faa-b9b5-c952cc7313f8</vt:lpwstr>
  </property>
</Properties>
</file>