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A0" w:rsidRDefault="00DE55A0" w:rsidP="009A1F64">
      <w:pPr>
        <w:pStyle w:val="HP"/>
        <w:keepNext w:val="0"/>
        <w:spacing w:before="0"/>
      </w:pPr>
      <w:r>
        <w:t>Commonwealth of Australia</w:t>
      </w:r>
    </w:p>
    <w:p w:rsidR="00DE55A0" w:rsidRDefault="00DE55A0">
      <w:pPr>
        <w:jc w:val="center"/>
        <w:rPr>
          <w:b/>
          <w:bCs/>
        </w:rPr>
      </w:pPr>
    </w:p>
    <w:p w:rsidR="00BD125D" w:rsidRDefault="00BD125D" w:rsidP="00BD125D">
      <w:pPr>
        <w:pStyle w:val="Heading6"/>
        <w:jc w:val="center"/>
        <w:rPr>
          <w:b w:val="0"/>
          <w:i/>
        </w:rPr>
      </w:pPr>
      <w:r w:rsidRPr="00BD125D">
        <w:rPr>
          <w:b w:val="0"/>
          <w:i/>
          <w:iCs/>
          <w:szCs w:val="24"/>
        </w:rPr>
        <w:t>Australian Communications and Media Authority Act 2005</w:t>
      </w:r>
    </w:p>
    <w:p w:rsidR="00DE55A0" w:rsidRDefault="00DE55A0">
      <w:pPr>
        <w:pStyle w:val="Title"/>
        <w:spacing w:before="0"/>
      </w:pPr>
      <w:bookmarkStart w:id="0" w:name="year"/>
    </w:p>
    <w:bookmarkEnd w:id="0"/>
    <w:p w:rsidR="00DE55A0" w:rsidRDefault="00BD125D" w:rsidP="00BD125D">
      <w:pPr>
        <w:pStyle w:val="Title"/>
        <w:spacing w:before="0"/>
      </w:pPr>
      <w:r>
        <w:t>Australian Communications and Media Authority (</w:t>
      </w:r>
      <w:r w:rsidR="00167847">
        <w:t>Modifications</w:t>
      </w:r>
      <w:r w:rsidR="004D2E08">
        <w:t xml:space="preserve"> to </w:t>
      </w:r>
      <w:r w:rsidR="00B5735F">
        <w:t xml:space="preserve">Apparatus </w:t>
      </w:r>
      <w:r w:rsidR="002367AB">
        <w:t xml:space="preserve">and Spectrum </w:t>
      </w:r>
      <w:r w:rsidR="004D2E08">
        <w:t>Licence</w:t>
      </w:r>
      <w:r w:rsidR="006A6433">
        <w:t>s</w:t>
      </w:r>
      <w:r w:rsidR="004D2E08">
        <w:t xml:space="preserve"> Taxes</w:t>
      </w:r>
      <w:r>
        <w:t>) Direction 20</w:t>
      </w:r>
      <w:r w:rsidR="009C3B9B">
        <w:t>20</w:t>
      </w:r>
      <w:r w:rsidR="00682E43">
        <w:t xml:space="preserve"> </w:t>
      </w:r>
    </w:p>
    <w:p w:rsidR="00DE55A0" w:rsidRDefault="00DE55A0"/>
    <w:p w:rsidR="00BD125D" w:rsidRDefault="00BD125D" w:rsidP="00BD125D">
      <w:pPr>
        <w:spacing w:before="400" w:line="300" w:lineRule="atLeast"/>
      </w:pPr>
      <w:r>
        <w:t>I,</w:t>
      </w:r>
      <w:r>
        <w:rPr>
          <w:caps/>
        </w:rPr>
        <w:t xml:space="preserve"> </w:t>
      </w:r>
      <w:r w:rsidR="00F00944">
        <w:rPr>
          <w:caps/>
        </w:rPr>
        <w:t>Paul Fletcher</w:t>
      </w:r>
      <w:r>
        <w:t>, Minister for Communications</w:t>
      </w:r>
      <w:r w:rsidR="00275710">
        <w:t>,</w:t>
      </w:r>
      <w:r w:rsidR="00F00944">
        <w:t xml:space="preserve"> Cyber Safety and the Arts,</w:t>
      </w:r>
      <w:r>
        <w:t xml:space="preserve"> make the following Direction</w:t>
      </w:r>
      <w:r w:rsidR="008603F1">
        <w:t>.</w:t>
      </w:r>
      <w:r>
        <w:rPr>
          <w:i/>
          <w:iCs/>
          <w:szCs w:val="24"/>
        </w:rPr>
        <w:t xml:space="preserve"> </w:t>
      </w:r>
    </w:p>
    <w:p w:rsidR="00BD125D" w:rsidRDefault="006A4C1C" w:rsidP="00E96718">
      <w:pPr>
        <w:tabs>
          <w:tab w:val="center" w:pos="4153"/>
        </w:tabs>
        <w:spacing w:before="300" w:after="600" w:line="300" w:lineRule="atLeast"/>
      </w:pPr>
      <w:r w:rsidRPr="008603F1">
        <w:t>Dated</w:t>
      </w:r>
      <w:r w:rsidR="0022137D" w:rsidRPr="008603F1">
        <w:t>:</w:t>
      </w:r>
      <w:r w:rsidRPr="008603F1">
        <w:t xml:space="preserve"> </w:t>
      </w:r>
      <w:r w:rsidR="001B5B81">
        <w:t>15 May 2020</w:t>
      </w:r>
      <w:bookmarkStart w:id="1" w:name="_GoBack"/>
      <w:bookmarkEnd w:id="1"/>
      <w:r w:rsidR="00E96718" w:rsidRPr="008603F1">
        <w:tab/>
      </w:r>
    </w:p>
    <w:p w:rsidR="00BD125D" w:rsidRDefault="00BD125D" w:rsidP="00BD125D">
      <w:pPr>
        <w:pStyle w:val="HP"/>
        <w:keepNext w:val="0"/>
        <w:spacing w:before="0"/>
      </w:pPr>
    </w:p>
    <w:p w:rsidR="008603F1" w:rsidRDefault="008603F1" w:rsidP="00E96718">
      <w:pPr>
        <w:pStyle w:val="HP"/>
        <w:keepNext w:val="0"/>
        <w:spacing w:before="0"/>
        <w:jc w:val="left"/>
        <w:rPr>
          <w:highlight w:val="lightGray"/>
        </w:rPr>
      </w:pPr>
    </w:p>
    <w:p w:rsidR="00BD125D" w:rsidRDefault="00F00944" w:rsidP="00E96718">
      <w:pPr>
        <w:pStyle w:val="HP"/>
        <w:keepNext w:val="0"/>
        <w:spacing w:before="0"/>
        <w:jc w:val="left"/>
        <w:rPr>
          <w:b w:val="0"/>
          <w:bCs w:val="0"/>
        </w:rPr>
      </w:pPr>
      <w:r>
        <w:rPr>
          <w:b w:val="0"/>
          <w:bCs w:val="0"/>
        </w:rPr>
        <w:t>PAUL FLETCHER</w:t>
      </w:r>
    </w:p>
    <w:p w:rsidR="00BD125D" w:rsidRDefault="00BD125D" w:rsidP="00E96718">
      <w:r>
        <w:t>Minister for Communications</w:t>
      </w:r>
      <w:r w:rsidR="00F00944">
        <w:t>, Cyber Safety and the Arts</w:t>
      </w:r>
      <w:r>
        <w:t xml:space="preserve"> _________________________________________________________________</w:t>
      </w:r>
    </w:p>
    <w:p w:rsidR="00BD125D" w:rsidRDefault="00BD125D" w:rsidP="00BD125D">
      <w:pPr>
        <w:pStyle w:val="HR"/>
        <w:numPr>
          <w:ilvl w:val="0"/>
          <w:numId w:val="12"/>
        </w:numPr>
        <w:tabs>
          <w:tab w:val="clear" w:pos="360"/>
          <w:tab w:val="num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Name of Direction</w:t>
      </w:r>
    </w:p>
    <w:p w:rsidR="006E5DDF" w:rsidRDefault="006E5DDF" w:rsidP="006E5DDF">
      <w:pPr>
        <w:pStyle w:val="ListParagraph"/>
        <w:ind w:left="851"/>
      </w:pPr>
    </w:p>
    <w:p w:rsidR="00BD125D" w:rsidRPr="006E5DDF" w:rsidRDefault="00BD125D" w:rsidP="006E5DDF">
      <w:pPr>
        <w:pStyle w:val="ListParagraph"/>
        <w:ind w:left="851"/>
      </w:pPr>
      <w:r>
        <w:t xml:space="preserve">This Direction is the </w:t>
      </w:r>
      <w:r w:rsidR="00167847" w:rsidRPr="006E5DDF">
        <w:rPr>
          <w:i/>
        </w:rPr>
        <w:t xml:space="preserve">Australian Communications and Media Authority (Modifications to </w:t>
      </w:r>
      <w:r w:rsidR="00B5735F" w:rsidRPr="006E5DDF">
        <w:rPr>
          <w:i/>
        </w:rPr>
        <w:t xml:space="preserve">Apparatus </w:t>
      </w:r>
      <w:r w:rsidR="002367AB" w:rsidRPr="006E5DDF">
        <w:rPr>
          <w:i/>
        </w:rPr>
        <w:t xml:space="preserve">and Spectrum </w:t>
      </w:r>
      <w:r w:rsidR="00167847" w:rsidRPr="006E5DDF">
        <w:rPr>
          <w:i/>
        </w:rPr>
        <w:t>Licence</w:t>
      </w:r>
      <w:r w:rsidR="006A6433" w:rsidRPr="006E5DDF">
        <w:rPr>
          <w:i/>
        </w:rPr>
        <w:t>s</w:t>
      </w:r>
      <w:r w:rsidR="00167847" w:rsidRPr="006E5DDF">
        <w:rPr>
          <w:i/>
        </w:rPr>
        <w:t xml:space="preserve"> Taxes) Direction 20</w:t>
      </w:r>
      <w:r w:rsidR="009C3B9B" w:rsidRPr="006E5DDF">
        <w:rPr>
          <w:i/>
        </w:rPr>
        <w:t>20</w:t>
      </w:r>
      <w:r w:rsidRPr="006E5DDF">
        <w:t xml:space="preserve">. </w:t>
      </w:r>
    </w:p>
    <w:p w:rsidR="00BD125D" w:rsidRDefault="008807D8" w:rsidP="00090F70">
      <w:pPr>
        <w:pStyle w:val="HR"/>
        <w:numPr>
          <w:ilvl w:val="0"/>
          <w:numId w:val="12"/>
        </w:numPr>
        <w:tabs>
          <w:tab w:val="clear" w:pos="360"/>
          <w:tab w:val="num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Commencement </w:t>
      </w:r>
    </w:p>
    <w:p w:rsidR="006E5DDF" w:rsidRDefault="006E5DDF" w:rsidP="006E5DDF">
      <w:pPr>
        <w:pStyle w:val="ListParagraph"/>
        <w:ind w:left="851"/>
      </w:pPr>
    </w:p>
    <w:p w:rsidR="00275710" w:rsidRDefault="0061556B" w:rsidP="006E5DDF">
      <w:pPr>
        <w:pStyle w:val="ListParagraph"/>
        <w:ind w:left="851"/>
      </w:pPr>
      <w:r>
        <w:t xml:space="preserve">This Direction commences on </w:t>
      </w:r>
      <w:r w:rsidR="004C3947">
        <w:t xml:space="preserve">the day after </w:t>
      </w:r>
      <w:r w:rsidR="0067146E">
        <w:t xml:space="preserve">it </w:t>
      </w:r>
      <w:r w:rsidR="004C3947">
        <w:t xml:space="preserve">is registered. </w:t>
      </w:r>
    </w:p>
    <w:p w:rsidR="004C3947" w:rsidRDefault="004C3947" w:rsidP="004C3947">
      <w:pPr>
        <w:pStyle w:val="HR"/>
        <w:numPr>
          <w:ilvl w:val="0"/>
          <w:numId w:val="12"/>
        </w:numPr>
        <w:tabs>
          <w:tab w:val="clear" w:pos="360"/>
          <w:tab w:val="num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Authority</w:t>
      </w:r>
    </w:p>
    <w:p w:rsidR="006E5DDF" w:rsidRDefault="006E5DDF" w:rsidP="006E5DDF">
      <w:pPr>
        <w:pStyle w:val="ListParagraph"/>
        <w:ind w:left="851"/>
      </w:pPr>
    </w:p>
    <w:p w:rsidR="004C3947" w:rsidRPr="006E5DDF" w:rsidRDefault="004C3947" w:rsidP="006E5DDF">
      <w:pPr>
        <w:pStyle w:val="ListParagraph"/>
        <w:ind w:left="851"/>
      </w:pPr>
      <w:r>
        <w:t xml:space="preserve">This Direction is made under section 14 of the </w:t>
      </w:r>
      <w:r w:rsidRPr="006E5DDF">
        <w:rPr>
          <w:i/>
        </w:rPr>
        <w:t>Australian Communications and Media Authority Act 2005</w:t>
      </w:r>
      <w:r w:rsidRPr="006E5DDF">
        <w:t xml:space="preserve">. </w:t>
      </w:r>
    </w:p>
    <w:p w:rsidR="00BB08DE" w:rsidRDefault="00BB08DE" w:rsidP="00BB08DE">
      <w:pPr>
        <w:pStyle w:val="HR"/>
        <w:numPr>
          <w:ilvl w:val="0"/>
          <w:numId w:val="12"/>
        </w:numPr>
        <w:tabs>
          <w:tab w:val="clear" w:pos="360"/>
          <w:tab w:val="num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Interpretation</w:t>
      </w:r>
    </w:p>
    <w:p w:rsidR="00BB08DE" w:rsidRPr="00BB08DE" w:rsidRDefault="00BB08DE" w:rsidP="00BB08DE">
      <w:pPr>
        <w:pStyle w:val="ListParagraph"/>
        <w:ind w:left="851"/>
      </w:pPr>
    </w:p>
    <w:p w:rsidR="00BD125D" w:rsidRDefault="00070A52" w:rsidP="00070A52">
      <w:pPr>
        <w:ind w:left="870" w:hanging="870"/>
      </w:pPr>
      <w:r>
        <w:t>(1)</w:t>
      </w:r>
      <w:r>
        <w:tab/>
      </w:r>
      <w:r w:rsidR="00BD125D">
        <w:t>In this Direction:</w:t>
      </w:r>
    </w:p>
    <w:p w:rsidR="008D29B2" w:rsidRDefault="00BD125D" w:rsidP="00BD125D">
      <w:pPr>
        <w:pStyle w:val="definition"/>
        <w:tabs>
          <w:tab w:val="clear" w:pos="1260"/>
          <w:tab w:val="left" w:pos="851"/>
        </w:tabs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ACMA </w:t>
      </w:r>
      <w:r>
        <w:rPr>
          <w:rFonts w:ascii="Times New Roman" w:hAnsi="Times New Roman" w:cs="Times New Roman"/>
          <w:sz w:val="24"/>
          <w:szCs w:val="24"/>
        </w:rPr>
        <w:t>means the Australian Communications and Media Authority.</w:t>
      </w:r>
    </w:p>
    <w:p w:rsidR="001F75D1" w:rsidRPr="00B265E1" w:rsidRDefault="00D93D5B" w:rsidP="00B265E1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Designated Spectrum Licen</w:t>
      </w:r>
      <w:r w:rsidR="00093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ce </w:t>
      </w:r>
      <w:r w:rsidRPr="001F75D1">
        <w:rPr>
          <w:rFonts w:ascii="Times New Roman" w:hAnsi="Times New Roman" w:cs="Times New Roman"/>
          <w:bCs/>
          <w:iCs/>
          <w:sz w:val="24"/>
          <w:szCs w:val="24"/>
        </w:rPr>
        <w:t>means a</w:t>
      </w:r>
      <w:r w:rsidRPr="007C5389">
        <w:rPr>
          <w:rFonts w:ascii="Times New Roman" w:hAnsi="Times New Roman" w:cs="Times New Roman"/>
          <w:bCs/>
          <w:iCs/>
          <w:sz w:val="24"/>
          <w:szCs w:val="24"/>
        </w:rPr>
        <w:t xml:space="preserve"> spectrum licence issued under </w:t>
      </w:r>
      <w:r w:rsidR="005D3570">
        <w:rPr>
          <w:rFonts w:ascii="Times New Roman" w:hAnsi="Times New Roman" w:cs="Times New Roman"/>
          <w:bCs/>
          <w:iCs/>
          <w:sz w:val="24"/>
          <w:szCs w:val="24"/>
        </w:rPr>
        <w:t xml:space="preserve">Part 3.2 of </w:t>
      </w:r>
      <w:r w:rsidRPr="00281942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Pr="005D3570">
        <w:rPr>
          <w:rFonts w:ascii="Times New Roman" w:hAnsi="Times New Roman" w:cs="Times New Roman"/>
          <w:bCs/>
          <w:i/>
          <w:iCs/>
          <w:sz w:val="24"/>
          <w:szCs w:val="24"/>
        </w:rPr>
        <w:t>Radio</w:t>
      </w:r>
      <w:r w:rsidRPr="00B043B3">
        <w:rPr>
          <w:bCs/>
          <w:i/>
          <w:iCs/>
          <w:sz w:val="24"/>
          <w:szCs w:val="24"/>
        </w:rPr>
        <w:t>communications Act 1992</w:t>
      </w:r>
      <w:r w:rsidR="006424FB" w:rsidRPr="00B043B3">
        <w:rPr>
          <w:bCs/>
          <w:iCs/>
          <w:sz w:val="24"/>
          <w:szCs w:val="24"/>
        </w:rPr>
        <w:t>,</w:t>
      </w:r>
      <w:r w:rsidRPr="00B043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F75D1">
        <w:rPr>
          <w:rFonts w:ascii="Times New Roman" w:hAnsi="Times New Roman" w:cs="Times New Roman"/>
          <w:bCs/>
          <w:iCs/>
          <w:sz w:val="24"/>
          <w:szCs w:val="24"/>
        </w:rPr>
        <w:t>other than the following:</w:t>
      </w:r>
    </w:p>
    <w:p w:rsidR="000121C4" w:rsidRDefault="00EC6AEA" w:rsidP="000121C4">
      <w:pPr>
        <w:pStyle w:val="ListParagraph"/>
        <w:numPr>
          <w:ilvl w:val="1"/>
          <w:numId w:val="20"/>
        </w:numPr>
      </w:pPr>
      <w:r>
        <w:lastRenderedPageBreak/>
        <w:t xml:space="preserve">a </w:t>
      </w:r>
      <w:r w:rsidR="006424FB">
        <w:t xml:space="preserve">spectrum licence </w:t>
      </w:r>
      <w:r w:rsidR="00D93D5B">
        <w:t>issued to</w:t>
      </w:r>
      <w:r w:rsidR="000121C4">
        <w:t>:</w:t>
      </w:r>
    </w:p>
    <w:p w:rsidR="000121C4" w:rsidRDefault="0099113B" w:rsidP="00E96718">
      <w:pPr>
        <w:pStyle w:val="ListParagraph"/>
        <w:numPr>
          <w:ilvl w:val="2"/>
          <w:numId w:val="20"/>
        </w:numPr>
      </w:pPr>
      <w:r>
        <w:t>a Department of S</w:t>
      </w:r>
      <w:r w:rsidR="000121C4">
        <w:t>t</w:t>
      </w:r>
      <w:r>
        <w:t xml:space="preserve">ate of the </w:t>
      </w:r>
      <w:r w:rsidR="006424FB">
        <w:t>C</w:t>
      </w:r>
      <w:r w:rsidR="00D93D5B">
        <w:t xml:space="preserve">ommonwealth of </w:t>
      </w:r>
      <w:r w:rsidR="006424FB">
        <w:t>Australia</w:t>
      </w:r>
      <w:r w:rsidR="000121C4">
        <w:t xml:space="preserve">; or </w:t>
      </w:r>
    </w:p>
    <w:p w:rsidR="000121C4" w:rsidRPr="00E96718" w:rsidRDefault="000121C4" w:rsidP="00E96718">
      <w:pPr>
        <w:pStyle w:val="ListParagraph"/>
        <w:numPr>
          <w:ilvl w:val="2"/>
          <w:numId w:val="20"/>
        </w:numPr>
      </w:pPr>
      <w:r>
        <w:t xml:space="preserve">an Executive Agency established under section 65 of the </w:t>
      </w:r>
      <w:r w:rsidRPr="000121C4">
        <w:rPr>
          <w:i/>
        </w:rPr>
        <w:t>Public Service Act 1999</w:t>
      </w:r>
      <w:r>
        <w:rPr>
          <w:i/>
        </w:rPr>
        <w:t xml:space="preserve">; </w:t>
      </w:r>
      <w:r>
        <w:t>or</w:t>
      </w:r>
    </w:p>
    <w:p w:rsidR="002B33E7" w:rsidRPr="005311C5" w:rsidRDefault="000121C4" w:rsidP="00E96718">
      <w:pPr>
        <w:pStyle w:val="ListParagraph"/>
        <w:numPr>
          <w:ilvl w:val="2"/>
          <w:numId w:val="20"/>
        </w:numPr>
      </w:pPr>
      <w:r>
        <w:t xml:space="preserve">a Statutory Agency within the meaning of section 7 of </w:t>
      </w:r>
      <w:r w:rsidRPr="000121C4">
        <w:t xml:space="preserve">the </w:t>
      </w:r>
      <w:r w:rsidRPr="000121C4">
        <w:rPr>
          <w:i/>
        </w:rPr>
        <w:t>Public Service Act 1999</w:t>
      </w:r>
      <w:r w:rsidR="00625DA5">
        <w:t>;</w:t>
      </w:r>
    </w:p>
    <w:p w:rsidR="001F75D1" w:rsidRPr="002D7623" w:rsidRDefault="006424FB" w:rsidP="005311C5">
      <w:pPr>
        <w:pStyle w:val="ListParagraph"/>
        <w:numPr>
          <w:ilvl w:val="1"/>
          <w:numId w:val="20"/>
        </w:numPr>
      </w:pPr>
      <w:r w:rsidRPr="001F75D1">
        <w:t xml:space="preserve">a spectrum licence issued </w:t>
      </w:r>
      <w:r w:rsidR="00DA6EED" w:rsidRPr="005311C5">
        <w:t xml:space="preserve">with one or more conditions that require the licensed spectrum to be used only </w:t>
      </w:r>
      <w:r w:rsidR="00FA7AF3">
        <w:t>for the provision of a television outside broadcast service</w:t>
      </w:r>
      <w:r w:rsidR="001F75D1">
        <w:t>; and</w:t>
      </w:r>
    </w:p>
    <w:p w:rsidR="004E7F3E" w:rsidRDefault="006424FB" w:rsidP="005311C5">
      <w:pPr>
        <w:pStyle w:val="ListParagraph"/>
        <w:numPr>
          <w:ilvl w:val="1"/>
          <w:numId w:val="20"/>
        </w:numPr>
      </w:pPr>
      <w:r w:rsidRPr="001F75D1">
        <w:t xml:space="preserve">a </w:t>
      </w:r>
      <w:r w:rsidR="00D93D5B" w:rsidRPr="001F75D1">
        <w:t xml:space="preserve">spectrum licence </w:t>
      </w:r>
      <w:r w:rsidR="002B33E7">
        <w:t xml:space="preserve">issued </w:t>
      </w:r>
      <w:r w:rsidR="0054161C">
        <w:t xml:space="preserve">with one or more conditions that require the licensed spectrum to be </w:t>
      </w:r>
      <w:r w:rsidR="00D93D5B" w:rsidRPr="007C5389">
        <w:t>used</w:t>
      </w:r>
      <w:r w:rsidR="005D3570">
        <w:t xml:space="preserve"> </w:t>
      </w:r>
      <w:r w:rsidR="00D93D5B" w:rsidRPr="007C5389">
        <w:t>only</w:t>
      </w:r>
      <w:r w:rsidR="00D93D5B" w:rsidRPr="00281942">
        <w:t xml:space="preserve"> for </w:t>
      </w:r>
      <w:r w:rsidR="00DA6EED">
        <w:t xml:space="preserve">the provision of </w:t>
      </w:r>
      <w:r w:rsidR="00D93D5B" w:rsidRPr="00B265E1">
        <w:t>rail safety, rail operations or rail</w:t>
      </w:r>
      <w:r w:rsidRPr="00B265E1">
        <w:t xml:space="preserve"> </w:t>
      </w:r>
      <w:r w:rsidR="00D93D5B" w:rsidRPr="00B265E1">
        <w:t>control</w:t>
      </w:r>
      <w:r w:rsidR="00147647">
        <w:t>.</w:t>
      </w:r>
    </w:p>
    <w:p w:rsidR="00D93D5B" w:rsidRPr="002D7623" w:rsidRDefault="00D93D5B" w:rsidP="00147647">
      <w:pPr>
        <w:pStyle w:val="ListParagraph"/>
        <w:ind w:left="1440"/>
      </w:pPr>
    </w:p>
    <w:p w:rsidR="00A74E99" w:rsidRDefault="00A74E99" w:rsidP="00A74E99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Historical EME Component </w:t>
      </w:r>
      <w:r>
        <w:rPr>
          <w:rFonts w:ascii="Times New Roman" w:hAnsi="Times New Roman" w:cs="Times New Roman"/>
          <w:bCs/>
          <w:iCs/>
          <w:sz w:val="24"/>
          <w:szCs w:val="24"/>
        </w:rPr>
        <w:t>refers to the</w:t>
      </w:r>
      <w:r w:rsidR="00FA7AF3">
        <w:rPr>
          <w:rFonts w:ascii="Times New Roman" w:hAnsi="Times New Roman" w:cs="Times New Roman"/>
          <w:bCs/>
          <w:iCs/>
          <w:sz w:val="24"/>
          <w:szCs w:val="24"/>
        </w:rPr>
        <w:t xml:space="preserve"> 0.8%</w:t>
      </w:r>
      <w:r w:rsidDel="00C314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annual component of the Transmitter Licence Tax and the Receiver Licence Tax, which historically </w:t>
      </w:r>
      <w:r w:rsidR="00D3352C">
        <w:rPr>
          <w:rFonts w:ascii="Times New Roman" w:hAnsi="Times New Roman" w:cs="Times New Roman"/>
          <w:bCs/>
          <w:iCs/>
          <w:sz w:val="24"/>
          <w:szCs w:val="24"/>
        </w:rPr>
        <w:t xml:space="preserve">was </w:t>
      </w:r>
      <w:r>
        <w:rPr>
          <w:rFonts w:ascii="Times New Roman" w:hAnsi="Times New Roman" w:cs="Times New Roman"/>
          <w:bCs/>
          <w:iCs/>
          <w:sz w:val="24"/>
          <w:szCs w:val="24"/>
        </w:rPr>
        <w:t>used to offset expenditure by the Australian Government for research, information provision and engagement activities into the health effects of electromagnetic energy.</w:t>
      </w:r>
    </w:p>
    <w:p w:rsidR="00C17392" w:rsidRDefault="00C17392" w:rsidP="00C17392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</w:pPr>
      <w:r>
        <w:rPr>
          <w:b/>
          <w:i/>
        </w:rPr>
        <w:t xml:space="preserve">New </w:t>
      </w:r>
      <w:r w:rsidRPr="005B788F">
        <w:rPr>
          <w:b/>
          <w:i/>
        </w:rPr>
        <w:t>EME Component</w:t>
      </w:r>
      <w:r w:rsidRPr="000C49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refers to a component of the Spectrum Licence Tax that will </w:t>
      </w:r>
      <w:r w:rsidR="00D3352C">
        <w:rPr>
          <w:rFonts w:ascii="Times New Roman" w:hAnsi="Times New Roman" w:cs="Times New Roman"/>
          <w:bCs/>
          <w:iCs/>
          <w:sz w:val="24"/>
          <w:szCs w:val="24"/>
        </w:rPr>
        <w:t xml:space="preserve">be used to </w:t>
      </w:r>
      <w:r>
        <w:rPr>
          <w:rFonts w:ascii="Times New Roman" w:hAnsi="Times New Roman" w:cs="Times New Roman"/>
          <w:bCs/>
          <w:iCs/>
          <w:sz w:val="24"/>
          <w:szCs w:val="24"/>
        </w:rPr>
        <w:t>offset expenditure by the Australian Government for research, information provision and engagement activities into the health effects of electromagnetic energy.</w:t>
      </w:r>
    </w:p>
    <w:p w:rsidR="00F565A3" w:rsidRDefault="00F565A3" w:rsidP="00F565A3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Receiver Determination </w:t>
      </w:r>
      <w:r w:rsidRPr="00952CA1">
        <w:rPr>
          <w:sz w:val="24"/>
          <w:szCs w:val="24"/>
        </w:rPr>
        <w:t>means the</w:t>
      </w:r>
      <w:r w:rsidRPr="00952CA1">
        <w:rPr>
          <w:i/>
          <w:sz w:val="24"/>
          <w:szCs w:val="24"/>
        </w:rPr>
        <w:t xml:space="preserve"> Radiocommunications (Receiver Licence Tax) Determination 2015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as in force as at </w:t>
      </w:r>
      <w:r w:rsidR="00FA7AF3">
        <w:rPr>
          <w:sz w:val="24"/>
          <w:szCs w:val="24"/>
        </w:rPr>
        <w:t>30 June 2020</w:t>
      </w:r>
      <w:r w:rsidRPr="00694FF3">
        <w:rPr>
          <w:sz w:val="24"/>
          <w:szCs w:val="24"/>
        </w:rPr>
        <w:t>.</w:t>
      </w:r>
    </w:p>
    <w:p w:rsidR="006A6433" w:rsidRDefault="00F565A3" w:rsidP="006A6433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>Receiver Holding Date</w:t>
      </w:r>
      <w:r w:rsidRPr="00420A0C">
        <w:rPr>
          <w:sz w:val="24"/>
          <w:szCs w:val="24"/>
        </w:rPr>
        <w:t>, in respect of a</w:t>
      </w:r>
      <w:r>
        <w:rPr>
          <w:sz w:val="24"/>
          <w:szCs w:val="24"/>
        </w:rPr>
        <w:t xml:space="preserve"> receiver licence</w:t>
      </w:r>
      <w:r w:rsidRPr="00EE148D">
        <w:rPr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674285">
        <w:rPr>
          <w:rFonts w:ascii="Times New Roman" w:hAnsi="Times New Roman" w:cs="Times New Roman"/>
          <w:bCs/>
          <w:iCs/>
          <w:sz w:val="24"/>
          <w:szCs w:val="24"/>
        </w:rPr>
        <w:t xml:space="preserve">means </w:t>
      </w:r>
      <w:r w:rsidR="006A6433" w:rsidRPr="00674285">
        <w:rPr>
          <w:rFonts w:ascii="Times New Roman" w:hAnsi="Times New Roman" w:cs="Times New Roman"/>
          <w:bCs/>
          <w:iCs/>
          <w:sz w:val="24"/>
          <w:szCs w:val="24"/>
        </w:rPr>
        <w:t>any</w:t>
      </w:r>
      <w:r w:rsidR="006A6433">
        <w:rPr>
          <w:rFonts w:ascii="Times New Roman" w:hAnsi="Times New Roman" w:cs="Times New Roman"/>
          <w:bCs/>
          <w:iCs/>
          <w:sz w:val="24"/>
          <w:szCs w:val="24"/>
        </w:rPr>
        <w:t xml:space="preserve"> time during the financial year commencing 1 </w:t>
      </w:r>
      <w:r w:rsidR="003D7332">
        <w:rPr>
          <w:rFonts w:ascii="Times New Roman" w:hAnsi="Times New Roman" w:cs="Times New Roman"/>
          <w:bCs/>
          <w:iCs/>
          <w:sz w:val="24"/>
          <w:szCs w:val="24"/>
        </w:rPr>
        <w:t>July</w:t>
      </w:r>
      <w:r w:rsidR="006A6433">
        <w:rPr>
          <w:rFonts w:ascii="Times New Roman" w:hAnsi="Times New Roman" w:cs="Times New Roman"/>
          <w:bCs/>
          <w:iCs/>
          <w:sz w:val="24"/>
          <w:szCs w:val="24"/>
        </w:rPr>
        <w:t xml:space="preserve"> 2020 and each subsequent financial year.</w:t>
      </w:r>
    </w:p>
    <w:p w:rsidR="000D5C89" w:rsidRDefault="000D5C89" w:rsidP="000D5C89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receiver licence </w:t>
      </w:r>
      <w:r w:rsidRPr="000D5C89">
        <w:rPr>
          <w:sz w:val="24"/>
          <w:szCs w:val="24"/>
        </w:rPr>
        <w:t xml:space="preserve">has the same meaning as in the </w:t>
      </w:r>
      <w:r w:rsidRPr="000D5C89">
        <w:rPr>
          <w:i/>
          <w:sz w:val="24"/>
          <w:szCs w:val="24"/>
        </w:rPr>
        <w:t>Radiocommunications Act 1992</w:t>
      </w:r>
      <w:r>
        <w:rPr>
          <w:sz w:val="24"/>
          <w:szCs w:val="24"/>
        </w:rPr>
        <w:t>.</w:t>
      </w:r>
    </w:p>
    <w:p w:rsidR="000D5C89" w:rsidRDefault="000D5C89" w:rsidP="000D5C89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i/>
          <w:sz w:val="24"/>
          <w:szCs w:val="24"/>
        </w:rPr>
      </w:pPr>
      <w:r w:rsidRPr="00952CA1">
        <w:rPr>
          <w:b/>
          <w:i/>
          <w:sz w:val="24"/>
          <w:szCs w:val="24"/>
        </w:rPr>
        <w:t xml:space="preserve">Receiver Licence Tax </w:t>
      </w:r>
      <w:r w:rsidRPr="00952CA1">
        <w:rPr>
          <w:sz w:val="24"/>
          <w:szCs w:val="24"/>
        </w:rPr>
        <w:t>means the tax imposed by the</w:t>
      </w:r>
      <w:r w:rsidRPr="00952CA1">
        <w:rPr>
          <w:i/>
          <w:sz w:val="24"/>
          <w:szCs w:val="24"/>
        </w:rPr>
        <w:t xml:space="preserve"> Radiocommunications (Receiver Licence Tax) Act 1983</w:t>
      </w:r>
      <w:r>
        <w:rPr>
          <w:i/>
          <w:sz w:val="24"/>
          <w:szCs w:val="24"/>
        </w:rPr>
        <w:t>.</w:t>
      </w:r>
    </w:p>
    <w:p w:rsidR="009C1F1E" w:rsidRPr="001F75D1" w:rsidRDefault="00B265E1" w:rsidP="00BD125D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9C1F1E" w:rsidRPr="00B265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pectrum</w:t>
      </w:r>
      <w:r w:rsidR="009C1F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C1F1E">
        <w:rPr>
          <w:rFonts w:ascii="Times New Roman" w:hAnsi="Times New Roman" w:cs="Times New Roman"/>
          <w:bCs/>
          <w:iCs/>
          <w:sz w:val="24"/>
          <w:szCs w:val="24"/>
        </w:rPr>
        <w:t xml:space="preserve">has the same meaning as in the </w:t>
      </w:r>
      <w:r w:rsidR="009C1F1E" w:rsidRPr="00B265E1">
        <w:rPr>
          <w:rFonts w:ascii="Times New Roman" w:hAnsi="Times New Roman" w:cs="Times New Roman"/>
          <w:bCs/>
          <w:i/>
          <w:iCs/>
          <w:sz w:val="24"/>
          <w:szCs w:val="24"/>
        </w:rPr>
        <w:t>Radiocommunications Act 1992</w:t>
      </w:r>
      <w:r w:rsidR="001F75D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27513D" w:rsidRDefault="0027513D" w:rsidP="005D3570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b/>
          <w:i/>
          <w:sz w:val="24"/>
          <w:szCs w:val="24"/>
        </w:rPr>
      </w:pPr>
      <w:r w:rsidRPr="00F73999">
        <w:rPr>
          <w:b/>
          <w:i/>
          <w:sz w:val="24"/>
          <w:szCs w:val="24"/>
        </w:rPr>
        <w:t xml:space="preserve">Spectrum Determination </w:t>
      </w:r>
      <w:r w:rsidRPr="00F73999">
        <w:rPr>
          <w:sz w:val="24"/>
          <w:szCs w:val="24"/>
        </w:rPr>
        <w:t>means the</w:t>
      </w:r>
      <w:r>
        <w:rPr>
          <w:i/>
          <w:sz w:val="24"/>
          <w:szCs w:val="24"/>
        </w:rPr>
        <w:t xml:space="preserve"> </w:t>
      </w:r>
      <w:r w:rsidRPr="00F73999">
        <w:rPr>
          <w:i/>
          <w:sz w:val="24"/>
          <w:szCs w:val="24"/>
        </w:rPr>
        <w:t>Radiocommunications (Spectrum Licence Tax) Determination 2014</w:t>
      </w:r>
      <w:r w:rsidRPr="00F73999">
        <w:rPr>
          <w:sz w:val="24"/>
          <w:szCs w:val="24"/>
        </w:rPr>
        <w:t xml:space="preserve"> </w:t>
      </w:r>
      <w:r>
        <w:rPr>
          <w:sz w:val="24"/>
          <w:szCs w:val="24"/>
        </w:rPr>
        <w:t>as in force as at</w:t>
      </w:r>
      <w:r w:rsidR="006E5DDF">
        <w:rPr>
          <w:sz w:val="24"/>
          <w:szCs w:val="24"/>
        </w:rPr>
        <w:t xml:space="preserve"> 30 June</w:t>
      </w:r>
      <w:r w:rsidR="004441DC">
        <w:rPr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b/>
          <w:i/>
          <w:sz w:val="24"/>
          <w:szCs w:val="24"/>
        </w:rPr>
        <w:t xml:space="preserve"> </w:t>
      </w:r>
    </w:p>
    <w:p w:rsidR="0027513D" w:rsidRDefault="0027513D" w:rsidP="0027513D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>Spectrum Holding Date</w:t>
      </w:r>
      <w:r w:rsidRPr="005C1D7D">
        <w:rPr>
          <w:sz w:val="24"/>
          <w:szCs w:val="24"/>
        </w:rPr>
        <w:t>, in respect of a</w:t>
      </w:r>
      <w:r>
        <w:rPr>
          <w:sz w:val="24"/>
          <w:szCs w:val="24"/>
        </w:rPr>
        <w:t xml:space="preserve"> spectrum licence</w:t>
      </w:r>
      <w:r w:rsidRPr="002D7623">
        <w:rPr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674285">
        <w:rPr>
          <w:rFonts w:ascii="Times New Roman" w:hAnsi="Times New Roman" w:cs="Times New Roman"/>
          <w:bCs/>
          <w:iCs/>
          <w:sz w:val="24"/>
          <w:szCs w:val="24"/>
        </w:rPr>
        <w:t xml:space="preserve">means </w:t>
      </w:r>
      <w:r>
        <w:rPr>
          <w:rFonts w:ascii="Times New Roman" w:hAnsi="Times New Roman" w:cs="Times New Roman"/>
          <w:bCs/>
          <w:iCs/>
          <w:sz w:val="24"/>
          <w:szCs w:val="24"/>
        </w:rPr>
        <w:t>11 October 2020</w:t>
      </w:r>
      <w:r w:rsidR="00DD4CA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and 11 October </w:t>
      </w:r>
      <w:r w:rsidR="00DD4CAF">
        <w:rPr>
          <w:rFonts w:ascii="Times New Roman" w:hAnsi="Times New Roman" w:cs="Times New Roman"/>
          <w:bCs/>
          <w:iCs/>
          <w:sz w:val="24"/>
          <w:szCs w:val="24"/>
        </w:rPr>
        <w:t xml:space="preserve">occurring </w:t>
      </w:r>
      <w:r>
        <w:rPr>
          <w:rFonts w:ascii="Times New Roman" w:hAnsi="Times New Roman" w:cs="Times New Roman"/>
          <w:bCs/>
          <w:iCs/>
          <w:sz w:val="24"/>
          <w:szCs w:val="24"/>
        </w:rPr>
        <w:t>in each subsequent financial year.</w:t>
      </w:r>
    </w:p>
    <w:p w:rsidR="00F73999" w:rsidRPr="00F73999" w:rsidRDefault="005D3570" w:rsidP="009C12CD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spectrum licence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has the same meaning as in the </w:t>
      </w:r>
      <w:r w:rsidRPr="00B265E1">
        <w:rPr>
          <w:rFonts w:ascii="Times New Roman" w:hAnsi="Times New Roman" w:cs="Times New Roman"/>
          <w:bCs/>
          <w:i/>
          <w:iCs/>
          <w:sz w:val="24"/>
          <w:szCs w:val="24"/>
        </w:rPr>
        <w:t>Radiocommunications Act 1992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C12CD" w:rsidDel="009C12CD">
        <w:rPr>
          <w:sz w:val="24"/>
          <w:szCs w:val="24"/>
        </w:rPr>
        <w:t xml:space="preserve"> </w:t>
      </w:r>
    </w:p>
    <w:p w:rsidR="00BD125D" w:rsidRPr="00792DA7" w:rsidRDefault="00553F6A" w:rsidP="00BD125D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Spectrum Licence Tax </w:t>
      </w:r>
      <w:r>
        <w:rPr>
          <w:rFonts w:ascii="Times New Roman" w:hAnsi="Times New Roman" w:cs="Times New Roman"/>
          <w:bCs/>
          <w:iCs/>
          <w:sz w:val="24"/>
          <w:szCs w:val="24"/>
        </w:rPr>
        <w:t>means</w:t>
      </w:r>
      <w:r w:rsidR="00CD56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6AEA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CD5643">
        <w:rPr>
          <w:rFonts w:ascii="Times New Roman" w:hAnsi="Times New Roman" w:cs="Times New Roman"/>
          <w:bCs/>
          <w:iCs/>
          <w:sz w:val="24"/>
          <w:szCs w:val="24"/>
        </w:rPr>
        <w:t xml:space="preserve">tax imposed by the </w:t>
      </w:r>
      <w:r w:rsidR="00CD5643">
        <w:rPr>
          <w:rFonts w:ascii="Times New Roman" w:hAnsi="Times New Roman" w:cs="Times New Roman"/>
          <w:bCs/>
          <w:i/>
          <w:iCs/>
          <w:sz w:val="24"/>
          <w:szCs w:val="24"/>
        </w:rPr>
        <w:t>Radiocommunications (Spectrum Licence Tax) Act 1997.</w:t>
      </w:r>
    </w:p>
    <w:p w:rsidR="00EA2DFC" w:rsidRDefault="00EA2DFC" w:rsidP="000D5C89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r w:rsidRPr="00F73999">
        <w:rPr>
          <w:b/>
          <w:i/>
          <w:sz w:val="24"/>
          <w:szCs w:val="24"/>
        </w:rPr>
        <w:t>Transmitter Determination</w:t>
      </w:r>
      <w:r w:rsidRPr="00F73999">
        <w:rPr>
          <w:sz w:val="24"/>
          <w:szCs w:val="24"/>
        </w:rPr>
        <w:t xml:space="preserve"> means the</w:t>
      </w:r>
      <w:r w:rsidRPr="00F73999">
        <w:rPr>
          <w:i/>
          <w:sz w:val="24"/>
          <w:szCs w:val="24"/>
        </w:rPr>
        <w:t xml:space="preserve"> Radiocommunications (Transmitter Licence Tax) Determination 2015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as in force as at </w:t>
      </w:r>
      <w:r w:rsidR="006E5DDF">
        <w:rPr>
          <w:sz w:val="24"/>
          <w:szCs w:val="24"/>
        </w:rPr>
        <w:t xml:space="preserve">30 June </w:t>
      </w:r>
      <w:r w:rsidR="00E21EC8">
        <w:rPr>
          <w:sz w:val="24"/>
          <w:szCs w:val="24"/>
        </w:rPr>
        <w:t>2020</w:t>
      </w:r>
      <w:r>
        <w:rPr>
          <w:sz w:val="24"/>
          <w:szCs w:val="24"/>
        </w:rPr>
        <w:t>.</w:t>
      </w:r>
    </w:p>
    <w:p w:rsidR="0004342B" w:rsidRDefault="0004342B" w:rsidP="0004342B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Transmitter Holding Date</w:t>
      </w:r>
      <w:r w:rsidRPr="005C1D7D">
        <w:rPr>
          <w:sz w:val="24"/>
          <w:szCs w:val="24"/>
        </w:rPr>
        <w:t>, in respect of a</w:t>
      </w:r>
      <w:r>
        <w:rPr>
          <w:sz w:val="24"/>
          <w:szCs w:val="24"/>
        </w:rPr>
        <w:t xml:space="preserve"> transmitter licence</w:t>
      </w:r>
      <w:r w:rsidRPr="00EE148D">
        <w:rPr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674285">
        <w:rPr>
          <w:rFonts w:ascii="Times New Roman" w:hAnsi="Times New Roman" w:cs="Times New Roman"/>
          <w:bCs/>
          <w:iCs/>
          <w:sz w:val="24"/>
          <w:szCs w:val="24"/>
        </w:rPr>
        <w:t>means any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time during the financial year commencing 1 </w:t>
      </w:r>
      <w:r w:rsidR="003D7332">
        <w:rPr>
          <w:rFonts w:ascii="Times New Roman" w:hAnsi="Times New Roman" w:cs="Times New Roman"/>
          <w:bCs/>
          <w:iCs/>
          <w:sz w:val="24"/>
          <w:szCs w:val="24"/>
        </w:rPr>
        <w:t>July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2020 and each subsequent financial year.</w:t>
      </w:r>
    </w:p>
    <w:p w:rsidR="000D5C89" w:rsidRDefault="00EA2DFC" w:rsidP="000D5C89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t</w:t>
      </w:r>
      <w:r w:rsidR="000D5C89">
        <w:rPr>
          <w:b/>
          <w:i/>
          <w:sz w:val="24"/>
          <w:szCs w:val="24"/>
        </w:rPr>
        <w:t xml:space="preserve">ransmitter licence </w:t>
      </w:r>
      <w:r w:rsidR="000D5C89" w:rsidRPr="00420A0C">
        <w:rPr>
          <w:sz w:val="24"/>
          <w:szCs w:val="24"/>
        </w:rPr>
        <w:t xml:space="preserve">has the same meaning as in the </w:t>
      </w:r>
      <w:r w:rsidR="000D5C89" w:rsidRPr="00B37263">
        <w:rPr>
          <w:i/>
          <w:sz w:val="24"/>
          <w:szCs w:val="24"/>
        </w:rPr>
        <w:t>Radiocommunications Act 199</w:t>
      </w:r>
      <w:r w:rsidR="000D5C89" w:rsidRPr="000D5C89">
        <w:rPr>
          <w:i/>
          <w:sz w:val="24"/>
          <w:szCs w:val="24"/>
        </w:rPr>
        <w:t>2</w:t>
      </w:r>
      <w:r w:rsidR="000D5C89">
        <w:rPr>
          <w:sz w:val="24"/>
          <w:szCs w:val="24"/>
        </w:rPr>
        <w:t>.</w:t>
      </w:r>
    </w:p>
    <w:p w:rsidR="006E5DDF" w:rsidRDefault="00553F6A" w:rsidP="002D7623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Transmitter Licence Tax </w:t>
      </w:r>
      <w:r>
        <w:rPr>
          <w:rFonts w:ascii="Times New Roman" w:hAnsi="Times New Roman" w:cs="Times New Roman"/>
          <w:bCs/>
          <w:iCs/>
          <w:sz w:val="24"/>
          <w:szCs w:val="24"/>
        </w:rPr>
        <w:t>means</w:t>
      </w:r>
      <w:r w:rsidR="003D06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0ABC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3D066A">
        <w:rPr>
          <w:rFonts w:ascii="Times New Roman" w:hAnsi="Times New Roman" w:cs="Times New Roman"/>
          <w:bCs/>
          <w:iCs/>
          <w:sz w:val="24"/>
          <w:szCs w:val="24"/>
        </w:rPr>
        <w:t xml:space="preserve">tax imposed by the </w:t>
      </w:r>
      <w:r w:rsidR="003D066A">
        <w:rPr>
          <w:rFonts w:ascii="Times New Roman" w:hAnsi="Times New Roman" w:cs="Times New Roman"/>
          <w:bCs/>
          <w:i/>
          <w:iCs/>
          <w:sz w:val="24"/>
          <w:szCs w:val="24"/>
        </w:rPr>
        <w:t>Radiocommunications (Transmitter Licence Tax) Act 1983.</w:t>
      </w:r>
    </w:p>
    <w:p w:rsidR="005C36EC" w:rsidRPr="006E5DDF" w:rsidRDefault="00070A52" w:rsidP="00070A52">
      <w:pPr>
        <w:ind w:left="870" w:hanging="870"/>
      </w:pPr>
      <w:r>
        <w:t>(2)</w:t>
      </w:r>
      <w:r>
        <w:tab/>
      </w:r>
      <w:r w:rsidR="006E5DDF">
        <w:t xml:space="preserve">For the avoidance of doubt, apart from the </w:t>
      </w:r>
      <w:r w:rsidR="0009357E">
        <w:t xml:space="preserve">directions given </w:t>
      </w:r>
      <w:r w:rsidR="006E5DDF">
        <w:t>in section</w:t>
      </w:r>
      <w:r w:rsidR="006E32EB">
        <w:t>s</w:t>
      </w:r>
      <w:r w:rsidR="006E5DDF">
        <w:t xml:space="preserve"> 5</w:t>
      </w:r>
      <w:r w:rsidR="005C36EC">
        <w:t xml:space="preserve"> and 6</w:t>
      </w:r>
      <w:r w:rsidR="006E5DDF">
        <w:t xml:space="preserve"> of this Direction</w:t>
      </w:r>
      <w:r w:rsidR="005311C5">
        <w:t xml:space="preserve">, </w:t>
      </w:r>
      <w:r w:rsidR="00BB08DE">
        <w:t xml:space="preserve">nothing in </w:t>
      </w:r>
      <w:r w:rsidR="006E5DDF">
        <w:t xml:space="preserve">this </w:t>
      </w:r>
      <w:r w:rsidR="006E5DDF" w:rsidRPr="006E5DDF">
        <w:t xml:space="preserve">Direction </w:t>
      </w:r>
      <w:r w:rsidR="005311C5">
        <w:t xml:space="preserve">is intended to limit or prevent </w:t>
      </w:r>
      <w:r w:rsidR="00BB08DE">
        <w:t xml:space="preserve">the </w:t>
      </w:r>
      <w:r w:rsidR="006E5DDF">
        <w:t xml:space="preserve">ACMA </w:t>
      </w:r>
      <w:r w:rsidR="006E5DDF" w:rsidRPr="006E5DDF">
        <w:t>from exercis</w:t>
      </w:r>
      <w:r w:rsidR="00AE7A94">
        <w:t xml:space="preserve">ing </w:t>
      </w:r>
      <w:r w:rsidR="006E5DDF" w:rsidRPr="006E5DDF">
        <w:t xml:space="preserve">its powers </w:t>
      </w:r>
      <w:r w:rsidR="0009357E">
        <w:t xml:space="preserve">under the </w:t>
      </w:r>
      <w:r w:rsidR="0009357E" w:rsidRPr="00105CA6">
        <w:rPr>
          <w:i/>
          <w:iCs/>
        </w:rPr>
        <w:t>Radiocommunications (Receiver Licence Tax) Act 1983</w:t>
      </w:r>
      <w:r w:rsidR="0009357E" w:rsidRPr="00070A52">
        <w:t xml:space="preserve">, </w:t>
      </w:r>
      <w:r w:rsidR="006E32EB">
        <w:t xml:space="preserve">the </w:t>
      </w:r>
      <w:r w:rsidR="0009357E" w:rsidRPr="00105CA6">
        <w:rPr>
          <w:i/>
          <w:iCs/>
        </w:rPr>
        <w:t>Radiocommunications (Spectrum Licence Tax) Act 1997</w:t>
      </w:r>
      <w:r w:rsidR="0009357E" w:rsidRPr="00070A52">
        <w:t xml:space="preserve"> </w:t>
      </w:r>
      <w:r w:rsidR="006E32EB">
        <w:t xml:space="preserve">or the </w:t>
      </w:r>
      <w:r w:rsidR="0009357E" w:rsidRPr="00105CA6">
        <w:rPr>
          <w:i/>
          <w:iCs/>
        </w:rPr>
        <w:t>Radiocommunications (Transmitter Licence Tax) Act 1983</w:t>
      </w:r>
      <w:r w:rsidR="00BB08DE" w:rsidRPr="00070A52">
        <w:t xml:space="preserve"> to </w:t>
      </w:r>
      <w:r w:rsidR="0009357E">
        <w:t xml:space="preserve">vary the amount of the </w:t>
      </w:r>
      <w:r w:rsidR="005C36EC" w:rsidRPr="00070A52">
        <w:t>Receiver Licence Tax</w:t>
      </w:r>
      <w:r w:rsidR="0009357E" w:rsidRPr="00070A52">
        <w:t xml:space="preserve">, Spectrum Licence Tax </w:t>
      </w:r>
      <w:r w:rsidR="00AE7A94" w:rsidRPr="00070A52">
        <w:t xml:space="preserve">or </w:t>
      </w:r>
      <w:r w:rsidR="005C36EC" w:rsidRPr="00070A52">
        <w:t>Transmitter</w:t>
      </w:r>
      <w:r w:rsidR="0009357E" w:rsidRPr="00070A52">
        <w:t xml:space="preserve"> </w:t>
      </w:r>
      <w:r w:rsidR="005C36EC" w:rsidRPr="00070A52">
        <w:t>Licence Tax</w:t>
      </w:r>
      <w:r w:rsidR="005311C5" w:rsidRPr="00070A52">
        <w:t xml:space="preserve"> to be </w:t>
      </w:r>
      <w:r w:rsidR="00BB08DE" w:rsidRPr="00070A52">
        <w:t xml:space="preserve">imposed </w:t>
      </w:r>
      <w:r w:rsidR="005311C5" w:rsidRPr="00070A52">
        <w:t xml:space="preserve">on </w:t>
      </w:r>
      <w:r w:rsidR="00582F68" w:rsidRPr="00070A52">
        <w:t xml:space="preserve">relevant </w:t>
      </w:r>
      <w:r w:rsidR="005311C5" w:rsidRPr="00070A52">
        <w:t xml:space="preserve">licences </w:t>
      </w:r>
      <w:r w:rsidR="005C36EC" w:rsidRPr="00070A52">
        <w:t xml:space="preserve">for </w:t>
      </w:r>
      <w:r w:rsidR="00FA064E" w:rsidRPr="00070A52">
        <w:t xml:space="preserve">any </w:t>
      </w:r>
      <w:r w:rsidR="005C36EC" w:rsidRPr="00070A52">
        <w:t>purpose</w:t>
      </w:r>
      <w:r w:rsidR="00FA064E" w:rsidRPr="00070A52">
        <w:t xml:space="preserve"> at any other time</w:t>
      </w:r>
      <w:r w:rsidR="005C36EC" w:rsidRPr="00070A52">
        <w:t>.</w:t>
      </w:r>
    </w:p>
    <w:p w:rsidR="00BD125D" w:rsidRDefault="00BD125D" w:rsidP="00090F70">
      <w:pPr>
        <w:pStyle w:val="HR"/>
        <w:numPr>
          <w:ilvl w:val="0"/>
          <w:numId w:val="12"/>
        </w:numPr>
        <w:tabs>
          <w:tab w:val="clear" w:pos="360"/>
          <w:tab w:val="num" w:pos="540"/>
        </w:tabs>
        <w:spacing w:before="400" w:line="30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</w:t>
      </w:r>
      <w:r w:rsidR="00697BE8">
        <w:rPr>
          <w:rFonts w:ascii="Arial" w:hAnsi="Arial" w:cs="Arial"/>
          <w:sz w:val="24"/>
          <w:szCs w:val="24"/>
        </w:rPr>
        <w:t xml:space="preserve"> – Transmitter</w:t>
      </w:r>
      <w:r w:rsidR="00656B0D">
        <w:rPr>
          <w:rFonts w:ascii="Arial" w:hAnsi="Arial" w:cs="Arial"/>
          <w:sz w:val="24"/>
          <w:szCs w:val="24"/>
        </w:rPr>
        <w:t xml:space="preserve"> and Receiver </w:t>
      </w:r>
      <w:r w:rsidR="00697BE8">
        <w:rPr>
          <w:rFonts w:ascii="Arial" w:hAnsi="Arial" w:cs="Arial"/>
          <w:sz w:val="24"/>
          <w:szCs w:val="24"/>
        </w:rPr>
        <w:t>Licence Tax</w:t>
      </w:r>
      <w:r w:rsidR="00656B0D">
        <w:rPr>
          <w:rFonts w:ascii="Arial" w:hAnsi="Arial" w:cs="Arial"/>
          <w:sz w:val="24"/>
          <w:szCs w:val="24"/>
        </w:rPr>
        <w:t xml:space="preserve">es – Adjustment </w:t>
      </w:r>
      <w:r>
        <w:rPr>
          <w:rFonts w:ascii="Arial" w:hAnsi="Arial" w:cs="Arial"/>
          <w:sz w:val="24"/>
          <w:szCs w:val="24"/>
        </w:rPr>
        <w:br/>
      </w:r>
    </w:p>
    <w:p w:rsidR="00BD125D" w:rsidRDefault="00697BE8" w:rsidP="009E035E">
      <w:pPr>
        <w:ind w:left="870" w:hanging="870"/>
      </w:pPr>
      <w:r>
        <w:t>(1)</w:t>
      </w:r>
      <w:r>
        <w:tab/>
      </w:r>
      <w:r w:rsidR="00BD125D">
        <w:t xml:space="preserve">I direct the ACMA to </w:t>
      </w:r>
      <w:r w:rsidR="001D5C68" w:rsidRPr="00F73999">
        <w:t>amend the</w:t>
      </w:r>
      <w:r w:rsidR="001D5C68" w:rsidRPr="00D206FD">
        <w:rPr>
          <w:i/>
        </w:rPr>
        <w:t xml:space="preserve"> </w:t>
      </w:r>
      <w:r w:rsidR="001D5C68" w:rsidRPr="00F73999">
        <w:t xml:space="preserve">Transmitter Determination </w:t>
      </w:r>
      <w:r w:rsidR="00D206FD">
        <w:t>t</w:t>
      </w:r>
      <w:r w:rsidR="007549B9">
        <w:t xml:space="preserve">o have the effect of </w:t>
      </w:r>
      <w:r>
        <w:t xml:space="preserve">removing the </w:t>
      </w:r>
      <w:r w:rsidR="00A74E99">
        <w:t xml:space="preserve">Historical </w:t>
      </w:r>
      <w:r>
        <w:t xml:space="preserve">EME </w:t>
      </w:r>
      <w:r w:rsidR="00E04C81">
        <w:t>Component</w:t>
      </w:r>
      <w:r w:rsidR="004E0A9A" w:rsidRPr="004E0A9A">
        <w:t xml:space="preserve"> </w:t>
      </w:r>
      <w:r w:rsidR="004E0A9A">
        <w:t>where relevant</w:t>
      </w:r>
      <w:r w:rsidR="00B5344C">
        <w:t xml:space="preserve"> </w:t>
      </w:r>
      <w:r>
        <w:t>f</w:t>
      </w:r>
      <w:r w:rsidR="00553F6A">
        <w:t>rom the Transmitter Licence Tax</w:t>
      </w:r>
      <w:r w:rsidR="00230551">
        <w:t xml:space="preserve"> payable by </w:t>
      </w:r>
      <w:r w:rsidR="00F565A3">
        <w:t xml:space="preserve">each </w:t>
      </w:r>
      <w:r w:rsidR="00230551">
        <w:t>holder of a</w:t>
      </w:r>
      <w:r w:rsidR="003145F4">
        <w:t xml:space="preserve"> transmitter </w:t>
      </w:r>
      <w:r w:rsidR="00230551">
        <w:rPr>
          <w:bCs/>
          <w:iCs/>
          <w:szCs w:val="24"/>
        </w:rPr>
        <w:t>licence</w:t>
      </w:r>
      <w:r w:rsidR="00E21EC8">
        <w:t xml:space="preserve"> to the greatest extent practicable.</w:t>
      </w:r>
    </w:p>
    <w:p w:rsidR="00376FB0" w:rsidRDefault="00376FB0" w:rsidP="00376FB0">
      <w:pPr>
        <w:ind w:left="870" w:hanging="870"/>
      </w:pPr>
    </w:p>
    <w:p w:rsidR="00376FB0" w:rsidRDefault="00376FB0" w:rsidP="00376FB0">
      <w:pPr>
        <w:ind w:left="870" w:hanging="870"/>
      </w:pPr>
      <w:r>
        <w:t>(2)</w:t>
      </w:r>
      <w:r>
        <w:tab/>
      </w:r>
      <w:r w:rsidRPr="00376FB0">
        <w:t>Subsection (1) does not apply if the ACMA is satisfied that, in relation to Transmitter Licence Tax payable by a holder of a transmitter licence, the Historical EME Component was never, or has ceased to be, included in the Transmitter Licence Tax.</w:t>
      </w:r>
    </w:p>
    <w:p w:rsidR="00376FB0" w:rsidRDefault="00376FB0" w:rsidP="009E035E">
      <w:pPr>
        <w:ind w:left="870" w:hanging="870"/>
      </w:pPr>
    </w:p>
    <w:p w:rsidR="00376FB0" w:rsidRDefault="00376FB0" w:rsidP="00376FB0">
      <w:pPr>
        <w:ind w:left="870" w:hanging="870"/>
      </w:pPr>
      <w:r>
        <w:t>(3)</w:t>
      </w:r>
      <w:r>
        <w:tab/>
      </w:r>
      <w:r w:rsidR="009A48CC">
        <w:t xml:space="preserve">If </w:t>
      </w:r>
      <w:r>
        <w:t xml:space="preserve">amendments to the Transmitter Determination </w:t>
      </w:r>
      <w:r w:rsidR="009A48CC">
        <w:t xml:space="preserve">are required to be </w:t>
      </w:r>
      <w:r>
        <w:t>made in accordance with subsection (1)</w:t>
      </w:r>
      <w:r w:rsidR="009A48CC">
        <w:t xml:space="preserve">, the amendments </w:t>
      </w:r>
      <w:r>
        <w:t>must be made before 1</w:t>
      </w:r>
      <w:r w:rsidR="009A48CC">
        <w:t> </w:t>
      </w:r>
      <w:r w:rsidR="003D7332">
        <w:t>July</w:t>
      </w:r>
      <w:r>
        <w:t xml:space="preserve"> 2020 and must apply </w:t>
      </w:r>
      <w:r w:rsidRPr="00F73999">
        <w:t>to</w:t>
      </w:r>
      <w:r>
        <w:rPr>
          <w:i/>
        </w:rPr>
        <w:t xml:space="preserve"> </w:t>
      </w:r>
      <w:r>
        <w:t>all transmitter licences held by a person on a Transmitter Holding Date.</w:t>
      </w:r>
    </w:p>
    <w:p w:rsidR="0067146E" w:rsidRDefault="0067146E" w:rsidP="00674285">
      <w:pPr>
        <w:ind w:left="870" w:hanging="870"/>
      </w:pPr>
    </w:p>
    <w:p w:rsidR="00D8034A" w:rsidRDefault="00952CA1" w:rsidP="00D8034A">
      <w:pPr>
        <w:ind w:left="870" w:hanging="870"/>
      </w:pPr>
      <w:r>
        <w:t>(</w:t>
      </w:r>
      <w:r w:rsidR="00376FB0">
        <w:t>4</w:t>
      </w:r>
      <w:r>
        <w:t>)</w:t>
      </w:r>
      <w:r>
        <w:tab/>
      </w:r>
      <w:r w:rsidRPr="00F565A3">
        <w:t>I direct the ACMA to amend the</w:t>
      </w:r>
      <w:r w:rsidRPr="00F565A3">
        <w:rPr>
          <w:i/>
        </w:rPr>
        <w:t xml:space="preserve"> </w:t>
      </w:r>
      <w:r w:rsidRPr="00F565A3">
        <w:t xml:space="preserve">Receiver Determination </w:t>
      </w:r>
      <w:r w:rsidR="000D5C89">
        <w:t xml:space="preserve">to have the effect of removing </w:t>
      </w:r>
      <w:r w:rsidRPr="000D5C89">
        <w:t>the</w:t>
      </w:r>
      <w:r w:rsidR="00A74E99">
        <w:t xml:space="preserve"> Historical </w:t>
      </w:r>
      <w:r w:rsidRPr="000D5C89">
        <w:t>EME Component</w:t>
      </w:r>
      <w:r w:rsidR="00ED501F">
        <w:t xml:space="preserve"> where relevant,</w:t>
      </w:r>
      <w:r w:rsidRPr="000D5C89">
        <w:t xml:space="preserve"> from the Receiver Licence Tax payable by </w:t>
      </w:r>
      <w:r w:rsidR="00B37263">
        <w:t xml:space="preserve">each </w:t>
      </w:r>
      <w:r w:rsidR="000D5C89" w:rsidRPr="000D5C89">
        <w:t>holder</w:t>
      </w:r>
      <w:r w:rsidRPr="000D5C89">
        <w:t xml:space="preserve"> of a receiver </w:t>
      </w:r>
      <w:r w:rsidR="00B37263">
        <w:rPr>
          <w:bCs/>
          <w:iCs/>
          <w:szCs w:val="24"/>
        </w:rPr>
        <w:t>licence</w:t>
      </w:r>
      <w:r w:rsidR="00E21EC8" w:rsidRPr="00E21EC8">
        <w:t xml:space="preserve"> </w:t>
      </w:r>
      <w:r w:rsidR="00E21EC8">
        <w:t>to the greatest extent practicable</w:t>
      </w:r>
      <w:r>
        <w:t>.</w:t>
      </w:r>
    </w:p>
    <w:p w:rsidR="00952CA1" w:rsidRDefault="00376FB0" w:rsidP="0067146E">
      <w:pPr>
        <w:ind w:left="870" w:hanging="870"/>
      </w:pPr>
      <w:r w:rsidRPr="009C12CD">
        <w:tab/>
      </w:r>
    </w:p>
    <w:p w:rsidR="002E2F13" w:rsidRDefault="00952CA1" w:rsidP="0067146E">
      <w:pPr>
        <w:ind w:left="870" w:hanging="870"/>
      </w:pPr>
      <w:r>
        <w:t>(</w:t>
      </w:r>
      <w:r w:rsidR="00EE148D">
        <w:t>5</w:t>
      </w:r>
      <w:r>
        <w:t xml:space="preserve">) </w:t>
      </w:r>
      <w:r>
        <w:tab/>
      </w:r>
      <w:r w:rsidR="002E2F13" w:rsidRPr="00376FB0">
        <w:t>Subsection (</w:t>
      </w:r>
      <w:r w:rsidR="002E2F13">
        <w:t>4</w:t>
      </w:r>
      <w:r w:rsidR="002E2F13" w:rsidRPr="00376FB0">
        <w:t xml:space="preserve">) does not apply if the ACMA is satisfied that, in relation to </w:t>
      </w:r>
      <w:r w:rsidR="002E2F13">
        <w:t xml:space="preserve">Receiver </w:t>
      </w:r>
      <w:r w:rsidR="002E2F13" w:rsidRPr="00376FB0">
        <w:t xml:space="preserve">Licence Tax payable by a holder of a </w:t>
      </w:r>
      <w:r w:rsidR="002E2F13">
        <w:t xml:space="preserve">receiver </w:t>
      </w:r>
      <w:r w:rsidR="002E2F13" w:rsidRPr="00376FB0">
        <w:t xml:space="preserve">licence, the Historical EME Component was never, or has ceased to be, included in the </w:t>
      </w:r>
      <w:r w:rsidR="006E32EB">
        <w:t>Receiver</w:t>
      </w:r>
      <w:r w:rsidR="006E32EB" w:rsidRPr="00376FB0">
        <w:t xml:space="preserve"> </w:t>
      </w:r>
      <w:r w:rsidR="002E2F13" w:rsidRPr="00376FB0">
        <w:t>Licence Tax.</w:t>
      </w:r>
    </w:p>
    <w:p w:rsidR="002E2F13" w:rsidRDefault="002E2F13" w:rsidP="0067146E">
      <w:pPr>
        <w:ind w:left="870" w:hanging="870"/>
      </w:pPr>
    </w:p>
    <w:p w:rsidR="005C1D7D" w:rsidRDefault="002E2F13" w:rsidP="009A48CC">
      <w:pPr>
        <w:ind w:left="840" w:hanging="840"/>
      </w:pPr>
      <w:r>
        <w:t>(6)</w:t>
      </w:r>
      <w:r>
        <w:tab/>
      </w:r>
      <w:r w:rsidR="009A48CC">
        <w:t xml:space="preserve">If </w:t>
      </w:r>
      <w:r w:rsidR="005C1D7D">
        <w:t xml:space="preserve">amendments to the Receiver Determination </w:t>
      </w:r>
      <w:r w:rsidR="009A48CC">
        <w:t xml:space="preserve">are required to be </w:t>
      </w:r>
      <w:r w:rsidR="005C1D7D">
        <w:t>made in accordance with subsection (</w:t>
      </w:r>
      <w:r w:rsidR="00376FB0">
        <w:t>4</w:t>
      </w:r>
      <w:r w:rsidR="005C1D7D">
        <w:t>)</w:t>
      </w:r>
      <w:r w:rsidR="009A48CC">
        <w:t xml:space="preserve">, the amendments </w:t>
      </w:r>
      <w:r w:rsidR="005C1D7D">
        <w:t xml:space="preserve">must </w:t>
      </w:r>
      <w:r w:rsidR="00E4318B">
        <w:t xml:space="preserve">be </w:t>
      </w:r>
      <w:r w:rsidR="005C1D7D">
        <w:t xml:space="preserve">made </w:t>
      </w:r>
      <w:r w:rsidR="00656B0D">
        <w:t>before</w:t>
      </w:r>
      <w:r w:rsidR="009A48CC">
        <w:t xml:space="preserve">       </w:t>
      </w:r>
      <w:r w:rsidR="00656B0D">
        <w:t xml:space="preserve"> 1</w:t>
      </w:r>
      <w:r w:rsidR="009A48CC">
        <w:t> </w:t>
      </w:r>
      <w:r w:rsidR="003D7332">
        <w:t>July</w:t>
      </w:r>
      <w:r w:rsidR="00656B0D">
        <w:t xml:space="preserve"> 2020 </w:t>
      </w:r>
      <w:r w:rsidR="005C1D7D">
        <w:t xml:space="preserve">and must apply </w:t>
      </w:r>
      <w:r w:rsidR="005C1D7D" w:rsidRPr="00F73999">
        <w:t>to</w:t>
      </w:r>
      <w:r w:rsidR="005C1D7D">
        <w:rPr>
          <w:i/>
        </w:rPr>
        <w:t xml:space="preserve"> </w:t>
      </w:r>
      <w:r w:rsidR="005C1D7D">
        <w:t xml:space="preserve">all </w:t>
      </w:r>
      <w:r w:rsidR="009251C6">
        <w:t xml:space="preserve">receiver </w:t>
      </w:r>
      <w:r w:rsidR="005C1D7D">
        <w:t xml:space="preserve">licences held </w:t>
      </w:r>
      <w:r w:rsidR="00B37263">
        <w:t xml:space="preserve">by a person </w:t>
      </w:r>
      <w:r w:rsidR="005C1D7D">
        <w:t>on a Receiver Holding Date.</w:t>
      </w:r>
    </w:p>
    <w:p w:rsidR="00DE55A0" w:rsidRDefault="00CC1755" w:rsidP="00F7449C">
      <w:pPr>
        <w:pStyle w:val="HR"/>
        <w:numPr>
          <w:ilvl w:val="0"/>
          <w:numId w:val="12"/>
        </w:numPr>
        <w:tabs>
          <w:tab w:val="clear" w:pos="360"/>
          <w:tab w:val="num" w:pos="540"/>
        </w:tabs>
        <w:spacing w:before="400" w:line="30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7549B9" w:rsidRPr="007549B9">
        <w:rPr>
          <w:rFonts w:ascii="Arial" w:hAnsi="Arial" w:cs="Arial"/>
          <w:sz w:val="24"/>
          <w:szCs w:val="24"/>
        </w:rPr>
        <w:lastRenderedPageBreak/>
        <w:t>Direction</w:t>
      </w:r>
      <w:r w:rsidR="00697BE8">
        <w:rPr>
          <w:rFonts w:ascii="Arial" w:hAnsi="Arial" w:cs="Arial"/>
          <w:sz w:val="24"/>
          <w:szCs w:val="24"/>
        </w:rPr>
        <w:t xml:space="preserve"> – Spectrum Licence Tax</w:t>
      </w:r>
      <w:r w:rsidR="00E079B4">
        <w:rPr>
          <w:rFonts w:ascii="Arial" w:hAnsi="Arial" w:cs="Arial"/>
          <w:sz w:val="24"/>
          <w:szCs w:val="24"/>
        </w:rPr>
        <w:t xml:space="preserve"> - Adjustment</w:t>
      </w:r>
    </w:p>
    <w:p w:rsidR="007549B9" w:rsidRDefault="007549B9" w:rsidP="007549B9">
      <w:pPr>
        <w:ind w:left="567"/>
      </w:pPr>
    </w:p>
    <w:p w:rsidR="005C6F06" w:rsidRDefault="00950957" w:rsidP="00950957">
      <w:pPr>
        <w:ind w:left="870" w:hanging="870"/>
      </w:pPr>
      <w:r>
        <w:t>(1)</w:t>
      </w:r>
      <w:r>
        <w:tab/>
      </w:r>
      <w:r w:rsidR="007549B9">
        <w:t xml:space="preserve">I direct the ACMA to amend the </w:t>
      </w:r>
      <w:r w:rsidR="007549B9" w:rsidRPr="00F73999">
        <w:t xml:space="preserve">Spectrum Determination </w:t>
      </w:r>
      <w:r w:rsidR="008416C4">
        <w:t xml:space="preserve">to have the effect </w:t>
      </w:r>
      <w:r w:rsidR="005C6F06">
        <w:t>that</w:t>
      </w:r>
      <w:r w:rsidR="00C43D2E">
        <w:t xml:space="preserve"> </w:t>
      </w:r>
      <w:r w:rsidR="004920A6">
        <w:t>the</w:t>
      </w:r>
      <w:r w:rsidR="0050175D">
        <w:t xml:space="preserve"> </w:t>
      </w:r>
      <w:r w:rsidR="0044458D">
        <w:t xml:space="preserve">total </w:t>
      </w:r>
      <w:r w:rsidR="00A74E99">
        <w:t xml:space="preserve">amount of </w:t>
      </w:r>
      <w:r w:rsidR="00F73999">
        <w:t>S</w:t>
      </w:r>
      <w:r w:rsidR="000C06C2">
        <w:t xml:space="preserve">pectrum </w:t>
      </w:r>
      <w:r w:rsidR="00F73999">
        <w:t>L</w:t>
      </w:r>
      <w:r w:rsidR="000C06C2">
        <w:t xml:space="preserve">icence </w:t>
      </w:r>
      <w:r w:rsidR="00F73999">
        <w:t>T</w:t>
      </w:r>
      <w:r w:rsidR="000C06C2">
        <w:t xml:space="preserve">ax </w:t>
      </w:r>
      <w:r w:rsidR="00CF3B6C">
        <w:t xml:space="preserve">imposed </w:t>
      </w:r>
      <w:r w:rsidR="00024A11">
        <w:t xml:space="preserve">in respect of all </w:t>
      </w:r>
      <w:r w:rsidR="00281942">
        <w:t>Designated Spectrum Licen</w:t>
      </w:r>
      <w:r w:rsidR="0009357E">
        <w:t xml:space="preserve">ces </w:t>
      </w:r>
      <w:r w:rsidR="0027513D">
        <w:t>on each Spectrum Holding Date</w:t>
      </w:r>
      <w:r w:rsidR="009741FC">
        <w:t xml:space="preserve"> </w:t>
      </w:r>
      <w:r w:rsidR="000C4999">
        <w:t xml:space="preserve">includes an amount that is attributable to the </w:t>
      </w:r>
      <w:r w:rsidR="00C17392">
        <w:t xml:space="preserve">New </w:t>
      </w:r>
      <w:r w:rsidR="000C4999">
        <w:t xml:space="preserve">EME Component of </w:t>
      </w:r>
      <w:r w:rsidR="00CC1755">
        <w:t>no more</w:t>
      </w:r>
      <w:r w:rsidR="00F8159E">
        <w:t xml:space="preserve"> than</w:t>
      </w:r>
      <w:r w:rsidR="00EA2DFC">
        <w:t>:</w:t>
      </w:r>
    </w:p>
    <w:p w:rsidR="005C6F06" w:rsidRDefault="005C6F06" w:rsidP="005311C5">
      <w:pPr>
        <w:pStyle w:val="ListParagraph"/>
        <w:numPr>
          <w:ilvl w:val="1"/>
          <w:numId w:val="31"/>
        </w:numPr>
      </w:pPr>
      <w:r>
        <w:t xml:space="preserve">for the </w:t>
      </w:r>
      <w:r w:rsidR="009741FC">
        <w:t xml:space="preserve">Spectrum Holding Date occurring in the </w:t>
      </w:r>
      <w:r>
        <w:t>2020-2021 financial year</w:t>
      </w:r>
      <w:r w:rsidR="00FD2B0D">
        <w:rPr>
          <w:rFonts w:cs="Segoe UI"/>
          <w:color w:val="353D3D"/>
          <w:lang w:val="en"/>
        </w:rPr>
        <w:t>—</w:t>
      </w:r>
      <w:r w:rsidR="00230551">
        <w:t>$</w:t>
      </w:r>
      <w:r w:rsidR="00E04C81">
        <w:t>2.6 million</w:t>
      </w:r>
      <w:r w:rsidR="00FD2B0D">
        <w:t>;</w:t>
      </w:r>
      <w:r w:rsidR="00E04C81">
        <w:t xml:space="preserve"> </w:t>
      </w:r>
    </w:p>
    <w:p w:rsidR="00FD2B0D" w:rsidRDefault="00FD2B0D" w:rsidP="005311C5">
      <w:pPr>
        <w:pStyle w:val="ListParagraph"/>
        <w:numPr>
          <w:ilvl w:val="1"/>
          <w:numId w:val="31"/>
        </w:numPr>
      </w:pPr>
      <w:r>
        <w:t xml:space="preserve">for the </w:t>
      </w:r>
      <w:r w:rsidR="009741FC">
        <w:t xml:space="preserve">Spectrum Holding Date occurring in the </w:t>
      </w:r>
      <w:r>
        <w:t>2021-2022 financial year</w:t>
      </w:r>
      <w:r w:rsidRPr="006A6433">
        <w:rPr>
          <w:rFonts w:cs="Segoe UI"/>
          <w:color w:val="353D3D"/>
          <w:lang w:val="en"/>
        </w:rPr>
        <w:t>—</w:t>
      </w:r>
      <w:r>
        <w:t xml:space="preserve">$2.6 million; </w:t>
      </w:r>
    </w:p>
    <w:p w:rsidR="00FD2B0D" w:rsidRDefault="00FD2B0D" w:rsidP="005311C5">
      <w:pPr>
        <w:pStyle w:val="ListParagraph"/>
        <w:numPr>
          <w:ilvl w:val="1"/>
          <w:numId w:val="31"/>
        </w:numPr>
      </w:pPr>
      <w:r>
        <w:t xml:space="preserve">for the </w:t>
      </w:r>
      <w:r w:rsidR="009741FC">
        <w:t>Spect</w:t>
      </w:r>
      <w:r w:rsidR="00247129">
        <w:t>r</w:t>
      </w:r>
      <w:r w:rsidR="009741FC">
        <w:t xml:space="preserve">um Holding Date occurring in the </w:t>
      </w:r>
      <w:r>
        <w:t>2022-2023 financial year</w:t>
      </w:r>
      <w:r>
        <w:rPr>
          <w:rFonts w:cs="Segoe UI"/>
          <w:color w:val="353D3D"/>
          <w:lang w:val="en"/>
        </w:rPr>
        <w:t>—</w:t>
      </w:r>
      <w:r>
        <w:t>$2.6 million; and</w:t>
      </w:r>
    </w:p>
    <w:p w:rsidR="00A74E99" w:rsidRDefault="00FD2B0D" w:rsidP="005311C5">
      <w:pPr>
        <w:pStyle w:val="ListParagraph"/>
        <w:numPr>
          <w:ilvl w:val="1"/>
          <w:numId w:val="31"/>
        </w:numPr>
      </w:pPr>
      <w:r>
        <w:t>f</w:t>
      </w:r>
      <w:r w:rsidR="00546223">
        <w:t xml:space="preserve">or the </w:t>
      </w:r>
      <w:r w:rsidR="009741FC">
        <w:t xml:space="preserve">Spectrum Holding Dates occurring in the </w:t>
      </w:r>
      <w:r w:rsidR="00546223">
        <w:t xml:space="preserve">2023-2024 financial year, </w:t>
      </w:r>
      <w:r>
        <w:t>and each subsequent financial year</w:t>
      </w:r>
      <w:r w:rsidRPr="00A74E99">
        <w:rPr>
          <w:rFonts w:cs="Segoe UI"/>
          <w:color w:val="353D3D"/>
          <w:lang w:val="en"/>
        </w:rPr>
        <w:t>—</w:t>
      </w:r>
      <w:r>
        <w:t>$1.9 million</w:t>
      </w:r>
      <w:r w:rsidR="00A74E99">
        <w:t>;</w:t>
      </w:r>
    </w:p>
    <w:p w:rsidR="00D956FF" w:rsidRDefault="00E04C81" w:rsidP="00F4162E">
      <w:pPr>
        <w:ind w:left="870"/>
      </w:pPr>
      <w:r>
        <w:t>(</w:t>
      </w:r>
      <w:r w:rsidR="009639D9">
        <w:t xml:space="preserve">each a </w:t>
      </w:r>
      <w:r w:rsidR="009B105B">
        <w:t>“</w:t>
      </w:r>
      <w:r w:rsidR="0044458D">
        <w:t xml:space="preserve">Combined Spectrum Tax </w:t>
      </w:r>
      <w:r w:rsidR="005B788F">
        <w:t>EME Component</w:t>
      </w:r>
      <w:r w:rsidR="009B105B">
        <w:t>”</w:t>
      </w:r>
      <w:r w:rsidR="009639D9">
        <w:t xml:space="preserve"> for the </w:t>
      </w:r>
      <w:r w:rsidR="005C473D">
        <w:t xml:space="preserve">relevant </w:t>
      </w:r>
      <w:r w:rsidR="009639D9">
        <w:t>financial year</w:t>
      </w:r>
      <w:r>
        <w:t>).</w:t>
      </w:r>
    </w:p>
    <w:p w:rsidR="00024A11" w:rsidRDefault="00024A11" w:rsidP="00FB6F51">
      <w:pPr>
        <w:ind w:left="870" w:hanging="870"/>
      </w:pPr>
      <w:r w:rsidDel="00024A11">
        <w:t xml:space="preserve"> </w:t>
      </w:r>
    </w:p>
    <w:p w:rsidR="00EA2DFC" w:rsidRDefault="00950957" w:rsidP="00950957">
      <w:pPr>
        <w:ind w:left="870" w:hanging="870"/>
      </w:pPr>
      <w:r>
        <w:t>(2)</w:t>
      </w:r>
      <w:r>
        <w:tab/>
      </w:r>
      <w:r w:rsidR="00E04C81">
        <w:t>T</w:t>
      </w:r>
      <w:r w:rsidR="0072404C">
        <w:t xml:space="preserve">he </w:t>
      </w:r>
      <w:r w:rsidR="0044458D">
        <w:t xml:space="preserve">Combined Spectrum Tax </w:t>
      </w:r>
      <w:r w:rsidR="005B788F">
        <w:t xml:space="preserve">EME Component </w:t>
      </w:r>
      <w:r w:rsidR="00ED6CE1">
        <w:t xml:space="preserve">for the </w:t>
      </w:r>
      <w:r w:rsidR="00E96718">
        <w:t xml:space="preserve">2023-24 </w:t>
      </w:r>
      <w:r w:rsidR="00ED6CE1">
        <w:t xml:space="preserve">financial </w:t>
      </w:r>
      <w:r w:rsidR="00E96718">
        <w:t xml:space="preserve">year </w:t>
      </w:r>
      <w:r w:rsidR="00ED6CE1">
        <w:t xml:space="preserve">and </w:t>
      </w:r>
      <w:r w:rsidR="0025045F">
        <w:t xml:space="preserve">each </w:t>
      </w:r>
      <w:r w:rsidR="00ED6CE1">
        <w:t xml:space="preserve">subsequent </w:t>
      </w:r>
      <w:r w:rsidR="0025045F">
        <w:t>year</w:t>
      </w:r>
      <w:r w:rsidR="00ED6CE1">
        <w:t xml:space="preserve"> </w:t>
      </w:r>
      <w:r w:rsidR="00485867">
        <w:t>must</w:t>
      </w:r>
      <w:r w:rsidR="00281942">
        <w:t xml:space="preserve"> </w:t>
      </w:r>
      <w:r w:rsidR="0072404C">
        <w:t xml:space="preserve">be </w:t>
      </w:r>
      <w:r w:rsidR="00230551">
        <w:t xml:space="preserve">increased </w:t>
      </w:r>
      <w:r w:rsidR="00ED6CE1">
        <w:t xml:space="preserve">annually </w:t>
      </w:r>
      <w:r w:rsidR="0072404C">
        <w:t xml:space="preserve">by a factor </w:t>
      </w:r>
      <w:r w:rsidR="00FD2B0D">
        <w:t xml:space="preserve">determined </w:t>
      </w:r>
      <w:r w:rsidR="009B105B">
        <w:t>by the ACMA</w:t>
      </w:r>
      <w:r w:rsidR="00A74E99">
        <w:t xml:space="preserve">, </w:t>
      </w:r>
      <w:r w:rsidR="000D308B">
        <w:t xml:space="preserve">and that factor must not exceed the factor published by the </w:t>
      </w:r>
      <w:r w:rsidR="000D308B" w:rsidRPr="000D308B">
        <w:t xml:space="preserve">Australian Statistician for the </w:t>
      </w:r>
      <w:r w:rsidR="0060516B">
        <w:t>‘</w:t>
      </w:r>
      <w:r w:rsidR="000D308B" w:rsidRPr="000D308B">
        <w:t>Consumer Price Index</w:t>
      </w:r>
      <w:r w:rsidR="0060516B">
        <w:t xml:space="preserve">’ </w:t>
      </w:r>
      <w:r w:rsidR="000D308B">
        <w:t xml:space="preserve">for the reference period </w:t>
      </w:r>
      <w:r w:rsidR="00EA2DFC">
        <w:t xml:space="preserve">of </w:t>
      </w:r>
      <w:r w:rsidR="000D308B">
        <w:t>June for the applicable year.</w:t>
      </w:r>
    </w:p>
    <w:p w:rsidR="00EA2DFC" w:rsidRDefault="00EA2DFC" w:rsidP="00EA2DFC">
      <w:pPr>
        <w:pStyle w:val="ListParagraph"/>
        <w:ind w:left="1230"/>
      </w:pPr>
    </w:p>
    <w:p w:rsidR="00EA2DFC" w:rsidRDefault="00950957" w:rsidP="00950957">
      <w:pPr>
        <w:ind w:left="870" w:hanging="870"/>
      </w:pPr>
      <w:r>
        <w:t>(3)</w:t>
      </w:r>
      <w:r>
        <w:tab/>
      </w:r>
      <w:r w:rsidR="005723E2">
        <w:t>I</w:t>
      </w:r>
      <w:r w:rsidR="0072404C">
        <w:t xml:space="preserve">n determining the </w:t>
      </w:r>
      <w:r w:rsidR="00485867">
        <w:t>apportionment</w:t>
      </w:r>
      <w:r w:rsidR="009B105B">
        <w:t xml:space="preserve"> </w:t>
      </w:r>
      <w:r w:rsidR="0072404C">
        <w:t xml:space="preserve">of the </w:t>
      </w:r>
      <w:r w:rsidR="0044458D">
        <w:t xml:space="preserve">Combined Spectrum Tax </w:t>
      </w:r>
      <w:r w:rsidR="005B788F">
        <w:t xml:space="preserve">EME Component </w:t>
      </w:r>
      <w:r w:rsidR="00A74E99">
        <w:t xml:space="preserve">to be imposed </w:t>
      </w:r>
      <w:r w:rsidR="0009357E">
        <w:t xml:space="preserve">in </w:t>
      </w:r>
      <w:r w:rsidR="00AE7A94">
        <w:t xml:space="preserve">respect of </w:t>
      </w:r>
      <w:r w:rsidR="00FF3E6D">
        <w:t xml:space="preserve">all </w:t>
      </w:r>
      <w:r w:rsidR="00DB0212">
        <w:t>Designated Spectrum</w:t>
      </w:r>
      <w:r w:rsidR="00EA2DFC">
        <w:t xml:space="preserve"> Licen</w:t>
      </w:r>
      <w:r w:rsidR="0009357E">
        <w:t xml:space="preserve">ces </w:t>
      </w:r>
      <w:r w:rsidR="009B105B">
        <w:t>o</w:t>
      </w:r>
      <w:r w:rsidR="003979E6">
        <w:t xml:space="preserve">n </w:t>
      </w:r>
      <w:r w:rsidR="0044458D">
        <w:t xml:space="preserve">each </w:t>
      </w:r>
      <w:r w:rsidR="009741FC">
        <w:t>Spect</w:t>
      </w:r>
      <w:r w:rsidR="00E21EC8">
        <w:t>r</w:t>
      </w:r>
      <w:r w:rsidR="009741FC">
        <w:t xml:space="preserve">um Holding Date occurring in </w:t>
      </w:r>
      <w:r w:rsidR="00970783">
        <w:t xml:space="preserve">each </w:t>
      </w:r>
      <w:r w:rsidR="0044458D">
        <w:t xml:space="preserve">of the </w:t>
      </w:r>
      <w:r w:rsidR="009B105B">
        <w:t>financial year</w:t>
      </w:r>
      <w:r w:rsidR="0044458D">
        <w:t>s</w:t>
      </w:r>
      <w:r w:rsidR="006A6433">
        <w:t xml:space="preserve"> mentioned in paragraphs (1)(a)-(</w:t>
      </w:r>
      <w:r w:rsidR="002A7B18">
        <w:t>d</w:t>
      </w:r>
      <w:r w:rsidR="006A6433">
        <w:t>)</w:t>
      </w:r>
      <w:r w:rsidR="0072404C">
        <w:t xml:space="preserve">, </w:t>
      </w:r>
      <w:r w:rsidR="00230551">
        <w:t xml:space="preserve">I direct the </w:t>
      </w:r>
      <w:r w:rsidR="005723E2">
        <w:t>ACMA</w:t>
      </w:r>
      <w:r w:rsidR="0072404C">
        <w:t xml:space="preserve"> </w:t>
      </w:r>
      <w:r w:rsidR="00230551">
        <w:t>to</w:t>
      </w:r>
      <w:r w:rsidR="00EA2DFC">
        <w:t>:</w:t>
      </w:r>
    </w:p>
    <w:p w:rsidR="00EA2DFC" w:rsidRDefault="0060516B" w:rsidP="00950957">
      <w:pPr>
        <w:pStyle w:val="ListParagraph"/>
        <w:numPr>
          <w:ilvl w:val="0"/>
          <w:numId w:val="34"/>
        </w:numPr>
      </w:pPr>
      <w:r>
        <w:t>adopt</w:t>
      </w:r>
      <w:r w:rsidR="00EA2DFC">
        <w:t xml:space="preserve"> </w:t>
      </w:r>
      <w:r w:rsidR="0072404C">
        <w:t>objective and equitable criteria</w:t>
      </w:r>
      <w:r w:rsidR="00EA2DFC">
        <w:t>;</w:t>
      </w:r>
      <w:r w:rsidR="00E4318B">
        <w:t xml:space="preserve"> </w:t>
      </w:r>
      <w:r w:rsidR="0079438A">
        <w:t>and</w:t>
      </w:r>
    </w:p>
    <w:p w:rsidR="00965136" w:rsidRDefault="00E4318B" w:rsidP="00950957">
      <w:pPr>
        <w:pStyle w:val="ListParagraph"/>
        <w:numPr>
          <w:ilvl w:val="0"/>
          <w:numId w:val="34"/>
        </w:numPr>
      </w:pPr>
      <w:r>
        <w:t>ha</w:t>
      </w:r>
      <w:r w:rsidR="00F4385B">
        <w:t>ve</w:t>
      </w:r>
      <w:r>
        <w:t xml:space="preserve"> regard to</w:t>
      </w:r>
      <w:r w:rsidR="00965136">
        <w:t>:</w:t>
      </w:r>
    </w:p>
    <w:p w:rsidR="0072404C" w:rsidRDefault="004C4F36" w:rsidP="002D7623">
      <w:pPr>
        <w:pStyle w:val="ListParagraph"/>
        <w:numPr>
          <w:ilvl w:val="2"/>
          <w:numId w:val="31"/>
        </w:numPr>
      </w:pPr>
      <w:r>
        <w:t xml:space="preserve">the </w:t>
      </w:r>
      <w:r w:rsidR="00FF3E6D">
        <w:t xml:space="preserve">total </w:t>
      </w:r>
      <w:r>
        <w:t xml:space="preserve">amount of spectrum </w:t>
      </w:r>
      <w:r w:rsidR="00EA2DFC">
        <w:t>each</w:t>
      </w:r>
      <w:r w:rsidR="0079438A">
        <w:t xml:space="preserve"> </w:t>
      </w:r>
      <w:r w:rsidR="00AE7A94">
        <w:t xml:space="preserve">holder of a </w:t>
      </w:r>
      <w:r w:rsidR="0079438A">
        <w:t>Designated Spectrum L</w:t>
      </w:r>
      <w:r w:rsidR="0060516B">
        <w:t>icen</w:t>
      </w:r>
      <w:r w:rsidR="00AE7A94">
        <w:t xml:space="preserve">ce </w:t>
      </w:r>
      <w:r w:rsidR="0060516B">
        <w:t xml:space="preserve">may use under </w:t>
      </w:r>
      <w:r w:rsidR="00344A03">
        <w:t xml:space="preserve">its </w:t>
      </w:r>
      <w:r w:rsidR="00AE7A94">
        <w:t>Designated S</w:t>
      </w:r>
      <w:r w:rsidR="0060516B">
        <w:t xml:space="preserve">pectrum </w:t>
      </w:r>
      <w:r w:rsidR="00AE7A94">
        <w:t>L</w:t>
      </w:r>
      <w:r w:rsidR="0060516B">
        <w:t>icences</w:t>
      </w:r>
      <w:r w:rsidR="007C5389">
        <w:t>; and</w:t>
      </w:r>
    </w:p>
    <w:p w:rsidR="00485867" w:rsidRDefault="00485867" w:rsidP="002D7623">
      <w:pPr>
        <w:pStyle w:val="ListParagraph"/>
        <w:numPr>
          <w:ilvl w:val="2"/>
          <w:numId w:val="31"/>
        </w:numPr>
      </w:pPr>
      <w:r>
        <w:t>any</w:t>
      </w:r>
      <w:r w:rsidR="00BC06FF">
        <w:t xml:space="preserve"> </w:t>
      </w:r>
      <w:r>
        <w:t xml:space="preserve">other matter </w:t>
      </w:r>
      <w:r w:rsidR="0079438A">
        <w:t xml:space="preserve">which the </w:t>
      </w:r>
      <w:r>
        <w:t>ACMA considers relevant.</w:t>
      </w:r>
    </w:p>
    <w:p w:rsidR="006A6433" w:rsidRDefault="006A6433" w:rsidP="006A6433">
      <w:pPr>
        <w:pStyle w:val="ListParagraph"/>
        <w:ind w:left="1230"/>
      </w:pPr>
    </w:p>
    <w:p w:rsidR="000D308B" w:rsidRDefault="00950957" w:rsidP="00950957">
      <w:pPr>
        <w:ind w:left="870" w:hanging="870"/>
      </w:pPr>
      <w:r>
        <w:t>(4)</w:t>
      </w:r>
      <w:r>
        <w:tab/>
      </w:r>
      <w:r w:rsidR="00FB6F51">
        <w:t xml:space="preserve">The </w:t>
      </w:r>
      <w:r w:rsidR="0094775B">
        <w:t>amendments t</w:t>
      </w:r>
      <w:r w:rsidR="004D20E7">
        <w:t xml:space="preserve">o the Spectrum Determination made in accordance with </w:t>
      </w:r>
      <w:r w:rsidR="00DD4CAF">
        <w:t>paragraph</w:t>
      </w:r>
      <w:r w:rsidR="005311C5">
        <w:t>s</w:t>
      </w:r>
      <w:r w:rsidR="00DD4CAF">
        <w:t xml:space="preserve"> </w:t>
      </w:r>
      <w:r w:rsidR="003C1349">
        <w:t>(1)(a)-(c)</w:t>
      </w:r>
      <w:r w:rsidR="00DD4CAF">
        <w:t xml:space="preserve"> </w:t>
      </w:r>
      <w:r w:rsidR="004D20E7">
        <w:t>must</w:t>
      </w:r>
      <w:r w:rsidR="000D308B">
        <w:t>:</w:t>
      </w:r>
    </w:p>
    <w:p w:rsidR="0060516B" w:rsidRDefault="004D20E7" w:rsidP="00950957">
      <w:pPr>
        <w:pStyle w:val="ListParagraph"/>
        <w:numPr>
          <w:ilvl w:val="0"/>
          <w:numId w:val="35"/>
        </w:numPr>
      </w:pPr>
      <w:r>
        <w:t xml:space="preserve">be </w:t>
      </w:r>
      <w:r w:rsidR="00F73999" w:rsidRPr="00F73999">
        <w:t xml:space="preserve">made within </w:t>
      </w:r>
      <w:r w:rsidR="0060516B">
        <w:t xml:space="preserve">5 </w:t>
      </w:r>
      <w:r w:rsidR="00F73999" w:rsidRPr="00F73999">
        <w:t>months of the commencement of this Direction</w:t>
      </w:r>
      <w:r w:rsidR="00BC3232">
        <w:t xml:space="preserve"> </w:t>
      </w:r>
      <w:r w:rsidR="0060516B">
        <w:t xml:space="preserve">and have </w:t>
      </w:r>
      <w:r w:rsidR="00BC3232">
        <w:t xml:space="preserve">effect on and from </w:t>
      </w:r>
      <w:r w:rsidR="00ED6CE1">
        <w:t>1</w:t>
      </w:r>
      <w:r w:rsidR="00BC3232">
        <w:t xml:space="preserve">1 </w:t>
      </w:r>
      <w:r w:rsidR="00B22AE7">
        <w:t xml:space="preserve">October </w:t>
      </w:r>
      <w:r w:rsidR="00BC3232">
        <w:t>2020</w:t>
      </w:r>
      <w:r w:rsidR="000D308B">
        <w:t>; and</w:t>
      </w:r>
    </w:p>
    <w:p w:rsidR="0044458D" w:rsidRDefault="0060516B" w:rsidP="00950957">
      <w:pPr>
        <w:pStyle w:val="ListParagraph"/>
        <w:numPr>
          <w:ilvl w:val="0"/>
          <w:numId w:val="35"/>
        </w:numPr>
      </w:pPr>
      <w:r>
        <w:t>d</w:t>
      </w:r>
      <w:r w:rsidR="00FF3E6D">
        <w:t>iscretely d</w:t>
      </w:r>
      <w:r w:rsidR="002E197C">
        <w:t xml:space="preserve">esignate, </w:t>
      </w:r>
      <w:r>
        <w:t xml:space="preserve">in </w:t>
      </w:r>
      <w:r w:rsidR="00FF3E6D">
        <w:t xml:space="preserve">a </w:t>
      </w:r>
      <w:r>
        <w:t>clear and unambiguous</w:t>
      </w:r>
      <w:r w:rsidR="00142C2D">
        <w:t xml:space="preserve"> way</w:t>
      </w:r>
      <w:r>
        <w:t xml:space="preserve">, the component of the Spectrum Licence Tax which </w:t>
      </w:r>
      <w:r w:rsidR="0044458D">
        <w:t xml:space="preserve">represents the increase in </w:t>
      </w:r>
      <w:r w:rsidR="0079438A">
        <w:t>that t</w:t>
      </w:r>
      <w:r w:rsidR="0044458D">
        <w:t>ax arising from the implementation of this Direction, and label</w:t>
      </w:r>
      <w:r w:rsidR="006E32EB">
        <w:t xml:space="preserve"> the component </w:t>
      </w:r>
      <w:r w:rsidR="0044458D">
        <w:t>“EME Component”</w:t>
      </w:r>
      <w:r w:rsidR="002B2022">
        <w:t>.</w:t>
      </w:r>
    </w:p>
    <w:p w:rsidR="00DD4CAF" w:rsidRDefault="00DD4CAF" w:rsidP="00DD4CAF">
      <w:pPr>
        <w:pStyle w:val="ListParagraph"/>
        <w:ind w:left="851"/>
      </w:pPr>
    </w:p>
    <w:p w:rsidR="009C1FDA" w:rsidRDefault="00950957" w:rsidP="00950957">
      <w:pPr>
        <w:ind w:left="870" w:hanging="870"/>
      </w:pPr>
      <w:r>
        <w:t>(5)</w:t>
      </w:r>
      <w:r>
        <w:tab/>
      </w:r>
      <w:r w:rsidR="00970783">
        <w:t>The amendments to the Spectrum Determination made in accordance with paragraph (1)(d) and subsection (2)</w:t>
      </w:r>
      <w:r w:rsidR="00970783" w:rsidRPr="00950957">
        <w:t xml:space="preserve"> </w:t>
      </w:r>
      <w:r w:rsidR="00970783">
        <w:t>must</w:t>
      </w:r>
      <w:r w:rsidR="009C1FDA">
        <w:t>:</w:t>
      </w:r>
    </w:p>
    <w:p w:rsidR="009C1FDA" w:rsidRPr="009C1FDA" w:rsidRDefault="009C1FDA" w:rsidP="00950957">
      <w:pPr>
        <w:pStyle w:val="ListParagraph"/>
        <w:numPr>
          <w:ilvl w:val="0"/>
          <w:numId w:val="36"/>
        </w:numPr>
      </w:pPr>
      <w:r w:rsidRPr="009C1FDA">
        <w:t>be made no later than</w:t>
      </w:r>
      <w:r w:rsidR="00B043B3">
        <w:t xml:space="preserve"> </w:t>
      </w:r>
      <w:r w:rsidR="00D84703">
        <w:t xml:space="preserve">20 </w:t>
      </w:r>
      <w:r w:rsidRPr="00282C68">
        <w:t>days</w:t>
      </w:r>
      <w:r w:rsidRPr="009C1FDA">
        <w:t xml:space="preserve"> before each Spectrum Holding Date fo</w:t>
      </w:r>
      <w:r>
        <w:t xml:space="preserve">r the applicable financial year; and </w:t>
      </w:r>
    </w:p>
    <w:p w:rsidR="00790C6F" w:rsidRDefault="009C1FDA" w:rsidP="00BE4227">
      <w:pPr>
        <w:pStyle w:val="ListParagraph"/>
        <w:numPr>
          <w:ilvl w:val="0"/>
          <w:numId w:val="36"/>
        </w:numPr>
      </w:pPr>
      <w:r>
        <w:t xml:space="preserve">discretely designate, in a clear and unambiguous way, the component of the Spectrum Licence Tax which represents the increase in that tax </w:t>
      </w:r>
      <w:r>
        <w:lastRenderedPageBreak/>
        <w:t>arising from the implementation of this Direction, and label</w:t>
      </w:r>
      <w:r w:rsidR="006E32EB">
        <w:t xml:space="preserve"> the component </w:t>
      </w:r>
      <w:r>
        <w:t>“EME Component”.</w:t>
      </w:r>
    </w:p>
    <w:sectPr w:rsidR="00790C6F" w:rsidSect="001678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E7C40" w16cid:durableId="220C99AE"/>
  <w16cid:commentId w16cid:paraId="5AFF538C" w16cid:durableId="220C99DC"/>
  <w16cid:commentId w16cid:paraId="381ECFA3" w16cid:durableId="220C99EA"/>
  <w16cid:commentId w16cid:paraId="3B506308" w16cid:durableId="220C9CAA"/>
  <w16cid:commentId w16cid:paraId="2185DDAF" w16cid:durableId="220C9CC8"/>
  <w16cid:commentId w16cid:paraId="22B83BD3" w16cid:durableId="220C9C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ED" w:rsidRDefault="00D237ED">
      <w:r>
        <w:separator/>
      </w:r>
    </w:p>
  </w:endnote>
  <w:endnote w:type="continuationSeparator" w:id="0">
    <w:p w:rsidR="00D237ED" w:rsidRDefault="00D237ED">
      <w:r>
        <w:continuationSeparator/>
      </w:r>
    </w:p>
  </w:endnote>
  <w:endnote w:type="continuationNotice" w:id="1">
    <w:p w:rsidR="00D237ED" w:rsidRDefault="00D23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Pro-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55" w:rsidRPr="00CC1755" w:rsidRDefault="00CC1755" w:rsidP="00CC1755">
    <w:pPr>
      <w:pStyle w:val="Title"/>
      <w:spacing w:before="0"/>
      <w:rPr>
        <w:rFonts w:ascii="Times New Roman" w:hAnsi="Times New Roman" w:cs="Times New Roman"/>
        <w:b w:val="0"/>
        <w:i/>
        <w:sz w:val="20"/>
        <w:szCs w:val="20"/>
      </w:rPr>
    </w:pPr>
    <w:r w:rsidRPr="00CC1755">
      <w:rPr>
        <w:rFonts w:ascii="Times New Roman" w:hAnsi="Times New Roman" w:cs="Times New Roman"/>
        <w:b w:val="0"/>
        <w:i/>
        <w:sz w:val="20"/>
        <w:szCs w:val="20"/>
      </w:rPr>
      <w:t xml:space="preserve">Australian Communications and Media Authority (Modifications to Apparatus and Spectrum Licences Taxes) Direction 2020 </w:t>
    </w:r>
  </w:p>
  <w:sdt>
    <w:sdtPr>
      <w:id w:val="-309099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755" w:rsidRDefault="00CC17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43B" w:rsidRDefault="009B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43B" w:rsidRPr="00323160" w:rsidRDefault="009B343B" w:rsidP="00323160">
    <w:pPr>
      <w:pStyle w:val="Head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ED" w:rsidRDefault="00D237ED">
      <w:r>
        <w:separator/>
      </w:r>
    </w:p>
  </w:footnote>
  <w:footnote w:type="continuationSeparator" w:id="0">
    <w:p w:rsidR="00D237ED" w:rsidRDefault="00D237ED">
      <w:r>
        <w:continuationSeparator/>
      </w:r>
    </w:p>
  </w:footnote>
  <w:footnote w:type="continuationNotice" w:id="1">
    <w:p w:rsidR="00D237ED" w:rsidRDefault="00D23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18" w:rsidRDefault="00E96718" w:rsidP="00E96718">
    <w:pPr>
      <w:pStyle w:val="Header"/>
    </w:pPr>
  </w:p>
  <w:p w:rsidR="00E96718" w:rsidRPr="00CC1755" w:rsidRDefault="00E96718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43B" w:rsidRPr="00323160" w:rsidRDefault="009B343B" w:rsidP="006C1C2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32F"/>
    <w:multiLevelType w:val="hybridMultilevel"/>
    <w:tmpl w:val="550C0E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4FE"/>
    <w:multiLevelType w:val="hybridMultilevel"/>
    <w:tmpl w:val="09BCF2AE"/>
    <w:lvl w:ilvl="0" w:tplc="4772751A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14D5"/>
    <w:multiLevelType w:val="hybridMultilevel"/>
    <w:tmpl w:val="77F0D0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0A06"/>
    <w:multiLevelType w:val="hybridMultilevel"/>
    <w:tmpl w:val="6FA8F3C8"/>
    <w:lvl w:ilvl="0" w:tplc="D960C790">
      <w:numFmt w:val="bullet"/>
      <w:pStyle w:val="ss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E57529F"/>
    <w:multiLevelType w:val="hybridMultilevel"/>
    <w:tmpl w:val="AD8A3C7C"/>
    <w:lvl w:ilvl="0" w:tplc="69D48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63D"/>
    <w:multiLevelType w:val="multilevel"/>
    <w:tmpl w:val="E068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55BF8"/>
    <w:multiLevelType w:val="hybridMultilevel"/>
    <w:tmpl w:val="FB208180"/>
    <w:lvl w:ilvl="0" w:tplc="69BCC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4407"/>
    <w:multiLevelType w:val="hybridMultilevel"/>
    <w:tmpl w:val="17020EB2"/>
    <w:lvl w:ilvl="0" w:tplc="12B402C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D1C24"/>
    <w:multiLevelType w:val="hybridMultilevel"/>
    <w:tmpl w:val="1CD6B4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13315"/>
    <w:multiLevelType w:val="hybridMultilevel"/>
    <w:tmpl w:val="B06CB0DC"/>
    <w:lvl w:ilvl="0" w:tplc="12B402C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32BBC"/>
    <w:multiLevelType w:val="hybridMultilevel"/>
    <w:tmpl w:val="26027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17F6"/>
    <w:multiLevelType w:val="hybridMultilevel"/>
    <w:tmpl w:val="D8E8B3E8"/>
    <w:lvl w:ilvl="0" w:tplc="1BBE8C14">
      <w:start w:val="1"/>
      <w:numFmt w:val="lowerRoman"/>
      <w:lvlText w:val="(%1)"/>
      <w:lvlJc w:val="right"/>
      <w:pPr>
        <w:tabs>
          <w:tab w:val="num" w:pos="1840"/>
        </w:tabs>
        <w:ind w:left="1840" w:hanging="40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917B0D"/>
    <w:multiLevelType w:val="multilevel"/>
    <w:tmpl w:val="BFD849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0880FFE"/>
    <w:multiLevelType w:val="hybridMultilevel"/>
    <w:tmpl w:val="C4D009F2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i/>
        <w:u w:val="none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3F2086C"/>
    <w:multiLevelType w:val="hybridMultilevel"/>
    <w:tmpl w:val="55784748"/>
    <w:lvl w:ilvl="0" w:tplc="280CAB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67DB7"/>
    <w:multiLevelType w:val="hybridMultilevel"/>
    <w:tmpl w:val="7B76F6BA"/>
    <w:lvl w:ilvl="0" w:tplc="12B402C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61186E4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F86868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7A5A8B"/>
    <w:multiLevelType w:val="hybridMultilevel"/>
    <w:tmpl w:val="0CC2F3F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i/>
        <w:u w:val="none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E713A90"/>
    <w:multiLevelType w:val="hybridMultilevel"/>
    <w:tmpl w:val="E2987CDA"/>
    <w:lvl w:ilvl="0" w:tplc="5F56C486">
      <w:start w:val="1"/>
      <w:numFmt w:val="lowerLetter"/>
      <w:lvlText w:val="(%1)"/>
      <w:lvlJc w:val="left"/>
      <w:pPr>
        <w:ind w:left="927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3360EF"/>
    <w:multiLevelType w:val="hybridMultilevel"/>
    <w:tmpl w:val="D3CE33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4180A"/>
    <w:multiLevelType w:val="hybridMultilevel"/>
    <w:tmpl w:val="BAC46CC8"/>
    <w:lvl w:ilvl="0" w:tplc="BF5823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E30881"/>
    <w:multiLevelType w:val="hybridMultilevel"/>
    <w:tmpl w:val="DE7CE3A2"/>
    <w:lvl w:ilvl="0" w:tplc="1BBE8C14">
      <w:start w:val="1"/>
      <w:numFmt w:val="lowerRoman"/>
      <w:lvlText w:val="(%1)"/>
      <w:lvlJc w:val="right"/>
      <w:pPr>
        <w:tabs>
          <w:tab w:val="num" w:pos="1840"/>
        </w:tabs>
        <w:ind w:left="1840" w:hanging="40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4F590C"/>
    <w:multiLevelType w:val="hybridMultilevel"/>
    <w:tmpl w:val="FBD4AAAA"/>
    <w:lvl w:ilvl="0" w:tplc="68EA71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649D5"/>
    <w:multiLevelType w:val="hybridMultilevel"/>
    <w:tmpl w:val="7232874A"/>
    <w:lvl w:ilvl="0" w:tplc="1BBE8C14">
      <w:start w:val="1"/>
      <w:numFmt w:val="lowerRoman"/>
      <w:lvlText w:val="(%1)"/>
      <w:lvlJc w:val="right"/>
      <w:pPr>
        <w:tabs>
          <w:tab w:val="num" w:pos="1840"/>
        </w:tabs>
        <w:ind w:left="1840" w:hanging="40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987246"/>
    <w:multiLevelType w:val="hybridMultilevel"/>
    <w:tmpl w:val="119CDE1C"/>
    <w:lvl w:ilvl="0" w:tplc="11483BAC">
      <w:start w:val="1"/>
      <w:numFmt w:val="decimal"/>
      <w:lvlText w:val="(%1)"/>
      <w:lvlJc w:val="left"/>
      <w:pPr>
        <w:ind w:left="1230" w:hanging="870"/>
      </w:pPr>
      <w:rPr>
        <w:rFonts w:hint="default"/>
      </w:rPr>
    </w:lvl>
    <w:lvl w:ilvl="1" w:tplc="583C8B50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355C"/>
    <w:multiLevelType w:val="multilevel"/>
    <w:tmpl w:val="3306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B568E2"/>
    <w:multiLevelType w:val="multilevel"/>
    <w:tmpl w:val="C7A8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2275F"/>
    <w:multiLevelType w:val="hybridMultilevel"/>
    <w:tmpl w:val="C02E3500"/>
    <w:lvl w:ilvl="0" w:tplc="11483BAC">
      <w:start w:val="1"/>
      <w:numFmt w:val="decimal"/>
      <w:lvlText w:val="(%1)"/>
      <w:lvlJc w:val="left"/>
      <w:pPr>
        <w:ind w:left="1230" w:hanging="870"/>
      </w:pPr>
      <w:rPr>
        <w:rFonts w:hint="default"/>
      </w:rPr>
    </w:lvl>
    <w:lvl w:ilvl="1" w:tplc="583C8B50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734510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16C61"/>
    <w:multiLevelType w:val="hybridMultilevel"/>
    <w:tmpl w:val="986A90F4"/>
    <w:lvl w:ilvl="0" w:tplc="69D48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D4B1D"/>
    <w:multiLevelType w:val="hybridMultilevel"/>
    <w:tmpl w:val="DB920752"/>
    <w:lvl w:ilvl="0" w:tplc="61186E4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9111214"/>
    <w:multiLevelType w:val="hybridMultilevel"/>
    <w:tmpl w:val="6F6AB7B8"/>
    <w:lvl w:ilvl="0" w:tplc="583C8B50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06D21"/>
    <w:multiLevelType w:val="hybridMultilevel"/>
    <w:tmpl w:val="7124CF9A"/>
    <w:lvl w:ilvl="0" w:tplc="C5246E1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5B50325"/>
    <w:multiLevelType w:val="hybridMultilevel"/>
    <w:tmpl w:val="8CBA60FE"/>
    <w:lvl w:ilvl="0" w:tplc="583C8B50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1228B"/>
    <w:multiLevelType w:val="hybridMultilevel"/>
    <w:tmpl w:val="8CBA60FE"/>
    <w:lvl w:ilvl="0" w:tplc="583C8B50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6307E"/>
    <w:multiLevelType w:val="hybridMultilevel"/>
    <w:tmpl w:val="D9122C7A"/>
    <w:lvl w:ilvl="0" w:tplc="476C7A2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C03CA9"/>
    <w:multiLevelType w:val="singleLevel"/>
    <w:tmpl w:val="E5D491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FD158B7"/>
    <w:multiLevelType w:val="hybridMultilevel"/>
    <w:tmpl w:val="94086D28"/>
    <w:lvl w:ilvl="0" w:tplc="21066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0"/>
  </w:num>
  <w:num w:numId="4">
    <w:abstractNumId w:val="11"/>
  </w:num>
  <w:num w:numId="5">
    <w:abstractNumId w:val="9"/>
  </w:num>
  <w:num w:numId="6">
    <w:abstractNumId w:val="15"/>
  </w:num>
  <w:num w:numId="7">
    <w:abstractNumId w:val="28"/>
  </w:num>
  <w:num w:numId="8">
    <w:abstractNumId w:val="7"/>
  </w:num>
  <w:num w:numId="9">
    <w:abstractNumId w:val="1"/>
  </w:num>
  <w:num w:numId="10">
    <w:abstractNumId w:val="19"/>
  </w:num>
  <w:num w:numId="11">
    <w:abstractNumId w:val="33"/>
  </w:num>
  <w:num w:numId="12">
    <w:abstractNumId w:val="34"/>
    <w:lvlOverride w:ilvl="0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35"/>
  </w:num>
  <w:num w:numId="18">
    <w:abstractNumId w:val="3"/>
  </w:num>
  <w:num w:numId="19">
    <w:abstractNumId w:val="24"/>
  </w:num>
  <w:num w:numId="20">
    <w:abstractNumId w:val="2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1"/>
  </w:num>
  <w:num w:numId="24">
    <w:abstractNumId w:val="13"/>
  </w:num>
  <w:num w:numId="25">
    <w:abstractNumId w:val="0"/>
  </w:num>
  <w:num w:numId="26">
    <w:abstractNumId w:val="1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6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1"/>
  </w:num>
  <w:num w:numId="36">
    <w:abstractNumId w:val="32"/>
  </w:num>
  <w:num w:numId="37">
    <w:abstractNumId w:val="25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49"/>
    <w:rsid w:val="0000394E"/>
    <w:rsid w:val="0000611B"/>
    <w:rsid w:val="0001011A"/>
    <w:rsid w:val="000104C1"/>
    <w:rsid w:val="000121C4"/>
    <w:rsid w:val="000132AF"/>
    <w:rsid w:val="00024A11"/>
    <w:rsid w:val="00024D66"/>
    <w:rsid w:val="000250C3"/>
    <w:rsid w:val="00036020"/>
    <w:rsid w:val="0004342B"/>
    <w:rsid w:val="00050AC2"/>
    <w:rsid w:val="000514A2"/>
    <w:rsid w:val="000525C7"/>
    <w:rsid w:val="0005470B"/>
    <w:rsid w:val="00054DE3"/>
    <w:rsid w:val="000556D1"/>
    <w:rsid w:val="000656FC"/>
    <w:rsid w:val="0006714C"/>
    <w:rsid w:val="00070A52"/>
    <w:rsid w:val="000711E1"/>
    <w:rsid w:val="000765CD"/>
    <w:rsid w:val="00083D32"/>
    <w:rsid w:val="00083EFD"/>
    <w:rsid w:val="00086599"/>
    <w:rsid w:val="00090F70"/>
    <w:rsid w:val="00091D9E"/>
    <w:rsid w:val="000931CD"/>
    <w:rsid w:val="0009357E"/>
    <w:rsid w:val="00094104"/>
    <w:rsid w:val="000942CC"/>
    <w:rsid w:val="000951BF"/>
    <w:rsid w:val="000A4497"/>
    <w:rsid w:val="000A5F36"/>
    <w:rsid w:val="000B0323"/>
    <w:rsid w:val="000B2995"/>
    <w:rsid w:val="000B2B0C"/>
    <w:rsid w:val="000B4CC6"/>
    <w:rsid w:val="000B5D2A"/>
    <w:rsid w:val="000C06C2"/>
    <w:rsid w:val="000C2041"/>
    <w:rsid w:val="000C4999"/>
    <w:rsid w:val="000C7006"/>
    <w:rsid w:val="000C7107"/>
    <w:rsid w:val="000D0093"/>
    <w:rsid w:val="000D308B"/>
    <w:rsid w:val="000D47AE"/>
    <w:rsid w:val="000D5C89"/>
    <w:rsid w:val="000D74D4"/>
    <w:rsid w:val="000E0F6F"/>
    <w:rsid w:val="000E1A07"/>
    <w:rsid w:val="000E3095"/>
    <w:rsid w:val="000E5301"/>
    <w:rsid w:val="000E6F5C"/>
    <w:rsid w:val="000E71EE"/>
    <w:rsid w:val="000F0539"/>
    <w:rsid w:val="00100021"/>
    <w:rsid w:val="00100651"/>
    <w:rsid w:val="0010271B"/>
    <w:rsid w:val="00105CA6"/>
    <w:rsid w:val="00106E4B"/>
    <w:rsid w:val="0011098E"/>
    <w:rsid w:val="0011455A"/>
    <w:rsid w:val="001221E9"/>
    <w:rsid w:val="001234A1"/>
    <w:rsid w:val="00140967"/>
    <w:rsid w:val="00141812"/>
    <w:rsid w:val="00142C2D"/>
    <w:rsid w:val="00147647"/>
    <w:rsid w:val="001518DB"/>
    <w:rsid w:val="0015767F"/>
    <w:rsid w:val="0016114E"/>
    <w:rsid w:val="001619A3"/>
    <w:rsid w:val="00162084"/>
    <w:rsid w:val="001620D3"/>
    <w:rsid w:val="0016263E"/>
    <w:rsid w:val="00163896"/>
    <w:rsid w:val="00165290"/>
    <w:rsid w:val="001669F9"/>
    <w:rsid w:val="00167526"/>
    <w:rsid w:val="00167847"/>
    <w:rsid w:val="001714B1"/>
    <w:rsid w:val="00171E85"/>
    <w:rsid w:val="00177F67"/>
    <w:rsid w:val="00183C24"/>
    <w:rsid w:val="00185815"/>
    <w:rsid w:val="00187D12"/>
    <w:rsid w:val="00191FE2"/>
    <w:rsid w:val="00192091"/>
    <w:rsid w:val="001926C7"/>
    <w:rsid w:val="00193C9A"/>
    <w:rsid w:val="00194386"/>
    <w:rsid w:val="001947A7"/>
    <w:rsid w:val="001A13E8"/>
    <w:rsid w:val="001A5812"/>
    <w:rsid w:val="001A5C23"/>
    <w:rsid w:val="001A7709"/>
    <w:rsid w:val="001B15A2"/>
    <w:rsid w:val="001B18BA"/>
    <w:rsid w:val="001B32F5"/>
    <w:rsid w:val="001B4C35"/>
    <w:rsid w:val="001B5B81"/>
    <w:rsid w:val="001B5D59"/>
    <w:rsid w:val="001B7DB3"/>
    <w:rsid w:val="001C3B5F"/>
    <w:rsid w:val="001C3D28"/>
    <w:rsid w:val="001D5C68"/>
    <w:rsid w:val="001D7EB3"/>
    <w:rsid w:val="001E0F7D"/>
    <w:rsid w:val="001E1EBC"/>
    <w:rsid w:val="001E7C35"/>
    <w:rsid w:val="001F06D1"/>
    <w:rsid w:val="001F0A58"/>
    <w:rsid w:val="001F1255"/>
    <w:rsid w:val="001F1E95"/>
    <w:rsid w:val="001F4402"/>
    <w:rsid w:val="001F75D1"/>
    <w:rsid w:val="00200137"/>
    <w:rsid w:val="0020147C"/>
    <w:rsid w:val="00202047"/>
    <w:rsid w:val="00202146"/>
    <w:rsid w:val="00202411"/>
    <w:rsid w:val="00203E51"/>
    <w:rsid w:val="0020469E"/>
    <w:rsid w:val="002070C9"/>
    <w:rsid w:val="00207787"/>
    <w:rsid w:val="0022137D"/>
    <w:rsid w:val="002213BB"/>
    <w:rsid w:val="0022462B"/>
    <w:rsid w:val="00226206"/>
    <w:rsid w:val="00230551"/>
    <w:rsid w:val="00231473"/>
    <w:rsid w:val="00232A63"/>
    <w:rsid w:val="002349D7"/>
    <w:rsid w:val="00236251"/>
    <w:rsid w:val="002367AB"/>
    <w:rsid w:val="0024146B"/>
    <w:rsid w:val="0024315C"/>
    <w:rsid w:val="00247129"/>
    <w:rsid w:val="0025045F"/>
    <w:rsid w:val="00252015"/>
    <w:rsid w:val="00252FEC"/>
    <w:rsid w:val="00260CFC"/>
    <w:rsid w:val="00260EA9"/>
    <w:rsid w:val="00262365"/>
    <w:rsid w:val="0026515E"/>
    <w:rsid w:val="0027360E"/>
    <w:rsid w:val="00274B10"/>
    <w:rsid w:val="00274F6B"/>
    <w:rsid w:val="0027513D"/>
    <w:rsid w:val="00275710"/>
    <w:rsid w:val="00275DE1"/>
    <w:rsid w:val="002802A8"/>
    <w:rsid w:val="0028106C"/>
    <w:rsid w:val="00281942"/>
    <w:rsid w:val="00281A26"/>
    <w:rsid w:val="00282C68"/>
    <w:rsid w:val="00284A40"/>
    <w:rsid w:val="00286AAB"/>
    <w:rsid w:val="0028747A"/>
    <w:rsid w:val="002877DD"/>
    <w:rsid w:val="00287C27"/>
    <w:rsid w:val="0029064C"/>
    <w:rsid w:val="002A2749"/>
    <w:rsid w:val="002A2F99"/>
    <w:rsid w:val="002A7B18"/>
    <w:rsid w:val="002B2022"/>
    <w:rsid w:val="002B2AD4"/>
    <w:rsid w:val="002B2C05"/>
    <w:rsid w:val="002B32C4"/>
    <w:rsid w:val="002B33E7"/>
    <w:rsid w:val="002B43FE"/>
    <w:rsid w:val="002B6436"/>
    <w:rsid w:val="002B665A"/>
    <w:rsid w:val="002C506F"/>
    <w:rsid w:val="002D2EB7"/>
    <w:rsid w:val="002D7623"/>
    <w:rsid w:val="002D7C16"/>
    <w:rsid w:val="002E049B"/>
    <w:rsid w:val="002E197C"/>
    <w:rsid w:val="002E1B15"/>
    <w:rsid w:val="002E25C7"/>
    <w:rsid w:val="002E2F13"/>
    <w:rsid w:val="002E5566"/>
    <w:rsid w:val="002E5D7A"/>
    <w:rsid w:val="002F42F8"/>
    <w:rsid w:val="003078C0"/>
    <w:rsid w:val="00310116"/>
    <w:rsid w:val="003104A1"/>
    <w:rsid w:val="00311939"/>
    <w:rsid w:val="00313133"/>
    <w:rsid w:val="003145F4"/>
    <w:rsid w:val="0032311D"/>
    <w:rsid w:val="00323160"/>
    <w:rsid w:val="00325AD5"/>
    <w:rsid w:val="00325C9D"/>
    <w:rsid w:val="00333D49"/>
    <w:rsid w:val="003341FA"/>
    <w:rsid w:val="00337C84"/>
    <w:rsid w:val="00341FDD"/>
    <w:rsid w:val="003437D5"/>
    <w:rsid w:val="003442A9"/>
    <w:rsid w:val="00344A03"/>
    <w:rsid w:val="003453BD"/>
    <w:rsid w:val="003500FF"/>
    <w:rsid w:val="00351E48"/>
    <w:rsid w:val="00351FF7"/>
    <w:rsid w:val="00356E19"/>
    <w:rsid w:val="00357475"/>
    <w:rsid w:val="00371CF3"/>
    <w:rsid w:val="00376D35"/>
    <w:rsid w:val="00376FB0"/>
    <w:rsid w:val="00385182"/>
    <w:rsid w:val="00391912"/>
    <w:rsid w:val="00392D67"/>
    <w:rsid w:val="00395183"/>
    <w:rsid w:val="003959E6"/>
    <w:rsid w:val="00395E23"/>
    <w:rsid w:val="003979E6"/>
    <w:rsid w:val="003A0735"/>
    <w:rsid w:val="003A084C"/>
    <w:rsid w:val="003A0C5E"/>
    <w:rsid w:val="003A3B8D"/>
    <w:rsid w:val="003A4D7B"/>
    <w:rsid w:val="003A6EAF"/>
    <w:rsid w:val="003B17C9"/>
    <w:rsid w:val="003B46C6"/>
    <w:rsid w:val="003B7E63"/>
    <w:rsid w:val="003C023A"/>
    <w:rsid w:val="003C1349"/>
    <w:rsid w:val="003D066A"/>
    <w:rsid w:val="003D38EC"/>
    <w:rsid w:val="003D3A11"/>
    <w:rsid w:val="003D5D4E"/>
    <w:rsid w:val="003D6F66"/>
    <w:rsid w:val="003D7332"/>
    <w:rsid w:val="003E58D9"/>
    <w:rsid w:val="003E5F66"/>
    <w:rsid w:val="003E7431"/>
    <w:rsid w:val="003F6288"/>
    <w:rsid w:val="00403281"/>
    <w:rsid w:val="004051B4"/>
    <w:rsid w:val="004051E7"/>
    <w:rsid w:val="00406A3A"/>
    <w:rsid w:val="00406B61"/>
    <w:rsid w:val="00406CD2"/>
    <w:rsid w:val="0040721A"/>
    <w:rsid w:val="00412098"/>
    <w:rsid w:val="00412381"/>
    <w:rsid w:val="00431148"/>
    <w:rsid w:val="004313CB"/>
    <w:rsid w:val="00431E0D"/>
    <w:rsid w:val="00432B1A"/>
    <w:rsid w:val="004352FF"/>
    <w:rsid w:val="0044124D"/>
    <w:rsid w:val="0044346A"/>
    <w:rsid w:val="004441DC"/>
    <w:rsid w:val="0044458D"/>
    <w:rsid w:val="00452AE8"/>
    <w:rsid w:val="00453D69"/>
    <w:rsid w:val="00476748"/>
    <w:rsid w:val="00476D43"/>
    <w:rsid w:val="0048410D"/>
    <w:rsid w:val="004849A5"/>
    <w:rsid w:val="00485867"/>
    <w:rsid w:val="00485F2A"/>
    <w:rsid w:val="004876A7"/>
    <w:rsid w:val="00490CE2"/>
    <w:rsid w:val="004913D2"/>
    <w:rsid w:val="004920A6"/>
    <w:rsid w:val="0049270B"/>
    <w:rsid w:val="00492FB8"/>
    <w:rsid w:val="0049573E"/>
    <w:rsid w:val="00497264"/>
    <w:rsid w:val="004A058F"/>
    <w:rsid w:val="004A263D"/>
    <w:rsid w:val="004A2C21"/>
    <w:rsid w:val="004A2D99"/>
    <w:rsid w:val="004A616F"/>
    <w:rsid w:val="004B2C43"/>
    <w:rsid w:val="004B6A38"/>
    <w:rsid w:val="004B79A8"/>
    <w:rsid w:val="004C1B03"/>
    <w:rsid w:val="004C2875"/>
    <w:rsid w:val="004C3947"/>
    <w:rsid w:val="004C4F36"/>
    <w:rsid w:val="004C5E82"/>
    <w:rsid w:val="004C70BF"/>
    <w:rsid w:val="004C742F"/>
    <w:rsid w:val="004D1D5F"/>
    <w:rsid w:val="004D20E7"/>
    <w:rsid w:val="004D2E08"/>
    <w:rsid w:val="004D37BE"/>
    <w:rsid w:val="004D624C"/>
    <w:rsid w:val="004D6E2B"/>
    <w:rsid w:val="004E0A9A"/>
    <w:rsid w:val="004E17F4"/>
    <w:rsid w:val="004E1E8A"/>
    <w:rsid w:val="004E3664"/>
    <w:rsid w:val="004E40F1"/>
    <w:rsid w:val="004E4290"/>
    <w:rsid w:val="004E5341"/>
    <w:rsid w:val="004E7F3E"/>
    <w:rsid w:val="004F6321"/>
    <w:rsid w:val="005000BF"/>
    <w:rsid w:val="00500997"/>
    <w:rsid w:val="0050175D"/>
    <w:rsid w:val="00504D31"/>
    <w:rsid w:val="00505A2C"/>
    <w:rsid w:val="00507867"/>
    <w:rsid w:val="00511395"/>
    <w:rsid w:val="00511D62"/>
    <w:rsid w:val="005128D1"/>
    <w:rsid w:val="00512D38"/>
    <w:rsid w:val="005134CF"/>
    <w:rsid w:val="005208AA"/>
    <w:rsid w:val="00524A76"/>
    <w:rsid w:val="005274FC"/>
    <w:rsid w:val="005311C5"/>
    <w:rsid w:val="00534B43"/>
    <w:rsid w:val="00536E5D"/>
    <w:rsid w:val="0054161C"/>
    <w:rsid w:val="00541EE6"/>
    <w:rsid w:val="00546223"/>
    <w:rsid w:val="00550F43"/>
    <w:rsid w:val="005532BC"/>
    <w:rsid w:val="00553F6A"/>
    <w:rsid w:val="00557022"/>
    <w:rsid w:val="00560A85"/>
    <w:rsid w:val="00565BA1"/>
    <w:rsid w:val="00570EBC"/>
    <w:rsid w:val="005711BD"/>
    <w:rsid w:val="00571655"/>
    <w:rsid w:val="005723E2"/>
    <w:rsid w:val="00574BAB"/>
    <w:rsid w:val="00582119"/>
    <w:rsid w:val="00582F68"/>
    <w:rsid w:val="00585046"/>
    <w:rsid w:val="00591BA7"/>
    <w:rsid w:val="00592E40"/>
    <w:rsid w:val="00593950"/>
    <w:rsid w:val="0059402F"/>
    <w:rsid w:val="005944B1"/>
    <w:rsid w:val="00595602"/>
    <w:rsid w:val="005964E0"/>
    <w:rsid w:val="00596FBE"/>
    <w:rsid w:val="00597380"/>
    <w:rsid w:val="005975E8"/>
    <w:rsid w:val="005A02AF"/>
    <w:rsid w:val="005A1EBA"/>
    <w:rsid w:val="005A6F17"/>
    <w:rsid w:val="005A725A"/>
    <w:rsid w:val="005B067F"/>
    <w:rsid w:val="005B16F2"/>
    <w:rsid w:val="005B594F"/>
    <w:rsid w:val="005B64B4"/>
    <w:rsid w:val="005B788F"/>
    <w:rsid w:val="005B7CB4"/>
    <w:rsid w:val="005B7F1A"/>
    <w:rsid w:val="005C01FE"/>
    <w:rsid w:val="005C022E"/>
    <w:rsid w:val="005C1D7D"/>
    <w:rsid w:val="005C36EC"/>
    <w:rsid w:val="005C473D"/>
    <w:rsid w:val="005C6F06"/>
    <w:rsid w:val="005D24FB"/>
    <w:rsid w:val="005D3570"/>
    <w:rsid w:val="005E336B"/>
    <w:rsid w:val="005E45F4"/>
    <w:rsid w:val="005E5EBA"/>
    <w:rsid w:val="005E6407"/>
    <w:rsid w:val="005E6AB1"/>
    <w:rsid w:val="005F0322"/>
    <w:rsid w:val="005F1489"/>
    <w:rsid w:val="005F307B"/>
    <w:rsid w:val="005F3E1C"/>
    <w:rsid w:val="005F4297"/>
    <w:rsid w:val="005F590E"/>
    <w:rsid w:val="005F77C2"/>
    <w:rsid w:val="0060516B"/>
    <w:rsid w:val="006075AF"/>
    <w:rsid w:val="00615326"/>
    <w:rsid w:val="0061556B"/>
    <w:rsid w:val="00615C60"/>
    <w:rsid w:val="00617384"/>
    <w:rsid w:val="00620BF1"/>
    <w:rsid w:val="00622AC9"/>
    <w:rsid w:val="00625DA5"/>
    <w:rsid w:val="006270E0"/>
    <w:rsid w:val="0062724C"/>
    <w:rsid w:val="00630F7E"/>
    <w:rsid w:val="00631C54"/>
    <w:rsid w:val="00640EE5"/>
    <w:rsid w:val="00641536"/>
    <w:rsid w:val="006424FB"/>
    <w:rsid w:val="00650ABC"/>
    <w:rsid w:val="00651513"/>
    <w:rsid w:val="00656B0D"/>
    <w:rsid w:val="00660230"/>
    <w:rsid w:val="006629F6"/>
    <w:rsid w:val="0067146E"/>
    <w:rsid w:val="00672AAB"/>
    <w:rsid w:val="00674285"/>
    <w:rsid w:val="00674512"/>
    <w:rsid w:val="0067578A"/>
    <w:rsid w:val="006758B4"/>
    <w:rsid w:val="00682E43"/>
    <w:rsid w:val="006830FA"/>
    <w:rsid w:val="006871AA"/>
    <w:rsid w:val="00692F96"/>
    <w:rsid w:val="0069386C"/>
    <w:rsid w:val="00694FF3"/>
    <w:rsid w:val="00695E26"/>
    <w:rsid w:val="0069758F"/>
    <w:rsid w:val="006975D6"/>
    <w:rsid w:val="00697BE8"/>
    <w:rsid w:val="006A4C1C"/>
    <w:rsid w:val="006A52A8"/>
    <w:rsid w:val="006A5676"/>
    <w:rsid w:val="006A6433"/>
    <w:rsid w:val="006A653F"/>
    <w:rsid w:val="006B1FFF"/>
    <w:rsid w:val="006B4143"/>
    <w:rsid w:val="006B7F0B"/>
    <w:rsid w:val="006C1C29"/>
    <w:rsid w:val="006D02A5"/>
    <w:rsid w:val="006D0B2C"/>
    <w:rsid w:val="006D592E"/>
    <w:rsid w:val="006D6654"/>
    <w:rsid w:val="006D6CD8"/>
    <w:rsid w:val="006D79A4"/>
    <w:rsid w:val="006E0AD3"/>
    <w:rsid w:val="006E22E7"/>
    <w:rsid w:val="006E32EB"/>
    <w:rsid w:val="006E5DDF"/>
    <w:rsid w:val="006E735B"/>
    <w:rsid w:val="006F0898"/>
    <w:rsid w:val="006F23BE"/>
    <w:rsid w:val="006F46C7"/>
    <w:rsid w:val="006F55A1"/>
    <w:rsid w:val="00701F5D"/>
    <w:rsid w:val="00704E8F"/>
    <w:rsid w:val="00706610"/>
    <w:rsid w:val="00707F37"/>
    <w:rsid w:val="00713706"/>
    <w:rsid w:val="00713F6E"/>
    <w:rsid w:val="007168B4"/>
    <w:rsid w:val="00720BDA"/>
    <w:rsid w:val="0072404C"/>
    <w:rsid w:val="00724570"/>
    <w:rsid w:val="007262D4"/>
    <w:rsid w:val="00726EBB"/>
    <w:rsid w:val="0072754E"/>
    <w:rsid w:val="00727D7F"/>
    <w:rsid w:val="00731845"/>
    <w:rsid w:val="00735874"/>
    <w:rsid w:val="00735FA0"/>
    <w:rsid w:val="007374A1"/>
    <w:rsid w:val="0074449E"/>
    <w:rsid w:val="007453B7"/>
    <w:rsid w:val="0074606B"/>
    <w:rsid w:val="0075301C"/>
    <w:rsid w:val="007533B9"/>
    <w:rsid w:val="007549B9"/>
    <w:rsid w:val="00755AA0"/>
    <w:rsid w:val="00757E7A"/>
    <w:rsid w:val="0076090F"/>
    <w:rsid w:val="00762728"/>
    <w:rsid w:val="00764F84"/>
    <w:rsid w:val="007706C3"/>
    <w:rsid w:val="007717FB"/>
    <w:rsid w:val="00773E6C"/>
    <w:rsid w:val="0077449B"/>
    <w:rsid w:val="00775B6B"/>
    <w:rsid w:val="00784622"/>
    <w:rsid w:val="00785369"/>
    <w:rsid w:val="00785456"/>
    <w:rsid w:val="00787C11"/>
    <w:rsid w:val="00790C6F"/>
    <w:rsid w:val="00790D4A"/>
    <w:rsid w:val="00792DA7"/>
    <w:rsid w:val="0079438A"/>
    <w:rsid w:val="00795344"/>
    <w:rsid w:val="007B1E14"/>
    <w:rsid w:val="007B46D6"/>
    <w:rsid w:val="007B71A1"/>
    <w:rsid w:val="007B763B"/>
    <w:rsid w:val="007C10D0"/>
    <w:rsid w:val="007C5389"/>
    <w:rsid w:val="007C655B"/>
    <w:rsid w:val="007C7350"/>
    <w:rsid w:val="007D13E0"/>
    <w:rsid w:val="007D2DC9"/>
    <w:rsid w:val="007D463B"/>
    <w:rsid w:val="007D50FD"/>
    <w:rsid w:val="007D58B1"/>
    <w:rsid w:val="007D7EC8"/>
    <w:rsid w:val="007E4A3A"/>
    <w:rsid w:val="007F37E5"/>
    <w:rsid w:val="007F6597"/>
    <w:rsid w:val="008032CE"/>
    <w:rsid w:val="0080722C"/>
    <w:rsid w:val="0081021F"/>
    <w:rsid w:val="008121D6"/>
    <w:rsid w:val="00812A48"/>
    <w:rsid w:val="00812D02"/>
    <w:rsid w:val="00813FF3"/>
    <w:rsid w:val="00817E0F"/>
    <w:rsid w:val="00821DBF"/>
    <w:rsid w:val="00824F6C"/>
    <w:rsid w:val="008330A3"/>
    <w:rsid w:val="008338C0"/>
    <w:rsid w:val="00834BB3"/>
    <w:rsid w:val="00835341"/>
    <w:rsid w:val="00835E2B"/>
    <w:rsid w:val="00836832"/>
    <w:rsid w:val="008406B6"/>
    <w:rsid w:val="00840E74"/>
    <w:rsid w:val="008416C4"/>
    <w:rsid w:val="008422B0"/>
    <w:rsid w:val="0084335D"/>
    <w:rsid w:val="008436B0"/>
    <w:rsid w:val="00843AF9"/>
    <w:rsid w:val="00844749"/>
    <w:rsid w:val="00850DE9"/>
    <w:rsid w:val="00851E70"/>
    <w:rsid w:val="00860235"/>
    <w:rsid w:val="008603F1"/>
    <w:rsid w:val="00861F31"/>
    <w:rsid w:val="008623BD"/>
    <w:rsid w:val="0086263D"/>
    <w:rsid w:val="0086288B"/>
    <w:rsid w:val="008639C2"/>
    <w:rsid w:val="008650C3"/>
    <w:rsid w:val="008668FB"/>
    <w:rsid w:val="00870F03"/>
    <w:rsid w:val="00871719"/>
    <w:rsid w:val="00873761"/>
    <w:rsid w:val="00874750"/>
    <w:rsid w:val="00875E87"/>
    <w:rsid w:val="00877BC9"/>
    <w:rsid w:val="008807D8"/>
    <w:rsid w:val="00880ABA"/>
    <w:rsid w:val="00881711"/>
    <w:rsid w:val="00885B31"/>
    <w:rsid w:val="008863D1"/>
    <w:rsid w:val="0088661E"/>
    <w:rsid w:val="00886D7E"/>
    <w:rsid w:val="00887FB7"/>
    <w:rsid w:val="0089162D"/>
    <w:rsid w:val="00895D5B"/>
    <w:rsid w:val="008A45CE"/>
    <w:rsid w:val="008B172B"/>
    <w:rsid w:val="008B312A"/>
    <w:rsid w:val="008B65D8"/>
    <w:rsid w:val="008C210A"/>
    <w:rsid w:val="008C47E2"/>
    <w:rsid w:val="008C63C5"/>
    <w:rsid w:val="008D29B2"/>
    <w:rsid w:val="008D3238"/>
    <w:rsid w:val="008D6BE1"/>
    <w:rsid w:val="008D6EFF"/>
    <w:rsid w:val="008D75CA"/>
    <w:rsid w:val="008E783B"/>
    <w:rsid w:val="008E7C9A"/>
    <w:rsid w:val="008F0105"/>
    <w:rsid w:val="008F024B"/>
    <w:rsid w:val="008F76C8"/>
    <w:rsid w:val="00902078"/>
    <w:rsid w:val="009037A5"/>
    <w:rsid w:val="009135FC"/>
    <w:rsid w:val="00913DA0"/>
    <w:rsid w:val="00914818"/>
    <w:rsid w:val="009251C6"/>
    <w:rsid w:val="00933817"/>
    <w:rsid w:val="009339A9"/>
    <w:rsid w:val="00941170"/>
    <w:rsid w:val="0094183A"/>
    <w:rsid w:val="00946FD9"/>
    <w:rsid w:val="0094775B"/>
    <w:rsid w:val="00950957"/>
    <w:rsid w:val="009513C0"/>
    <w:rsid w:val="009514CA"/>
    <w:rsid w:val="00952CA1"/>
    <w:rsid w:val="00952D8A"/>
    <w:rsid w:val="009550F8"/>
    <w:rsid w:val="009562D4"/>
    <w:rsid w:val="0095684F"/>
    <w:rsid w:val="009639D9"/>
    <w:rsid w:val="00965136"/>
    <w:rsid w:val="009657C6"/>
    <w:rsid w:val="00967D76"/>
    <w:rsid w:val="009701EB"/>
    <w:rsid w:val="00970783"/>
    <w:rsid w:val="009741FC"/>
    <w:rsid w:val="00977796"/>
    <w:rsid w:val="009861A8"/>
    <w:rsid w:val="0099113B"/>
    <w:rsid w:val="009935F7"/>
    <w:rsid w:val="00995784"/>
    <w:rsid w:val="0099664F"/>
    <w:rsid w:val="009A1BC0"/>
    <w:rsid w:val="009A1F64"/>
    <w:rsid w:val="009A3B34"/>
    <w:rsid w:val="009A48CC"/>
    <w:rsid w:val="009B105B"/>
    <w:rsid w:val="009B2B3B"/>
    <w:rsid w:val="009B343B"/>
    <w:rsid w:val="009B3B2B"/>
    <w:rsid w:val="009B4694"/>
    <w:rsid w:val="009B5815"/>
    <w:rsid w:val="009B5D58"/>
    <w:rsid w:val="009B5F2D"/>
    <w:rsid w:val="009B7840"/>
    <w:rsid w:val="009C0050"/>
    <w:rsid w:val="009C12CD"/>
    <w:rsid w:val="009C1F1E"/>
    <w:rsid w:val="009C1FDA"/>
    <w:rsid w:val="009C3B9B"/>
    <w:rsid w:val="009C5C81"/>
    <w:rsid w:val="009C6C20"/>
    <w:rsid w:val="009D13EA"/>
    <w:rsid w:val="009D381E"/>
    <w:rsid w:val="009D4D6B"/>
    <w:rsid w:val="009E035E"/>
    <w:rsid w:val="009E0608"/>
    <w:rsid w:val="009E0AD6"/>
    <w:rsid w:val="009F131E"/>
    <w:rsid w:val="009F258B"/>
    <w:rsid w:val="009F2A55"/>
    <w:rsid w:val="009F52D1"/>
    <w:rsid w:val="009F6626"/>
    <w:rsid w:val="00A02B32"/>
    <w:rsid w:val="00A0508E"/>
    <w:rsid w:val="00A13825"/>
    <w:rsid w:val="00A1447D"/>
    <w:rsid w:val="00A20A19"/>
    <w:rsid w:val="00A232BA"/>
    <w:rsid w:val="00A23EC7"/>
    <w:rsid w:val="00A25AA9"/>
    <w:rsid w:val="00A30AC1"/>
    <w:rsid w:val="00A327D5"/>
    <w:rsid w:val="00A36390"/>
    <w:rsid w:val="00A45ECD"/>
    <w:rsid w:val="00A5378B"/>
    <w:rsid w:val="00A53AC8"/>
    <w:rsid w:val="00A5406F"/>
    <w:rsid w:val="00A603F1"/>
    <w:rsid w:val="00A6044F"/>
    <w:rsid w:val="00A7012C"/>
    <w:rsid w:val="00A70C24"/>
    <w:rsid w:val="00A719E0"/>
    <w:rsid w:val="00A74E99"/>
    <w:rsid w:val="00A76376"/>
    <w:rsid w:val="00A839E2"/>
    <w:rsid w:val="00A85674"/>
    <w:rsid w:val="00A93D46"/>
    <w:rsid w:val="00AA3405"/>
    <w:rsid w:val="00AA579D"/>
    <w:rsid w:val="00AB1B4B"/>
    <w:rsid w:val="00AB1BA4"/>
    <w:rsid w:val="00AB2929"/>
    <w:rsid w:val="00AB4C23"/>
    <w:rsid w:val="00AB5CDA"/>
    <w:rsid w:val="00AC11AE"/>
    <w:rsid w:val="00AC153C"/>
    <w:rsid w:val="00AC4A0D"/>
    <w:rsid w:val="00AC6437"/>
    <w:rsid w:val="00AC6A98"/>
    <w:rsid w:val="00AD150D"/>
    <w:rsid w:val="00AD250B"/>
    <w:rsid w:val="00AE6712"/>
    <w:rsid w:val="00AE7A94"/>
    <w:rsid w:val="00AF0375"/>
    <w:rsid w:val="00AF07EB"/>
    <w:rsid w:val="00AF0E7D"/>
    <w:rsid w:val="00AF4452"/>
    <w:rsid w:val="00B0090E"/>
    <w:rsid w:val="00B043B3"/>
    <w:rsid w:val="00B060AC"/>
    <w:rsid w:val="00B11FC5"/>
    <w:rsid w:val="00B1208E"/>
    <w:rsid w:val="00B17C9C"/>
    <w:rsid w:val="00B2097A"/>
    <w:rsid w:val="00B22AE7"/>
    <w:rsid w:val="00B265E1"/>
    <w:rsid w:val="00B33A97"/>
    <w:rsid w:val="00B37263"/>
    <w:rsid w:val="00B41812"/>
    <w:rsid w:val="00B41B2D"/>
    <w:rsid w:val="00B43316"/>
    <w:rsid w:val="00B4357B"/>
    <w:rsid w:val="00B46A0C"/>
    <w:rsid w:val="00B50C5F"/>
    <w:rsid w:val="00B5344C"/>
    <w:rsid w:val="00B54973"/>
    <w:rsid w:val="00B5735F"/>
    <w:rsid w:val="00B57DE1"/>
    <w:rsid w:val="00B625C6"/>
    <w:rsid w:val="00B6360D"/>
    <w:rsid w:val="00B67701"/>
    <w:rsid w:val="00B70F92"/>
    <w:rsid w:val="00B71573"/>
    <w:rsid w:val="00B72841"/>
    <w:rsid w:val="00B73419"/>
    <w:rsid w:val="00B75B1F"/>
    <w:rsid w:val="00B80EB5"/>
    <w:rsid w:val="00B824C9"/>
    <w:rsid w:val="00B83DB9"/>
    <w:rsid w:val="00B93AA7"/>
    <w:rsid w:val="00B9682E"/>
    <w:rsid w:val="00BA13CC"/>
    <w:rsid w:val="00BA22C0"/>
    <w:rsid w:val="00BA641D"/>
    <w:rsid w:val="00BB08DE"/>
    <w:rsid w:val="00BB18D2"/>
    <w:rsid w:val="00BB276B"/>
    <w:rsid w:val="00BB27D4"/>
    <w:rsid w:val="00BB2D95"/>
    <w:rsid w:val="00BB48A5"/>
    <w:rsid w:val="00BB60C2"/>
    <w:rsid w:val="00BC06FF"/>
    <w:rsid w:val="00BC3232"/>
    <w:rsid w:val="00BD0958"/>
    <w:rsid w:val="00BD125D"/>
    <w:rsid w:val="00BD12EC"/>
    <w:rsid w:val="00BD257E"/>
    <w:rsid w:val="00BD644D"/>
    <w:rsid w:val="00BD7B87"/>
    <w:rsid w:val="00BE1C87"/>
    <w:rsid w:val="00BE4227"/>
    <w:rsid w:val="00BE6704"/>
    <w:rsid w:val="00BF0FBA"/>
    <w:rsid w:val="00BF1A18"/>
    <w:rsid w:val="00BF22BC"/>
    <w:rsid w:val="00BF559A"/>
    <w:rsid w:val="00BF63DA"/>
    <w:rsid w:val="00C04FC7"/>
    <w:rsid w:val="00C05BE5"/>
    <w:rsid w:val="00C143A5"/>
    <w:rsid w:val="00C17392"/>
    <w:rsid w:val="00C204FE"/>
    <w:rsid w:val="00C2326C"/>
    <w:rsid w:val="00C25D12"/>
    <w:rsid w:val="00C314DB"/>
    <w:rsid w:val="00C3174D"/>
    <w:rsid w:val="00C31C89"/>
    <w:rsid w:val="00C33427"/>
    <w:rsid w:val="00C418C8"/>
    <w:rsid w:val="00C42266"/>
    <w:rsid w:val="00C43142"/>
    <w:rsid w:val="00C43D2E"/>
    <w:rsid w:val="00C44F5A"/>
    <w:rsid w:val="00C50E75"/>
    <w:rsid w:val="00C5160B"/>
    <w:rsid w:val="00C54F0C"/>
    <w:rsid w:val="00C60E45"/>
    <w:rsid w:val="00C61768"/>
    <w:rsid w:val="00C6206C"/>
    <w:rsid w:val="00C628EE"/>
    <w:rsid w:val="00C6466E"/>
    <w:rsid w:val="00C64984"/>
    <w:rsid w:val="00C64CA1"/>
    <w:rsid w:val="00C66503"/>
    <w:rsid w:val="00C66A90"/>
    <w:rsid w:val="00C7265E"/>
    <w:rsid w:val="00C73668"/>
    <w:rsid w:val="00C8720D"/>
    <w:rsid w:val="00C92533"/>
    <w:rsid w:val="00C92C87"/>
    <w:rsid w:val="00C9487F"/>
    <w:rsid w:val="00C9493F"/>
    <w:rsid w:val="00C95D49"/>
    <w:rsid w:val="00C95F3A"/>
    <w:rsid w:val="00CA019C"/>
    <w:rsid w:val="00CA44E7"/>
    <w:rsid w:val="00CB06BF"/>
    <w:rsid w:val="00CB468E"/>
    <w:rsid w:val="00CB49D7"/>
    <w:rsid w:val="00CB77A7"/>
    <w:rsid w:val="00CC1573"/>
    <w:rsid w:val="00CC1755"/>
    <w:rsid w:val="00CC3451"/>
    <w:rsid w:val="00CC3781"/>
    <w:rsid w:val="00CC5478"/>
    <w:rsid w:val="00CD065D"/>
    <w:rsid w:val="00CD110F"/>
    <w:rsid w:val="00CD4A51"/>
    <w:rsid w:val="00CD5643"/>
    <w:rsid w:val="00CE0B2C"/>
    <w:rsid w:val="00CE3AC4"/>
    <w:rsid w:val="00CE3C55"/>
    <w:rsid w:val="00CE59B9"/>
    <w:rsid w:val="00CE7523"/>
    <w:rsid w:val="00CF3B6C"/>
    <w:rsid w:val="00CF54AD"/>
    <w:rsid w:val="00D02E15"/>
    <w:rsid w:val="00D03847"/>
    <w:rsid w:val="00D1242A"/>
    <w:rsid w:val="00D128A1"/>
    <w:rsid w:val="00D14450"/>
    <w:rsid w:val="00D15EF0"/>
    <w:rsid w:val="00D17D0B"/>
    <w:rsid w:val="00D206FD"/>
    <w:rsid w:val="00D21A13"/>
    <w:rsid w:val="00D2375F"/>
    <w:rsid w:val="00D237ED"/>
    <w:rsid w:val="00D2443F"/>
    <w:rsid w:val="00D245CE"/>
    <w:rsid w:val="00D24A62"/>
    <w:rsid w:val="00D26600"/>
    <w:rsid w:val="00D30ADC"/>
    <w:rsid w:val="00D3249B"/>
    <w:rsid w:val="00D3352C"/>
    <w:rsid w:val="00D36638"/>
    <w:rsid w:val="00D40C85"/>
    <w:rsid w:val="00D41351"/>
    <w:rsid w:val="00D41605"/>
    <w:rsid w:val="00D428EC"/>
    <w:rsid w:val="00D51849"/>
    <w:rsid w:val="00D528E3"/>
    <w:rsid w:val="00D60FA5"/>
    <w:rsid w:val="00D6319E"/>
    <w:rsid w:val="00D65297"/>
    <w:rsid w:val="00D65F73"/>
    <w:rsid w:val="00D66CEA"/>
    <w:rsid w:val="00D67264"/>
    <w:rsid w:val="00D67E2D"/>
    <w:rsid w:val="00D7470A"/>
    <w:rsid w:val="00D756E0"/>
    <w:rsid w:val="00D75751"/>
    <w:rsid w:val="00D76B17"/>
    <w:rsid w:val="00D76E50"/>
    <w:rsid w:val="00D7711E"/>
    <w:rsid w:val="00D8034A"/>
    <w:rsid w:val="00D81F02"/>
    <w:rsid w:val="00D8327C"/>
    <w:rsid w:val="00D837C8"/>
    <w:rsid w:val="00D84703"/>
    <w:rsid w:val="00D863CE"/>
    <w:rsid w:val="00D92398"/>
    <w:rsid w:val="00D93D5B"/>
    <w:rsid w:val="00D956FF"/>
    <w:rsid w:val="00DA0F60"/>
    <w:rsid w:val="00DA1E0A"/>
    <w:rsid w:val="00DA5439"/>
    <w:rsid w:val="00DA621A"/>
    <w:rsid w:val="00DA6EED"/>
    <w:rsid w:val="00DA6F0B"/>
    <w:rsid w:val="00DB0212"/>
    <w:rsid w:val="00DB194E"/>
    <w:rsid w:val="00DB4033"/>
    <w:rsid w:val="00DB4AB8"/>
    <w:rsid w:val="00DB5BC8"/>
    <w:rsid w:val="00DB5C1D"/>
    <w:rsid w:val="00DB72E8"/>
    <w:rsid w:val="00DB7D30"/>
    <w:rsid w:val="00DC1FF6"/>
    <w:rsid w:val="00DC2B29"/>
    <w:rsid w:val="00DC2EA4"/>
    <w:rsid w:val="00DC3308"/>
    <w:rsid w:val="00DC52CF"/>
    <w:rsid w:val="00DC6023"/>
    <w:rsid w:val="00DC6918"/>
    <w:rsid w:val="00DD14AC"/>
    <w:rsid w:val="00DD3DE3"/>
    <w:rsid w:val="00DD409B"/>
    <w:rsid w:val="00DD4CAF"/>
    <w:rsid w:val="00DD7FF1"/>
    <w:rsid w:val="00DE4252"/>
    <w:rsid w:val="00DE55A0"/>
    <w:rsid w:val="00DF0AB1"/>
    <w:rsid w:val="00DF3E87"/>
    <w:rsid w:val="00DF6084"/>
    <w:rsid w:val="00E0159E"/>
    <w:rsid w:val="00E02AE4"/>
    <w:rsid w:val="00E03840"/>
    <w:rsid w:val="00E04C81"/>
    <w:rsid w:val="00E05107"/>
    <w:rsid w:val="00E05140"/>
    <w:rsid w:val="00E067C4"/>
    <w:rsid w:val="00E078DD"/>
    <w:rsid w:val="00E079B4"/>
    <w:rsid w:val="00E12C45"/>
    <w:rsid w:val="00E16862"/>
    <w:rsid w:val="00E176FB"/>
    <w:rsid w:val="00E20FF5"/>
    <w:rsid w:val="00E21EC8"/>
    <w:rsid w:val="00E40131"/>
    <w:rsid w:val="00E40DFE"/>
    <w:rsid w:val="00E41AE0"/>
    <w:rsid w:val="00E4318B"/>
    <w:rsid w:val="00E47662"/>
    <w:rsid w:val="00E55855"/>
    <w:rsid w:val="00E5740B"/>
    <w:rsid w:val="00E62042"/>
    <w:rsid w:val="00E62093"/>
    <w:rsid w:val="00E623B1"/>
    <w:rsid w:val="00E637B5"/>
    <w:rsid w:val="00E638C6"/>
    <w:rsid w:val="00E70068"/>
    <w:rsid w:val="00E746D3"/>
    <w:rsid w:val="00E762E2"/>
    <w:rsid w:val="00E77FC7"/>
    <w:rsid w:val="00E81110"/>
    <w:rsid w:val="00E81B7E"/>
    <w:rsid w:val="00E858CF"/>
    <w:rsid w:val="00E9161C"/>
    <w:rsid w:val="00E96718"/>
    <w:rsid w:val="00EA2DFC"/>
    <w:rsid w:val="00EB0E2A"/>
    <w:rsid w:val="00EB4B38"/>
    <w:rsid w:val="00EC00B8"/>
    <w:rsid w:val="00EC02F8"/>
    <w:rsid w:val="00EC26F7"/>
    <w:rsid w:val="00EC4AEA"/>
    <w:rsid w:val="00EC6AEA"/>
    <w:rsid w:val="00ED02BE"/>
    <w:rsid w:val="00ED2FD5"/>
    <w:rsid w:val="00ED3DCF"/>
    <w:rsid w:val="00ED501F"/>
    <w:rsid w:val="00ED5609"/>
    <w:rsid w:val="00ED667F"/>
    <w:rsid w:val="00ED6CE1"/>
    <w:rsid w:val="00EE148D"/>
    <w:rsid w:val="00EE2E6C"/>
    <w:rsid w:val="00EE5882"/>
    <w:rsid w:val="00EE73A3"/>
    <w:rsid w:val="00EF47C2"/>
    <w:rsid w:val="00EF646F"/>
    <w:rsid w:val="00F00944"/>
    <w:rsid w:val="00F032E9"/>
    <w:rsid w:val="00F0359F"/>
    <w:rsid w:val="00F0557D"/>
    <w:rsid w:val="00F14ACC"/>
    <w:rsid w:val="00F152AF"/>
    <w:rsid w:val="00F16CAC"/>
    <w:rsid w:val="00F20640"/>
    <w:rsid w:val="00F20F52"/>
    <w:rsid w:val="00F26709"/>
    <w:rsid w:val="00F27150"/>
    <w:rsid w:val="00F31070"/>
    <w:rsid w:val="00F332C0"/>
    <w:rsid w:val="00F4162E"/>
    <w:rsid w:val="00F4385B"/>
    <w:rsid w:val="00F4714E"/>
    <w:rsid w:val="00F4730F"/>
    <w:rsid w:val="00F4769B"/>
    <w:rsid w:val="00F56484"/>
    <w:rsid w:val="00F565A3"/>
    <w:rsid w:val="00F56A74"/>
    <w:rsid w:val="00F5767D"/>
    <w:rsid w:val="00F604C7"/>
    <w:rsid w:val="00F643BE"/>
    <w:rsid w:val="00F673E6"/>
    <w:rsid w:val="00F73986"/>
    <w:rsid w:val="00F73999"/>
    <w:rsid w:val="00F7449C"/>
    <w:rsid w:val="00F7642A"/>
    <w:rsid w:val="00F8159E"/>
    <w:rsid w:val="00F85C5E"/>
    <w:rsid w:val="00F870FC"/>
    <w:rsid w:val="00F90D0F"/>
    <w:rsid w:val="00F9149C"/>
    <w:rsid w:val="00F91551"/>
    <w:rsid w:val="00F91B63"/>
    <w:rsid w:val="00F94D99"/>
    <w:rsid w:val="00F95899"/>
    <w:rsid w:val="00F97E51"/>
    <w:rsid w:val="00FA064E"/>
    <w:rsid w:val="00FA29B5"/>
    <w:rsid w:val="00FA2A4D"/>
    <w:rsid w:val="00FA4833"/>
    <w:rsid w:val="00FA5B29"/>
    <w:rsid w:val="00FA73F5"/>
    <w:rsid w:val="00FA76FD"/>
    <w:rsid w:val="00FA7AF3"/>
    <w:rsid w:val="00FB0F8C"/>
    <w:rsid w:val="00FB2868"/>
    <w:rsid w:val="00FB2DD5"/>
    <w:rsid w:val="00FB6C41"/>
    <w:rsid w:val="00FB6F51"/>
    <w:rsid w:val="00FC1E6F"/>
    <w:rsid w:val="00FC4B7F"/>
    <w:rsid w:val="00FC572E"/>
    <w:rsid w:val="00FC62D2"/>
    <w:rsid w:val="00FC630D"/>
    <w:rsid w:val="00FC7ECE"/>
    <w:rsid w:val="00FD0721"/>
    <w:rsid w:val="00FD2B0D"/>
    <w:rsid w:val="00FD5364"/>
    <w:rsid w:val="00FD7914"/>
    <w:rsid w:val="00FE2AE3"/>
    <w:rsid w:val="00FE439D"/>
    <w:rsid w:val="00FE76F5"/>
    <w:rsid w:val="00FE784B"/>
    <w:rsid w:val="00FF0611"/>
    <w:rsid w:val="00FF15CD"/>
    <w:rsid w:val="00FF3E6D"/>
    <w:rsid w:val="00FF3F7E"/>
    <w:rsid w:val="00FF4FA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CF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1AE"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5C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11A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">
    <w:name w:val="HR"/>
    <w:aliases w:val="Regulation Heading"/>
    <w:basedOn w:val="Normal"/>
    <w:next w:val="R1"/>
    <w:rsid w:val="00AC11AE"/>
    <w:pPr>
      <w:keepNext/>
      <w:tabs>
        <w:tab w:val="left" w:pos="540"/>
      </w:tabs>
      <w:autoSpaceDE w:val="0"/>
      <w:autoSpaceDN w:val="0"/>
      <w:spacing w:before="480" w:line="240" w:lineRule="atLeast"/>
      <w:jc w:val="both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R1">
    <w:name w:val="R1"/>
    <w:aliases w:val="1. or 1.(1)"/>
    <w:basedOn w:val="Normal"/>
    <w:next w:val="P1"/>
    <w:rsid w:val="00AC11AE"/>
    <w:pPr>
      <w:tabs>
        <w:tab w:val="right" w:pos="1080"/>
        <w:tab w:val="left" w:pos="1260"/>
        <w:tab w:val="left" w:pos="1800"/>
      </w:tabs>
      <w:autoSpaceDE w:val="0"/>
      <w:autoSpaceDN w:val="0"/>
      <w:spacing w:before="12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1">
    <w:name w:val="P1"/>
    <w:aliases w:val="(a)"/>
    <w:basedOn w:val="Normal"/>
    <w:rsid w:val="00AC11AE"/>
    <w:pPr>
      <w:tabs>
        <w:tab w:val="right" w:pos="1080"/>
      </w:tabs>
      <w:autoSpaceDE w:val="0"/>
      <w:autoSpaceDN w:val="0"/>
      <w:spacing w:before="40" w:line="260" w:lineRule="atLeast"/>
      <w:ind w:left="1276" w:hanging="128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2">
    <w:name w:val="P2"/>
    <w:aliases w:val="(i)"/>
    <w:basedOn w:val="Normal"/>
    <w:rsid w:val="00AC11AE"/>
    <w:pPr>
      <w:tabs>
        <w:tab w:val="right" w:pos="1800"/>
      </w:tabs>
      <w:autoSpaceDE w:val="0"/>
      <w:autoSpaceDN w:val="0"/>
      <w:spacing w:before="40" w:line="260" w:lineRule="atLeast"/>
      <w:ind w:left="1985" w:hanging="1980"/>
      <w:jc w:val="both"/>
    </w:pPr>
    <w:rPr>
      <w:rFonts w:ascii="Times" w:hAnsi="Times" w:cs="Times"/>
      <w:sz w:val="26"/>
      <w:szCs w:val="26"/>
      <w:lang w:eastAsia="en-AU"/>
    </w:rPr>
  </w:style>
  <w:style w:type="paragraph" w:styleId="Title">
    <w:name w:val="Title"/>
    <w:basedOn w:val="Normal"/>
    <w:next w:val="Normal"/>
    <w:link w:val="TitleChar"/>
    <w:qFormat/>
    <w:rsid w:val="00AC11AE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AC11AE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definition">
    <w:name w:val="definition"/>
    <w:basedOn w:val="Normal"/>
    <w:rsid w:val="00AC11AE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character" w:styleId="CommentReference">
    <w:name w:val="annotation reference"/>
    <w:uiPriority w:val="99"/>
    <w:semiHidden/>
    <w:rsid w:val="00AC1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11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AC11AE"/>
    <w:rPr>
      <w:b/>
      <w:bCs/>
    </w:rPr>
  </w:style>
  <w:style w:type="paragraph" w:styleId="BalloonText">
    <w:name w:val="Balloon Text"/>
    <w:basedOn w:val="Normal"/>
    <w:semiHidden/>
    <w:rsid w:val="00AC11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1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C11AE"/>
    <w:pPr>
      <w:tabs>
        <w:tab w:val="center" w:pos="4153"/>
        <w:tab w:val="right" w:pos="8306"/>
      </w:tabs>
    </w:pPr>
  </w:style>
  <w:style w:type="paragraph" w:customStyle="1" w:styleId="hr0">
    <w:name w:val="hr"/>
    <w:basedOn w:val="Normal"/>
    <w:rsid w:val="00AC11AE"/>
    <w:pPr>
      <w:keepNext/>
      <w:spacing w:before="360"/>
      <w:ind w:left="964" w:hanging="964"/>
    </w:pPr>
    <w:rPr>
      <w:rFonts w:ascii="Arial" w:hAnsi="Arial" w:cs="Arial"/>
      <w:b/>
      <w:bCs/>
      <w:szCs w:val="24"/>
      <w:lang w:eastAsia="en-AU"/>
    </w:rPr>
  </w:style>
  <w:style w:type="paragraph" w:customStyle="1" w:styleId="r10">
    <w:name w:val="r1"/>
    <w:basedOn w:val="Normal"/>
    <w:rsid w:val="00AC11AE"/>
    <w:pPr>
      <w:spacing w:before="120" w:line="260" w:lineRule="atLeast"/>
      <w:ind w:left="964" w:hanging="964"/>
      <w:jc w:val="both"/>
    </w:pPr>
    <w:rPr>
      <w:szCs w:val="24"/>
      <w:lang w:eastAsia="en-AU"/>
    </w:rPr>
  </w:style>
  <w:style w:type="paragraph" w:styleId="DocumentMap">
    <w:name w:val="Document Map"/>
    <w:basedOn w:val="Normal"/>
    <w:semiHidden/>
    <w:rsid w:val="00AC11AE"/>
    <w:pPr>
      <w:shd w:val="clear" w:color="auto" w:fill="000080"/>
    </w:pPr>
    <w:rPr>
      <w:rFonts w:ascii="Tahoma" w:hAnsi="Tahoma" w:cs="Tahoma"/>
      <w:sz w:val="20"/>
    </w:rPr>
  </w:style>
  <w:style w:type="paragraph" w:styleId="BodyText">
    <w:name w:val="Body Text"/>
    <w:basedOn w:val="Normal"/>
    <w:link w:val="BodyTextChar"/>
    <w:qFormat/>
    <w:rsid w:val="002B43FE"/>
    <w:pPr>
      <w:spacing w:after="240" w:line="240" w:lineRule="atLeast"/>
    </w:pPr>
    <w:rPr>
      <w:rFonts w:ascii="Arial" w:hAnsi="Arial"/>
      <w:color w:val="000000"/>
      <w:sz w:val="20"/>
    </w:rPr>
  </w:style>
  <w:style w:type="character" w:customStyle="1" w:styleId="BodyTextChar">
    <w:name w:val="Body Text Char"/>
    <w:link w:val="BodyText"/>
    <w:rsid w:val="002B43FE"/>
    <w:rPr>
      <w:rFonts w:ascii="Arial" w:hAnsi="Arial"/>
      <w:color w:val="000000"/>
      <w:lang w:eastAsia="en-US"/>
    </w:rPr>
  </w:style>
  <w:style w:type="character" w:styleId="Hyperlink">
    <w:name w:val="Hyperlink"/>
    <w:uiPriority w:val="99"/>
    <w:unhideWhenUsed/>
    <w:rsid w:val="00C66A90"/>
    <w:rPr>
      <w:color w:val="0000FF"/>
      <w:u w:val="single"/>
    </w:rPr>
  </w:style>
  <w:style w:type="paragraph" w:styleId="Revision">
    <w:name w:val="Revision"/>
    <w:hidden/>
    <w:uiPriority w:val="99"/>
    <w:semiHidden/>
    <w:rsid w:val="00C66A90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6A653F"/>
    <w:rPr>
      <w:sz w:val="24"/>
      <w:lang w:eastAsia="en-US"/>
    </w:rPr>
  </w:style>
  <w:style w:type="character" w:customStyle="1" w:styleId="TitleChar">
    <w:name w:val="Title Char"/>
    <w:link w:val="Title"/>
    <w:rsid w:val="00BD125D"/>
    <w:rPr>
      <w:rFonts w:ascii="Times" w:hAnsi="Times" w:cs="Times"/>
      <w:b/>
      <w:bCs/>
      <w:sz w:val="36"/>
      <w:szCs w:val="36"/>
    </w:rPr>
  </w:style>
  <w:style w:type="character" w:customStyle="1" w:styleId="Heading6Char">
    <w:name w:val="Heading 6 Char"/>
    <w:link w:val="Heading6"/>
    <w:rsid w:val="00BD125D"/>
    <w:rPr>
      <w:b/>
      <w:bC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D5C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7549B9"/>
    <w:pPr>
      <w:ind w:left="720"/>
      <w:contextualSpacing/>
    </w:pPr>
  </w:style>
  <w:style w:type="paragraph" w:customStyle="1" w:styleId="ss">
    <w:name w:val="ss"/>
    <w:basedOn w:val="ListParagraph"/>
    <w:rsid w:val="00B41812"/>
    <w:pPr>
      <w:numPr>
        <w:numId w:val="18"/>
      </w:numPr>
    </w:pPr>
  </w:style>
  <w:style w:type="paragraph" w:styleId="NormalWeb">
    <w:name w:val="Normal (Web)"/>
    <w:basedOn w:val="Normal"/>
    <w:uiPriority w:val="99"/>
    <w:unhideWhenUsed/>
    <w:rsid w:val="00E9161C"/>
    <w:pPr>
      <w:spacing w:before="100" w:beforeAutospacing="1" w:after="100" w:afterAutospacing="1"/>
    </w:pPr>
    <w:rPr>
      <w:rFonts w:eastAsiaTheme="minorEastAsia"/>
      <w:szCs w:val="24"/>
      <w:lang w:eastAsia="en-AU"/>
    </w:rPr>
  </w:style>
  <w:style w:type="paragraph" w:customStyle="1" w:styleId="has-text-align-center">
    <w:name w:val="has-text-align-center"/>
    <w:basedOn w:val="Normal"/>
    <w:rsid w:val="003145F4"/>
    <w:pPr>
      <w:spacing w:before="100" w:beforeAutospacing="1" w:after="100" w:afterAutospacing="1"/>
      <w:jc w:val="center"/>
    </w:pPr>
    <w:rPr>
      <w:rFonts w:ascii="MarkPro-Regular" w:hAnsi="MarkPro-Regular"/>
      <w:szCs w:val="24"/>
      <w:lang w:eastAsia="en-AU"/>
    </w:rPr>
  </w:style>
  <w:style w:type="paragraph" w:customStyle="1" w:styleId="paragraph">
    <w:name w:val="paragraph"/>
    <w:basedOn w:val="Normal"/>
    <w:rsid w:val="001B18BA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aragraphsub">
    <w:name w:val="paragraphsub"/>
    <w:basedOn w:val="Normal"/>
    <w:rsid w:val="001B18BA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C6F"/>
    <w:rPr>
      <w:lang w:eastAsia="en-US"/>
    </w:rPr>
  </w:style>
  <w:style w:type="character" w:styleId="Emphasis">
    <w:name w:val="Emphasis"/>
    <w:basedOn w:val="DefaultParagraphFont"/>
    <w:uiPriority w:val="20"/>
    <w:qFormat/>
    <w:rsid w:val="00105CA6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E9671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1917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0474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3374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1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6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9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6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EEF951C-8553-4C07-BD5A-0242B35996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57534BC8E170408627F6EC43904C27" ma:contentTypeVersion="" ma:contentTypeDescription="PDMS Document Site Content Type" ma:contentTypeScope="" ma:versionID="0d9a980cdeae058adc30a6bcfcacc03f">
  <xsd:schema xmlns:xsd="http://www.w3.org/2001/XMLSchema" xmlns:xs="http://www.w3.org/2001/XMLSchema" xmlns:p="http://schemas.microsoft.com/office/2006/metadata/properties" xmlns:ns2="9EEF951C-8553-4C07-BD5A-0242B35996DB" targetNamespace="http://schemas.microsoft.com/office/2006/metadata/properties" ma:root="true" ma:fieldsID="8efa990fe2a8206b8dd0e640060b3f64" ns2:_="">
    <xsd:import namespace="9EEF951C-8553-4C07-BD5A-0242B35996D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F951C-8553-4C07-BD5A-0242B35996D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7C987-1302-4F67-A34E-EA5414E8272E}">
  <ds:schemaRefs>
    <ds:schemaRef ds:uri="http://schemas.microsoft.com/office/2006/metadata/properties"/>
    <ds:schemaRef ds:uri="http://schemas.microsoft.com/office/infopath/2007/PartnerControls"/>
    <ds:schemaRef ds:uri="9EEF951C-8553-4C07-BD5A-0242B35996DB"/>
  </ds:schemaRefs>
</ds:datastoreItem>
</file>

<file path=customXml/itemProps2.xml><?xml version="1.0" encoding="utf-8"?>
<ds:datastoreItem xmlns:ds="http://schemas.openxmlformats.org/officeDocument/2006/customXml" ds:itemID="{EDCD2800-5FA3-43CB-ADBF-2801061C7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F951C-8553-4C07-BD5A-0242B359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7649C-F4AD-44DB-B795-F589FA816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7EC96-A21C-495D-9987-EECBDAB3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2020-05-18T05:19:00Z</dcterms:created>
  <dcterms:modified xsi:type="dcterms:W3CDTF">2020-05-18T05:20:00Z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0x010100266966F133664895A6EE3632470D45F500DA57534BC8E170408627F6EC43904C27</vt:lpwstr>
  </property>
  <property fmtid="{D5CDD505-2E9C-101B-9397-08002B2CF9AE}" pid="3" name="TrimRevisionNumber">
    <vt:i4>1</vt:i4>
  </property>
  <property fmtid="{D5CDD505-2E9C-101B-9397-08002B2CF9AE}" pid="4" name="_dlc_DocIdItemGuid">
    <vt:lpwstr>3940ff8d-f187-4aef-a78e-fff52e8003a4</vt:lpwstr>
  </property>
</Properties>
</file>