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BAC02" w14:textId="77777777" w:rsidR="00017141" w:rsidRPr="00017141" w:rsidRDefault="00017141" w:rsidP="00017141">
      <w:pPr>
        <w:spacing w:after="160" w:line="259" w:lineRule="auto"/>
        <w:jc w:val="center"/>
        <w:rPr>
          <w:rFonts w:ascii="Times New Roman" w:eastAsia="Calibri" w:hAnsi="Times New Roman"/>
          <w:b/>
          <w:sz w:val="28"/>
          <w:szCs w:val="28"/>
        </w:rPr>
      </w:pPr>
      <w:bookmarkStart w:id="0" w:name="_GoBack"/>
      <w:bookmarkEnd w:id="0"/>
      <w:r w:rsidRPr="00017141">
        <w:rPr>
          <w:rFonts w:ascii="Times New Roman" w:eastAsia="Calibri" w:hAnsi="Times New Roman"/>
          <w:b/>
          <w:sz w:val="28"/>
          <w:szCs w:val="28"/>
        </w:rPr>
        <w:t>EXPLANATORY STATEMENT</w:t>
      </w:r>
    </w:p>
    <w:p w14:paraId="0C228E1D" w14:textId="77777777" w:rsidR="00017141" w:rsidRPr="00017141" w:rsidRDefault="00017141" w:rsidP="00017141">
      <w:pPr>
        <w:spacing w:after="160" w:line="259" w:lineRule="auto"/>
        <w:jc w:val="center"/>
        <w:rPr>
          <w:rFonts w:ascii="Times New Roman" w:eastAsia="Calibri" w:hAnsi="Times New Roman"/>
          <w:sz w:val="24"/>
          <w:szCs w:val="22"/>
        </w:rPr>
      </w:pPr>
    </w:p>
    <w:p w14:paraId="24B2A9A8" w14:textId="77777777" w:rsidR="00017141" w:rsidRPr="00017141" w:rsidRDefault="00017141" w:rsidP="004F00BC">
      <w:pPr>
        <w:spacing w:before="240" w:after="160" w:line="259" w:lineRule="auto"/>
        <w:jc w:val="center"/>
        <w:rPr>
          <w:rFonts w:ascii="Times New Roman" w:eastAsia="Calibri" w:hAnsi="Times New Roman"/>
          <w:i/>
          <w:sz w:val="24"/>
          <w:szCs w:val="22"/>
        </w:rPr>
      </w:pPr>
      <w:r w:rsidRPr="00017141">
        <w:rPr>
          <w:rFonts w:ascii="Times New Roman" w:eastAsia="Calibri" w:hAnsi="Times New Roman"/>
          <w:i/>
          <w:sz w:val="24"/>
          <w:szCs w:val="22"/>
        </w:rPr>
        <w:t>Anti-Money Laundering and Counter-Terrorism Financing Act 2006</w:t>
      </w:r>
    </w:p>
    <w:p w14:paraId="66FD2913" w14:textId="2A6DE077" w:rsidR="00017141" w:rsidRPr="00017141" w:rsidRDefault="00017141" w:rsidP="004F00BC">
      <w:pPr>
        <w:spacing w:before="240" w:after="160" w:line="259" w:lineRule="auto"/>
        <w:jc w:val="center"/>
        <w:rPr>
          <w:rFonts w:ascii="Times New Roman" w:eastAsia="Calibri" w:hAnsi="Times New Roman"/>
          <w:b/>
          <w:i/>
          <w:sz w:val="24"/>
          <w:szCs w:val="22"/>
        </w:rPr>
      </w:pPr>
      <w:r w:rsidRPr="00017141">
        <w:rPr>
          <w:rFonts w:ascii="Times New Roman" w:eastAsia="Calibri" w:hAnsi="Times New Roman"/>
          <w:b/>
          <w:i/>
          <w:sz w:val="24"/>
          <w:szCs w:val="22"/>
        </w:rPr>
        <w:t>Anti-Money Laundering and Counter-Terrorism Financing Rules Amendment Instrument 20</w:t>
      </w:r>
      <w:r w:rsidR="00C34C45">
        <w:rPr>
          <w:rFonts w:ascii="Times New Roman" w:eastAsia="Calibri" w:hAnsi="Times New Roman"/>
          <w:b/>
          <w:i/>
          <w:sz w:val="24"/>
          <w:szCs w:val="22"/>
        </w:rPr>
        <w:t>20</w:t>
      </w:r>
      <w:r w:rsidRPr="00017141">
        <w:rPr>
          <w:rFonts w:ascii="Times New Roman" w:eastAsia="Calibri" w:hAnsi="Times New Roman"/>
          <w:b/>
          <w:i/>
          <w:sz w:val="24"/>
          <w:szCs w:val="22"/>
        </w:rPr>
        <w:t xml:space="preserve"> (No. </w:t>
      </w:r>
      <w:r w:rsidR="005C3943">
        <w:rPr>
          <w:rFonts w:ascii="Times New Roman" w:eastAsia="Calibri" w:hAnsi="Times New Roman"/>
          <w:b/>
          <w:i/>
          <w:sz w:val="24"/>
          <w:szCs w:val="22"/>
        </w:rPr>
        <w:t>3</w:t>
      </w:r>
      <w:r w:rsidRPr="00017141">
        <w:rPr>
          <w:rFonts w:ascii="Times New Roman" w:eastAsia="Calibri" w:hAnsi="Times New Roman"/>
          <w:b/>
          <w:i/>
          <w:sz w:val="24"/>
          <w:szCs w:val="22"/>
        </w:rPr>
        <w:t xml:space="preserve">) </w:t>
      </w:r>
    </w:p>
    <w:p w14:paraId="235277A8" w14:textId="1F2CC83B" w:rsidR="00017141" w:rsidRDefault="00017141" w:rsidP="004F00BC">
      <w:pPr>
        <w:spacing w:before="240" w:after="160" w:line="259" w:lineRule="auto"/>
        <w:jc w:val="center"/>
        <w:rPr>
          <w:rFonts w:ascii="Times New Roman" w:eastAsia="Calibri" w:hAnsi="Times New Roman"/>
          <w:i/>
          <w:szCs w:val="22"/>
        </w:rPr>
      </w:pPr>
      <w:r w:rsidRPr="00017141">
        <w:rPr>
          <w:rFonts w:ascii="Times New Roman" w:eastAsia="Calibri" w:hAnsi="Times New Roman"/>
          <w:szCs w:val="22"/>
        </w:rPr>
        <w:t xml:space="preserve">Issued by authority of Nicole Rose PSM, Chief Executive Officer, Australian Transaction Reports and Analysis Centre, in compliance with section 15J of the </w:t>
      </w:r>
      <w:r w:rsidRPr="00017141">
        <w:rPr>
          <w:rFonts w:ascii="Times New Roman" w:eastAsia="Calibri" w:hAnsi="Times New Roman"/>
          <w:i/>
          <w:szCs w:val="22"/>
        </w:rPr>
        <w:t>Legislation Act 2003</w:t>
      </w:r>
    </w:p>
    <w:p w14:paraId="140A5441" w14:textId="77777777" w:rsidR="009B309E" w:rsidRPr="00017141" w:rsidRDefault="009B309E" w:rsidP="00017141">
      <w:pPr>
        <w:spacing w:after="160" w:line="259" w:lineRule="auto"/>
        <w:jc w:val="center"/>
        <w:rPr>
          <w:rFonts w:ascii="Times New Roman" w:eastAsia="Calibri" w:hAnsi="Times New Roman"/>
          <w:i/>
          <w:szCs w:val="22"/>
        </w:rPr>
      </w:pPr>
    </w:p>
    <w:p w14:paraId="02072A80" w14:textId="358F5200" w:rsidR="00017141" w:rsidRPr="00017141" w:rsidRDefault="004F00BC" w:rsidP="009B309E">
      <w:pPr>
        <w:spacing w:after="160" w:line="259" w:lineRule="auto"/>
        <w:rPr>
          <w:rFonts w:ascii="Times New Roman" w:eastAsia="Calibri" w:hAnsi="Times New Roman"/>
          <w:sz w:val="24"/>
          <w:szCs w:val="22"/>
        </w:rPr>
      </w:pPr>
      <w:r>
        <w:rPr>
          <w:rFonts w:ascii="Times New Roman" w:eastAsia="Calibri" w:hAnsi="Times New Roman"/>
          <w:b/>
          <w:bCs/>
          <w:sz w:val="24"/>
          <w:szCs w:val="22"/>
        </w:rPr>
        <w:t>AUTHORITY</w:t>
      </w:r>
    </w:p>
    <w:p w14:paraId="688A0299" w14:textId="700CBCCF" w:rsidR="00017141" w:rsidRPr="00017141" w:rsidRDefault="00017141" w:rsidP="00017141">
      <w:pPr>
        <w:spacing w:after="160" w:line="259" w:lineRule="auto"/>
        <w:rPr>
          <w:rFonts w:ascii="Times New Roman" w:eastAsia="Calibri" w:hAnsi="Times New Roman"/>
          <w:i/>
          <w:iCs/>
          <w:szCs w:val="22"/>
        </w:rPr>
      </w:pPr>
      <w:r w:rsidRPr="00017141">
        <w:rPr>
          <w:rFonts w:ascii="Times New Roman" w:eastAsia="Calibri" w:hAnsi="Times New Roman"/>
          <w:szCs w:val="22"/>
        </w:rPr>
        <w:t>Section 229 of the </w:t>
      </w:r>
      <w:r w:rsidRPr="00017141">
        <w:rPr>
          <w:rFonts w:ascii="Times New Roman" w:eastAsia="Calibri" w:hAnsi="Times New Roman"/>
          <w:i/>
          <w:iCs/>
          <w:szCs w:val="22"/>
        </w:rPr>
        <w:t xml:space="preserve">Anti-Money Laundering and Counter-Terrorism Financing Act 2006 </w:t>
      </w:r>
      <w:r w:rsidRPr="00017141">
        <w:rPr>
          <w:rFonts w:ascii="Times New Roman" w:eastAsia="Calibri" w:hAnsi="Times New Roman"/>
          <w:szCs w:val="22"/>
        </w:rPr>
        <w:t>(</w:t>
      </w:r>
      <w:r w:rsidRPr="00017141">
        <w:rPr>
          <w:rFonts w:ascii="Times New Roman" w:eastAsia="Calibri" w:hAnsi="Times New Roman"/>
          <w:b/>
          <w:szCs w:val="22"/>
        </w:rPr>
        <w:t>AML/CTF Act</w:t>
      </w:r>
      <w:r w:rsidRPr="00017141">
        <w:rPr>
          <w:rFonts w:ascii="Times New Roman" w:eastAsia="Calibri" w:hAnsi="Times New Roman"/>
          <w:szCs w:val="22"/>
        </w:rPr>
        <w:t>), provides that the AUSTRAC CEO may, by legislative instrument, make rules prescribing matters required or permitted by the AML/CTF Act to be prescribed by the rules.</w:t>
      </w:r>
    </w:p>
    <w:p w14:paraId="758BC837" w14:textId="164B0A3B" w:rsidR="004F00BC" w:rsidRPr="00017141" w:rsidRDefault="009B309E" w:rsidP="009B309E">
      <w:pPr>
        <w:spacing w:before="360" w:after="160" w:line="259" w:lineRule="auto"/>
        <w:rPr>
          <w:rFonts w:ascii="Times New Roman" w:eastAsia="Calibri" w:hAnsi="Times New Roman"/>
          <w:b/>
          <w:caps/>
          <w:sz w:val="24"/>
          <w:szCs w:val="22"/>
        </w:rPr>
      </w:pPr>
      <w:r w:rsidRPr="004F00BC">
        <w:rPr>
          <w:rFonts w:ascii="Times New Roman" w:eastAsia="Calibri" w:hAnsi="Times New Roman"/>
          <w:b/>
          <w:caps/>
          <w:sz w:val="24"/>
          <w:szCs w:val="22"/>
        </w:rPr>
        <w:t>Purpose and operation of the instrument</w:t>
      </w:r>
    </w:p>
    <w:p w14:paraId="21E9EE3D" w14:textId="79103FAD" w:rsidR="00017141" w:rsidRDefault="00017141" w:rsidP="00017141">
      <w:pPr>
        <w:spacing w:after="160" w:line="259" w:lineRule="auto"/>
        <w:rPr>
          <w:rFonts w:ascii="Times New Roman" w:eastAsia="Calibri" w:hAnsi="Times New Roman"/>
          <w:szCs w:val="22"/>
        </w:rPr>
      </w:pPr>
      <w:r w:rsidRPr="00017141">
        <w:rPr>
          <w:rFonts w:ascii="Times New Roman" w:eastAsia="Calibri" w:hAnsi="Times New Roman"/>
          <w:szCs w:val="22"/>
        </w:rPr>
        <w:t>The</w:t>
      </w:r>
      <w:r w:rsidR="009B309E">
        <w:rPr>
          <w:rFonts w:ascii="Times New Roman" w:eastAsia="Calibri" w:hAnsi="Times New Roman"/>
          <w:szCs w:val="22"/>
        </w:rPr>
        <w:t>se</w:t>
      </w:r>
      <w:r w:rsidRPr="00017141">
        <w:rPr>
          <w:rFonts w:ascii="Times New Roman" w:eastAsia="Calibri" w:hAnsi="Times New Roman"/>
          <w:szCs w:val="22"/>
        </w:rPr>
        <w:t xml:space="preserve"> Rules are a legislative instrument for the purposes of the </w:t>
      </w:r>
      <w:r w:rsidRPr="00017141">
        <w:rPr>
          <w:rFonts w:ascii="Times New Roman" w:eastAsia="Calibri" w:hAnsi="Times New Roman"/>
          <w:i/>
          <w:szCs w:val="22"/>
        </w:rPr>
        <w:t>Legislation Act 2003</w:t>
      </w:r>
      <w:r w:rsidRPr="00017141">
        <w:rPr>
          <w:rFonts w:ascii="Times New Roman" w:eastAsia="Calibri" w:hAnsi="Times New Roman"/>
          <w:szCs w:val="22"/>
        </w:rPr>
        <w:t xml:space="preserve">. </w:t>
      </w:r>
    </w:p>
    <w:p w14:paraId="2630780F" w14:textId="77777777" w:rsidR="004F00BC" w:rsidRPr="00017141" w:rsidRDefault="004F00BC" w:rsidP="004F00BC">
      <w:pPr>
        <w:spacing w:after="160" w:line="259" w:lineRule="auto"/>
        <w:rPr>
          <w:rFonts w:ascii="Times New Roman" w:eastAsia="Calibri" w:hAnsi="Times New Roman"/>
          <w:szCs w:val="22"/>
        </w:rPr>
      </w:pPr>
      <w:r w:rsidRPr="00017141">
        <w:rPr>
          <w:rFonts w:ascii="Times New Roman" w:eastAsia="Calibri" w:hAnsi="Times New Roman"/>
          <w:szCs w:val="22"/>
        </w:rPr>
        <w:t xml:space="preserve">Details of the </w:t>
      </w:r>
      <w:r>
        <w:rPr>
          <w:rFonts w:ascii="Times New Roman" w:eastAsia="Calibri" w:hAnsi="Times New Roman"/>
          <w:szCs w:val="22"/>
        </w:rPr>
        <w:t>Rules</w:t>
      </w:r>
      <w:r w:rsidRPr="00017141">
        <w:rPr>
          <w:rFonts w:ascii="Times New Roman" w:eastAsia="Calibri" w:hAnsi="Times New Roman"/>
          <w:szCs w:val="22"/>
        </w:rPr>
        <w:t xml:space="preserve"> are set out in the </w:t>
      </w:r>
      <w:r>
        <w:rPr>
          <w:rFonts w:ascii="Times New Roman" w:eastAsia="Calibri" w:hAnsi="Times New Roman"/>
          <w:szCs w:val="22"/>
          <w:u w:val="single"/>
        </w:rPr>
        <w:t>Attachment A</w:t>
      </w:r>
      <w:r w:rsidRPr="00017141">
        <w:rPr>
          <w:rFonts w:ascii="Times New Roman" w:eastAsia="Calibri" w:hAnsi="Times New Roman"/>
          <w:szCs w:val="22"/>
          <w:u w:val="single"/>
        </w:rPr>
        <w:t>.</w:t>
      </w:r>
    </w:p>
    <w:p w14:paraId="2C7A8DEC" w14:textId="1ED78DBC" w:rsidR="004F00BC" w:rsidRPr="00017141" w:rsidRDefault="004F00BC" w:rsidP="004F00BC">
      <w:pPr>
        <w:spacing w:after="160" w:line="259" w:lineRule="auto"/>
        <w:rPr>
          <w:rFonts w:ascii="Times New Roman" w:eastAsia="Calibri" w:hAnsi="Times New Roman"/>
          <w:szCs w:val="22"/>
        </w:rPr>
      </w:pPr>
      <w:r w:rsidRPr="00017141">
        <w:rPr>
          <w:rFonts w:ascii="Times New Roman" w:eastAsia="Calibri" w:hAnsi="Times New Roman"/>
          <w:szCs w:val="22"/>
        </w:rPr>
        <w:t xml:space="preserve">A Statement of Compatibility with Human Rights (the </w:t>
      </w:r>
      <w:r w:rsidRPr="00017141">
        <w:rPr>
          <w:rFonts w:ascii="Times New Roman" w:eastAsia="Calibri" w:hAnsi="Times New Roman"/>
          <w:b/>
          <w:szCs w:val="22"/>
        </w:rPr>
        <w:t>Statement</w:t>
      </w:r>
      <w:r w:rsidRPr="00017141">
        <w:rPr>
          <w:rFonts w:ascii="Times New Roman" w:eastAsia="Calibri" w:hAnsi="Times New Roman"/>
          <w:szCs w:val="22"/>
        </w:rPr>
        <w:t>) has been completed in accordance with the </w:t>
      </w:r>
      <w:r w:rsidRPr="00017141">
        <w:rPr>
          <w:rFonts w:ascii="Times New Roman" w:eastAsia="Calibri" w:hAnsi="Times New Roman"/>
          <w:i/>
          <w:iCs/>
          <w:szCs w:val="22"/>
        </w:rPr>
        <w:t>Human Rights (Parliamentary Scrutiny) Act 2011. </w:t>
      </w:r>
      <w:r w:rsidRPr="00017141">
        <w:rPr>
          <w:rFonts w:ascii="Times New Roman" w:eastAsia="Calibri" w:hAnsi="Times New Roman"/>
          <w:szCs w:val="22"/>
        </w:rPr>
        <w:t xml:space="preserve">The overall assessment is that the </w:t>
      </w:r>
      <w:r>
        <w:rPr>
          <w:rFonts w:ascii="Times New Roman" w:eastAsia="Calibri" w:hAnsi="Times New Roman"/>
          <w:szCs w:val="22"/>
        </w:rPr>
        <w:t>Rules</w:t>
      </w:r>
      <w:r w:rsidRPr="00017141">
        <w:rPr>
          <w:rFonts w:ascii="Times New Roman" w:eastAsia="Calibri" w:hAnsi="Times New Roman"/>
          <w:szCs w:val="22"/>
        </w:rPr>
        <w:t xml:space="preserve"> </w:t>
      </w:r>
      <w:r w:rsidR="001C55AA" w:rsidRPr="001C55AA">
        <w:rPr>
          <w:rFonts w:ascii="Times New Roman" w:eastAsia="Calibri" w:hAnsi="Times New Roman"/>
          <w:szCs w:val="22"/>
        </w:rPr>
        <w:t xml:space="preserve">promote the realisation of human rights, and as such, </w:t>
      </w:r>
      <w:r w:rsidR="001C55AA">
        <w:rPr>
          <w:rFonts w:ascii="Times New Roman" w:eastAsia="Calibri" w:hAnsi="Times New Roman"/>
          <w:szCs w:val="22"/>
        </w:rPr>
        <w:t>are</w:t>
      </w:r>
      <w:r w:rsidR="001C55AA" w:rsidRPr="001C55AA">
        <w:rPr>
          <w:rFonts w:ascii="Times New Roman" w:eastAsia="Calibri" w:hAnsi="Times New Roman"/>
          <w:szCs w:val="22"/>
        </w:rPr>
        <w:t xml:space="preserve"> compatible with them.</w:t>
      </w:r>
      <w:r w:rsidRPr="00017141">
        <w:rPr>
          <w:rFonts w:ascii="Times New Roman" w:eastAsia="Calibri" w:hAnsi="Times New Roman"/>
          <w:szCs w:val="22"/>
        </w:rPr>
        <w:t xml:space="preserve"> A copy of the Statement is at </w:t>
      </w:r>
      <w:r w:rsidRPr="00017141">
        <w:rPr>
          <w:rFonts w:ascii="Times New Roman" w:eastAsia="Calibri" w:hAnsi="Times New Roman"/>
          <w:szCs w:val="22"/>
          <w:u w:val="single"/>
        </w:rPr>
        <w:t xml:space="preserve">Attachment </w:t>
      </w:r>
      <w:r>
        <w:rPr>
          <w:rFonts w:ascii="Times New Roman" w:eastAsia="Calibri" w:hAnsi="Times New Roman"/>
          <w:szCs w:val="22"/>
          <w:u w:val="single"/>
        </w:rPr>
        <w:t>B</w:t>
      </w:r>
      <w:r w:rsidRPr="00017141">
        <w:rPr>
          <w:rFonts w:ascii="Times New Roman" w:eastAsia="Calibri" w:hAnsi="Times New Roman"/>
          <w:szCs w:val="22"/>
        </w:rPr>
        <w:t>.</w:t>
      </w:r>
    </w:p>
    <w:p w14:paraId="7F67CB67" w14:textId="49ABBCF1" w:rsidR="004F00BC" w:rsidRPr="00017141" w:rsidRDefault="004F00BC" w:rsidP="00017141">
      <w:pPr>
        <w:spacing w:after="160" w:line="259" w:lineRule="auto"/>
        <w:rPr>
          <w:rFonts w:ascii="Times New Roman" w:eastAsia="Calibri" w:hAnsi="Times New Roman"/>
          <w:b/>
          <w:szCs w:val="22"/>
        </w:rPr>
      </w:pPr>
      <w:r>
        <w:rPr>
          <w:rFonts w:ascii="Times New Roman" w:eastAsia="Calibri" w:hAnsi="Times New Roman"/>
          <w:b/>
          <w:szCs w:val="22"/>
        </w:rPr>
        <w:t>Background</w:t>
      </w:r>
    </w:p>
    <w:p w14:paraId="1F66A8C4" w14:textId="02047786" w:rsidR="004F00BC" w:rsidRPr="004F00BC" w:rsidRDefault="00F96543" w:rsidP="004F00BC">
      <w:pPr>
        <w:spacing w:after="160" w:line="259" w:lineRule="auto"/>
        <w:rPr>
          <w:rFonts w:ascii="Times New Roman" w:eastAsia="Calibri" w:hAnsi="Times New Roman"/>
          <w:b/>
          <w:i/>
          <w:szCs w:val="22"/>
        </w:rPr>
      </w:pPr>
      <w:r>
        <w:rPr>
          <w:rFonts w:ascii="Times New Roman" w:eastAsia="Calibri" w:hAnsi="Times New Roman"/>
          <w:b/>
          <w:i/>
          <w:szCs w:val="22"/>
        </w:rPr>
        <w:t xml:space="preserve">Amendment of Part 4.15 </w:t>
      </w:r>
    </w:p>
    <w:p w14:paraId="258B71EA" w14:textId="57A646B4" w:rsidR="00414236" w:rsidRPr="00414236" w:rsidRDefault="00B57A58" w:rsidP="00414236">
      <w:pPr>
        <w:pStyle w:val="ListParagraph"/>
        <w:numPr>
          <w:ilvl w:val="0"/>
          <w:numId w:val="49"/>
        </w:numPr>
        <w:spacing w:before="120" w:after="120" w:line="276" w:lineRule="auto"/>
        <w:ind w:left="357" w:hanging="357"/>
        <w:rPr>
          <w:rFonts w:ascii="Times New Roman" w:eastAsia="Calibri" w:hAnsi="Times New Roman"/>
        </w:rPr>
      </w:pPr>
      <w:r w:rsidRPr="00B57A58">
        <w:rPr>
          <w:rFonts w:ascii="Times New Roman" w:eastAsia="Calibri" w:hAnsi="Times New Roman"/>
        </w:rPr>
        <w:t xml:space="preserve">There is increased recognition that government, community and business need to work together to improve the outcomes for those experiencing family and domestic violence (FDV). </w:t>
      </w:r>
      <w:r w:rsidR="00414236" w:rsidRPr="00414236">
        <w:rPr>
          <w:rFonts w:ascii="Times New Roman" w:eastAsia="Calibri" w:hAnsi="Times New Roman"/>
        </w:rPr>
        <w:t>This includes ensuring that victims of FDV who are leaving or have left an abusive relationship can access a bank account independent of their abuser.</w:t>
      </w:r>
    </w:p>
    <w:p w14:paraId="107030A7" w14:textId="7EC71DC2" w:rsidR="00414236" w:rsidRPr="00E83CBC" w:rsidRDefault="00414236" w:rsidP="00E83CBC">
      <w:pPr>
        <w:pStyle w:val="ListParagraph"/>
        <w:numPr>
          <w:ilvl w:val="0"/>
          <w:numId w:val="49"/>
        </w:numPr>
        <w:spacing w:before="120" w:after="120" w:line="276" w:lineRule="auto"/>
        <w:ind w:left="357" w:hanging="357"/>
        <w:rPr>
          <w:rFonts w:ascii="Times New Roman" w:eastAsia="Calibri" w:hAnsi="Times New Roman"/>
        </w:rPr>
      </w:pPr>
      <w:r w:rsidRPr="00414236">
        <w:rPr>
          <w:rFonts w:ascii="Times New Roman" w:eastAsia="Calibri" w:hAnsi="Times New Roman"/>
        </w:rPr>
        <w:t>Perpetrators of FDV</w:t>
      </w:r>
      <w:r w:rsidR="00B57A58" w:rsidRPr="00414236">
        <w:rPr>
          <w:rFonts w:ascii="Times New Roman" w:eastAsia="Calibri" w:hAnsi="Times New Roman"/>
        </w:rPr>
        <w:t xml:space="preserve"> may exert control by not allowing those they abuse to have their own bank account, or by withholding their </w:t>
      </w:r>
      <w:r w:rsidR="00666A71" w:rsidRPr="00414236">
        <w:rPr>
          <w:rFonts w:ascii="Times New Roman" w:eastAsia="Calibri" w:hAnsi="Times New Roman"/>
        </w:rPr>
        <w:t>identification documents (ID)</w:t>
      </w:r>
      <w:r w:rsidR="00B57A58" w:rsidRPr="00414236">
        <w:rPr>
          <w:rFonts w:ascii="Times New Roman" w:eastAsia="Calibri" w:hAnsi="Times New Roman"/>
        </w:rPr>
        <w:t>. Additionally, an abused person may flee their relationship without their ID. Having left the relationship, they then may not have a permanent address, or their new address differs from the address shown on their ID.</w:t>
      </w:r>
      <w:r w:rsidR="00E83CBC">
        <w:rPr>
          <w:rFonts w:ascii="Times New Roman" w:eastAsia="Calibri" w:hAnsi="Times New Roman"/>
        </w:rPr>
        <w:t xml:space="preserve"> This may present </w:t>
      </w:r>
      <w:r w:rsidRPr="00E83CBC">
        <w:rPr>
          <w:rFonts w:ascii="Times New Roman" w:eastAsia="Calibri" w:hAnsi="Times New Roman"/>
        </w:rPr>
        <w:t>challenges</w:t>
      </w:r>
      <w:r w:rsidR="00E83CBC">
        <w:rPr>
          <w:rFonts w:ascii="Times New Roman" w:eastAsia="Calibri" w:hAnsi="Times New Roman"/>
        </w:rPr>
        <w:t xml:space="preserve"> for an abused</w:t>
      </w:r>
      <w:r w:rsidRPr="00E83CBC">
        <w:rPr>
          <w:rFonts w:ascii="Times New Roman" w:eastAsia="Calibri" w:hAnsi="Times New Roman"/>
        </w:rPr>
        <w:t xml:space="preserve"> when opening bank accounts.</w:t>
      </w:r>
    </w:p>
    <w:p w14:paraId="7451AB35" w14:textId="5FA216C7" w:rsidR="00B57A58" w:rsidRPr="00B57A58" w:rsidRDefault="00B57A58" w:rsidP="00B57A58">
      <w:pPr>
        <w:pStyle w:val="ListParagraph"/>
        <w:numPr>
          <w:ilvl w:val="0"/>
          <w:numId w:val="49"/>
        </w:numPr>
        <w:spacing w:before="120" w:after="120" w:line="276" w:lineRule="auto"/>
        <w:contextualSpacing/>
        <w:rPr>
          <w:rFonts w:ascii="Times New Roman" w:eastAsia="Calibri" w:hAnsi="Times New Roman"/>
        </w:rPr>
      </w:pPr>
      <w:r w:rsidRPr="00B57A58">
        <w:rPr>
          <w:rFonts w:ascii="Times New Roman" w:eastAsia="Calibri" w:hAnsi="Times New Roman"/>
        </w:rPr>
        <w:t xml:space="preserve">Part 4.15 of the </w:t>
      </w:r>
      <w:r w:rsidR="00533D6E" w:rsidRPr="00533D6E">
        <w:rPr>
          <w:rFonts w:ascii="Times New Roman" w:eastAsia="Calibri" w:hAnsi="Times New Roman"/>
          <w:i/>
        </w:rPr>
        <w:t xml:space="preserve">Anti-Money Laundering and Counter-Terrorism Financing </w:t>
      </w:r>
      <w:r w:rsidRPr="00533D6E">
        <w:rPr>
          <w:rFonts w:ascii="Times New Roman" w:eastAsia="Calibri" w:hAnsi="Times New Roman"/>
          <w:i/>
        </w:rPr>
        <w:t xml:space="preserve">Rules </w:t>
      </w:r>
      <w:r w:rsidR="00533D6E" w:rsidRPr="00533D6E">
        <w:rPr>
          <w:rFonts w:ascii="Times New Roman" w:eastAsia="Calibri" w:hAnsi="Times New Roman"/>
        </w:rPr>
        <w:t xml:space="preserve">(AML/CTF Rules) </w:t>
      </w:r>
      <w:r w:rsidRPr="00B57A58">
        <w:rPr>
          <w:rFonts w:ascii="Times New Roman" w:eastAsia="Calibri" w:hAnsi="Times New Roman"/>
        </w:rPr>
        <w:t xml:space="preserve">sets out </w:t>
      </w:r>
      <w:r w:rsidR="0018520A">
        <w:rPr>
          <w:rFonts w:ascii="Times New Roman" w:eastAsia="Calibri" w:hAnsi="Times New Roman"/>
        </w:rPr>
        <w:t xml:space="preserve">existing </w:t>
      </w:r>
      <w:r w:rsidRPr="00B57A58">
        <w:rPr>
          <w:rFonts w:ascii="Times New Roman" w:eastAsia="Calibri" w:hAnsi="Times New Roman"/>
        </w:rPr>
        <w:t xml:space="preserve">processes for reporting entities to follow in limited and exceptional circumstances where a customer is unable to provide satisfactory evidence of their identity. </w:t>
      </w:r>
    </w:p>
    <w:p w14:paraId="3E754723" w14:textId="719CF7F0" w:rsidR="001A03E1" w:rsidRPr="007037F4" w:rsidRDefault="00B57A58" w:rsidP="00B57A58">
      <w:pPr>
        <w:pStyle w:val="ListParagraph"/>
        <w:numPr>
          <w:ilvl w:val="0"/>
          <w:numId w:val="49"/>
        </w:numPr>
        <w:spacing w:before="120" w:after="120" w:line="276" w:lineRule="auto"/>
        <w:contextualSpacing/>
        <w:rPr>
          <w:rFonts w:ascii="Times New Roman" w:eastAsia="Calibri" w:hAnsi="Times New Roman"/>
          <w:spacing w:val="5"/>
        </w:rPr>
      </w:pPr>
      <w:r w:rsidRPr="00B57A58">
        <w:rPr>
          <w:rFonts w:ascii="Times New Roman" w:eastAsia="Calibri" w:hAnsi="Times New Roman"/>
        </w:rPr>
        <w:lastRenderedPageBreak/>
        <w:t xml:space="preserve">The </w:t>
      </w:r>
      <w:r>
        <w:rPr>
          <w:rFonts w:ascii="Times New Roman" w:eastAsia="Calibri" w:hAnsi="Times New Roman"/>
        </w:rPr>
        <w:t xml:space="preserve">amendment </w:t>
      </w:r>
      <w:r w:rsidR="00533D6E">
        <w:rPr>
          <w:rFonts w:ascii="Times New Roman" w:eastAsia="Calibri" w:hAnsi="Times New Roman"/>
        </w:rPr>
        <w:t xml:space="preserve">of the headnote to </w:t>
      </w:r>
      <w:r>
        <w:rPr>
          <w:rFonts w:ascii="Times New Roman" w:eastAsia="Calibri" w:hAnsi="Times New Roman"/>
        </w:rPr>
        <w:t>Part 4.15</w:t>
      </w:r>
      <w:r w:rsidRPr="00B57A58">
        <w:rPr>
          <w:rFonts w:ascii="Times New Roman" w:eastAsia="Calibri" w:hAnsi="Times New Roman"/>
        </w:rPr>
        <w:t xml:space="preserve"> </w:t>
      </w:r>
      <w:r w:rsidR="0018520A">
        <w:rPr>
          <w:rFonts w:ascii="Times New Roman" w:eastAsia="Calibri" w:hAnsi="Times New Roman"/>
        </w:rPr>
        <w:t>makes it plain</w:t>
      </w:r>
      <w:r w:rsidRPr="00B57A58">
        <w:rPr>
          <w:rFonts w:ascii="Times New Roman" w:eastAsia="Calibri" w:hAnsi="Times New Roman"/>
        </w:rPr>
        <w:t xml:space="preserve"> that a reporting entity can use the processes described in Part 4.15 when their customer is experiencing or has experienced FDV.</w:t>
      </w:r>
      <w:r w:rsidR="001A03E1" w:rsidRPr="007037F4">
        <w:rPr>
          <w:rFonts w:ascii="Times New Roman" w:eastAsia="Calibri" w:hAnsi="Times New Roman"/>
          <w:spacing w:val="5"/>
        </w:rPr>
        <w:tab/>
      </w:r>
    </w:p>
    <w:p w14:paraId="541E8AD2" w14:textId="783DE16F" w:rsidR="00017141" w:rsidRPr="004F00BC" w:rsidRDefault="009B309E" w:rsidP="009B309E">
      <w:pPr>
        <w:spacing w:before="360" w:after="160" w:line="259" w:lineRule="auto"/>
        <w:rPr>
          <w:rFonts w:ascii="Times New Roman" w:eastAsia="Calibri" w:hAnsi="Times New Roman"/>
          <w:b/>
          <w:caps/>
          <w:sz w:val="24"/>
          <w:szCs w:val="22"/>
        </w:rPr>
      </w:pPr>
      <w:r w:rsidRPr="004F00BC">
        <w:rPr>
          <w:rFonts w:ascii="Times New Roman" w:eastAsia="Calibri" w:hAnsi="Times New Roman"/>
          <w:b/>
          <w:caps/>
          <w:sz w:val="24"/>
          <w:szCs w:val="22"/>
        </w:rPr>
        <w:t>Consultation</w:t>
      </w:r>
    </w:p>
    <w:p w14:paraId="2450A418" w14:textId="352D2F3F" w:rsidR="009B309E" w:rsidRPr="000A5FD0" w:rsidRDefault="00CB5CDA" w:rsidP="000A5FD0">
      <w:pPr>
        <w:pStyle w:val="ListParagraph"/>
        <w:numPr>
          <w:ilvl w:val="0"/>
          <w:numId w:val="49"/>
        </w:numPr>
        <w:spacing w:before="120" w:after="120" w:line="276" w:lineRule="auto"/>
        <w:contextualSpacing/>
        <w:rPr>
          <w:rFonts w:ascii="Times New Roman" w:eastAsia="Calibri" w:hAnsi="Times New Roman"/>
          <w:spacing w:val="5"/>
        </w:rPr>
      </w:pPr>
      <w:r w:rsidRPr="000A5FD0">
        <w:rPr>
          <w:rFonts w:ascii="Times New Roman" w:eastAsia="Calibri" w:hAnsi="Times New Roman"/>
          <w:spacing w:val="5"/>
        </w:rPr>
        <w:t xml:space="preserve">Draft </w:t>
      </w:r>
      <w:r w:rsidR="00533D6E">
        <w:rPr>
          <w:rFonts w:ascii="Times New Roman" w:eastAsia="Calibri" w:hAnsi="Times New Roman"/>
          <w:spacing w:val="5"/>
        </w:rPr>
        <w:t>amendments to the</w:t>
      </w:r>
      <w:r w:rsidR="00E83CBC">
        <w:rPr>
          <w:rFonts w:ascii="Times New Roman" w:eastAsia="Calibri" w:hAnsi="Times New Roman"/>
          <w:spacing w:val="5"/>
        </w:rPr>
        <w:t xml:space="preserve"> </w:t>
      </w:r>
      <w:r w:rsidRPr="000A5FD0">
        <w:rPr>
          <w:rFonts w:ascii="Times New Roman" w:eastAsia="Calibri" w:hAnsi="Times New Roman"/>
          <w:spacing w:val="5"/>
        </w:rPr>
        <w:t xml:space="preserve">AML/CTF Rules were circulated for comment to </w:t>
      </w:r>
      <w:r w:rsidR="000A5FD0" w:rsidRPr="000A5FD0">
        <w:rPr>
          <w:rFonts w:ascii="Times New Roman" w:eastAsia="Calibri" w:hAnsi="Times New Roman"/>
          <w:spacing w:val="5"/>
        </w:rPr>
        <w:t>Industry and Consumer Representative Groups</w:t>
      </w:r>
      <w:r w:rsidRPr="000A5FD0">
        <w:rPr>
          <w:rFonts w:ascii="Times New Roman" w:eastAsia="Calibri" w:hAnsi="Times New Roman"/>
          <w:spacing w:val="5"/>
        </w:rPr>
        <w:t>.</w:t>
      </w:r>
    </w:p>
    <w:p w14:paraId="1BD50BEE" w14:textId="45F32D3F" w:rsidR="00017141" w:rsidRPr="00017141" w:rsidRDefault="009B309E" w:rsidP="009B309E">
      <w:pPr>
        <w:spacing w:before="360" w:after="160" w:line="259" w:lineRule="auto"/>
        <w:rPr>
          <w:rFonts w:ascii="Times New Roman" w:eastAsia="Calibri" w:hAnsi="Times New Roman"/>
          <w:b/>
          <w:caps/>
          <w:sz w:val="24"/>
          <w:szCs w:val="22"/>
        </w:rPr>
      </w:pPr>
      <w:r w:rsidRPr="004F00BC">
        <w:rPr>
          <w:rFonts w:ascii="Times New Roman" w:eastAsia="Calibri" w:hAnsi="Times New Roman"/>
          <w:b/>
          <w:caps/>
          <w:sz w:val="24"/>
          <w:szCs w:val="22"/>
        </w:rPr>
        <w:t xml:space="preserve">Regulation impact statement </w:t>
      </w:r>
    </w:p>
    <w:p w14:paraId="02122FAE" w14:textId="48C8DF06" w:rsidR="00A05511" w:rsidRPr="007037F4" w:rsidRDefault="00024783" w:rsidP="00024783">
      <w:pPr>
        <w:pStyle w:val="ListParagraph"/>
        <w:numPr>
          <w:ilvl w:val="0"/>
          <w:numId w:val="49"/>
        </w:numPr>
        <w:spacing w:before="120" w:after="120" w:line="276" w:lineRule="auto"/>
        <w:contextualSpacing/>
        <w:rPr>
          <w:rFonts w:ascii="Times New Roman" w:eastAsia="Calibri" w:hAnsi="Times New Roman"/>
          <w:spacing w:val="5"/>
        </w:rPr>
      </w:pPr>
      <w:r w:rsidRPr="007037F4">
        <w:rPr>
          <w:rFonts w:ascii="Times New Roman" w:eastAsia="Calibri" w:hAnsi="Times New Roman"/>
          <w:spacing w:val="5"/>
        </w:rPr>
        <w:t xml:space="preserve">The Office of Best Practice Regulation has advised that the proposed </w:t>
      </w:r>
      <w:r w:rsidR="0043131F">
        <w:rPr>
          <w:rFonts w:ascii="Times New Roman" w:eastAsia="Calibri" w:hAnsi="Times New Roman"/>
          <w:spacing w:val="5"/>
        </w:rPr>
        <w:t>amendment of</w:t>
      </w:r>
      <w:r w:rsidRPr="007037F4">
        <w:rPr>
          <w:rFonts w:ascii="Times New Roman" w:eastAsia="Calibri" w:hAnsi="Times New Roman"/>
          <w:spacing w:val="5"/>
        </w:rPr>
        <w:t xml:space="preserve"> </w:t>
      </w:r>
      <w:r w:rsidR="0043131F">
        <w:rPr>
          <w:rFonts w:ascii="Times New Roman" w:eastAsia="Calibri" w:hAnsi="Times New Roman"/>
          <w:spacing w:val="5"/>
        </w:rPr>
        <w:t>Part 4.15</w:t>
      </w:r>
      <w:r w:rsidRPr="007037F4">
        <w:rPr>
          <w:rFonts w:ascii="Times New Roman" w:eastAsia="Calibri" w:hAnsi="Times New Roman"/>
          <w:spacing w:val="5"/>
        </w:rPr>
        <w:t xml:space="preserve"> to the AML/CTF Rules is a </w:t>
      </w:r>
      <w:r w:rsidR="0043131F">
        <w:rPr>
          <w:rFonts w:ascii="Times New Roman" w:eastAsia="Calibri" w:hAnsi="Times New Roman"/>
          <w:spacing w:val="5"/>
        </w:rPr>
        <w:t>minor change</w:t>
      </w:r>
      <w:r w:rsidR="00E83CBC">
        <w:rPr>
          <w:rFonts w:ascii="Times New Roman" w:eastAsia="Calibri" w:hAnsi="Times New Roman"/>
          <w:spacing w:val="5"/>
        </w:rPr>
        <w:t xml:space="preserve"> and</w:t>
      </w:r>
      <w:r w:rsidRPr="007037F4">
        <w:rPr>
          <w:rFonts w:ascii="Times New Roman" w:eastAsia="Calibri" w:hAnsi="Times New Roman"/>
          <w:spacing w:val="5"/>
        </w:rPr>
        <w:t xml:space="preserve"> a </w:t>
      </w:r>
      <w:r w:rsidR="00A05511" w:rsidRPr="007037F4">
        <w:rPr>
          <w:rFonts w:ascii="Times New Roman" w:eastAsia="Calibri" w:hAnsi="Times New Roman"/>
          <w:spacing w:val="5"/>
        </w:rPr>
        <w:t xml:space="preserve">Regulatory Impact Statement was not required to be prepared. </w:t>
      </w:r>
    </w:p>
    <w:p w14:paraId="57377164" w14:textId="77777777" w:rsidR="00017141" w:rsidRPr="00017141" w:rsidRDefault="00017141" w:rsidP="00017141">
      <w:pPr>
        <w:spacing w:after="160" w:line="259" w:lineRule="auto"/>
        <w:rPr>
          <w:rFonts w:ascii="Times New Roman" w:eastAsia="Calibri" w:hAnsi="Times New Roman"/>
          <w:sz w:val="24"/>
          <w:szCs w:val="22"/>
        </w:rPr>
      </w:pPr>
    </w:p>
    <w:p w14:paraId="46C5B318" w14:textId="77777777" w:rsidR="009B309E" w:rsidRPr="009A29DA" w:rsidRDefault="009B309E" w:rsidP="009B309E">
      <w:pPr>
        <w:spacing w:after="160" w:line="360" w:lineRule="auto"/>
        <w:jc w:val="right"/>
        <w:rPr>
          <w:rFonts w:ascii="Times New Roman" w:eastAsia="Calibri" w:hAnsi="Times New Roman"/>
          <w:b/>
          <w:caps/>
          <w:sz w:val="24"/>
          <w:u w:val="single"/>
        </w:rPr>
      </w:pPr>
      <w:r>
        <w:rPr>
          <w:rFonts w:ascii="Times New Roman" w:eastAsia="Calibri" w:hAnsi="Times New Roman"/>
          <w:b/>
          <w:caps/>
          <w:sz w:val="24"/>
        </w:rPr>
        <w:br w:type="page"/>
      </w:r>
      <w:r w:rsidRPr="009A29DA">
        <w:rPr>
          <w:rFonts w:ascii="Times New Roman" w:eastAsia="Calibri" w:hAnsi="Times New Roman"/>
          <w:b/>
          <w:caps/>
          <w:sz w:val="24"/>
          <w:u w:val="single"/>
        </w:rPr>
        <w:lastRenderedPageBreak/>
        <w:t>ATTACHMENT A</w:t>
      </w:r>
    </w:p>
    <w:p w14:paraId="3DA72700" w14:textId="77777777" w:rsidR="00B04F55" w:rsidRDefault="00B04F55" w:rsidP="00B04F55">
      <w:pPr>
        <w:spacing w:before="240"/>
        <w:rPr>
          <w:rFonts w:ascii="Times New Roman" w:hAnsi="Times New Roman"/>
          <w:b/>
          <w:sz w:val="24"/>
        </w:rPr>
      </w:pPr>
    </w:p>
    <w:p w14:paraId="27035FD6" w14:textId="3293733B" w:rsidR="00B04F55" w:rsidRPr="00017141" w:rsidRDefault="00B04F55" w:rsidP="00B04F55">
      <w:pPr>
        <w:spacing w:before="240" w:after="160" w:line="259" w:lineRule="auto"/>
        <w:rPr>
          <w:rFonts w:ascii="Times New Roman" w:eastAsia="Calibri" w:hAnsi="Times New Roman"/>
          <w:b/>
          <w:i/>
          <w:sz w:val="24"/>
          <w:szCs w:val="22"/>
        </w:rPr>
      </w:pPr>
      <w:r w:rsidRPr="00017141">
        <w:rPr>
          <w:rFonts w:ascii="Times New Roman" w:eastAsia="Calibri" w:hAnsi="Times New Roman"/>
          <w:b/>
          <w:i/>
          <w:sz w:val="24"/>
          <w:szCs w:val="22"/>
        </w:rPr>
        <w:t>Anti-Money Laundering and Counter-Terrorism Financing Rules Amendment Instrument 20</w:t>
      </w:r>
      <w:r w:rsidR="005C28B5">
        <w:rPr>
          <w:rFonts w:ascii="Times New Roman" w:eastAsia="Calibri" w:hAnsi="Times New Roman"/>
          <w:b/>
          <w:i/>
          <w:sz w:val="24"/>
          <w:szCs w:val="22"/>
        </w:rPr>
        <w:t>20</w:t>
      </w:r>
      <w:r w:rsidRPr="00017141">
        <w:rPr>
          <w:rFonts w:ascii="Times New Roman" w:eastAsia="Calibri" w:hAnsi="Times New Roman"/>
          <w:b/>
          <w:i/>
          <w:sz w:val="24"/>
          <w:szCs w:val="22"/>
        </w:rPr>
        <w:t xml:space="preserve"> (No. </w:t>
      </w:r>
      <w:r w:rsidR="004B6EA9">
        <w:rPr>
          <w:rFonts w:ascii="Times New Roman" w:eastAsia="Calibri" w:hAnsi="Times New Roman"/>
          <w:b/>
          <w:i/>
          <w:sz w:val="24"/>
          <w:szCs w:val="22"/>
        </w:rPr>
        <w:t>3</w:t>
      </w:r>
      <w:r w:rsidRPr="00017141">
        <w:rPr>
          <w:rFonts w:ascii="Times New Roman" w:eastAsia="Calibri" w:hAnsi="Times New Roman"/>
          <w:b/>
          <w:i/>
          <w:sz w:val="24"/>
          <w:szCs w:val="22"/>
        </w:rPr>
        <w:t xml:space="preserve">) </w:t>
      </w:r>
    </w:p>
    <w:p w14:paraId="045A236D" w14:textId="77777777" w:rsidR="00B04F55" w:rsidRPr="00B04F55" w:rsidRDefault="00B04F55" w:rsidP="00B04F55">
      <w:pPr>
        <w:spacing w:before="240"/>
        <w:rPr>
          <w:rFonts w:ascii="Times New Roman" w:hAnsi="Times New Roman"/>
          <w:szCs w:val="22"/>
          <w:u w:val="single"/>
        </w:rPr>
      </w:pPr>
      <w:r w:rsidRPr="00B04F55">
        <w:rPr>
          <w:rFonts w:ascii="Times New Roman" w:hAnsi="Times New Roman"/>
          <w:szCs w:val="22"/>
          <w:u w:val="single"/>
        </w:rPr>
        <w:t>Section 1</w:t>
      </w:r>
    </w:p>
    <w:p w14:paraId="110DBB82" w14:textId="014FA7A4" w:rsidR="00B04F55" w:rsidRPr="00B04F55" w:rsidRDefault="00B04F55" w:rsidP="00B04F55">
      <w:pPr>
        <w:autoSpaceDE w:val="0"/>
        <w:autoSpaceDN w:val="0"/>
        <w:adjustRightInd w:val="0"/>
        <w:spacing w:before="240"/>
        <w:rPr>
          <w:rFonts w:ascii="Times New Roman" w:hAnsi="Times New Roman"/>
          <w:szCs w:val="22"/>
        </w:rPr>
      </w:pPr>
      <w:r w:rsidRPr="00B04F55">
        <w:rPr>
          <w:rFonts w:ascii="Times New Roman" w:hAnsi="Times New Roman"/>
          <w:szCs w:val="22"/>
        </w:rPr>
        <w:t xml:space="preserve">This section </w:t>
      </w:r>
      <w:r w:rsidR="00206C4A">
        <w:rPr>
          <w:rFonts w:ascii="Times New Roman" w:hAnsi="Times New Roman"/>
          <w:szCs w:val="22"/>
        </w:rPr>
        <w:t>provides that the name of the Instrument is</w:t>
      </w:r>
      <w:r w:rsidRPr="00B04F55">
        <w:rPr>
          <w:rFonts w:ascii="Times New Roman" w:hAnsi="Times New Roman"/>
          <w:szCs w:val="22"/>
        </w:rPr>
        <w:t xml:space="preserve"> the </w:t>
      </w:r>
      <w:r w:rsidRPr="00206C4A">
        <w:rPr>
          <w:rFonts w:ascii="Times New Roman" w:hAnsi="Times New Roman"/>
          <w:i/>
          <w:szCs w:val="22"/>
        </w:rPr>
        <w:t>Anti-Money Laundering and Counter-Terrorism Financing Rules Amendment Instrument 20</w:t>
      </w:r>
      <w:r w:rsidR="005C28B5">
        <w:rPr>
          <w:rFonts w:ascii="Times New Roman" w:hAnsi="Times New Roman"/>
          <w:i/>
          <w:szCs w:val="22"/>
        </w:rPr>
        <w:t>20</w:t>
      </w:r>
      <w:r w:rsidRPr="00206C4A">
        <w:rPr>
          <w:rFonts w:ascii="Times New Roman" w:hAnsi="Times New Roman"/>
          <w:i/>
          <w:szCs w:val="22"/>
        </w:rPr>
        <w:t xml:space="preserve"> (No. </w:t>
      </w:r>
      <w:r w:rsidR="00533D6E">
        <w:rPr>
          <w:rFonts w:ascii="Times New Roman" w:hAnsi="Times New Roman"/>
          <w:i/>
          <w:szCs w:val="22"/>
        </w:rPr>
        <w:t>3</w:t>
      </w:r>
      <w:r w:rsidRPr="00B04F55">
        <w:rPr>
          <w:rFonts w:ascii="Times New Roman" w:hAnsi="Times New Roman"/>
          <w:szCs w:val="22"/>
        </w:rPr>
        <w:t>).</w:t>
      </w:r>
    </w:p>
    <w:p w14:paraId="56DF1276" w14:textId="77777777" w:rsidR="00B04F55" w:rsidRPr="00B04F55" w:rsidRDefault="00B04F55" w:rsidP="00B04F55">
      <w:pPr>
        <w:spacing w:before="240"/>
        <w:rPr>
          <w:rFonts w:ascii="Times New Roman" w:hAnsi="Times New Roman"/>
          <w:szCs w:val="22"/>
          <w:u w:val="single"/>
        </w:rPr>
      </w:pPr>
      <w:r w:rsidRPr="00B04F55">
        <w:rPr>
          <w:rFonts w:ascii="Times New Roman" w:hAnsi="Times New Roman"/>
          <w:szCs w:val="22"/>
          <w:u w:val="single"/>
        </w:rPr>
        <w:t>Section 2</w:t>
      </w:r>
    </w:p>
    <w:p w14:paraId="0F7EB19E" w14:textId="77777777" w:rsidR="00206C4A" w:rsidRDefault="00B04F55" w:rsidP="00B04F55">
      <w:pPr>
        <w:autoSpaceDE w:val="0"/>
        <w:autoSpaceDN w:val="0"/>
        <w:adjustRightInd w:val="0"/>
        <w:spacing w:before="240"/>
        <w:rPr>
          <w:rFonts w:ascii="Times New Roman" w:hAnsi="Times New Roman"/>
          <w:szCs w:val="22"/>
        </w:rPr>
      </w:pPr>
      <w:r w:rsidRPr="00B04F55">
        <w:rPr>
          <w:rFonts w:ascii="Times New Roman" w:hAnsi="Times New Roman"/>
          <w:szCs w:val="22"/>
        </w:rPr>
        <w:t xml:space="preserve">This section </w:t>
      </w:r>
      <w:r w:rsidR="00206C4A">
        <w:rPr>
          <w:rFonts w:ascii="Times New Roman" w:hAnsi="Times New Roman"/>
          <w:szCs w:val="22"/>
        </w:rPr>
        <w:t xml:space="preserve">sets out the date on which the Instrument will commence. </w:t>
      </w:r>
    </w:p>
    <w:p w14:paraId="46D42776" w14:textId="27A49E88" w:rsidR="00B04F55" w:rsidRPr="00B04F55" w:rsidRDefault="00206C4A" w:rsidP="00B04F55">
      <w:pPr>
        <w:autoSpaceDE w:val="0"/>
        <w:autoSpaceDN w:val="0"/>
        <w:adjustRightInd w:val="0"/>
        <w:spacing w:before="240"/>
        <w:rPr>
          <w:rFonts w:ascii="Times New Roman" w:hAnsi="Times New Roman"/>
          <w:szCs w:val="22"/>
        </w:rPr>
      </w:pPr>
      <w:r>
        <w:rPr>
          <w:rFonts w:ascii="Times New Roman" w:hAnsi="Times New Roman"/>
          <w:szCs w:val="22"/>
        </w:rPr>
        <w:t>The Instrument</w:t>
      </w:r>
      <w:r w:rsidR="00B04F55" w:rsidRPr="00B04F55">
        <w:rPr>
          <w:rFonts w:ascii="Times New Roman" w:hAnsi="Times New Roman"/>
          <w:szCs w:val="22"/>
        </w:rPr>
        <w:t xml:space="preserve"> commences </w:t>
      </w:r>
      <w:r>
        <w:rPr>
          <w:rFonts w:ascii="Times New Roman" w:hAnsi="Times New Roman"/>
          <w:szCs w:val="22"/>
        </w:rPr>
        <w:t xml:space="preserve">on </w:t>
      </w:r>
      <w:r w:rsidR="00B04F55" w:rsidRPr="00B04F55">
        <w:rPr>
          <w:rFonts w:ascii="Times New Roman" w:hAnsi="Times New Roman"/>
          <w:szCs w:val="22"/>
        </w:rPr>
        <w:t xml:space="preserve">the day after </w:t>
      </w:r>
      <w:r>
        <w:rPr>
          <w:rFonts w:ascii="Times New Roman" w:hAnsi="Times New Roman"/>
          <w:szCs w:val="22"/>
        </w:rPr>
        <w:t>it is registered on the Federal Register of Legislation</w:t>
      </w:r>
      <w:r w:rsidR="00B04F55" w:rsidRPr="00B04F55">
        <w:rPr>
          <w:rFonts w:ascii="Times New Roman" w:hAnsi="Times New Roman"/>
          <w:szCs w:val="22"/>
        </w:rPr>
        <w:t>.</w:t>
      </w:r>
    </w:p>
    <w:p w14:paraId="53FAB79A" w14:textId="77777777" w:rsidR="00B04F55" w:rsidRPr="00B04F55" w:rsidRDefault="00B04F55" w:rsidP="00B04F55">
      <w:pPr>
        <w:spacing w:before="240"/>
        <w:rPr>
          <w:rFonts w:ascii="Times New Roman" w:hAnsi="Times New Roman"/>
          <w:szCs w:val="22"/>
          <w:u w:val="single"/>
        </w:rPr>
      </w:pPr>
      <w:r w:rsidRPr="00B04F55">
        <w:rPr>
          <w:rFonts w:ascii="Times New Roman" w:hAnsi="Times New Roman"/>
          <w:szCs w:val="22"/>
          <w:u w:val="single"/>
        </w:rPr>
        <w:t>Section 3</w:t>
      </w:r>
    </w:p>
    <w:p w14:paraId="546271B3" w14:textId="25F70C23" w:rsidR="00B04F55" w:rsidRPr="00B04F55" w:rsidRDefault="00B04F55" w:rsidP="00B04F55">
      <w:pPr>
        <w:autoSpaceDE w:val="0"/>
        <w:autoSpaceDN w:val="0"/>
        <w:adjustRightInd w:val="0"/>
        <w:spacing w:before="240"/>
        <w:rPr>
          <w:rFonts w:ascii="Times New Roman" w:hAnsi="Times New Roman"/>
          <w:szCs w:val="22"/>
        </w:rPr>
      </w:pPr>
      <w:r w:rsidRPr="00B04F55">
        <w:rPr>
          <w:rFonts w:ascii="Times New Roman" w:hAnsi="Times New Roman"/>
          <w:szCs w:val="22"/>
        </w:rPr>
        <w:t xml:space="preserve">This section </w:t>
      </w:r>
      <w:r w:rsidR="00206C4A">
        <w:rPr>
          <w:rFonts w:ascii="Times New Roman" w:hAnsi="Times New Roman"/>
          <w:szCs w:val="22"/>
        </w:rPr>
        <w:t>identifies the provision of the AML/CTF Act that authorises the making of the Instrument</w:t>
      </w:r>
      <w:r>
        <w:rPr>
          <w:rFonts w:ascii="Times New Roman" w:hAnsi="Times New Roman"/>
          <w:szCs w:val="22"/>
        </w:rPr>
        <w:t xml:space="preserve">. </w:t>
      </w:r>
    </w:p>
    <w:p w14:paraId="5FB0C94D" w14:textId="77777777" w:rsidR="00B04F55" w:rsidRPr="00B04F55" w:rsidRDefault="00B04F55" w:rsidP="00B04F55">
      <w:pPr>
        <w:autoSpaceDE w:val="0"/>
        <w:autoSpaceDN w:val="0"/>
        <w:adjustRightInd w:val="0"/>
        <w:spacing w:before="240"/>
        <w:rPr>
          <w:rFonts w:ascii="Times New Roman" w:hAnsi="Times New Roman"/>
          <w:szCs w:val="22"/>
          <w:u w:val="single"/>
        </w:rPr>
      </w:pPr>
      <w:r w:rsidRPr="00B04F55">
        <w:rPr>
          <w:rFonts w:ascii="Times New Roman" w:hAnsi="Times New Roman"/>
          <w:szCs w:val="22"/>
          <w:u w:val="single"/>
        </w:rPr>
        <w:t>Section 4</w:t>
      </w:r>
    </w:p>
    <w:p w14:paraId="4FDB3BAD" w14:textId="77777777" w:rsidR="00206C4A" w:rsidRPr="00206C4A" w:rsidRDefault="00206C4A" w:rsidP="00206C4A">
      <w:pPr>
        <w:autoSpaceDE w:val="0"/>
        <w:autoSpaceDN w:val="0"/>
        <w:adjustRightInd w:val="0"/>
        <w:spacing w:before="240"/>
        <w:rPr>
          <w:rFonts w:ascii="Times New Roman" w:hAnsi="Times New Roman"/>
          <w:szCs w:val="22"/>
        </w:rPr>
      </w:pPr>
      <w:r w:rsidRPr="00206C4A">
        <w:rPr>
          <w:rFonts w:ascii="Times New Roman" w:hAnsi="Times New Roman"/>
          <w:szCs w:val="22"/>
        </w:rPr>
        <w:t>This section provides that the instrument that is specified in Schedule 1 is amended as set out in the applicable items in that Schedule.</w:t>
      </w:r>
    </w:p>
    <w:p w14:paraId="0738D6B6" w14:textId="0A44AA4A" w:rsidR="00B04F55" w:rsidRDefault="00B04F55" w:rsidP="00B04F55">
      <w:pPr>
        <w:spacing w:before="240"/>
        <w:rPr>
          <w:rFonts w:ascii="Times New Roman" w:hAnsi="Times New Roman"/>
          <w:b/>
          <w:szCs w:val="22"/>
        </w:rPr>
      </w:pPr>
      <w:r w:rsidRPr="00B04F55">
        <w:rPr>
          <w:rFonts w:ascii="Times New Roman" w:hAnsi="Times New Roman"/>
          <w:b/>
          <w:szCs w:val="22"/>
        </w:rPr>
        <w:t>Schedule 1</w:t>
      </w:r>
      <w:r>
        <w:rPr>
          <w:rFonts w:ascii="Times New Roman" w:hAnsi="Times New Roman"/>
          <w:b/>
          <w:szCs w:val="22"/>
        </w:rPr>
        <w:t>—Amendments</w:t>
      </w:r>
    </w:p>
    <w:p w14:paraId="07457E47" w14:textId="62E3518E" w:rsidR="00206C4A" w:rsidRPr="00B04F55" w:rsidRDefault="00206C4A" w:rsidP="00B04F55">
      <w:pPr>
        <w:spacing w:before="240"/>
        <w:rPr>
          <w:rFonts w:ascii="Times New Roman" w:hAnsi="Times New Roman"/>
          <w:b/>
          <w:szCs w:val="22"/>
        </w:rPr>
      </w:pPr>
      <w:r w:rsidRPr="00B04F55">
        <w:rPr>
          <w:rFonts w:ascii="Times New Roman" w:hAnsi="Times New Roman"/>
          <w:i/>
          <w:szCs w:val="22"/>
        </w:rPr>
        <w:t>Anti-Money Laundering and Counter-Terrorism Financing Rules Instrument 2007 (No. 1</w:t>
      </w:r>
      <w:r w:rsidR="005C28B5">
        <w:rPr>
          <w:rFonts w:ascii="Times New Roman" w:hAnsi="Times New Roman"/>
          <w:i/>
          <w:szCs w:val="22"/>
        </w:rPr>
        <w:t>)</w:t>
      </w:r>
    </w:p>
    <w:p w14:paraId="31A4E642" w14:textId="77777777" w:rsidR="00B04F55" w:rsidRPr="00B04F55" w:rsidRDefault="00B04F55" w:rsidP="00B04F55">
      <w:pPr>
        <w:keepNext/>
        <w:spacing w:before="240"/>
        <w:rPr>
          <w:rFonts w:ascii="Times New Roman" w:hAnsi="Times New Roman"/>
          <w:b/>
          <w:szCs w:val="22"/>
        </w:rPr>
      </w:pPr>
      <w:r w:rsidRPr="00B04F55">
        <w:rPr>
          <w:rFonts w:ascii="Times New Roman" w:hAnsi="Times New Roman"/>
          <w:b/>
          <w:szCs w:val="22"/>
        </w:rPr>
        <w:t>Notes on items</w:t>
      </w:r>
    </w:p>
    <w:p w14:paraId="206814C7" w14:textId="77777777" w:rsidR="00B04F55" w:rsidRPr="00B04F55" w:rsidRDefault="00B04F55" w:rsidP="00B04F55">
      <w:pPr>
        <w:keepNext/>
        <w:spacing w:before="240"/>
        <w:rPr>
          <w:rFonts w:ascii="Times New Roman" w:hAnsi="Times New Roman"/>
          <w:szCs w:val="22"/>
          <w:u w:val="single"/>
        </w:rPr>
      </w:pPr>
      <w:r w:rsidRPr="00B04F55">
        <w:rPr>
          <w:rFonts w:ascii="Times New Roman" w:hAnsi="Times New Roman"/>
          <w:szCs w:val="22"/>
          <w:u w:val="single"/>
        </w:rPr>
        <w:t>Item 1</w:t>
      </w:r>
    </w:p>
    <w:p w14:paraId="53F1E365" w14:textId="07A64591" w:rsidR="00B04F55" w:rsidRPr="00B04F55" w:rsidRDefault="00B04F55" w:rsidP="00206C4A">
      <w:pPr>
        <w:autoSpaceDE w:val="0"/>
        <w:autoSpaceDN w:val="0"/>
        <w:adjustRightInd w:val="0"/>
        <w:spacing w:before="240"/>
        <w:rPr>
          <w:rFonts w:ascii="Times New Roman" w:hAnsi="Times New Roman"/>
          <w:szCs w:val="22"/>
        </w:rPr>
      </w:pPr>
      <w:r w:rsidRPr="00B04F55">
        <w:rPr>
          <w:rFonts w:ascii="Times New Roman" w:hAnsi="Times New Roman"/>
          <w:szCs w:val="22"/>
        </w:rPr>
        <w:t xml:space="preserve">This item </w:t>
      </w:r>
      <w:r w:rsidR="00C7796F">
        <w:rPr>
          <w:rFonts w:ascii="Times New Roman" w:hAnsi="Times New Roman"/>
          <w:szCs w:val="22"/>
        </w:rPr>
        <w:t>repeals and replaces Part 4.15</w:t>
      </w:r>
      <w:r w:rsidR="00206C4A">
        <w:rPr>
          <w:rFonts w:ascii="Times New Roman" w:hAnsi="Times New Roman"/>
          <w:szCs w:val="22"/>
        </w:rPr>
        <w:t xml:space="preserve"> </w:t>
      </w:r>
      <w:r w:rsidR="005C28B5">
        <w:rPr>
          <w:rFonts w:ascii="Times New Roman" w:hAnsi="Times New Roman"/>
          <w:szCs w:val="22"/>
        </w:rPr>
        <w:t>to</w:t>
      </w:r>
      <w:r w:rsidR="00206C4A">
        <w:rPr>
          <w:rFonts w:ascii="Times New Roman" w:hAnsi="Times New Roman"/>
          <w:szCs w:val="22"/>
        </w:rPr>
        <w:t xml:space="preserve"> the </w:t>
      </w:r>
      <w:r w:rsidR="00505BC9" w:rsidRPr="00505BC9">
        <w:rPr>
          <w:rFonts w:ascii="Times New Roman" w:hAnsi="Times New Roman"/>
          <w:i/>
          <w:szCs w:val="22"/>
        </w:rPr>
        <w:t>Anti-Money Laundering and Counter-Terrorism Financing Rules</w:t>
      </w:r>
      <w:r w:rsidRPr="00B04F55">
        <w:rPr>
          <w:rFonts w:ascii="Times New Roman" w:hAnsi="Times New Roman"/>
          <w:szCs w:val="22"/>
        </w:rPr>
        <w:t>.</w:t>
      </w:r>
    </w:p>
    <w:p w14:paraId="03A7BCAB" w14:textId="77777777" w:rsidR="009B309E" w:rsidRDefault="009B309E" w:rsidP="00017141">
      <w:pPr>
        <w:spacing w:after="160" w:line="360" w:lineRule="auto"/>
        <w:rPr>
          <w:rFonts w:ascii="Times New Roman" w:eastAsia="Calibri" w:hAnsi="Times New Roman"/>
          <w:b/>
          <w:caps/>
          <w:sz w:val="24"/>
        </w:rPr>
      </w:pPr>
    </w:p>
    <w:p w14:paraId="1C4487B8" w14:textId="033F0936" w:rsidR="009B309E" w:rsidRPr="009A29DA" w:rsidRDefault="009B309E" w:rsidP="009B309E">
      <w:pPr>
        <w:spacing w:after="160" w:line="360" w:lineRule="auto"/>
        <w:jc w:val="right"/>
        <w:rPr>
          <w:rFonts w:ascii="Times New Roman" w:eastAsia="Calibri" w:hAnsi="Times New Roman"/>
          <w:b/>
          <w:caps/>
          <w:sz w:val="24"/>
          <w:u w:val="single"/>
        </w:rPr>
      </w:pPr>
      <w:r>
        <w:rPr>
          <w:rFonts w:ascii="Times New Roman" w:eastAsia="Calibri" w:hAnsi="Times New Roman"/>
          <w:b/>
          <w:caps/>
          <w:sz w:val="24"/>
        </w:rPr>
        <w:br w:type="page"/>
      </w:r>
      <w:r w:rsidRPr="009A29DA">
        <w:rPr>
          <w:rFonts w:ascii="Times New Roman" w:eastAsia="Calibri" w:hAnsi="Times New Roman"/>
          <w:b/>
          <w:caps/>
          <w:sz w:val="24"/>
          <w:u w:val="single"/>
        </w:rPr>
        <w:lastRenderedPageBreak/>
        <w:t>ATTACHMENT B</w:t>
      </w:r>
    </w:p>
    <w:p w14:paraId="0C175FC9" w14:textId="77777777" w:rsidR="009B309E" w:rsidRDefault="009B309E" w:rsidP="009B309E">
      <w:pPr>
        <w:spacing w:after="160" w:line="360" w:lineRule="auto"/>
        <w:rPr>
          <w:rFonts w:ascii="Times New Roman" w:eastAsia="Calibri" w:hAnsi="Times New Roman"/>
          <w:b/>
          <w:caps/>
          <w:sz w:val="24"/>
        </w:rPr>
      </w:pPr>
    </w:p>
    <w:p w14:paraId="0505F18F" w14:textId="237A8E03" w:rsidR="00017141" w:rsidRPr="00017141" w:rsidRDefault="00017141" w:rsidP="00017141">
      <w:pPr>
        <w:spacing w:after="160" w:line="360" w:lineRule="auto"/>
        <w:rPr>
          <w:rFonts w:ascii="Times New Roman" w:eastAsia="Calibri" w:hAnsi="Times New Roman"/>
          <w:b/>
          <w:caps/>
          <w:sz w:val="24"/>
        </w:rPr>
      </w:pPr>
      <w:r w:rsidRPr="00017141">
        <w:rPr>
          <w:rFonts w:ascii="Times New Roman" w:eastAsia="Calibri" w:hAnsi="Times New Roman"/>
          <w:b/>
          <w:caps/>
          <w:sz w:val="24"/>
        </w:rPr>
        <w:t>Statement of Compatibility with Human Rights</w:t>
      </w:r>
    </w:p>
    <w:p w14:paraId="5010A176" w14:textId="77777777" w:rsidR="00017141" w:rsidRPr="00017141" w:rsidRDefault="00017141" w:rsidP="00017141">
      <w:pPr>
        <w:spacing w:after="160" w:line="360" w:lineRule="auto"/>
        <w:rPr>
          <w:rFonts w:ascii="Times New Roman" w:eastAsia="Calibri" w:hAnsi="Times New Roman"/>
          <w:szCs w:val="22"/>
        </w:rPr>
      </w:pPr>
      <w:r w:rsidRPr="00017141">
        <w:rPr>
          <w:rFonts w:ascii="Times New Roman" w:eastAsia="Calibri" w:hAnsi="Times New Roman"/>
          <w:i/>
          <w:iCs/>
          <w:szCs w:val="22"/>
        </w:rPr>
        <w:t>Prepared in accordance with Part 3 of the Human Rights (Parliamentary Scrutiny) Act 2011</w:t>
      </w:r>
    </w:p>
    <w:p w14:paraId="290F13A5" w14:textId="77777777" w:rsidR="00017141" w:rsidRPr="00017141" w:rsidRDefault="00017141" w:rsidP="00017141">
      <w:pPr>
        <w:spacing w:after="160" w:line="360" w:lineRule="auto"/>
        <w:rPr>
          <w:rFonts w:ascii="Times New Roman" w:eastAsia="Calibri" w:hAnsi="Times New Roman"/>
          <w:b/>
          <w:i/>
          <w:szCs w:val="22"/>
        </w:rPr>
      </w:pPr>
      <w:r w:rsidRPr="00017141">
        <w:rPr>
          <w:rFonts w:ascii="Times New Roman" w:eastAsia="Calibri" w:hAnsi="Times New Roman"/>
          <w:b/>
          <w:i/>
          <w:szCs w:val="22"/>
        </w:rPr>
        <w:t xml:space="preserve">Australian Human Rights Commission Regulations 2019 </w:t>
      </w:r>
    </w:p>
    <w:p w14:paraId="42716A5F" w14:textId="77777777" w:rsidR="00017141" w:rsidRPr="00017141" w:rsidRDefault="00017141" w:rsidP="00017141">
      <w:pPr>
        <w:spacing w:after="160" w:line="259" w:lineRule="auto"/>
        <w:rPr>
          <w:rFonts w:ascii="Times New Roman" w:eastAsia="Calibri" w:hAnsi="Times New Roman"/>
          <w:szCs w:val="22"/>
        </w:rPr>
      </w:pPr>
      <w:r w:rsidRPr="00017141">
        <w:rPr>
          <w:rFonts w:ascii="Times New Roman" w:eastAsia="Calibri" w:hAnsi="Times New Roman"/>
          <w:szCs w:val="22"/>
        </w:rPr>
        <w:t xml:space="preserve">This Disallowable Legislative Instrument is compatible with the human rights and freedoms recognised or declared in the international instruments listed in section 3 of the </w:t>
      </w:r>
      <w:r w:rsidRPr="00017141">
        <w:rPr>
          <w:rFonts w:ascii="Times New Roman" w:eastAsia="Calibri" w:hAnsi="Times New Roman"/>
          <w:i/>
          <w:szCs w:val="22"/>
        </w:rPr>
        <w:t>Human Rights (Parliamentary Scrutiny) Act 2011</w:t>
      </w:r>
      <w:r w:rsidRPr="00017141">
        <w:rPr>
          <w:rFonts w:ascii="Times New Roman" w:eastAsia="Calibri" w:hAnsi="Times New Roman"/>
          <w:szCs w:val="22"/>
        </w:rPr>
        <w:t>.</w:t>
      </w:r>
    </w:p>
    <w:p w14:paraId="140A98A7" w14:textId="22BA9306" w:rsidR="00017141" w:rsidRDefault="00017141" w:rsidP="00017141">
      <w:pPr>
        <w:spacing w:after="160" w:line="360" w:lineRule="auto"/>
        <w:rPr>
          <w:rFonts w:ascii="Times New Roman" w:eastAsia="Calibri" w:hAnsi="Times New Roman"/>
          <w:b/>
          <w:szCs w:val="22"/>
        </w:rPr>
      </w:pPr>
      <w:r w:rsidRPr="00017141">
        <w:rPr>
          <w:rFonts w:ascii="Times New Roman" w:eastAsia="Calibri" w:hAnsi="Times New Roman"/>
          <w:b/>
          <w:szCs w:val="22"/>
        </w:rPr>
        <w:t>Overview of the Disallowable Legislative Instrument</w:t>
      </w:r>
    </w:p>
    <w:p w14:paraId="4D9E3C38" w14:textId="48FE4CF7" w:rsidR="007037F4" w:rsidRPr="007037F4" w:rsidRDefault="007037F4" w:rsidP="007037F4">
      <w:pPr>
        <w:spacing w:after="160" w:line="259" w:lineRule="auto"/>
        <w:rPr>
          <w:rFonts w:ascii="Times New Roman" w:eastAsia="Calibri" w:hAnsi="Times New Roman"/>
          <w:szCs w:val="22"/>
        </w:rPr>
      </w:pPr>
      <w:r w:rsidRPr="00DB1C01">
        <w:rPr>
          <w:rFonts w:ascii="Times New Roman" w:eastAsia="Calibri" w:hAnsi="Times New Roman"/>
          <w:szCs w:val="22"/>
        </w:rPr>
        <w:t xml:space="preserve">The Instrument </w:t>
      </w:r>
      <w:r w:rsidR="00DB1C01">
        <w:rPr>
          <w:rFonts w:ascii="Times New Roman" w:eastAsia="Calibri" w:hAnsi="Times New Roman"/>
        </w:rPr>
        <w:t>amends the headnote to</w:t>
      </w:r>
      <w:r w:rsidR="00DB1C01" w:rsidRPr="00B57A58">
        <w:rPr>
          <w:rFonts w:ascii="Times New Roman" w:eastAsia="Calibri" w:hAnsi="Times New Roman"/>
        </w:rPr>
        <w:t xml:space="preserve"> </w:t>
      </w:r>
      <w:r w:rsidR="00DB1C01">
        <w:rPr>
          <w:rFonts w:ascii="Times New Roman" w:eastAsia="Calibri" w:hAnsi="Times New Roman"/>
        </w:rPr>
        <w:t>Part 4.15</w:t>
      </w:r>
      <w:r w:rsidR="00DB1C01" w:rsidRPr="00B57A58">
        <w:rPr>
          <w:rFonts w:ascii="Times New Roman" w:eastAsia="Calibri" w:hAnsi="Times New Roman"/>
        </w:rPr>
        <w:t xml:space="preserve"> </w:t>
      </w:r>
      <w:r w:rsidR="00DB1C01">
        <w:rPr>
          <w:rFonts w:ascii="Times New Roman" w:eastAsia="Calibri" w:hAnsi="Times New Roman"/>
        </w:rPr>
        <w:t xml:space="preserve">of the </w:t>
      </w:r>
      <w:r w:rsidR="00DB1C01" w:rsidRPr="00DB1C01">
        <w:rPr>
          <w:rFonts w:ascii="Times New Roman" w:eastAsia="Calibri" w:hAnsi="Times New Roman"/>
          <w:i/>
        </w:rPr>
        <w:t xml:space="preserve">Anti-Money Laundering and Counter-Terrorism Financing Rules Instrument 2007 </w:t>
      </w:r>
      <w:r w:rsidR="00DB1C01">
        <w:rPr>
          <w:rFonts w:ascii="Times New Roman" w:eastAsia="Calibri" w:hAnsi="Times New Roman"/>
        </w:rPr>
        <w:t>to clarify</w:t>
      </w:r>
      <w:r w:rsidR="00DB1C01" w:rsidRPr="00B57A58">
        <w:rPr>
          <w:rFonts w:ascii="Times New Roman" w:eastAsia="Calibri" w:hAnsi="Times New Roman"/>
        </w:rPr>
        <w:t xml:space="preserve"> that a reporting entity can use the processes described in Part 4.15 </w:t>
      </w:r>
      <w:r w:rsidR="00DB1C01">
        <w:rPr>
          <w:rFonts w:ascii="Times New Roman" w:eastAsia="Calibri" w:hAnsi="Times New Roman"/>
        </w:rPr>
        <w:t xml:space="preserve">to carry out the applicable customer identification procedure </w:t>
      </w:r>
      <w:r w:rsidR="00DB1C01" w:rsidRPr="00B57A58">
        <w:rPr>
          <w:rFonts w:ascii="Times New Roman" w:eastAsia="Calibri" w:hAnsi="Times New Roman"/>
        </w:rPr>
        <w:t xml:space="preserve">when their customer is experiencing or has experienced </w:t>
      </w:r>
      <w:r w:rsidR="00085E1A" w:rsidRPr="001521A8">
        <w:rPr>
          <w:rFonts w:ascii="Times New Roman" w:hAnsi="Times New Roman"/>
          <w:szCs w:val="22"/>
        </w:rPr>
        <w:t xml:space="preserve">family and domestic violence </w:t>
      </w:r>
      <w:r w:rsidR="00085E1A">
        <w:rPr>
          <w:rFonts w:ascii="Times New Roman" w:hAnsi="Times New Roman"/>
          <w:szCs w:val="22"/>
        </w:rPr>
        <w:t>(</w:t>
      </w:r>
      <w:r w:rsidR="00DB1C01" w:rsidRPr="00B57A58">
        <w:rPr>
          <w:rFonts w:ascii="Times New Roman" w:eastAsia="Calibri" w:hAnsi="Times New Roman"/>
        </w:rPr>
        <w:t>FDV</w:t>
      </w:r>
      <w:r w:rsidR="00085E1A">
        <w:rPr>
          <w:rFonts w:ascii="Times New Roman" w:eastAsia="Calibri" w:hAnsi="Times New Roman"/>
        </w:rPr>
        <w:t>)</w:t>
      </w:r>
      <w:r w:rsidRPr="00085E1A">
        <w:rPr>
          <w:rFonts w:ascii="Times New Roman" w:eastAsia="Calibri" w:hAnsi="Times New Roman"/>
          <w:szCs w:val="22"/>
        </w:rPr>
        <w:t>.</w:t>
      </w:r>
    </w:p>
    <w:p w14:paraId="639EAE6C" w14:textId="77777777" w:rsidR="009B309E" w:rsidRPr="009B309E" w:rsidRDefault="009B309E" w:rsidP="009B309E">
      <w:pPr>
        <w:keepNext/>
        <w:spacing w:before="240"/>
        <w:rPr>
          <w:rFonts w:ascii="Times New Roman" w:hAnsi="Times New Roman"/>
          <w:b/>
          <w:szCs w:val="22"/>
        </w:rPr>
      </w:pPr>
      <w:r w:rsidRPr="009B309E">
        <w:rPr>
          <w:rFonts w:ascii="Times New Roman" w:hAnsi="Times New Roman"/>
          <w:b/>
          <w:szCs w:val="22"/>
        </w:rPr>
        <w:t>Human rights implications</w:t>
      </w:r>
    </w:p>
    <w:p w14:paraId="19ADEFE0" w14:textId="77777777" w:rsidR="00C34C45" w:rsidRPr="00C34C45" w:rsidRDefault="00C34C45" w:rsidP="00C34C45">
      <w:pPr>
        <w:keepNext/>
        <w:spacing w:before="240"/>
        <w:rPr>
          <w:rFonts w:ascii="Times New Roman" w:hAnsi="Times New Roman"/>
          <w:szCs w:val="22"/>
        </w:rPr>
      </w:pPr>
      <w:r w:rsidRPr="00C34C45">
        <w:rPr>
          <w:rFonts w:ascii="Times New Roman" w:hAnsi="Times New Roman"/>
          <w:szCs w:val="22"/>
        </w:rPr>
        <w:t xml:space="preserve">The </w:t>
      </w:r>
      <w:r w:rsidRPr="00C34C45">
        <w:rPr>
          <w:rFonts w:ascii="Times New Roman" w:hAnsi="Times New Roman"/>
          <w:i/>
          <w:szCs w:val="22"/>
        </w:rPr>
        <w:t>Human Rights (Parliamentary Scrutiny) Act 2011</w:t>
      </w:r>
      <w:r w:rsidRPr="00C34C45">
        <w:rPr>
          <w:rFonts w:ascii="Times New Roman" w:hAnsi="Times New Roman"/>
          <w:szCs w:val="22"/>
        </w:rPr>
        <w:t xml:space="preserve"> requires that Statements of Compatibility must be made by the rule-maker with regard to disallowable legislative instruments, and must contain an assessment of whether the legislative instrument is compatible with the rights and freedoms recognised in the seven core international human rights treaties that Australia has ratified.</w:t>
      </w:r>
    </w:p>
    <w:p w14:paraId="5271EDCA" w14:textId="01FCD532" w:rsidR="001521A8" w:rsidRPr="001521A8" w:rsidRDefault="001521A8" w:rsidP="001521A8">
      <w:pPr>
        <w:keepNext/>
        <w:spacing w:before="240"/>
        <w:rPr>
          <w:rFonts w:ascii="Times New Roman" w:hAnsi="Times New Roman"/>
          <w:szCs w:val="22"/>
        </w:rPr>
      </w:pPr>
      <w:r w:rsidRPr="001521A8">
        <w:rPr>
          <w:rFonts w:ascii="Times New Roman" w:hAnsi="Times New Roman"/>
          <w:szCs w:val="22"/>
        </w:rPr>
        <w:t xml:space="preserve">The </w:t>
      </w:r>
      <w:r>
        <w:rPr>
          <w:rFonts w:ascii="Times New Roman" w:hAnsi="Times New Roman"/>
          <w:szCs w:val="22"/>
        </w:rPr>
        <w:t>Instrument</w:t>
      </w:r>
      <w:r w:rsidRPr="001521A8">
        <w:rPr>
          <w:rFonts w:ascii="Times New Roman" w:hAnsi="Times New Roman"/>
          <w:szCs w:val="22"/>
        </w:rPr>
        <w:t xml:space="preserve"> engage</w:t>
      </w:r>
      <w:r>
        <w:rPr>
          <w:rFonts w:ascii="Times New Roman" w:hAnsi="Times New Roman"/>
          <w:szCs w:val="22"/>
        </w:rPr>
        <w:t>s</w:t>
      </w:r>
      <w:r w:rsidRPr="001521A8">
        <w:rPr>
          <w:rFonts w:ascii="Times New Roman" w:hAnsi="Times New Roman"/>
          <w:szCs w:val="22"/>
        </w:rPr>
        <w:t xml:space="preserve"> the following human rights and freedoms which require countries to take measures to protect persons from exploitation, violence and abuse:</w:t>
      </w:r>
    </w:p>
    <w:p w14:paraId="0D1B997C" w14:textId="77777777" w:rsidR="001521A8" w:rsidRPr="001521A8" w:rsidRDefault="001521A8" w:rsidP="001521A8">
      <w:pPr>
        <w:keepNext/>
        <w:spacing w:before="240"/>
        <w:ind w:left="720" w:hanging="720"/>
        <w:rPr>
          <w:rFonts w:ascii="Times New Roman" w:hAnsi="Times New Roman"/>
          <w:szCs w:val="22"/>
        </w:rPr>
      </w:pPr>
      <w:r w:rsidRPr="001521A8">
        <w:rPr>
          <w:rFonts w:ascii="Times New Roman" w:hAnsi="Times New Roman"/>
          <w:szCs w:val="22"/>
        </w:rPr>
        <w:t>•</w:t>
      </w:r>
      <w:r w:rsidRPr="001521A8">
        <w:rPr>
          <w:rFonts w:ascii="Times New Roman" w:hAnsi="Times New Roman"/>
          <w:szCs w:val="22"/>
        </w:rPr>
        <w:tab/>
        <w:t>Article 2 of the Convention on the Elimination of All Forms of Discrimination against Women (CEDAW)</w:t>
      </w:r>
    </w:p>
    <w:p w14:paraId="76DBD008" w14:textId="77777777" w:rsidR="001521A8" w:rsidRPr="001521A8" w:rsidRDefault="001521A8" w:rsidP="001521A8">
      <w:pPr>
        <w:keepNext/>
        <w:spacing w:before="240"/>
        <w:rPr>
          <w:rFonts w:ascii="Times New Roman" w:hAnsi="Times New Roman"/>
          <w:szCs w:val="22"/>
        </w:rPr>
      </w:pPr>
      <w:r w:rsidRPr="001521A8">
        <w:rPr>
          <w:rFonts w:ascii="Times New Roman" w:hAnsi="Times New Roman"/>
          <w:szCs w:val="22"/>
        </w:rPr>
        <w:t>•</w:t>
      </w:r>
      <w:r w:rsidRPr="001521A8">
        <w:rPr>
          <w:rFonts w:ascii="Times New Roman" w:hAnsi="Times New Roman"/>
          <w:szCs w:val="22"/>
        </w:rPr>
        <w:tab/>
        <w:t>Article 13 of the CEDAW, and</w:t>
      </w:r>
    </w:p>
    <w:p w14:paraId="69C8C6A1" w14:textId="77777777" w:rsidR="001521A8" w:rsidRPr="001521A8" w:rsidRDefault="001521A8" w:rsidP="001521A8">
      <w:pPr>
        <w:keepNext/>
        <w:spacing w:before="240"/>
        <w:rPr>
          <w:rFonts w:ascii="Times New Roman" w:hAnsi="Times New Roman"/>
          <w:szCs w:val="22"/>
        </w:rPr>
      </w:pPr>
      <w:r w:rsidRPr="001521A8">
        <w:rPr>
          <w:rFonts w:ascii="Times New Roman" w:hAnsi="Times New Roman"/>
          <w:szCs w:val="22"/>
        </w:rPr>
        <w:t>•</w:t>
      </w:r>
      <w:r w:rsidRPr="001521A8">
        <w:rPr>
          <w:rFonts w:ascii="Times New Roman" w:hAnsi="Times New Roman"/>
          <w:szCs w:val="22"/>
        </w:rPr>
        <w:tab/>
        <w:t>Article 19 of the Convention on Rights of a Child (CROC).</w:t>
      </w:r>
    </w:p>
    <w:p w14:paraId="5678F4EA" w14:textId="3A109374" w:rsidR="001521A8" w:rsidRPr="001521A8" w:rsidRDefault="001521A8" w:rsidP="001521A8">
      <w:pPr>
        <w:keepNext/>
        <w:spacing w:before="240"/>
        <w:rPr>
          <w:rFonts w:ascii="Times New Roman" w:hAnsi="Times New Roman"/>
          <w:szCs w:val="22"/>
        </w:rPr>
      </w:pPr>
      <w:r w:rsidRPr="001521A8">
        <w:rPr>
          <w:rFonts w:ascii="Times New Roman" w:hAnsi="Times New Roman"/>
          <w:szCs w:val="22"/>
        </w:rPr>
        <w:t xml:space="preserve">Article 2 of CEDAW provides that parties agree to pursue the elimination of discrimination against women, including by introducing new laws or policies, changing existing discriminatory laws and providing sanctions for discrimination where appropriate. The </w:t>
      </w:r>
      <w:r w:rsidR="00E36264">
        <w:rPr>
          <w:rFonts w:ascii="Times New Roman" w:hAnsi="Times New Roman"/>
          <w:szCs w:val="22"/>
        </w:rPr>
        <w:t>Instrument</w:t>
      </w:r>
      <w:r w:rsidRPr="001521A8">
        <w:rPr>
          <w:rFonts w:ascii="Times New Roman" w:hAnsi="Times New Roman"/>
          <w:szCs w:val="22"/>
        </w:rPr>
        <w:t xml:space="preserve"> will support victims of (FDV) establish financial independence which will in turn address the impacts on women of gender-based violence.</w:t>
      </w:r>
    </w:p>
    <w:p w14:paraId="79589A75" w14:textId="5A29E242" w:rsidR="001521A8" w:rsidRPr="001521A8" w:rsidRDefault="001521A8" w:rsidP="001521A8">
      <w:pPr>
        <w:keepNext/>
        <w:spacing w:before="240"/>
        <w:rPr>
          <w:rFonts w:ascii="Times New Roman" w:hAnsi="Times New Roman"/>
          <w:szCs w:val="22"/>
        </w:rPr>
      </w:pPr>
      <w:r w:rsidRPr="001521A8">
        <w:rPr>
          <w:rFonts w:ascii="Times New Roman" w:hAnsi="Times New Roman"/>
          <w:szCs w:val="22"/>
        </w:rPr>
        <w:t xml:space="preserve">Article 13 of the CEDAW provides that parties shall take all appropriate measures to eliminate discrimination against women in other areas of economic and social life in order to ensure, on a basis of equality of men and women, the same rights, in particular the right to bank loans, mortgages and other forms of financial credit. The </w:t>
      </w:r>
      <w:r w:rsidR="00E36264">
        <w:rPr>
          <w:rFonts w:ascii="Times New Roman" w:hAnsi="Times New Roman"/>
          <w:szCs w:val="22"/>
        </w:rPr>
        <w:t>Instrument</w:t>
      </w:r>
      <w:r w:rsidRPr="001521A8">
        <w:rPr>
          <w:rFonts w:ascii="Times New Roman" w:hAnsi="Times New Roman"/>
          <w:szCs w:val="22"/>
        </w:rPr>
        <w:t xml:space="preserve"> will assist victims of FDV overcome the challenges of opening a bank account and facilitate access to finance which will help eliminate discrimination against women in economic affairs.</w:t>
      </w:r>
    </w:p>
    <w:p w14:paraId="572A7875" w14:textId="199DC89A" w:rsidR="001521A8" w:rsidRDefault="001521A8" w:rsidP="001521A8">
      <w:pPr>
        <w:keepNext/>
        <w:spacing w:before="240"/>
        <w:rPr>
          <w:rFonts w:ascii="Times New Roman" w:hAnsi="Times New Roman"/>
          <w:szCs w:val="22"/>
        </w:rPr>
      </w:pPr>
      <w:r w:rsidRPr="001521A8">
        <w:rPr>
          <w:rFonts w:ascii="Times New Roman" w:hAnsi="Times New Roman"/>
          <w:szCs w:val="22"/>
        </w:rPr>
        <w:t xml:space="preserve">Article 19 of the CROC provides that parties shall take all appropriate legislative, administrative, social and educational measures to protect the child from all forms of physical </w:t>
      </w:r>
      <w:r w:rsidRPr="001521A8">
        <w:rPr>
          <w:rFonts w:ascii="Times New Roman" w:hAnsi="Times New Roman"/>
          <w:szCs w:val="22"/>
        </w:rPr>
        <w:lastRenderedPageBreak/>
        <w:t xml:space="preserve">or mental violence, injury or abuse, neglect or negligent treatment. The </w:t>
      </w:r>
      <w:r w:rsidR="00E36264">
        <w:rPr>
          <w:rFonts w:ascii="Times New Roman" w:hAnsi="Times New Roman"/>
          <w:szCs w:val="22"/>
        </w:rPr>
        <w:t>Instrument</w:t>
      </w:r>
      <w:r w:rsidRPr="001521A8">
        <w:rPr>
          <w:rFonts w:ascii="Times New Roman" w:hAnsi="Times New Roman"/>
          <w:szCs w:val="22"/>
        </w:rPr>
        <w:t xml:space="preserve"> will assist child victims of FDV by facilitating an environment that is not financially-dependent on a violent parent or guardian.</w:t>
      </w:r>
    </w:p>
    <w:p w14:paraId="55256AED" w14:textId="7EBAF7B1" w:rsidR="00E83CBC" w:rsidRPr="001521A8" w:rsidRDefault="00E83CBC" w:rsidP="001521A8">
      <w:pPr>
        <w:keepNext/>
        <w:spacing w:before="240"/>
        <w:rPr>
          <w:rFonts w:ascii="Times New Roman" w:hAnsi="Times New Roman"/>
          <w:szCs w:val="22"/>
        </w:rPr>
      </w:pPr>
      <w:r>
        <w:rPr>
          <w:rFonts w:ascii="Times New Roman" w:hAnsi="Times New Roman"/>
          <w:szCs w:val="22"/>
        </w:rPr>
        <w:t xml:space="preserve">The Instrument is consistent with the right for a person not to be subjected to arbitrary or unlawful interference with his or her privacy under Article 17 of the </w:t>
      </w:r>
      <w:r w:rsidRPr="007D1A54">
        <w:rPr>
          <w:rFonts w:ascii="Times New Roman" w:hAnsi="Times New Roman"/>
          <w:i/>
          <w:szCs w:val="22"/>
        </w:rPr>
        <w:t>International Covenant Civil and Political Rights</w:t>
      </w:r>
      <w:r>
        <w:rPr>
          <w:rFonts w:ascii="Times New Roman" w:hAnsi="Times New Roman"/>
          <w:szCs w:val="22"/>
        </w:rPr>
        <w:t xml:space="preserve"> (ICCPR). Reporting entities that provide victims of FDV with access to financial services, such as a bank account, will be required to collect personal information in order to identify the customer and establish an account. This identification of the customer is an important part of a reporting entity’s customer due diligence obligations under the AML/CTF Act. W</w:t>
      </w:r>
      <w:r w:rsidRPr="007D1A54">
        <w:rPr>
          <w:rFonts w:ascii="Times New Roman" w:hAnsi="Times New Roman"/>
          <w:szCs w:val="22"/>
        </w:rPr>
        <w:t xml:space="preserve">hen handling </w:t>
      </w:r>
      <w:r>
        <w:rPr>
          <w:rFonts w:ascii="Times New Roman" w:hAnsi="Times New Roman"/>
          <w:szCs w:val="22"/>
        </w:rPr>
        <w:t xml:space="preserve">this </w:t>
      </w:r>
      <w:r w:rsidRPr="007D1A54">
        <w:rPr>
          <w:rFonts w:ascii="Times New Roman" w:hAnsi="Times New Roman"/>
          <w:szCs w:val="22"/>
        </w:rPr>
        <w:t>personal information collected purs</w:t>
      </w:r>
      <w:r>
        <w:rPr>
          <w:rFonts w:ascii="Times New Roman" w:hAnsi="Times New Roman"/>
          <w:szCs w:val="22"/>
        </w:rPr>
        <w:t>uant to these obligations, reporting entities</w:t>
      </w:r>
      <w:r>
        <w:rPr>
          <w:rFonts w:ascii="Times New Roman" w:hAnsi="Times New Roman"/>
          <w:i/>
          <w:szCs w:val="22"/>
        </w:rPr>
        <w:t xml:space="preserve"> </w:t>
      </w:r>
      <w:r>
        <w:rPr>
          <w:rFonts w:ascii="Times New Roman" w:hAnsi="Times New Roman"/>
          <w:szCs w:val="22"/>
        </w:rPr>
        <w:t>must</w:t>
      </w:r>
      <w:r w:rsidRPr="007D1A54">
        <w:rPr>
          <w:rFonts w:ascii="Times New Roman" w:hAnsi="Times New Roman"/>
          <w:szCs w:val="22"/>
        </w:rPr>
        <w:t xml:space="preserve"> comply with the </w:t>
      </w:r>
      <w:r w:rsidRPr="007D1A54">
        <w:rPr>
          <w:rFonts w:ascii="Times New Roman" w:hAnsi="Times New Roman"/>
          <w:i/>
          <w:iCs/>
          <w:szCs w:val="22"/>
        </w:rPr>
        <w:t>Privacy Act 1988</w:t>
      </w:r>
      <w:r>
        <w:rPr>
          <w:rFonts w:ascii="Times New Roman" w:hAnsi="Times New Roman"/>
          <w:i/>
          <w:iCs/>
          <w:szCs w:val="22"/>
        </w:rPr>
        <w:t>.</w:t>
      </w:r>
    </w:p>
    <w:p w14:paraId="77F53FEB" w14:textId="0E65B290" w:rsidR="009B309E" w:rsidRPr="009B309E" w:rsidRDefault="009B309E" w:rsidP="00C34C45">
      <w:pPr>
        <w:keepNext/>
        <w:spacing w:before="240"/>
        <w:rPr>
          <w:rFonts w:ascii="Times New Roman" w:hAnsi="Times New Roman"/>
          <w:b/>
          <w:szCs w:val="22"/>
        </w:rPr>
      </w:pPr>
      <w:r w:rsidRPr="009B309E">
        <w:rPr>
          <w:rFonts w:ascii="Times New Roman" w:hAnsi="Times New Roman"/>
          <w:b/>
          <w:szCs w:val="22"/>
        </w:rPr>
        <w:t>Conclusion</w:t>
      </w:r>
    </w:p>
    <w:p w14:paraId="16A21D33" w14:textId="1FE4A829" w:rsidR="009B309E" w:rsidRPr="009B309E" w:rsidRDefault="009B309E" w:rsidP="009B309E">
      <w:pPr>
        <w:spacing w:before="240"/>
        <w:rPr>
          <w:rFonts w:ascii="Times New Roman" w:hAnsi="Times New Roman"/>
          <w:szCs w:val="22"/>
        </w:rPr>
      </w:pPr>
      <w:r w:rsidRPr="009B309E">
        <w:rPr>
          <w:rFonts w:ascii="Times New Roman" w:hAnsi="Times New Roman"/>
          <w:szCs w:val="22"/>
        </w:rPr>
        <w:t xml:space="preserve">This </w:t>
      </w:r>
      <w:r w:rsidR="0048014C" w:rsidRPr="00017141">
        <w:rPr>
          <w:rFonts w:ascii="Times New Roman" w:eastAsia="Calibri" w:hAnsi="Times New Roman"/>
          <w:szCs w:val="22"/>
        </w:rPr>
        <w:t>Disallowable Legislative Instrument</w:t>
      </w:r>
      <w:r w:rsidR="0048014C">
        <w:rPr>
          <w:rFonts w:ascii="Times New Roman" w:eastAsia="Calibri" w:hAnsi="Times New Roman"/>
          <w:szCs w:val="22"/>
        </w:rPr>
        <w:t xml:space="preserve"> </w:t>
      </w:r>
      <w:r w:rsidR="004B37C0" w:rsidRPr="00C34C45">
        <w:rPr>
          <w:rFonts w:ascii="Times New Roman" w:hAnsi="Times New Roman"/>
          <w:szCs w:val="22"/>
        </w:rPr>
        <w:t>promote</w:t>
      </w:r>
      <w:r w:rsidR="004B37C0">
        <w:rPr>
          <w:rFonts w:ascii="Times New Roman" w:hAnsi="Times New Roman"/>
          <w:szCs w:val="22"/>
        </w:rPr>
        <w:t>s</w:t>
      </w:r>
      <w:r w:rsidR="004B37C0" w:rsidRPr="00C34C45">
        <w:rPr>
          <w:rFonts w:ascii="Times New Roman" w:hAnsi="Times New Roman"/>
          <w:szCs w:val="22"/>
        </w:rPr>
        <w:t xml:space="preserve"> the realisation</w:t>
      </w:r>
      <w:r w:rsidR="004B37C0">
        <w:rPr>
          <w:rFonts w:ascii="Times New Roman" w:hAnsi="Times New Roman"/>
          <w:szCs w:val="22"/>
        </w:rPr>
        <w:t xml:space="preserve"> of human rights, and as such, is </w:t>
      </w:r>
      <w:r w:rsidR="004B37C0" w:rsidRPr="00C34C45">
        <w:rPr>
          <w:rFonts w:ascii="Times New Roman" w:hAnsi="Times New Roman"/>
          <w:szCs w:val="22"/>
        </w:rPr>
        <w:t>compatible with them.</w:t>
      </w:r>
    </w:p>
    <w:p w14:paraId="6446E6B2" w14:textId="77777777" w:rsidR="009B309E" w:rsidRPr="009B309E" w:rsidRDefault="009B309E" w:rsidP="009B309E">
      <w:pPr>
        <w:spacing w:before="240"/>
        <w:rPr>
          <w:rFonts w:ascii="Times New Roman" w:hAnsi="Times New Roman"/>
          <w:szCs w:val="22"/>
        </w:rPr>
      </w:pPr>
    </w:p>
    <w:p w14:paraId="0F0D2B36" w14:textId="77777777" w:rsidR="009B309E" w:rsidRPr="009B309E" w:rsidRDefault="009B309E" w:rsidP="009B309E">
      <w:pPr>
        <w:rPr>
          <w:rFonts w:ascii="Times New Roman" w:hAnsi="Times New Roman"/>
          <w:szCs w:val="22"/>
        </w:rPr>
      </w:pPr>
      <w:r w:rsidRPr="009B309E">
        <w:rPr>
          <w:rFonts w:ascii="Times New Roman" w:hAnsi="Times New Roman"/>
          <w:szCs w:val="22"/>
        </w:rPr>
        <w:t>Nicole Rose PSM</w:t>
      </w:r>
    </w:p>
    <w:p w14:paraId="073F635A" w14:textId="77777777" w:rsidR="009B309E" w:rsidRPr="009B309E" w:rsidRDefault="009B309E" w:rsidP="009B309E">
      <w:pPr>
        <w:rPr>
          <w:rFonts w:ascii="Times New Roman" w:hAnsi="Times New Roman"/>
          <w:szCs w:val="22"/>
        </w:rPr>
      </w:pPr>
      <w:r w:rsidRPr="009B309E">
        <w:rPr>
          <w:rFonts w:ascii="Times New Roman" w:hAnsi="Times New Roman"/>
          <w:szCs w:val="22"/>
        </w:rPr>
        <w:t>Chief Executive Officer</w:t>
      </w:r>
    </w:p>
    <w:p w14:paraId="25D33808" w14:textId="77777777" w:rsidR="009B309E" w:rsidRPr="009B309E" w:rsidRDefault="009B309E" w:rsidP="009B309E">
      <w:pPr>
        <w:rPr>
          <w:rFonts w:ascii="Times New Roman" w:hAnsi="Times New Roman"/>
          <w:szCs w:val="22"/>
        </w:rPr>
      </w:pPr>
      <w:r w:rsidRPr="009B309E">
        <w:rPr>
          <w:rFonts w:ascii="Times New Roman" w:hAnsi="Times New Roman"/>
          <w:szCs w:val="22"/>
        </w:rPr>
        <w:t>Australian Transaction Reports and Analysis Centre</w:t>
      </w:r>
    </w:p>
    <w:sectPr w:rsidR="009B309E" w:rsidRPr="009B309E" w:rsidSect="007A53C1">
      <w:footerReference w:type="even" r:id="rId8"/>
      <w:footerReference w:type="default" r:id="rId9"/>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24C3B" w14:textId="77777777" w:rsidR="0072778B" w:rsidRDefault="0072778B">
      <w:r>
        <w:separator/>
      </w:r>
    </w:p>
  </w:endnote>
  <w:endnote w:type="continuationSeparator" w:id="0">
    <w:p w14:paraId="7637B6EA" w14:textId="77777777" w:rsidR="0072778B" w:rsidRDefault="0072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BEE1" w14:textId="77777777" w:rsidR="00860B5B" w:rsidRDefault="00860B5B" w:rsidP="003F25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4EB9ADF" w14:textId="77777777" w:rsidR="00860B5B" w:rsidRDefault="00860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D0745" w14:textId="1434A14A" w:rsidR="00860B5B" w:rsidRPr="007A53C1" w:rsidRDefault="00860B5B" w:rsidP="003F250A">
    <w:pPr>
      <w:pStyle w:val="Footer"/>
      <w:framePr w:wrap="around" w:vAnchor="text" w:hAnchor="margin" w:xAlign="center" w:y="1"/>
      <w:rPr>
        <w:rStyle w:val="PageNumber"/>
        <w:rFonts w:ascii="Times New Roman" w:hAnsi="Times New Roman"/>
      </w:rPr>
    </w:pPr>
    <w:r w:rsidRPr="007A53C1">
      <w:rPr>
        <w:rStyle w:val="PageNumber"/>
        <w:rFonts w:ascii="Times New Roman" w:hAnsi="Times New Roman"/>
      </w:rPr>
      <w:fldChar w:fldCharType="begin"/>
    </w:r>
    <w:r w:rsidRPr="007A53C1">
      <w:rPr>
        <w:rStyle w:val="PageNumber"/>
        <w:rFonts w:ascii="Times New Roman" w:hAnsi="Times New Roman"/>
      </w:rPr>
      <w:instrText xml:space="preserve">PAGE  </w:instrText>
    </w:r>
    <w:r w:rsidRPr="007A53C1">
      <w:rPr>
        <w:rStyle w:val="PageNumber"/>
        <w:rFonts w:ascii="Times New Roman" w:hAnsi="Times New Roman"/>
      </w:rPr>
      <w:fldChar w:fldCharType="separate"/>
    </w:r>
    <w:r w:rsidR="00A44DAC">
      <w:rPr>
        <w:rStyle w:val="PageNumber"/>
        <w:rFonts w:ascii="Times New Roman" w:hAnsi="Times New Roman"/>
        <w:noProof/>
      </w:rPr>
      <w:t>1</w:t>
    </w:r>
    <w:r w:rsidRPr="007A53C1">
      <w:rPr>
        <w:rStyle w:val="PageNumber"/>
        <w:rFonts w:ascii="Times New Roman" w:hAnsi="Times New Roman"/>
      </w:rPr>
      <w:fldChar w:fldCharType="end"/>
    </w:r>
  </w:p>
  <w:p w14:paraId="1D4C9A6A" w14:textId="77777777" w:rsidR="00860B5B" w:rsidRPr="007A53C1" w:rsidRDefault="00860B5B" w:rsidP="003B7524">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CCE8A" w14:textId="77777777" w:rsidR="0072778B" w:rsidRDefault="0072778B">
      <w:r>
        <w:separator/>
      </w:r>
    </w:p>
  </w:footnote>
  <w:footnote w:type="continuationSeparator" w:id="0">
    <w:p w14:paraId="1DE5F368" w14:textId="77777777" w:rsidR="0072778B" w:rsidRDefault="00727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503"/>
    <w:multiLevelType w:val="hybridMultilevel"/>
    <w:tmpl w:val="FDC2C2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126EF2"/>
    <w:multiLevelType w:val="hybridMultilevel"/>
    <w:tmpl w:val="8BE0A230"/>
    <w:lvl w:ilvl="0" w:tplc="5AF4C4D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8252079"/>
    <w:multiLevelType w:val="hybridMultilevel"/>
    <w:tmpl w:val="D42C468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 w15:restartNumberingAfterBreak="0">
    <w:nsid w:val="0C6D6350"/>
    <w:multiLevelType w:val="hybridMultilevel"/>
    <w:tmpl w:val="427E53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F6B255C"/>
    <w:multiLevelType w:val="hybridMultilevel"/>
    <w:tmpl w:val="D1C87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5A2E73"/>
    <w:multiLevelType w:val="hybridMultilevel"/>
    <w:tmpl w:val="626638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9A32BF4"/>
    <w:multiLevelType w:val="hybridMultilevel"/>
    <w:tmpl w:val="C6288D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CAC3A54"/>
    <w:multiLevelType w:val="hybridMultilevel"/>
    <w:tmpl w:val="B246BFA6"/>
    <w:lvl w:ilvl="0" w:tplc="0C090001">
      <w:start w:val="1"/>
      <w:numFmt w:val="bullet"/>
      <w:lvlText w:val=""/>
      <w:lvlJc w:val="left"/>
      <w:pPr>
        <w:ind w:left="2205" w:hanging="360"/>
      </w:pPr>
      <w:rPr>
        <w:rFonts w:ascii="Symbol" w:hAnsi="Symbol" w:hint="default"/>
      </w:rPr>
    </w:lvl>
    <w:lvl w:ilvl="1" w:tplc="0C090003" w:tentative="1">
      <w:start w:val="1"/>
      <w:numFmt w:val="bullet"/>
      <w:lvlText w:val="o"/>
      <w:lvlJc w:val="left"/>
      <w:pPr>
        <w:ind w:left="2925" w:hanging="360"/>
      </w:pPr>
      <w:rPr>
        <w:rFonts w:ascii="Courier New" w:hAnsi="Courier New" w:cs="Courier New" w:hint="default"/>
      </w:rPr>
    </w:lvl>
    <w:lvl w:ilvl="2" w:tplc="0C090005" w:tentative="1">
      <w:start w:val="1"/>
      <w:numFmt w:val="bullet"/>
      <w:lvlText w:val=""/>
      <w:lvlJc w:val="left"/>
      <w:pPr>
        <w:ind w:left="3645" w:hanging="360"/>
      </w:pPr>
      <w:rPr>
        <w:rFonts w:ascii="Wingdings" w:hAnsi="Wingdings" w:hint="default"/>
      </w:rPr>
    </w:lvl>
    <w:lvl w:ilvl="3" w:tplc="0C090001" w:tentative="1">
      <w:start w:val="1"/>
      <w:numFmt w:val="bullet"/>
      <w:lvlText w:val=""/>
      <w:lvlJc w:val="left"/>
      <w:pPr>
        <w:ind w:left="4365" w:hanging="360"/>
      </w:pPr>
      <w:rPr>
        <w:rFonts w:ascii="Symbol" w:hAnsi="Symbol" w:hint="default"/>
      </w:rPr>
    </w:lvl>
    <w:lvl w:ilvl="4" w:tplc="0C090003" w:tentative="1">
      <w:start w:val="1"/>
      <w:numFmt w:val="bullet"/>
      <w:lvlText w:val="o"/>
      <w:lvlJc w:val="left"/>
      <w:pPr>
        <w:ind w:left="5085" w:hanging="360"/>
      </w:pPr>
      <w:rPr>
        <w:rFonts w:ascii="Courier New" w:hAnsi="Courier New" w:cs="Courier New" w:hint="default"/>
      </w:rPr>
    </w:lvl>
    <w:lvl w:ilvl="5" w:tplc="0C090005" w:tentative="1">
      <w:start w:val="1"/>
      <w:numFmt w:val="bullet"/>
      <w:lvlText w:val=""/>
      <w:lvlJc w:val="left"/>
      <w:pPr>
        <w:ind w:left="5805" w:hanging="360"/>
      </w:pPr>
      <w:rPr>
        <w:rFonts w:ascii="Wingdings" w:hAnsi="Wingdings" w:hint="default"/>
      </w:rPr>
    </w:lvl>
    <w:lvl w:ilvl="6" w:tplc="0C090001" w:tentative="1">
      <w:start w:val="1"/>
      <w:numFmt w:val="bullet"/>
      <w:lvlText w:val=""/>
      <w:lvlJc w:val="left"/>
      <w:pPr>
        <w:ind w:left="6525" w:hanging="360"/>
      </w:pPr>
      <w:rPr>
        <w:rFonts w:ascii="Symbol" w:hAnsi="Symbol" w:hint="default"/>
      </w:rPr>
    </w:lvl>
    <w:lvl w:ilvl="7" w:tplc="0C090003" w:tentative="1">
      <w:start w:val="1"/>
      <w:numFmt w:val="bullet"/>
      <w:lvlText w:val="o"/>
      <w:lvlJc w:val="left"/>
      <w:pPr>
        <w:ind w:left="7245" w:hanging="360"/>
      </w:pPr>
      <w:rPr>
        <w:rFonts w:ascii="Courier New" w:hAnsi="Courier New" w:cs="Courier New" w:hint="default"/>
      </w:rPr>
    </w:lvl>
    <w:lvl w:ilvl="8" w:tplc="0C090005" w:tentative="1">
      <w:start w:val="1"/>
      <w:numFmt w:val="bullet"/>
      <w:lvlText w:val=""/>
      <w:lvlJc w:val="left"/>
      <w:pPr>
        <w:ind w:left="7965" w:hanging="360"/>
      </w:pPr>
      <w:rPr>
        <w:rFonts w:ascii="Wingdings" w:hAnsi="Wingdings" w:hint="default"/>
      </w:rPr>
    </w:lvl>
  </w:abstractNum>
  <w:abstractNum w:abstractNumId="8" w15:restartNumberingAfterBreak="0">
    <w:nsid w:val="1CBD24EF"/>
    <w:multiLevelType w:val="hybridMultilevel"/>
    <w:tmpl w:val="60F407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AD4AC9"/>
    <w:multiLevelType w:val="hybridMultilevel"/>
    <w:tmpl w:val="3C54B8EA"/>
    <w:lvl w:ilvl="0" w:tplc="4AAAE60E">
      <w:start w:val="17"/>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853313A"/>
    <w:multiLevelType w:val="hybridMultilevel"/>
    <w:tmpl w:val="93804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89754F4"/>
    <w:multiLevelType w:val="hybridMultilevel"/>
    <w:tmpl w:val="1BCA82BC"/>
    <w:lvl w:ilvl="0" w:tplc="4DBA64FC">
      <w:start w:val="1"/>
      <w:numFmt w:val="decimal"/>
      <w:lvlText w:val="%1."/>
      <w:lvlJc w:val="left"/>
      <w:pPr>
        <w:ind w:left="720" w:hanging="360"/>
      </w:pPr>
      <w:rPr>
        <w:b w:val="0"/>
      </w:rPr>
    </w:lvl>
    <w:lvl w:ilvl="1" w:tplc="C50CFE3A">
      <w:start w:val="1"/>
      <w:numFmt w:val="decimal"/>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C13A8D"/>
    <w:multiLevelType w:val="hybridMultilevel"/>
    <w:tmpl w:val="FDB83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2C637A"/>
    <w:multiLevelType w:val="hybridMultilevel"/>
    <w:tmpl w:val="DE202DB0"/>
    <w:lvl w:ilvl="0" w:tplc="78ACFE64">
      <w:start w:val="1"/>
      <w:numFmt w:val="decimal"/>
      <w:lvlText w:val="%1."/>
      <w:lvlJc w:val="left"/>
      <w:pPr>
        <w:tabs>
          <w:tab w:val="num" w:pos="720"/>
        </w:tabs>
        <w:ind w:left="720" w:hanging="360"/>
      </w:pPr>
      <w:rPr>
        <w:rFonts w:hint="default"/>
        <w:b w:val="0"/>
        <w:i w:val="0"/>
        <w:sz w:val="24"/>
        <w:szCs w:val="24"/>
      </w:rPr>
    </w:lvl>
    <w:lvl w:ilvl="1" w:tplc="F6606D1A">
      <w:start w:val="1"/>
      <w:numFmt w:val="bullet"/>
      <w:lvlText w:val=""/>
      <w:lvlJc w:val="left"/>
      <w:pPr>
        <w:tabs>
          <w:tab w:val="num" w:pos="1080"/>
        </w:tabs>
        <w:ind w:left="1250" w:hanging="170"/>
      </w:pPr>
      <w:rPr>
        <w:rFonts w:ascii="Symbol" w:hAnsi="Symbol" w:hint="default"/>
        <w:sz w:val="24"/>
        <w:szCs w:val="24"/>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CCC40D1"/>
    <w:multiLevelType w:val="hybridMultilevel"/>
    <w:tmpl w:val="F880D4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F06278F"/>
    <w:multiLevelType w:val="multilevel"/>
    <w:tmpl w:val="FF9C90D0"/>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FE474B4"/>
    <w:multiLevelType w:val="hybridMultilevel"/>
    <w:tmpl w:val="6F4E62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0DC16C4"/>
    <w:multiLevelType w:val="hybridMultilevel"/>
    <w:tmpl w:val="57B2ABA4"/>
    <w:lvl w:ilvl="0" w:tplc="FFB6A95A">
      <w:start w:val="1"/>
      <w:numFmt w:val="decimal"/>
      <w:lvlText w:val="%1."/>
      <w:lvlJc w:val="left"/>
      <w:pPr>
        <w:ind w:left="360" w:hanging="360"/>
      </w:pPr>
      <w:rPr>
        <w:rFonts w:ascii="Times New Roman" w:eastAsia="Times New Roman" w:hAnsi="Times New Roman" w:cs="Times New Roman"/>
      </w:rPr>
    </w:lvl>
    <w:lvl w:ilvl="1" w:tplc="515A7CE6">
      <w:start w:val="1"/>
      <w:numFmt w:val="lowerLetter"/>
      <w:lvlText w:val="(%2)"/>
      <w:lvlJc w:val="left"/>
      <w:pPr>
        <w:ind w:left="1080" w:hanging="360"/>
      </w:pPr>
      <w:rPr>
        <w:rFonts w:ascii="Times New Roman" w:eastAsia="Times New Roman" w:hAnsi="Times New Roman" w:cs="Times New Roman"/>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18324B7"/>
    <w:multiLevelType w:val="hybridMultilevel"/>
    <w:tmpl w:val="9530CB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CB548B"/>
    <w:multiLevelType w:val="hybridMultilevel"/>
    <w:tmpl w:val="3A08B9A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0" w15:restartNumberingAfterBreak="0">
    <w:nsid w:val="3D6F0001"/>
    <w:multiLevelType w:val="hybridMultilevel"/>
    <w:tmpl w:val="9A763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212D74"/>
    <w:multiLevelType w:val="hybridMultilevel"/>
    <w:tmpl w:val="04429D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04A293B"/>
    <w:multiLevelType w:val="hybridMultilevel"/>
    <w:tmpl w:val="830A868E"/>
    <w:lvl w:ilvl="0" w:tplc="F6606D1A">
      <w:start w:val="1"/>
      <w:numFmt w:val="bullet"/>
      <w:lvlText w:val=""/>
      <w:lvlJc w:val="left"/>
      <w:pPr>
        <w:tabs>
          <w:tab w:val="num" w:pos="0"/>
        </w:tabs>
        <w:ind w:left="17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807B4B"/>
    <w:multiLevelType w:val="hybridMultilevel"/>
    <w:tmpl w:val="7D3A8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AF6EE4"/>
    <w:multiLevelType w:val="hybridMultilevel"/>
    <w:tmpl w:val="F6E40D7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5" w15:restartNumberingAfterBreak="0">
    <w:nsid w:val="477631B5"/>
    <w:multiLevelType w:val="hybridMultilevel"/>
    <w:tmpl w:val="46E054D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15:restartNumberingAfterBreak="0">
    <w:nsid w:val="4AF029E9"/>
    <w:multiLevelType w:val="hybridMultilevel"/>
    <w:tmpl w:val="27B6D4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F98301C"/>
    <w:multiLevelType w:val="hybridMultilevel"/>
    <w:tmpl w:val="B7A0FB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17670BA"/>
    <w:multiLevelType w:val="hybridMultilevel"/>
    <w:tmpl w:val="9C0CDF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0C64AE"/>
    <w:multiLevelType w:val="hybridMultilevel"/>
    <w:tmpl w:val="A7C6D62A"/>
    <w:lvl w:ilvl="0" w:tplc="1FECFAA6">
      <w:start w:val="1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296005F"/>
    <w:multiLevelType w:val="hybridMultilevel"/>
    <w:tmpl w:val="AB989A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2FC5908"/>
    <w:multiLevelType w:val="hybridMultilevel"/>
    <w:tmpl w:val="A32C36E0"/>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2" w15:restartNumberingAfterBreak="0">
    <w:nsid w:val="58C65A21"/>
    <w:multiLevelType w:val="hybridMultilevel"/>
    <w:tmpl w:val="EEF4C094"/>
    <w:lvl w:ilvl="0" w:tplc="5AF4C4DC">
      <w:start w:val="30"/>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5DC05F41"/>
    <w:multiLevelType w:val="hybridMultilevel"/>
    <w:tmpl w:val="21A62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C13A1B"/>
    <w:multiLevelType w:val="hybridMultilevel"/>
    <w:tmpl w:val="4C8E725C"/>
    <w:lvl w:ilvl="0" w:tplc="F6606D1A">
      <w:start w:val="1"/>
      <w:numFmt w:val="bullet"/>
      <w:lvlText w:val=""/>
      <w:lvlJc w:val="left"/>
      <w:pPr>
        <w:tabs>
          <w:tab w:val="num" w:pos="1500"/>
        </w:tabs>
        <w:ind w:left="1670" w:hanging="170"/>
      </w:pPr>
      <w:rPr>
        <w:rFonts w:ascii="Symbol" w:hAnsi="Symbol" w:hint="default"/>
      </w:rPr>
    </w:lvl>
    <w:lvl w:ilvl="1" w:tplc="0C090003" w:tentative="1">
      <w:start w:val="1"/>
      <w:numFmt w:val="bullet"/>
      <w:lvlText w:val="o"/>
      <w:lvlJc w:val="left"/>
      <w:pPr>
        <w:tabs>
          <w:tab w:val="num" w:pos="2940"/>
        </w:tabs>
        <w:ind w:left="2940" w:hanging="360"/>
      </w:pPr>
      <w:rPr>
        <w:rFonts w:ascii="Courier New" w:hAnsi="Courier New" w:cs="Courier New" w:hint="default"/>
      </w:rPr>
    </w:lvl>
    <w:lvl w:ilvl="2" w:tplc="0C090005" w:tentative="1">
      <w:start w:val="1"/>
      <w:numFmt w:val="bullet"/>
      <w:lvlText w:val=""/>
      <w:lvlJc w:val="left"/>
      <w:pPr>
        <w:tabs>
          <w:tab w:val="num" w:pos="3660"/>
        </w:tabs>
        <w:ind w:left="3660" w:hanging="360"/>
      </w:pPr>
      <w:rPr>
        <w:rFonts w:ascii="Wingdings" w:hAnsi="Wingdings" w:hint="default"/>
      </w:rPr>
    </w:lvl>
    <w:lvl w:ilvl="3" w:tplc="0C090001" w:tentative="1">
      <w:start w:val="1"/>
      <w:numFmt w:val="bullet"/>
      <w:lvlText w:val=""/>
      <w:lvlJc w:val="left"/>
      <w:pPr>
        <w:tabs>
          <w:tab w:val="num" w:pos="4380"/>
        </w:tabs>
        <w:ind w:left="4380" w:hanging="360"/>
      </w:pPr>
      <w:rPr>
        <w:rFonts w:ascii="Symbol" w:hAnsi="Symbol" w:hint="default"/>
      </w:rPr>
    </w:lvl>
    <w:lvl w:ilvl="4" w:tplc="0C090003" w:tentative="1">
      <w:start w:val="1"/>
      <w:numFmt w:val="bullet"/>
      <w:lvlText w:val="o"/>
      <w:lvlJc w:val="left"/>
      <w:pPr>
        <w:tabs>
          <w:tab w:val="num" w:pos="5100"/>
        </w:tabs>
        <w:ind w:left="5100" w:hanging="360"/>
      </w:pPr>
      <w:rPr>
        <w:rFonts w:ascii="Courier New" w:hAnsi="Courier New" w:cs="Courier New" w:hint="default"/>
      </w:rPr>
    </w:lvl>
    <w:lvl w:ilvl="5" w:tplc="0C090005" w:tentative="1">
      <w:start w:val="1"/>
      <w:numFmt w:val="bullet"/>
      <w:lvlText w:val=""/>
      <w:lvlJc w:val="left"/>
      <w:pPr>
        <w:tabs>
          <w:tab w:val="num" w:pos="5820"/>
        </w:tabs>
        <w:ind w:left="5820" w:hanging="360"/>
      </w:pPr>
      <w:rPr>
        <w:rFonts w:ascii="Wingdings" w:hAnsi="Wingdings" w:hint="default"/>
      </w:rPr>
    </w:lvl>
    <w:lvl w:ilvl="6" w:tplc="0C090001" w:tentative="1">
      <w:start w:val="1"/>
      <w:numFmt w:val="bullet"/>
      <w:lvlText w:val=""/>
      <w:lvlJc w:val="left"/>
      <w:pPr>
        <w:tabs>
          <w:tab w:val="num" w:pos="6540"/>
        </w:tabs>
        <w:ind w:left="6540" w:hanging="360"/>
      </w:pPr>
      <w:rPr>
        <w:rFonts w:ascii="Symbol" w:hAnsi="Symbol" w:hint="default"/>
      </w:rPr>
    </w:lvl>
    <w:lvl w:ilvl="7" w:tplc="0C090003" w:tentative="1">
      <w:start w:val="1"/>
      <w:numFmt w:val="bullet"/>
      <w:lvlText w:val="o"/>
      <w:lvlJc w:val="left"/>
      <w:pPr>
        <w:tabs>
          <w:tab w:val="num" w:pos="7260"/>
        </w:tabs>
        <w:ind w:left="7260" w:hanging="360"/>
      </w:pPr>
      <w:rPr>
        <w:rFonts w:ascii="Courier New" w:hAnsi="Courier New" w:cs="Courier New" w:hint="default"/>
      </w:rPr>
    </w:lvl>
    <w:lvl w:ilvl="8" w:tplc="0C090005" w:tentative="1">
      <w:start w:val="1"/>
      <w:numFmt w:val="bullet"/>
      <w:lvlText w:val=""/>
      <w:lvlJc w:val="left"/>
      <w:pPr>
        <w:tabs>
          <w:tab w:val="num" w:pos="7980"/>
        </w:tabs>
        <w:ind w:left="7980" w:hanging="360"/>
      </w:pPr>
      <w:rPr>
        <w:rFonts w:ascii="Wingdings" w:hAnsi="Wingdings" w:hint="default"/>
      </w:rPr>
    </w:lvl>
  </w:abstractNum>
  <w:abstractNum w:abstractNumId="35" w15:restartNumberingAfterBreak="0">
    <w:nsid w:val="5FE80D0D"/>
    <w:multiLevelType w:val="hybridMultilevel"/>
    <w:tmpl w:val="8B48B7B8"/>
    <w:lvl w:ilvl="0" w:tplc="78ACFE64">
      <w:start w:val="1"/>
      <w:numFmt w:val="decimal"/>
      <w:lvlText w:val="%1."/>
      <w:lvlJc w:val="left"/>
      <w:pPr>
        <w:tabs>
          <w:tab w:val="num" w:pos="720"/>
        </w:tabs>
        <w:ind w:left="720" w:hanging="360"/>
      </w:pPr>
      <w:rPr>
        <w:rFonts w:hint="default"/>
        <w:b w:val="0"/>
        <w:i w:val="0"/>
        <w:sz w:val="24"/>
        <w:szCs w:val="24"/>
      </w:rPr>
    </w:lvl>
    <w:lvl w:ilvl="1" w:tplc="40E049EC">
      <w:start w:val="1"/>
      <w:numFmt w:val="lowerLetter"/>
      <w:lvlText w:val="(%2)"/>
      <w:lvlJc w:val="left"/>
      <w:pPr>
        <w:tabs>
          <w:tab w:val="num" w:pos="1080"/>
        </w:tabs>
        <w:ind w:left="1250" w:hanging="170"/>
      </w:pPr>
      <w:rPr>
        <w:rFonts w:hint="default"/>
        <w:sz w:val="24"/>
        <w:szCs w:val="24"/>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64112B95"/>
    <w:multiLevelType w:val="hybridMultilevel"/>
    <w:tmpl w:val="7BFE5F9C"/>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37" w15:restartNumberingAfterBreak="0">
    <w:nsid w:val="64F429FD"/>
    <w:multiLevelType w:val="hybridMultilevel"/>
    <w:tmpl w:val="5A1A1DA4"/>
    <w:lvl w:ilvl="0" w:tplc="414099EC">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8" w15:restartNumberingAfterBreak="0">
    <w:nsid w:val="65B173D7"/>
    <w:multiLevelType w:val="hybridMultilevel"/>
    <w:tmpl w:val="AD9CF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5BF2A2F"/>
    <w:multiLevelType w:val="multilevel"/>
    <w:tmpl w:val="468CB70C"/>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64070E2"/>
    <w:multiLevelType w:val="hybridMultilevel"/>
    <w:tmpl w:val="3B90928A"/>
    <w:lvl w:ilvl="0" w:tplc="952667DA">
      <w:start w:val="2"/>
      <w:numFmt w:val="decimal"/>
      <w:lvlText w:val="(%1)"/>
      <w:lvlJc w:val="left"/>
      <w:pPr>
        <w:ind w:left="1080" w:hanging="360"/>
      </w:pPr>
      <w:rPr>
        <w:rFonts w:hint="default"/>
      </w:rPr>
    </w:lvl>
    <w:lvl w:ilvl="1" w:tplc="3B4C537C">
      <w:start w:val="1"/>
      <w:numFmt w:val="lowerLetter"/>
      <w:lvlText w:val="(%2)"/>
      <w:lvlJc w:val="left"/>
      <w:pPr>
        <w:ind w:left="1800" w:hanging="360"/>
      </w:pPr>
      <w:rPr>
        <w:rFonts w:ascii="Times New Roman" w:eastAsia="Times New Roman" w:hAnsi="Times New Roman" w:cs="Times New Roman"/>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689A19DC"/>
    <w:multiLevelType w:val="multilevel"/>
    <w:tmpl w:val="5100D67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8C34085"/>
    <w:multiLevelType w:val="hybridMultilevel"/>
    <w:tmpl w:val="ECEA7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BCC4578"/>
    <w:multiLevelType w:val="hybridMultilevel"/>
    <w:tmpl w:val="A134CFE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4" w15:restartNumberingAfterBreak="0">
    <w:nsid w:val="6DC2042D"/>
    <w:multiLevelType w:val="hybridMultilevel"/>
    <w:tmpl w:val="A9B2C40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5" w15:restartNumberingAfterBreak="0">
    <w:nsid w:val="7101756C"/>
    <w:multiLevelType w:val="hybridMultilevel"/>
    <w:tmpl w:val="1834CE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37E09C7"/>
    <w:multiLevelType w:val="hybridMultilevel"/>
    <w:tmpl w:val="7196F280"/>
    <w:lvl w:ilvl="0" w:tplc="04463F80">
      <w:start w:val="1"/>
      <w:numFmt w:val="decimal"/>
      <w:lvlText w:val="(%1)"/>
      <w:lvlJc w:val="left"/>
      <w:pPr>
        <w:tabs>
          <w:tab w:val="num" w:pos="1110"/>
        </w:tabs>
        <w:ind w:left="1110" w:hanging="39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7" w15:restartNumberingAfterBreak="0">
    <w:nsid w:val="75493ED5"/>
    <w:multiLevelType w:val="hybridMultilevel"/>
    <w:tmpl w:val="041015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8A64D45"/>
    <w:multiLevelType w:val="hybridMultilevel"/>
    <w:tmpl w:val="9B966D8C"/>
    <w:lvl w:ilvl="0" w:tplc="79A4F224">
      <w:start w:val="1"/>
      <w:numFmt w:val="decimal"/>
      <w:lvlText w:val="%1."/>
      <w:lvlJc w:val="left"/>
      <w:pPr>
        <w:ind w:left="360" w:hanging="360"/>
      </w:pPr>
      <w:rPr>
        <w:color w:val="00000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8"/>
  </w:num>
  <w:num w:numId="2">
    <w:abstractNumId w:val="35"/>
  </w:num>
  <w:num w:numId="3">
    <w:abstractNumId w:val="1"/>
  </w:num>
  <w:num w:numId="4">
    <w:abstractNumId w:val="32"/>
  </w:num>
  <w:num w:numId="5">
    <w:abstractNumId w:val="41"/>
  </w:num>
  <w:num w:numId="6">
    <w:abstractNumId w:val="29"/>
  </w:num>
  <w:num w:numId="7">
    <w:abstractNumId w:val="46"/>
  </w:num>
  <w:num w:numId="8">
    <w:abstractNumId w:val="39"/>
  </w:num>
  <w:num w:numId="9">
    <w:abstractNumId w:val="15"/>
  </w:num>
  <w:num w:numId="10">
    <w:abstractNumId w:val="34"/>
  </w:num>
  <w:num w:numId="11">
    <w:abstractNumId w:val="22"/>
  </w:num>
  <w:num w:numId="12">
    <w:abstractNumId w:val="37"/>
  </w:num>
  <w:num w:numId="13">
    <w:abstractNumId w:val="10"/>
  </w:num>
  <w:num w:numId="14">
    <w:abstractNumId w:val="3"/>
  </w:num>
  <w:num w:numId="15">
    <w:abstractNumId w:val="6"/>
  </w:num>
  <w:num w:numId="16">
    <w:abstractNumId w:val="17"/>
  </w:num>
  <w:num w:numId="17">
    <w:abstractNumId w:val="40"/>
  </w:num>
  <w:num w:numId="18">
    <w:abstractNumId w:val="5"/>
  </w:num>
  <w:num w:numId="19">
    <w:abstractNumId w:val="0"/>
  </w:num>
  <w:num w:numId="20">
    <w:abstractNumId w:val="42"/>
  </w:num>
  <w:num w:numId="21">
    <w:abstractNumId w:val="30"/>
  </w:num>
  <w:num w:numId="22">
    <w:abstractNumId w:val="23"/>
  </w:num>
  <w:num w:numId="23">
    <w:abstractNumId w:val="8"/>
  </w:num>
  <w:num w:numId="24">
    <w:abstractNumId w:val="21"/>
  </w:num>
  <w:num w:numId="25">
    <w:abstractNumId w:val="44"/>
  </w:num>
  <w:num w:numId="26">
    <w:abstractNumId w:val="26"/>
  </w:num>
  <w:num w:numId="27">
    <w:abstractNumId w:val="27"/>
  </w:num>
  <w:num w:numId="28">
    <w:abstractNumId w:val="2"/>
  </w:num>
  <w:num w:numId="29">
    <w:abstractNumId w:val="31"/>
  </w:num>
  <w:num w:numId="30">
    <w:abstractNumId w:val="19"/>
  </w:num>
  <w:num w:numId="31">
    <w:abstractNumId w:val="43"/>
  </w:num>
  <w:num w:numId="32">
    <w:abstractNumId w:val="12"/>
  </w:num>
  <w:num w:numId="33">
    <w:abstractNumId w:val="4"/>
  </w:num>
  <w:num w:numId="34">
    <w:abstractNumId w:val="38"/>
  </w:num>
  <w:num w:numId="35">
    <w:abstractNumId w:val="20"/>
  </w:num>
  <w:num w:numId="36">
    <w:abstractNumId w:val="47"/>
  </w:num>
  <w:num w:numId="37">
    <w:abstractNumId w:val="45"/>
  </w:num>
  <w:num w:numId="38">
    <w:abstractNumId w:val="9"/>
  </w:num>
  <w:num w:numId="39">
    <w:abstractNumId w:val="14"/>
  </w:num>
  <w:num w:numId="40">
    <w:abstractNumId w:val="36"/>
  </w:num>
  <w:num w:numId="41">
    <w:abstractNumId w:val="25"/>
  </w:num>
  <w:num w:numId="42">
    <w:abstractNumId w:val="24"/>
  </w:num>
  <w:num w:numId="43">
    <w:abstractNumId w:val="7"/>
  </w:num>
  <w:num w:numId="44">
    <w:abstractNumId w:val="33"/>
  </w:num>
  <w:num w:numId="45">
    <w:abstractNumId w:val="16"/>
  </w:num>
  <w:num w:numId="46">
    <w:abstractNumId w:val="11"/>
  </w:num>
  <w:num w:numId="47">
    <w:abstractNumId w:val="13"/>
  </w:num>
  <w:num w:numId="48">
    <w:abstractNumId w:val="18"/>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524"/>
    <w:rsid w:val="0000129C"/>
    <w:rsid w:val="00002D59"/>
    <w:rsid w:val="00004237"/>
    <w:rsid w:val="00005185"/>
    <w:rsid w:val="0001158F"/>
    <w:rsid w:val="00011BFD"/>
    <w:rsid w:val="00013686"/>
    <w:rsid w:val="00017141"/>
    <w:rsid w:val="0001730D"/>
    <w:rsid w:val="00021CB1"/>
    <w:rsid w:val="000222A4"/>
    <w:rsid w:val="00024783"/>
    <w:rsid w:val="00024980"/>
    <w:rsid w:val="00024C66"/>
    <w:rsid w:val="00027747"/>
    <w:rsid w:val="0003033B"/>
    <w:rsid w:val="00031690"/>
    <w:rsid w:val="00033B8D"/>
    <w:rsid w:val="00035795"/>
    <w:rsid w:val="000358DA"/>
    <w:rsid w:val="00035AF4"/>
    <w:rsid w:val="00037327"/>
    <w:rsid w:val="00042863"/>
    <w:rsid w:val="000430D4"/>
    <w:rsid w:val="00050B40"/>
    <w:rsid w:val="00050CE5"/>
    <w:rsid w:val="00051713"/>
    <w:rsid w:val="00053A7A"/>
    <w:rsid w:val="000552BF"/>
    <w:rsid w:val="000572EA"/>
    <w:rsid w:val="00057C98"/>
    <w:rsid w:val="0006328D"/>
    <w:rsid w:val="00064B1E"/>
    <w:rsid w:val="000673A4"/>
    <w:rsid w:val="00072759"/>
    <w:rsid w:val="00075472"/>
    <w:rsid w:val="0008191B"/>
    <w:rsid w:val="00083A52"/>
    <w:rsid w:val="00085E1A"/>
    <w:rsid w:val="000869B9"/>
    <w:rsid w:val="000926BD"/>
    <w:rsid w:val="00092891"/>
    <w:rsid w:val="0009363E"/>
    <w:rsid w:val="000942AF"/>
    <w:rsid w:val="0009570F"/>
    <w:rsid w:val="000961DD"/>
    <w:rsid w:val="00097839"/>
    <w:rsid w:val="000A0109"/>
    <w:rsid w:val="000A1B36"/>
    <w:rsid w:val="000A25BE"/>
    <w:rsid w:val="000A448C"/>
    <w:rsid w:val="000A5FD0"/>
    <w:rsid w:val="000A71FF"/>
    <w:rsid w:val="000B07C2"/>
    <w:rsid w:val="000B3A73"/>
    <w:rsid w:val="000B3D22"/>
    <w:rsid w:val="000B4EE1"/>
    <w:rsid w:val="000B7D16"/>
    <w:rsid w:val="000C26E9"/>
    <w:rsid w:val="000C4CBB"/>
    <w:rsid w:val="000C4DEC"/>
    <w:rsid w:val="000C5E2A"/>
    <w:rsid w:val="000D0E25"/>
    <w:rsid w:val="000D13F2"/>
    <w:rsid w:val="000D143A"/>
    <w:rsid w:val="000D180A"/>
    <w:rsid w:val="000D1DA2"/>
    <w:rsid w:val="000D261E"/>
    <w:rsid w:val="000D4F84"/>
    <w:rsid w:val="000D658D"/>
    <w:rsid w:val="000E22B7"/>
    <w:rsid w:val="000E63EE"/>
    <w:rsid w:val="000F0AA0"/>
    <w:rsid w:val="00100A29"/>
    <w:rsid w:val="00100E9D"/>
    <w:rsid w:val="00101CDF"/>
    <w:rsid w:val="0010234E"/>
    <w:rsid w:val="0010649D"/>
    <w:rsid w:val="00112B9E"/>
    <w:rsid w:val="001138C2"/>
    <w:rsid w:val="00114B13"/>
    <w:rsid w:val="00115CA1"/>
    <w:rsid w:val="001161BA"/>
    <w:rsid w:val="001212F7"/>
    <w:rsid w:val="00121FC3"/>
    <w:rsid w:val="00122D9B"/>
    <w:rsid w:val="00133529"/>
    <w:rsid w:val="0013429C"/>
    <w:rsid w:val="00134CA6"/>
    <w:rsid w:val="00135E20"/>
    <w:rsid w:val="001369B9"/>
    <w:rsid w:val="00142343"/>
    <w:rsid w:val="00142983"/>
    <w:rsid w:val="00143BAA"/>
    <w:rsid w:val="00146670"/>
    <w:rsid w:val="00146C29"/>
    <w:rsid w:val="001475BE"/>
    <w:rsid w:val="00151851"/>
    <w:rsid w:val="00151CE0"/>
    <w:rsid w:val="001521A8"/>
    <w:rsid w:val="0015491C"/>
    <w:rsid w:val="00156041"/>
    <w:rsid w:val="0015621A"/>
    <w:rsid w:val="00156C39"/>
    <w:rsid w:val="00157B80"/>
    <w:rsid w:val="00160041"/>
    <w:rsid w:val="001602B8"/>
    <w:rsid w:val="00162CC7"/>
    <w:rsid w:val="001663D5"/>
    <w:rsid w:val="0017034F"/>
    <w:rsid w:val="0018520A"/>
    <w:rsid w:val="00190C40"/>
    <w:rsid w:val="00193377"/>
    <w:rsid w:val="001941DA"/>
    <w:rsid w:val="00194C14"/>
    <w:rsid w:val="0019595E"/>
    <w:rsid w:val="001970B1"/>
    <w:rsid w:val="00197E8A"/>
    <w:rsid w:val="001A03E1"/>
    <w:rsid w:val="001A11DA"/>
    <w:rsid w:val="001A25CB"/>
    <w:rsid w:val="001A537C"/>
    <w:rsid w:val="001A58BA"/>
    <w:rsid w:val="001A63E8"/>
    <w:rsid w:val="001B005E"/>
    <w:rsid w:val="001B3A61"/>
    <w:rsid w:val="001B679A"/>
    <w:rsid w:val="001B6FCC"/>
    <w:rsid w:val="001B7562"/>
    <w:rsid w:val="001B7DCC"/>
    <w:rsid w:val="001C001A"/>
    <w:rsid w:val="001C2371"/>
    <w:rsid w:val="001C37C9"/>
    <w:rsid w:val="001C55AA"/>
    <w:rsid w:val="001C57DA"/>
    <w:rsid w:val="001C5B36"/>
    <w:rsid w:val="001C5B6B"/>
    <w:rsid w:val="001C60F1"/>
    <w:rsid w:val="001C6C6F"/>
    <w:rsid w:val="001D022F"/>
    <w:rsid w:val="001D3034"/>
    <w:rsid w:val="001D3559"/>
    <w:rsid w:val="001D3968"/>
    <w:rsid w:val="001D3C6E"/>
    <w:rsid w:val="001D5E25"/>
    <w:rsid w:val="001D6003"/>
    <w:rsid w:val="001D63FB"/>
    <w:rsid w:val="001E005B"/>
    <w:rsid w:val="001E23BF"/>
    <w:rsid w:val="001E2728"/>
    <w:rsid w:val="001E4D8A"/>
    <w:rsid w:val="001E52A5"/>
    <w:rsid w:val="001F108A"/>
    <w:rsid w:val="001F396D"/>
    <w:rsid w:val="001F4CE5"/>
    <w:rsid w:val="0020292C"/>
    <w:rsid w:val="00205D35"/>
    <w:rsid w:val="00205D9F"/>
    <w:rsid w:val="00206C4A"/>
    <w:rsid w:val="0020702F"/>
    <w:rsid w:val="00207A4E"/>
    <w:rsid w:val="00207D34"/>
    <w:rsid w:val="00210C12"/>
    <w:rsid w:val="002222BA"/>
    <w:rsid w:val="002227A8"/>
    <w:rsid w:val="00231302"/>
    <w:rsid w:val="00232C59"/>
    <w:rsid w:val="00234EE9"/>
    <w:rsid w:val="002358FE"/>
    <w:rsid w:val="00236988"/>
    <w:rsid w:val="00237735"/>
    <w:rsid w:val="00241858"/>
    <w:rsid w:val="00243298"/>
    <w:rsid w:val="00243B31"/>
    <w:rsid w:val="00243C97"/>
    <w:rsid w:val="00244D95"/>
    <w:rsid w:val="00246666"/>
    <w:rsid w:val="00247043"/>
    <w:rsid w:val="002475AC"/>
    <w:rsid w:val="002526C4"/>
    <w:rsid w:val="00252A86"/>
    <w:rsid w:val="00252D90"/>
    <w:rsid w:val="0025603C"/>
    <w:rsid w:val="002570AB"/>
    <w:rsid w:val="00261776"/>
    <w:rsid w:val="002632D9"/>
    <w:rsid w:val="00263EDA"/>
    <w:rsid w:val="002700FC"/>
    <w:rsid w:val="00270F89"/>
    <w:rsid w:val="00272368"/>
    <w:rsid w:val="0027417D"/>
    <w:rsid w:val="002748A5"/>
    <w:rsid w:val="00276CC0"/>
    <w:rsid w:val="00285066"/>
    <w:rsid w:val="00285882"/>
    <w:rsid w:val="00291994"/>
    <w:rsid w:val="00292115"/>
    <w:rsid w:val="002948D1"/>
    <w:rsid w:val="0029686B"/>
    <w:rsid w:val="002A02FC"/>
    <w:rsid w:val="002A0A5F"/>
    <w:rsid w:val="002A2BE8"/>
    <w:rsid w:val="002A4E4A"/>
    <w:rsid w:val="002A5004"/>
    <w:rsid w:val="002A6852"/>
    <w:rsid w:val="002A6B5F"/>
    <w:rsid w:val="002B0655"/>
    <w:rsid w:val="002B0D2D"/>
    <w:rsid w:val="002B4D5C"/>
    <w:rsid w:val="002C10AE"/>
    <w:rsid w:val="002C2936"/>
    <w:rsid w:val="002C3BD6"/>
    <w:rsid w:val="002C6AC2"/>
    <w:rsid w:val="002C7537"/>
    <w:rsid w:val="002C75DD"/>
    <w:rsid w:val="002C76AE"/>
    <w:rsid w:val="002D123A"/>
    <w:rsid w:val="002D18EA"/>
    <w:rsid w:val="002D6746"/>
    <w:rsid w:val="002D67A4"/>
    <w:rsid w:val="002D7A9B"/>
    <w:rsid w:val="002E74AC"/>
    <w:rsid w:val="002F38AD"/>
    <w:rsid w:val="002F4E2A"/>
    <w:rsid w:val="003017CC"/>
    <w:rsid w:val="00301D3F"/>
    <w:rsid w:val="00303AFD"/>
    <w:rsid w:val="00304398"/>
    <w:rsid w:val="0030476E"/>
    <w:rsid w:val="00304ACF"/>
    <w:rsid w:val="00304F91"/>
    <w:rsid w:val="0030571B"/>
    <w:rsid w:val="00306189"/>
    <w:rsid w:val="00306D9E"/>
    <w:rsid w:val="0030748F"/>
    <w:rsid w:val="003112C7"/>
    <w:rsid w:val="00313FAF"/>
    <w:rsid w:val="00316294"/>
    <w:rsid w:val="003206F6"/>
    <w:rsid w:val="00322542"/>
    <w:rsid w:val="00322DBF"/>
    <w:rsid w:val="00324521"/>
    <w:rsid w:val="00325102"/>
    <w:rsid w:val="00326047"/>
    <w:rsid w:val="00326E01"/>
    <w:rsid w:val="00327A8D"/>
    <w:rsid w:val="00330393"/>
    <w:rsid w:val="003340DB"/>
    <w:rsid w:val="00341E53"/>
    <w:rsid w:val="00344E15"/>
    <w:rsid w:val="00345CA1"/>
    <w:rsid w:val="0034729E"/>
    <w:rsid w:val="003559A1"/>
    <w:rsid w:val="00356306"/>
    <w:rsid w:val="003568F8"/>
    <w:rsid w:val="00360349"/>
    <w:rsid w:val="00363F21"/>
    <w:rsid w:val="00365FD7"/>
    <w:rsid w:val="003676D9"/>
    <w:rsid w:val="003747EE"/>
    <w:rsid w:val="00384116"/>
    <w:rsid w:val="003911F4"/>
    <w:rsid w:val="003912AD"/>
    <w:rsid w:val="003932F4"/>
    <w:rsid w:val="00393952"/>
    <w:rsid w:val="00393D2A"/>
    <w:rsid w:val="00394650"/>
    <w:rsid w:val="003A0C67"/>
    <w:rsid w:val="003A1795"/>
    <w:rsid w:val="003A3B0B"/>
    <w:rsid w:val="003A49E8"/>
    <w:rsid w:val="003A73B8"/>
    <w:rsid w:val="003B2DDD"/>
    <w:rsid w:val="003B4F88"/>
    <w:rsid w:val="003B7524"/>
    <w:rsid w:val="003C0500"/>
    <w:rsid w:val="003C1A25"/>
    <w:rsid w:val="003C43B6"/>
    <w:rsid w:val="003C57E7"/>
    <w:rsid w:val="003D1772"/>
    <w:rsid w:val="003D672A"/>
    <w:rsid w:val="003D7390"/>
    <w:rsid w:val="003D7A85"/>
    <w:rsid w:val="003D7BC9"/>
    <w:rsid w:val="003E07F4"/>
    <w:rsid w:val="003E13D0"/>
    <w:rsid w:val="003E22BE"/>
    <w:rsid w:val="003E2DC9"/>
    <w:rsid w:val="003E6AA6"/>
    <w:rsid w:val="003F12F1"/>
    <w:rsid w:val="003F166D"/>
    <w:rsid w:val="003F16C9"/>
    <w:rsid w:val="003F250A"/>
    <w:rsid w:val="003F2F59"/>
    <w:rsid w:val="003F55FC"/>
    <w:rsid w:val="003F5ADD"/>
    <w:rsid w:val="003F623E"/>
    <w:rsid w:val="00402D9E"/>
    <w:rsid w:val="0040415D"/>
    <w:rsid w:val="00404190"/>
    <w:rsid w:val="0040525D"/>
    <w:rsid w:val="004062DD"/>
    <w:rsid w:val="004065F6"/>
    <w:rsid w:val="00407EE4"/>
    <w:rsid w:val="00412303"/>
    <w:rsid w:val="004132BB"/>
    <w:rsid w:val="00413391"/>
    <w:rsid w:val="00413620"/>
    <w:rsid w:val="0041386C"/>
    <w:rsid w:val="0041387C"/>
    <w:rsid w:val="00414236"/>
    <w:rsid w:val="0041480B"/>
    <w:rsid w:val="004171CA"/>
    <w:rsid w:val="00420679"/>
    <w:rsid w:val="00420F02"/>
    <w:rsid w:val="0042132D"/>
    <w:rsid w:val="004253AB"/>
    <w:rsid w:val="004255A4"/>
    <w:rsid w:val="00426515"/>
    <w:rsid w:val="00430DA3"/>
    <w:rsid w:val="00430E99"/>
    <w:rsid w:val="0043131F"/>
    <w:rsid w:val="00431575"/>
    <w:rsid w:val="004321FD"/>
    <w:rsid w:val="00433B24"/>
    <w:rsid w:val="00433C9D"/>
    <w:rsid w:val="00435A0B"/>
    <w:rsid w:val="0043626D"/>
    <w:rsid w:val="004379C6"/>
    <w:rsid w:val="004444B7"/>
    <w:rsid w:val="00445B35"/>
    <w:rsid w:val="004479B7"/>
    <w:rsid w:val="00451459"/>
    <w:rsid w:val="004516ED"/>
    <w:rsid w:val="004521B8"/>
    <w:rsid w:val="004571E2"/>
    <w:rsid w:val="00460652"/>
    <w:rsid w:val="00460BA8"/>
    <w:rsid w:val="00460E86"/>
    <w:rsid w:val="004619BB"/>
    <w:rsid w:val="00464460"/>
    <w:rsid w:val="004661D5"/>
    <w:rsid w:val="00471E81"/>
    <w:rsid w:val="00474718"/>
    <w:rsid w:val="00474DE4"/>
    <w:rsid w:val="00475F7C"/>
    <w:rsid w:val="004760F8"/>
    <w:rsid w:val="0048013E"/>
    <w:rsid w:val="0048014C"/>
    <w:rsid w:val="004811E8"/>
    <w:rsid w:val="00482B80"/>
    <w:rsid w:val="004849C5"/>
    <w:rsid w:val="00484BF4"/>
    <w:rsid w:val="00486E49"/>
    <w:rsid w:val="0048754E"/>
    <w:rsid w:val="004878CA"/>
    <w:rsid w:val="0049116B"/>
    <w:rsid w:val="0049443F"/>
    <w:rsid w:val="004A2AEF"/>
    <w:rsid w:val="004A3E59"/>
    <w:rsid w:val="004A47D4"/>
    <w:rsid w:val="004A49A4"/>
    <w:rsid w:val="004A4CD9"/>
    <w:rsid w:val="004B06CC"/>
    <w:rsid w:val="004B06F0"/>
    <w:rsid w:val="004B17CA"/>
    <w:rsid w:val="004B231F"/>
    <w:rsid w:val="004B264D"/>
    <w:rsid w:val="004B37C0"/>
    <w:rsid w:val="004B3BB2"/>
    <w:rsid w:val="004B3D32"/>
    <w:rsid w:val="004B6EA9"/>
    <w:rsid w:val="004C1454"/>
    <w:rsid w:val="004C42D1"/>
    <w:rsid w:val="004D1BEF"/>
    <w:rsid w:val="004D29B8"/>
    <w:rsid w:val="004D3937"/>
    <w:rsid w:val="004D4B9B"/>
    <w:rsid w:val="004D6131"/>
    <w:rsid w:val="004E2FA0"/>
    <w:rsid w:val="004E3315"/>
    <w:rsid w:val="004F00BC"/>
    <w:rsid w:val="004F566E"/>
    <w:rsid w:val="004F6865"/>
    <w:rsid w:val="00504315"/>
    <w:rsid w:val="00504EFC"/>
    <w:rsid w:val="00505BC9"/>
    <w:rsid w:val="005063DE"/>
    <w:rsid w:val="00506FF0"/>
    <w:rsid w:val="005073C6"/>
    <w:rsid w:val="00507EC4"/>
    <w:rsid w:val="005107A4"/>
    <w:rsid w:val="005114F2"/>
    <w:rsid w:val="005117CC"/>
    <w:rsid w:val="0051246A"/>
    <w:rsid w:val="00512DE8"/>
    <w:rsid w:val="005132E2"/>
    <w:rsid w:val="00514F91"/>
    <w:rsid w:val="00515AE5"/>
    <w:rsid w:val="00515F66"/>
    <w:rsid w:val="00517752"/>
    <w:rsid w:val="00521F8E"/>
    <w:rsid w:val="0052299B"/>
    <w:rsid w:val="00524990"/>
    <w:rsid w:val="00525E3E"/>
    <w:rsid w:val="00527C66"/>
    <w:rsid w:val="005300D6"/>
    <w:rsid w:val="00531FCB"/>
    <w:rsid w:val="00533D6E"/>
    <w:rsid w:val="005352F5"/>
    <w:rsid w:val="00535FD4"/>
    <w:rsid w:val="0054012A"/>
    <w:rsid w:val="00540572"/>
    <w:rsid w:val="00542129"/>
    <w:rsid w:val="00543C45"/>
    <w:rsid w:val="00543FD3"/>
    <w:rsid w:val="0054466C"/>
    <w:rsid w:val="0054647D"/>
    <w:rsid w:val="005467A0"/>
    <w:rsid w:val="005472C1"/>
    <w:rsid w:val="005474A0"/>
    <w:rsid w:val="005516F3"/>
    <w:rsid w:val="005522D5"/>
    <w:rsid w:val="00555A1B"/>
    <w:rsid w:val="0055701C"/>
    <w:rsid w:val="00560220"/>
    <w:rsid w:val="0056172E"/>
    <w:rsid w:val="00565748"/>
    <w:rsid w:val="00570274"/>
    <w:rsid w:val="00570F9B"/>
    <w:rsid w:val="005723CF"/>
    <w:rsid w:val="00573FB1"/>
    <w:rsid w:val="00575F3B"/>
    <w:rsid w:val="0058089B"/>
    <w:rsid w:val="00580BF2"/>
    <w:rsid w:val="00582944"/>
    <w:rsid w:val="00583869"/>
    <w:rsid w:val="0058606F"/>
    <w:rsid w:val="0058695A"/>
    <w:rsid w:val="00592027"/>
    <w:rsid w:val="0059487B"/>
    <w:rsid w:val="00596868"/>
    <w:rsid w:val="005A36E3"/>
    <w:rsid w:val="005A3C8A"/>
    <w:rsid w:val="005A3F83"/>
    <w:rsid w:val="005B0550"/>
    <w:rsid w:val="005B43BF"/>
    <w:rsid w:val="005B548D"/>
    <w:rsid w:val="005B5AD3"/>
    <w:rsid w:val="005B5D9A"/>
    <w:rsid w:val="005B6807"/>
    <w:rsid w:val="005B69DB"/>
    <w:rsid w:val="005B7452"/>
    <w:rsid w:val="005C0442"/>
    <w:rsid w:val="005C0E87"/>
    <w:rsid w:val="005C28B5"/>
    <w:rsid w:val="005C3943"/>
    <w:rsid w:val="005C51C8"/>
    <w:rsid w:val="005C60A5"/>
    <w:rsid w:val="005C77BF"/>
    <w:rsid w:val="005D07B2"/>
    <w:rsid w:val="005D1AAB"/>
    <w:rsid w:val="005D4A0E"/>
    <w:rsid w:val="005D51C8"/>
    <w:rsid w:val="005D58B2"/>
    <w:rsid w:val="005D59E2"/>
    <w:rsid w:val="005D650F"/>
    <w:rsid w:val="005D67E7"/>
    <w:rsid w:val="005D7052"/>
    <w:rsid w:val="005E5849"/>
    <w:rsid w:val="005E5E7F"/>
    <w:rsid w:val="005E600A"/>
    <w:rsid w:val="005E7F24"/>
    <w:rsid w:val="005F2719"/>
    <w:rsid w:val="005F2F3D"/>
    <w:rsid w:val="005F4536"/>
    <w:rsid w:val="005F5E52"/>
    <w:rsid w:val="005F5F9C"/>
    <w:rsid w:val="005F6A22"/>
    <w:rsid w:val="0060028C"/>
    <w:rsid w:val="006032DC"/>
    <w:rsid w:val="00603BC5"/>
    <w:rsid w:val="00604416"/>
    <w:rsid w:val="00604EF2"/>
    <w:rsid w:val="00605791"/>
    <w:rsid w:val="00607A71"/>
    <w:rsid w:val="00611827"/>
    <w:rsid w:val="00613E6B"/>
    <w:rsid w:val="00617B8E"/>
    <w:rsid w:val="00617ECA"/>
    <w:rsid w:val="00621D05"/>
    <w:rsid w:val="00624DF2"/>
    <w:rsid w:val="00625479"/>
    <w:rsid w:val="006262A1"/>
    <w:rsid w:val="00626E80"/>
    <w:rsid w:val="00627996"/>
    <w:rsid w:val="00627C0B"/>
    <w:rsid w:val="0063048E"/>
    <w:rsid w:val="00631254"/>
    <w:rsid w:val="00631371"/>
    <w:rsid w:val="00633BBF"/>
    <w:rsid w:val="006361B8"/>
    <w:rsid w:val="00637851"/>
    <w:rsid w:val="00640917"/>
    <w:rsid w:val="00640C28"/>
    <w:rsid w:val="00642710"/>
    <w:rsid w:val="006474D5"/>
    <w:rsid w:val="00650E63"/>
    <w:rsid w:val="006552E8"/>
    <w:rsid w:val="006568C2"/>
    <w:rsid w:val="00656B01"/>
    <w:rsid w:val="00657A4D"/>
    <w:rsid w:val="006613BC"/>
    <w:rsid w:val="00661BFE"/>
    <w:rsid w:val="00662190"/>
    <w:rsid w:val="00662796"/>
    <w:rsid w:val="00666A71"/>
    <w:rsid w:val="006757A9"/>
    <w:rsid w:val="006760CB"/>
    <w:rsid w:val="006825A8"/>
    <w:rsid w:val="00682BC5"/>
    <w:rsid w:val="00685865"/>
    <w:rsid w:val="00685FBE"/>
    <w:rsid w:val="006867FD"/>
    <w:rsid w:val="00686BF3"/>
    <w:rsid w:val="006906D3"/>
    <w:rsid w:val="006A0527"/>
    <w:rsid w:val="006A21D1"/>
    <w:rsid w:val="006A400D"/>
    <w:rsid w:val="006A44F1"/>
    <w:rsid w:val="006A5671"/>
    <w:rsid w:val="006B0CA0"/>
    <w:rsid w:val="006B1285"/>
    <w:rsid w:val="006B2808"/>
    <w:rsid w:val="006B3A2F"/>
    <w:rsid w:val="006B520D"/>
    <w:rsid w:val="006C1ED7"/>
    <w:rsid w:val="006C3F77"/>
    <w:rsid w:val="006C6AC0"/>
    <w:rsid w:val="006D0503"/>
    <w:rsid w:val="006D1560"/>
    <w:rsid w:val="006E438F"/>
    <w:rsid w:val="006E51E2"/>
    <w:rsid w:val="006E5F4D"/>
    <w:rsid w:val="006E645F"/>
    <w:rsid w:val="006E65FD"/>
    <w:rsid w:val="006E6DFF"/>
    <w:rsid w:val="006F4E28"/>
    <w:rsid w:val="006F5D16"/>
    <w:rsid w:val="0070191D"/>
    <w:rsid w:val="0070277B"/>
    <w:rsid w:val="007030C7"/>
    <w:rsid w:val="007037F4"/>
    <w:rsid w:val="00703DE2"/>
    <w:rsid w:val="0070408F"/>
    <w:rsid w:val="00704289"/>
    <w:rsid w:val="00706BE4"/>
    <w:rsid w:val="007102B3"/>
    <w:rsid w:val="007103FF"/>
    <w:rsid w:val="00710EA7"/>
    <w:rsid w:val="00712840"/>
    <w:rsid w:val="00712D1D"/>
    <w:rsid w:val="00713311"/>
    <w:rsid w:val="00715DED"/>
    <w:rsid w:val="007202F1"/>
    <w:rsid w:val="00720D25"/>
    <w:rsid w:val="00722B4C"/>
    <w:rsid w:val="00722E42"/>
    <w:rsid w:val="00723200"/>
    <w:rsid w:val="007242D1"/>
    <w:rsid w:val="00725474"/>
    <w:rsid w:val="0072778B"/>
    <w:rsid w:val="00730049"/>
    <w:rsid w:val="00731178"/>
    <w:rsid w:val="00731CAB"/>
    <w:rsid w:val="007350B4"/>
    <w:rsid w:val="00736E51"/>
    <w:rsid w:val="007402D2"/>
    <w:rsid w:val="00740E05"/>
    <w:rsid w:val="00743DDD"/>
    <w:rsid w:val="007442E3"/>
    <w:rsid w:val="00745E6D"/>
    <w:rsid w:val="00746C4A"/>
    <w:rsid w:val="00747409"/>
    <w:rsid w:val="00747548"/>
    <w:rsid w:val="00752598"/>
    <w:rsid w:val="00753E95"/>
    <w:rsid w:val="00760411"/>
    <w:rsid w:val="00761556"/>
    <w:rsid w:val="00766E95"/>
    <w:rsid w:val="00774219"/>
    <w:rsid w:val="00775723"/>
    <w:rsid w:val="00775BBE"/>
    <w:rsid w:val="00776474"/>
    <w:rsid w:val="00777624"/>
    <w:rsid w:val="00780E18"/>
    <w:rsid w:val="0078172D"/>
    <w:rsid w:val="00781EFF"/>
    <w:rsid w:val="00784906"/>
    <w:rsid w:val="00785B2D"/>
    <w:rsid w:val="00786207"/>
    <w:rsid w:val="007868DF"/>
    <w:rsid w:val="00787D9C"/>
    <w:rsid w:val="00791450"/>
    <w:rsid w:val="007929FC"/>
    <w:rsid w:val="00794DB6"/>
    <w:rsid w:val="00797E4D"/>
    <w:rsid w:val="007A4967"/>
    <w:rsid w:val="007A53C1"/>
    <w:rsid w:val="007A7979"/>
    <w:rsid w:val="007B0B01"/>
    <w:rsid w:val="007B0ECA"/>
    <w:rsid w:val="007B174A"/>
    <w:rsid w:val="007B1B95"/>
    <w:rsid w:val="007B404C"/>
    <w:rsid w:val="007C1E79"/>
    <w:rsid w:val="007C52B3"/>
    <w:rsid w:val="007C6B20"/>
    <w:rsid w:val="007C7671"/>
    <w:rsid w:val="007D0554"/>
    <w:rsid w:val="007D0816"/>
    <w:rsid w:val="007D191E"/>
    <w:rsid w:val="007D1961"/>
    <w:rsid w:val="007D2DBB"/>
    <w:rsid w:val="007D3E7B"/>
    <w:rsid w:val="007D52F8"/>
    <w:rsid w:val="007D57F7"/>
    <w:rsid w:val="007D5F87"/>
    <w:rsid w:val="007D7E86"/>
    <w:rsid w:val="007E08A2"/>
    <w:rsid w:val="007E2861"/>
    <w:rsid w:val="007E2D73"/>
    <w:rsid w:val="007E32CD"/>
    <w:rsid w:val="007E53E1"/>
    <w:rsid w:val="007E6720"/>
    <w:rsid w:val="007E67BF"/>
    <w:rsid w:val="007F2F0F"/>
    <w:rsid w:val="007F550C"/>
    <w:rsid w:val="007F6190"/>
    <w:rsid w:val="007F6303"/>
    <w:rsid w:val="007F7874"/>
    <w:rsid w:val="00800032"/>
    <w:rsid w:val="00800383"/>
    <w:rsid w:val="00800465"/>
    <w:rsid w:val="008017F2"/>
    <w:rsid w:val="008018B5"/>
    <w:rsid w:val="00801D69"/>
    <w:rsid w:val="00802A94"/>
    <w:rsid w:val="00803999"/>
    <w:rsid w:val="00807BFF"/>
    <w:rsid w:val="00813180"/>
    <w:rsid w:val="008156AC"/>
    <w:rsid w:val="008158AC"/>
    <w:rsid w:val="0081645F"/>
    <w:rsid w:val="008169EF"/>
    <w:rsid w:val="0082090C"/>
    <w:rsid w:val="00821DE1"/>
    <w:rsid w:val="00822A17"/>
    <w:rsid w:val="00822B6C"/>
    <w:rsid w:val="008275EE"/>
    <w:rsid w:val="00832FD7"/>
    <w:rsid w:val="0083420B"/>
    <w:rsid w:val="008344D1"/>
    <w:rsid w:val="00834E6A"/>
    <w:rsid w:val="00836D05"/>
    <w:rsid w:val="00842441"/>
    <w:rsid w:val="008429C5"/>
    <w:rsid w:val="00844BEE"/>
    <w:rsid w:val="00846965"/>
    <w:rsid w:val="00847D82"/>
    <w:rsid w:val="00850188"/>
    <w:rsid w:val="00850EFB"/>
    <w:rsid w:val="00851AE0"/>
    <w:rsid w:val="00851B71"/>
    <w:rsid w:val="00853BDB"/>
    <w:rsid w:val="00853EB5"/>
    <w:rsid w:val="00854825"/>
    <w:rsid w:val="00854C0D"/>
    <w:rsid w:val="00854FDF"/>
    <w:rsid w:val="00856FD6"/>
    <w:rsid w:val="00860109"/>
    <w:rsid w:val="00860B5B"/>
    <w:rsid w:val="00862CF5"/>
    <w:rsid w:val="008634E5"/>
    <w:rsid w:val="00870E6D"/>
    <w:rsid w:val="008759D0"/>
    <w:rsid w:val="00881FF0"/>
    <w:rsid w:val="0088590B"/>
    <w:rsid w:val="00890E98"/>
    <w:rsid w:val="008929D0"/>
    <w:rsid w:val="00893479"/>
    <w:rsid w:val="00893E97"/>
    <w:rsid w:val="008944A3"/>
    <w:rsid w:val="00896697"/>
    <w:rsid w:val="008A4E5F"/>
    <w:rsid w:val="008A5AE5"/>
    <w:rsid w:val="008A602F"/>
    <w:rsid w:val="008A6095"/>
    <w:rsid w:val="008B14C4"/>
    <w:rsid w:val="008B2491"/>
    <w:rsid w:val="008B4637"/>
    <w:rsid w:val="008B5AA2"/>
    <w:rsid w:val="008C002C"/>
    <w:rsid w:val="008C3631"/>
    <w:rsid w:val="008C3CEA"/>
    <w:rsid w:val="008C67CA"/>
    <w:rsid w:val="008D00E8"/>
    <w:rsid w:val="008D0498"/>
    <w:rsid w:val="008D0E3B"/>
    <w:rsid w:val="008D128E"/>
    <w:rsid w:val="008D1D16"/>
    <w:rsid w:val="008D25B6"/>
    <w:rsid w:val="008D2782"/>
    <w:rsid w:val="008E016D"/>
    <w:rsid w:val="008E09CA"/>
    <w:rsid w:val="008E4D07"/>
    <w:rsid w:val="008E7F86"/>
    <w:rsid w:val="008F36B9"/>
    <w:rsid w:val="008F5EA5"/>
    <w:rsid w:val="008F6EB6"/>
    <w:rsid w:val="00901510"/>
    <w:rsid w:val="00901A26"/>
    <w:rsid w:val="00903128"/>
    <w:rsid w:val="00903A21"/>
    <w:rsid w:val="00906E18"/>
    <w:rsid w:val="009103AC"/>
    <w:rsid w:val="009143FB"/>
    <w:rsid w:val="00915C8B"/>
    <w:rsid w:val="0091656F"/>
    <w:rsid w:val="00920455"/>
    <w:rsid w:val="00922EA2"/>
    <w:rsid w:val="00923554"/>
    <w:rsid w:val="00923713"/>
    <w:rsid w:val="00935459"/>
    <w:rsid w:val="009413B8"/>
    <w:rsid w:val="009430AC"/>
    <w:rsid w:val="0094470E"/>
    <w:rsid w:val="009451CB"/>
    <w:rsid w:val="009471D1"/>
    <w:rsid w:val="0094760B"/>
    <w:rsid w:val="00951A7D"/>
    <w:rsid w:val="0095227F"/>
    <w:rsid w:val="009531E4"/>
    <w:rsid w:val="00955AF7"/>
    <w:rsid w:val="00956137"/>
    <w:rsid w:val="0096018A"/>
    <w:rsid w:val="00961209"/>
    <w:rsid w:val="00961CA2"/>
    <w:rsid w:val="00962024"/>
    <w:rsid w:val="0096237A"/>
    <w:rsid w:val="00965575"/>
    <w:rsid w:val="009671EF"/>
    <w:rsid w:val="00972512"/>
    <w:rsid w:val="0097268A"/>
    <w:rsid w:val="0097373B"/>
    <w:rsid w:val="00976AF8"/>
    <w:rsid w:val="00977E50"/>
    <w:rsid w:val="009808DB"/>
    <w:rsid w:val="00980BB2"/>
    <w:rsid w:val="00981803"/>
    <w:rsid w:val="00983976"/>
    <w:rsid w:val="0098428C"/>
    <w:rsid w:val="00986F88"/>
    <w:rsid w:val="00987A3A"/>
    <w:rsid w:val="00992FA8"/>
    <w:rsid w:val="00995FE6"/>
    <w:rsid w:val="009A05A7"/>
    <w:rsid w:val="009A188F"/>
    <w:rsid w:val="009A29DA"/>
    <w:rsid w:val="009A5B10"/>
    <w:rsid w:val="009A70D8"/>
    <w:rsid w:val="009A7C0B"/>
    <w:rsid w:val="009B18E1"/>
    <w:rsid w:val="009B309E"/>
    <w:rsid w:val="009B30D9"/>
    <w:rsid w:val="009B66AA"/>
    <w:rsid w:val="009C2AEA"/>
    <w:rsid w:val="009C6DD3"/>
    <w:rsid w:val="009C7626"/>
    <w:rsid w:val="009D1541"/>
    <w:rsid w:val="009D1CD1"/>
    <w:rsid w:val="009D20F2"/>
    <w:rsid w:val="009D4EDA"/>
    <w:rsid w:val="009D7365"/>
    <w:rsid w:val="009E0B1E"/>
    <w:rsid w:val="009E2403"/>
    <w:rsid w:val="009E3615"/>
    <w:rsid w:val="009E3ABB"/>
    <w:rsid w:val="009E3D62"/>
    <w:rsid w:val="009F1526"/>
    <w:rsid w:val="009F24E4"/>
    <w:rsid w:val="009F55D4"/>
    <w:rsid w:val="009F7B8D"/>
    <w:rsid w:val="00A046E3"/>
    <w:rsid w:val="00A04F48"/>
    <w:rsid w:val="00A05511"/>
    <w:rsid w:val="00A15D25"/>
    <w:rsid w:val="00A15FD8"/>
    <w:rsid w:val="00A20C58"/>
    <w:rsid w:val="00A220EF"/>
    <w:rsid w:val="00A247CD"/>
    <w:rsid w:val="00A265DF"/>
    <w:rsid w:val="00A3206B"/>
    <w:rsid w:val="00A3220B"/>
    <w:rsid w:val="00A33486"/>
    <w:rsid w:val="00A33736"/>
    <w:rsid w:val="00A3493F"/>
    <w:rsid w:val="00A35354"/>
    <w:rsid w:val="00A364BC"/>
    <w:rsid w:val="00A40D24"/>
    <w:rsid w:val="00A41DC2"/>
    <w:rsid w:val="00A42783"/>
    <w:rsid w:val="00A427FE"/>
    <w:rsid w:val="00A42967"/>
    <w:rsid w:val="00A434EF"/>
    <w:rsid w:val="00A435EB"/>
    <w:rsid w:val="00A44DAC"/>
    <w:rsid w:val="00A44FB5"/>
    <w:rsid w:val="00A52F00"/>
    <w:rsid w:val="00A55140"/>
    <w:rsid w:val="00A55530"/>
    <w:rsid w:val="00A55E30"/>
    <w:rsid w:val="00A56A87"/>
    <w:rsid w:val="00A57F33"/>
    <w:rsid w:val="00A629AC"/>
    <w:rsid w:val="00A66647"/>
    <w:rsid w:val="00A66E81"/>
    <w:rsid w:val="00A673EB"/>
    <w:rsid w:val="00A67B28"/>
    <w:rsid w:val="00A67B86"/>
    <w:rsid w:val="00A70225"/>
    <w:rsid w:val="00A70400"/>
    <w:rsid w:val="00A72496"/>
    <w:rsid w:val="00A72603"/>
    <w:rsid w:val="00A73A2F"/>
    <w:rsid w:val="00A743E1"/>
    <w:rsid w:val="00A76C79"/>
    <w:rsid w:val="00A80293"/>
    <w:rsid w:val="00A810CD"/>
    <w:rsid w:val="00A81A7B"/>
    <w:rsid w:val="00A825E5"/>
    <w:rsid w:val="00A82F52"/>
    <w:rsid w:val="00A83001"/>
    <w:rsid w:val="00A84F00"/>
    <w:rsid w:val="00A91296"/>
    <w:rsid w:val="00A920E5"/>
    <w:rsid w:val="00A93FC1"/>
    <w:rsid w:val="00A969F6"/>
    <w:rsid w:val="00AA0188"/>
    <w:rsid w:val="00AA28B4"/>
    <w:rsid w:val="00AA6218"/>
    <w:rsid w:val="00AA6A5E"/>
    <w:rsid w:val="00AB3147"/>
    <w:rsid w:val="00AB4A86"/>
    <w:rsid w:val="00AC2B2D"/>
    <w:rsid w:val="00AC4DF8"/>
    <w:rsid w:val="00AC4EFE"/>
    <w:rsid w:val="00AD12F4"/>
    <w:rsid w:val="00AD168B"/>
    <w:rsid w:val="00AD1949"/>
    <w:rsid w:val="00AE0609"/>
    <w:rsid w:val="00AE0E61"/>
    <w:rsid w:val="00AE10CB"/>
    <w:rsid w:val="00AE23BF"/>
    <w:rsid w:val="00AE52B2"/>
    <w:rsid w:val="00AE63D5"/>
    <w:rsid w:val="00AE7619"/>
    <w:rsid w:val="00AF361F"/>
    <w:rsid w:val="00AF543F"/>
    <w:rsid w:val="00AF6BAB"/>
    <w:rsid w:val="00B00638"/>
    <w:rsid w:val="00B024FE"/>
    <w:rsid w:val="00B0398F"/>
    <w:rsid w:val="00B04F55"/>
    <w:rsid w:val="00B05B5F"/>
    <w:rsid w:val="00B06115"/>
    <w:rsid w:val="00B0751C"/>
    <w:rsid w:val="00B12DE7"/>
    <w:rsid w:val="00B12E5F"/>
    <w:rsid w:val="00B14265"/>
    <w:rsid w:val="00B142A8"/>
    <w:rsid w:val="00B14DFD"/>
    <w:rsid w:val="00B177C9"/>
    <w:rsid w:val="00B20C44"/>
    <w:rsid w:val="00B235C2"/>
    <w:rsid w:val="00B26413"/>
    <w:rsid w:val="00B268B2"/>
    <w:rsid w:val="00B3042A"/>
    <w:rsid w:val="00B304FD"/>
    <w:rsid w:val="00B3179F"/>
    <w:rsid w:val="00B319D0"/>
    <w:rsid w:val="00B35542"/>
    <w:rsid w:val="00B414A6"/>
    <w:rsid w:val="00B41C9C"/>
    <w:rsid w:val="00B42965"/>
    <w:rsid w:val="00B45F8C"/>
    <w:rsid w:val="00B4677F"/>
    <w:rsid w:val="00B47D6F"/>
    <w:rsid w:val="00B51AAC"/>
    <w:rsid w:val="00B53805"/>
    <w:rsid w:val="00B572B0"/>
    <w:rsid w:val="00B57A58"/>
    <w:rsid w:val="00B647FD"/>
    <w:rsid w:val="00B66083"/>
    <w:rsid w:val="00B7008F"/>
    <w:rsid w:val="00B70663"/>
    <w:rsid w:val="00B75210"/>
    <w:rsid w:val="00B76175"/>
    <w:rsid w:val="00B77480"/>
    <w:rsid w:val="00B804DA"/>
    <w:rsid w:val="00B80CBB"/>
    <w:rsid w:val="00B85A4C"/>
    <w:rsid w:val="00B85D0F"/>
    <w:rsid w:val="00B907A6"/>
    <w:rsid w:val="00B925C6"/>
    <w:rsid w:val="00B936F6"/>
    <w:rsid w:val="00B94373"/>
    <w:rsid w:val="00B950C0"/>
    <w:rsid w:val="00B95901"/>
    <w:rsid w:val="00B96862"/>
    <w:rsid w:val="00B969D5"/>
    <w:rsid w:val="00BA0C4A"/>
    <w:rsid w:val="00BA11F5"/>
    <w:rsid w:val="00BA1275"/>
    <w:rsid w:val="00BA2CFE"/>
    <w:rsid w:val="00BA7E86"/>
    <w:rsid w:val="00BB186F"/>
    <w:rsid w:val="00BB454B"/>
    <w:rsid w:val="00BB57CE"/>
    <w:rsid w:val="00BB59CE"/>
    <w:rsid w:val="00BB6C62"/>
    <w:rsid w:val="00BB6FC8"/>
    <w:rsid w:val="00BC0846"/>
    <w:rsid w:val="00BC0F96"/>
    <w:rsid w:val="00BC1C66"/>
    <w:rsid w:val="00BC221B"/>
    <w:rsid w:val="00BC451A"/>
    <w:rsid w:val="00BC71EB"/>
    <w:rsid w:val="00BD06AD"/>
    <w:rsid w:val="00BD07E8"/>
    <w:rsid w:val="00BD14DB"/>
    <w:rsid w:val="00BD2466"/>
    <w:rsid w:val="00BD3813"/>
    <w:rsid w:val="00BE3D82"/>
    <w:rsid w:val="00BE509D"/>
    <w:rsid w:val="00BF0E87"/>
    <w:rsid w:val="00BF295D"/>
    <w:rsid w:val="00BF4F6F"/>
    <w:rsid w:val="00BF7EAB"/>
    <w:rsid w:val="00C00D41"/>
    <w:rsid w:val="00C011CA"/>
    <w:rsid w:val="00C0291D"/>
    <w:rsid w:val="00C039F5"/>
    <w:rsid w:val="00C07A56"/>
    <w:rsid w:val="00C13200"/>
    <w:rsid w:val="00C13686"/>
    <w:rsid w:val="00C1446B"/>
    <w:rsid w:val="00C14E21"/>
    <w:rsid w:val="00C15AD7"/>
    <w:rsid w:val="00C21C37"/>
    <w:rsid w:val="00C32017"/>
    <w:rsid w:val="00C320D4"/>
    <w:rsid w:val="00C32255"/>
    <w:rsid w:val="00C3257C"/>
    <w:rsid w:val="00C33C4F"/>
    <w:rsid w:val="00C34C45"/>
    <w:rsid w:val="00C35234"/>
    <w:rsid w:val="00C3543E"/>
    <w:rsid w:val="00C35547"/>
    <w:rsid w:val="00C37EE6"/>
    <w:rsid w:val="00C40447"/>
    <w:rsid w:val="00C406E5"/>
    <w:rsid w:val="00C40751"/>
    <w:rsid w:val="00C40AA3"/>
    <w:rsid w:val="00C40CB3"/>
    <w:rsid w:val="00C44C32"/>
    <w:rsid w:val="00C47BCA"/>
    <w:rsid w:val="00C50A36"/>
    <w:rsid w:val="00C53B7B"/>
    <w:rsid w:val="00C562F5"/>
    <w:rsid w:val="00C5647C"/>
    <w:rsid w:val="00C57C3B"/>
    <w:rsid w:val="00C64858"/>
    <w:rsid w:val="00C66A1A"/>
    <w:rsid w:val="00C672BC"/>
    <w:rsid w:val="00C70146"/>
    <w:rsid w:val="00C74DF5"/>
    <w:rsid w:val="00C7796F"/>
    <w:rsid w:val="00C813A6"/>
    <w:rsid w:val="00C822A4"/>
    <w:rsid w:val="00C83B9B"/>
    <w:rsid w:val="00C83C74"/>
    <w:rsid w:val="00C86384"/>
    <w:rsid w:val="00C87509"/>
    <w:rsid w:val="00C878B0"/>
    <w:rsid w:val="00CA0D07"/>
    <w:rsid w:val="00CA1878"/>
    <w:rsid w:val="00CA215F"/>
    <w:rsid w:val="00CA239D"/>
    <w:rsid w:val="00CA3485"/>
    <w:rsid w:val="00CA497D"/>
    <w:rsid w:val="00CB020A"/>
    <w:rsid w:val="00CB12E9"/>
    <w:rsid w:val="00CB2871"/>
    <w:rsid w:val="00CB2E92"/>
    <w:rsid w:val="00CB3BA0"/>
    <w:rsid w:val="00CB5002"/>
    <w:rsid w:val="00CB5B8C"/>
    <w:rsid w:val="00CB5CDA"/>
    <w:rsid w:val="00CB6711"/>
    <w:rsid w:val="00CB675F"/>
    <w:rsid w:val="00CC054E"/>
    <w:rsid w:val="00CC0775"/>
    <w:rsid w:val="00CC34D4"/>
    <w:rsid w:val="00CC3776"/>
    <w:rsid w:val="00CC5DDC"/>
    <w:rsid w:val="00CD1629"/>
    <w:rsid w:val="00CD4FA5"/>
    <w:rsid w:val="00CD5822"/>
    <w:rsid w:val="00CD7CBE"/>
    <w:rsid w:val="00CE05AD"/>
    <w:rsid w:val="00CE2AEB"/>
    <w:rsid w:val="00CE3A3D"/>
    <w:rsid w:val="00CE3E37"/>
    <w:rsid w:val="00CE3FFF"/>
    <w:rsid w:val="00CE532B"/>
    <w:rsid w:val="00CE7678"/>
    <w:rsid w:val="00CE7F16"/>
    <w:rsid w:val="00CF081A"/>
    <w:rsid w:val="00CF3A4F"/>
    <w:rsid w:val="00CF684B"/>
    <w:rsid w:val="00D008C3"/>
    <w:rsid w:val="00D01CB0"/>
    <w:rsid w:val="00D035FD"/>
    <w:rsid w:val="00D071F3"/>
    <w:rsid w:val="00D07AC3"/>
    <w:rsid w:val="00D1119E"/>
    <w:rsid w:val="00D13DE2"/>
    <w:rsid w:val="00D13F7F"/>
    <w:rsid w:val="00D14754"/>
    <w:rsid w:val="00D17CB5"/>
    <w:rsid w:val="00D202CE"/>
    <w:rsid w:val="00D21F50"/>
    <w:rsid w:val="00D25D42"/>
    <w:rsid w:val="00D26799"/>
    <w:rsid w:val="00D300A2"/>
    <w:rsid w:val="00D30F52"/>
    <w:rsid w:val="00D335F0"/>
    <w:rsid w:val="00D34049"/>
    <w:rsid w:val="00D35C24"/>
    <w:rsid w:val="00D36795"/>
    <w:rsid w:val="00D37860"/>
    <w:rsid w:val="00D426F8"/>
    <w:rsid w:val="00D4382C"/>
    <w:rsid w:val="00D447B2"/>
    <w:rsid w:val="00D44977"/>
    <w:rsid w:val="00D44DEA"/>
    <w:rsid w:val="00D456F1"/>
    <w:rsid w:val="00D4591E"/>
    <w:rsid w:val="00D548E2"/>
    <w:rsid w:val="00D5606C"/>
    <w:rsid w:val="00D569FC"/>
    <w:rsid w:val="00D62B18"/>
    <w:rsid w:val="00D62BC3"/>
    <w:rsid w:val="00D62E3F"/>
    <w:rsid w:val="00D631C4"/>
    <w:rsid w:val="00D65393"/>
    <w:rsid w:val="00D656CC"/>
    <w:rsid w:val="00D70C84"/>
    <w:rsid w:val="00D71B84"/>
    <w:rsid w:val="00D72E28"/>
    <w:rsid w:val="00D74443"/>
    <w:rsid w:val="00D763EF"/>
    <w:rsid w:val="00D808DA"/>
    <w:rsid w:val="00D80A79"/>
    <w:rsid w:val="00D80B64"/>
    <w:rsid w:val="00D852BA"/>
    <w:rsid w:val="00D92A32"/>
    <w:rsid w:val="00D932DB"/>
    <w:rsid w:val="00DA141C"/>
    <w:rsid w:val="00DA5511"/>
    <w:rsid w:val="00DA6BA2"/>
    <w:rsid w:val="00DA6E85"/>
    <w:rsid w:val="00DA7965"/>
    <w:rsid w:val="00DB1C01"/>
    <w:rsid w:val="00DB2BA3"/>
    <w:rsid w:val="00DB317D"/>
    <w:rsid w:val="00DB32A9"/>
    <w:rsid w:val="00DB46BA"/>
    <w:rsid w:val="00DB59B1"/>
    <w:rsid w:val="00DB626B"/>
    <w:rsid w:val="00DB62BE"/>
    <w:rsid w:val="00DB6EF1"/>
    <w:rsid w:val="00DB7E90"/>
    <w:rsid w:val="00DC3F5A"/>
    <w:rsid w:val="00DC5399"/>
    <w:rsid w:val="00DC6773"/>
    <w:rsid w:val="00DC73ED"/>
    <w:rsid w:val="00DD029B"/>
    <w:rsid w:val="00DD17DD"/>
    <w:rsid w:val="00DD3A09"/>
    <w:rsid w:val="00DD464C"/>
    <w:rsid w:val="00DD4AD5"/>
    <w:rsid w:val="00DD5873"/>
    <w:rsid w:val="00DE08BE"/>
    <w:rsid w:val="00DE43EB"/>
    <w:rsid w:val="00DE4563"/>
    <w:rsid w:val="00DE4DCD"/>
    <w:rsid w:val="00DE6A9B"/>
    <w:rsid w:val="00DE7AA1"/>
    <w:rsid w:val="00DE7DBA"/>
    <w:rsid w:val="00DF0101"/>
    <w:rsid w:val="00DF3630"/>
    <w:rsid w:val="00E00882"/>
    <w:rsid w:val="00E02648"/>
    <w:rsid w:val="00E0591C"/>
    <w:rsid w:val="00E064BE"/>
    <w:rsid w:val="00E06A12"/>
    <w:rsid w:val="00E07FA9"/>
    <w:rsid w:val="00E108DB"/>
    <w:rsid w:val="00E1250A"/>
    <w:rsid w:val="00E1267D"/>
    <w:rsid w:val="00E13361"/>
    <w:rsid w:val="00E15115"/>
    <w:rsid w:val="00E157F5"/>
    <w:rsid w:val="00E1765C"/>
    <w:rsid w:val="00E22266"/>
    <w:rsid w:val="00E2277B"/>
    <w:rsid w:val="00E2389C"/>
    <w:rsid w:val="00E266EA"/>
    <w:rsid w:val="00E32833"/>
    <w:rsid w:val="00E32F27"/>
    <w:rsid w:val="00E33BDF"/>
    <w:rsid w:val="00E34D58"/>
    <w:rsid w:val="00E36264"/>
    <w:rsid w:val="00E36D58"/>
    <w:rsid w:val="00E454F8"/>
    <w:rsid w:val="00E45F28"/>
    <w:rsid w:val="00E5533D"/>
    <w:rsid w:val="00E567C6"/>
    <w:rsid w:val="00E600DC"/>
    <w:rsid w:val="00E61D36"/>
    <w:rsid w:val="00E635EC"/>
    <w:rsid w:val="00E64F1D"/>
    <w:rsid w:val="00E66000"/>
    <w:rsid w:val="00E67FF6"/>
    <w:rsid w:val="00E72232"/>
    <w:rsid w:val="00E773B9"/>
    <w:rsid w:val="00E83CBC"/>
    <w:rsid w:val="00E83DF0"/>
    <w:rsid w:val="00E90EF9"/>
    <w:rsid w:val="00E9115C"/>
    <w:rsid w:val="00E912AF"/>
    <w:rsid w:val="00E93F84"/>
    <w:rsid w:val="00E943AE"/>
    <w:rsid w:val="00E961FB"/>
    <w:rsid w:val="00EA1048"/>
    <w:rsid w:val="00EA32FC"/>
    <w:rsid w:val="00EA5F4F"/>
    <w:rsid w:val="00EB1C10"/>
    <w:rsid w:val="00EB51D0"/>
    <w:rsid w:val="00EB5C57"/>
    <w:rsid w:val="00EB5F44"/>
    <w:rsid w:val="00EB6E3B"/>
    <w:rsid w:val="00EC4A44"/>
    <w:rsid w:val="00EC51D6"/>
    <w:rsid w:val="00EC58C8"/>
    <w:rsid w:val="00EC638E"/>
    <w:rsid w:val="00ED0231"/>
    <w:rsid w:val="00ED38BE"/>
    <w:rsid w:val="00ED6C78"/>
    <w:rsid w:val="00ED7333"/>
    <w:rsid w:val="00EE04A8"/>
    <w:rsid w:val="00EE3472"/>
    <w:rsid w:val="00EE7D92"/>
    <w:rsid w:val="00EF1910"/>
    <w:rsid w:val="00EF197E"/>
    <w:rsid w:val="00EF1BAE"/>
    <w:rsid w:val="00EF30D3"/>
    <w:rsid w:val="00EF3F73"/>
    <w:rsid w:val="00EF7964"/>
    <w:rsid w:val="00F00884"/>
    <w:rsid w:val="00F021D4"/>
    <w:rsid w:val="00F0383E"/>
    <w:rsid w:val="00F03C63"/>
    <w:rsid w:val="00F053E4"/>
    <w:rsid w:val="00F06A0F"/>
    <w:rsid w:val="00F10923"/>
    <w:rsid w:val="00F15258"/>
    <w:rsid w:val="00F17295"/>
    <w:rsid w:val="00F21CB2"/>
    <w:rsid w:val="00F228A0"/>
    <w:rsid w:val="00F239B5"/>
    <w:rsid w:val="00F24D4D"/>
    <w:rsid w:val="00F2653B"/>
    <w:rsid w:val="00F26ECE"/>
    <w:rsid w:val="00F30B06"/>
    <w:rsid w:val="00F30D1C"/>
    <w:rsid w:val="00F35A73"/>
    <w:rsid w:val="00F36D4C"/>
    <w:rsid w:val="00F3748B"/>
    <w:rsid w:val="00F43D4C"/>
    <w:rsid w:val="00F44835"/>
    <w:rsid w:val="00F45001"/>
    <w:rsid w:val="00F474CA"/>
    <w:rsid w:val="00F47B4B"/>
    <w:rsid w:val="00F53284"/>
    <w:rsid w:val="00F55412"/>
    <w:rsid w:val="00F62A16"/>
    <w:rsid w:val="00F72014"/>
    <w:rsid w:val="00F7392E"/>
    <w:rsid w:val="00F74E13"/>
    <w:rsid w:val="00F76DE0"/>
    <w:rsid w:val="00F7776E"/>
    <w:rsid w:val="00F81405"/>
    <w:rsid w:val="00F82B9F"/>
    <w:rsid w:val="00F83A54"/>
    <w:rsid w:val="00F83DEF"/>
    <w:rsid w:val="00F8508D"/>
    <w:rsid w:val="00F85165"/>
    <w:rsid w:val="00F86738"/>
    <w:rsid w:val="00F90296"/>
    <w:rsid w:val="00F905A2"/>
    <w:rsid w:val="00F910C0"/>
    <w:rsid w:val="00F927A7"/>
    <w:rsid w:val="00F92905"/>
    <w:rsid w:val="00F96543"/>
    <w:rsid w:val="00FA17AB"/>
    <w:rsid w:val="00FA1EEF"/>
    <w:rsid w:val="00FA2372"/>
    <w:rsid w:val="00FA4351"/>
    <w:rsid w:val="00FA45DE"/>
    <w:rsid w:val="00FA4A39"/>
    <w:rsid w:val="00FA5793"/>
    <w:rsid w:val="00FA5799"/>
    <w:rsid w:val="00FA7AE1"/>
    <w:rsid w:val="00FC34E7"/>
    <w:rsid w:val="00FC3DE0"/>
    <w:rsid w:val="00FC42B9"/>
    <w:rsid w:val="00FC504D"/>
    <w:rsid w:val="00FC6595"/>
    <w:rsid w:val="00FC730B"/>
    <w:rsid w:val="00FD0BB4"/>
    <w:rsid w:val="00FD3177"/>
    <w:rsid w:val="00FD5727"/>
    <w:rsid w:val="00FD5819"/>
    <w:rsid w:val="00FD6954"/>
    <w:rsid w:val="00FE38AB"/>
    <w:rsid w:val="00FE415A"/>
    <w:rsid w:val="00FE5A97"/>
    <w:rsid w:val="00FE78D3"/>
    <w:rsid w:val="00FF299A"/>
    <w:rsid w:val="00FF525E"/>
    <w:rsid w:val="00FF7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47F62"/>
  <w15:docId w15:val="{D9B1A4E2-8787-4765-930B-B285905E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524"/>
    <w:rPr>
      <w:rFonts w:ascii="CG Omega" w:hAnsi="CG Omega"/>
      <w:sz w:val="22"/>
      <w:szCs w:val="24"/>
      <w:lang w:eastAsia="en-US"/>
    </w:rPr>
  </w:style>
  <w:style w:type="paragraph" w:styleId="Heading1">
    <w:name w:val="heading 1"/>
    <w:basedOn w:val="Normal"/>
    <w:next w:val="Normal"/>
    <w:link w:val="Heading1Char"/>
    <w:qFormat/>
    <w:rsid w:val="001A03E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DB32A9"/>
    <w:pPr>
      <w:keepNext/>
      <w:keepLines/>
      <w:spacing w:before="200"/>
      <w:outlineLvl w:val="1"/>
    </w:pPr>
    <w:rPr>
      <w:rFonts w:ascii="Times New Roman" w:hAnsi="Times New Roman"/>
      <w:b/>
      <w:bCs/>
      <w:color w:val="4F81BD"/>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7524"/>
    <w:pPr>
      <w:numPr>
        <w:ilvl w:val="12"/>
      </w:numPr>
      <w:spacing w:before="240"/>
    </w:pPr>
    <w:rPr>
      <w:rFonts w:ascii="Times New Roman" w:hAnsi="Times New Roman"/>
      <w:sz w:val="24"/>
      <w:szCs w:val="20"/>
      <w:lang w:eastAsia="en-AU"/>
    </w:rPr>
  </w:style>
  <w:style w:type="paragraph" w:customStyle="1" w:styleId="StyleLeft349cmRight-011cm">
    <w:name w:val="Style Left:  3.49 cm Right:  -0.11 cm"/>
    <w:basedOn w:val="Normal"/>
    <w:rsid w:val="003B7524"/>
    <w:pPr>
      <w:ind w:left="1979" w:right="1701"/>
    </w:pPr>
    <w:rPr>
      <w:rFonts w:ascii="Times New Roman" w:hAnsi="Times New Roman"/>
      <w:sz w:val="24"/>
      <w:szCs w:val="20"/>
      <w:lang w:eastAsia="en-AU"/>
    </w:rPr>
  </w:style>
  <w:style w:type="paragraph" w:styleId="Footer">
    <w:name w:val="footer"/>
    <w:basedOn w:val="Normal"/>
    <w:rsid w:val="003B7524"/>
    <w:pPr>
      <w:tabs>
        <w:tab w:val="center" w:pos="4153"/>
        <w:tab w:val="right" w:pos="8306"/>
      </w:tabs>
    </w:pPr>
  </w:style>
  <w:style w:type="character" w:styleId="PageNumber">
    <w:name w:val="page number"/>
    <w:basedOn w:val="DefaultParagraphFont"/>
    <w:rsid w:val="003B7524"/>
  </w:style>
  <w:style w:type="paragraph" w:customStyle="1" w:styleId="Default1">
    <w:name w:val="Default1"/>
    <w:basedOn w:val="Normal"/>
    <w:next w:val="Normal"/>
    <w:rsid w:val="003B7524"/>
    <w:pPr>
      <w:autoSpaceDE w:val="0"/>
      <w:autoSpaceDN w:val="0"/>
      <w:adjustRightInd w:val="0"/>
      <w:spacing w:after="240"/>
    </w:pPr>
    <w:rPr>
      <w:rFonts w:ascii="Times New Roman" w:hAnsi="Times New Roman"/>
      <w:sz w:val="24"/>
      <w:lang w:eastAsia="en-AU"/>
    </w:rPr>
  </w:style>
  <w:style w:type="paragraph" w:styleId="Header">
    <w:name w:val="header"/>
    <w:aliases w:val="h"/>
    <w:basedOn w:val="Normal"/>
    <w:link w:val="HeaderChar"/>
    <w:uiPriority w:val="99"/>
    <w:rsid w:val="003B7524"/>
    <w:pPr>
      <w:tabs>
        <w:tab w:val="center" w:pos="4153"/>
        <w:tab w:val="right" w:pos="8306"/>
      </w:tabs>
    </w:pPr>
  </w:style>
  <w:style w:type="paragraph" w:styleId="BalloonText">
    <w:name w:val="Balloon Text"/>
    <w:basedOn w:val="Normal"/>
    <w:semiHidden/>
    <w:rsid w:val="00146C29"/>
    <w:rPr>
      <w:rFonts w:ascii="Tahoma" w:hAnsi="Tahoma" w:cs="Tahoma"/>
      <w:sz w:val="16"/>
      <w:szCs w:val="16"/>
    </w:rPr>
  </w:style>
  <w:style w:type="character" w:styleId="CommentReference">
    <w:name w:val="annotation reference"/>
    <w:uiPriority w:val="99"/>
    <w:semiHidden/>
    <w:rsid w:val="0009363E"/>
    <w:rPr>
      <w:sz w:val="16"/>
      <w:szCs w:val="16"/>
    </w:rPr>
  </w:style>
  <w:style w:type="paragraph" w:styleId="CommentText">
    <w:name w:val="annotation text"/>
    <w:basedOn w:val="Normal"/>
    <w:link w:val="CommentTextChar"/>
    <w:uiPriority w:val="99"/>
    <w:semiHidden/>
    <w:rsid w:val="0009363E"/>
    <w:rPr>
      <w:sz w:val="20"/>
      <w:szCs w:val="20"/>
    </w:rPr>
  </w:style>
  <w:style w:type="paragraph" w:styleId="CommentSubject">
    <w:name w:val="annotation subject"/>
    <w:basedOn w:val="CommentText"/>
    <w:next w:val="CommentText"/>
    <w:semiHidden/>
    <w:rsid w:val="0009363E"/>
    <w:rPr>
      <w:b/>
      <w:bCs/>
    </w:rPr>
  </w:style>
  <w:style w:type="paragraph" w:customStyle="1" w:styleId="Default">
    <w:name w:val="Default"/>
    <w:rsid w:val="00F7392E"/>
    <w:pPr>
      <w:autoSpaceDE w:val="0"/>
      <w:autoSpaceDN w:val="0"/>
      <w:adjustRightInd w:val="0"/>
    </w:pPr>
    <w:rPr>
      <w:color w:val="000000"/>
      <w:sz w:val="24"/>
      <w:szCs w:val="24"/>
    </w:rPr>
  </w:style>
  <w:style w:type="character" w:styleId="Hyperlink">
    <w:name w:val="Hyperlink"/>
    <w:rsid w:val="004D1BEF"/>
    <w:rPr>
      <w:color w:val="0000FF"/>
      <w:u w:val="single"/>
    </w:rPr>
  </w:style>
  <w:style w:type="paragraph" w:styleId="ListParagraph">
    <w:name w:val="List Paragraph"/>
    <w:basedOn w:val="Normal"/>
    <w:uiPriority w:val="34"/>
    <w:qFormat/>
    <w:rsid w:val="00433B24"/>
    <w:pPr>
      <w:ind w:left="720"/>
    </w:pPr>
  </w:style>
  <w:style w:type="character" w:customStyle="1" w:styleId="CommentTextChar">
    <w:name w:val="Comment Text Char"/>
    <w:link w:val="CommentText"/>
    <w:semiHidden/>
    <w:rsid w:val="00190C40"/>
    <w:rPr>
      <w:rFonts w:ascii="CG Omega" w:hAnsi="CG Omega"/>
      <w:lang w:eastAsia="en-US"/>
    </w:rPr>
  </w:style>
  <w:style w:type="character" w:customStyle="1" w:styleId="Heading2Char">
    <w:name w:val="Heading 2 Char"/>
    <w:link w:val="Heading2"/>
    <w:uiPriority w:val="9"/>
    <w:rsid w:val="00DB32A9"/>
    <w:rPr>
      <w:b/>
      <w:bCs/>
      <w:color w:val="4F81BD"/>
      <w:sz w:val="26"/>
      <w:szCs w:val="26"/>
    </w:rPr>
  </w:style>
  <w:style w:type="table" w:styleId="TableGrid">
    <w:name w:val="Table Grid"/>
    <w:basedOn w:val="TableNormal"/>
    <w:rsid w:val="00DB32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25E3E"/>
    <w:rPr>
      <w:color w:val="800080"/>
      <w:u w:val="single"/>
    </w:rPr>
  </w:style>
  <w:style w:type="character" w:customStyle="1" w:styleId="HeaderChar">
    <w:name w:val="Header Char"/>
    <w:aliases w:val="h Char"/>
    <w:link w:val="Header"/>
    <w:uiPriority w:val="99"/>
    <w:rsid w:val="00800032"/>
    <w:rPr>
      <w:rFonts w:ascii="CG Omega" w:hAnsi="CG Omega"/>
      <w:sz w:val="22"/>
      <w:szCs w:val="24"/>
      <w:lang w:eastAsia="en-US"/>
    </w:rPr>
  </w:style>
  <w:style w:type="paragraph" w:customStyle="1" w:styleId="TableText">
    <w:name w:val="TableText"/>
    <w:basedOn w:val="Normal"/>
    <w:qFormat/>
    <w:rsid w:val="00114B13"/>
    <w:pPr>
      <w:spacing w:before="120" w:after="120"/>
    </w:pPr>
    <w:rPr>
      <w:rFonts w:ascii="Arial" w:hAnsi="Arial" w:cs="Arial"/>
      <w:bCs/>
      <w:sz w:val="20"/>
      <w:szCs w:val="20"/>
    </w:rPr>
  </w:style>
  <w:style w:type="paragraph" w:styleId="Revision">
    <w:name w:val="Revision"/>
    <w:hidden/>
    <w:uiPriority w:val="99"/>
    <w:semiHidden/>
    <w:rsid w:val="006E645F"/>
    <w:rPr>
      <w:rFonts w:ascii="CG Omega" w:hAnsi="CG Omega"/>
      <w:sz w:val="22"/>
      <w:szCs w:val="24"/>
      <w:lang w:eastAsia="en-US"/>
    </w:rPr>
  </w:style>
  <w:style w:type="character" w:customStyle="1" w:styleId="Heading1Char">
    <w:name w:val="Heading 1 Char"/>
    <w:link w:val="Heading1"/>
    <w:rsid w:val="001A03E1"/>
    <w:rPr>
      <w:rFonts w:ascii="Cambria" w:eastAsia="Times New Roman" w:hAnsi="Cambria" w:cs="Times New Roman"/>
      <w:b/>
      <w:bCs/>
      <w:kern w:val="32"/>
      <w:sz w:val="32"/>
      <w:szCs w:val="32"/>
      <w:lang w:eastAsia="en-US"/>
    </w:rPr>
  </w:style>
  <w:style w:type="character" w:customStyle="1" w:styleId="CommentTextChar1">
    <w:name w:val="Comment Text Char1"/>
    <w:uiPriority w:val="99"/>
    <w:semiHidden/>
    <w:rsid w:val="001A03E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01934">
      <w:bodyDiv w:val="1"/>
      <w:marLeft w:val="0"/>
      <w:marRight w:val="0"/>
      <w:marTop w:val="0"/>
      <w:marBottom w:val="0"/>
      <w:divBdr>
        <w:top w:val="none" w:sz="0" w:space="0" w:color="auto"/>
        <w:left w:val="none" w:sz="0" w:space="0" w:color="auto"/>
        <w:bottom w:val="none" w:sz="0" w:space="0" w:color="auto"/>
        <w:right w:val="none" w:sz="0" w:space="0" w:color="auto"/>
      </w:divBdr>
    </w:div>
    <w:div w:id="144856074">
      <w:bodyDiv w:val="1"/>
      <w:marLeft w:val="0"/>
      <w:marRight w:val="0"/>
      <w:marTop w:val="0"/>
      <w:marBottom w:val="0"/>
      <w:divBdr>
        <w:top w:val="none" w:sz="0" w:space="0" w:color="auto"/>
        <w:left w:val="none" w:sz="0" w:space="0" w:color="auto"/>
        <w:bottom w:val="none" w:sz="0" w:space="0" w:color="auto"/>
        <w:right w:val="none" w:sz="0" w:space="0" w:color="auto"/>
      </w:divBdr>
    </w:div>
    <w:div w:id="268126803">
      <w:bodyDiv w:val="1"/>
      <w:marLeft w:val="0"/>
      <w:marRight w:val="0"/>
      <w:marTop w:val="0"/>
      <w:marBottom w:val="0"/>
      <w:divBdr>
        <w:top w:val="none" w:sz="0" w:space="0" w:color="auto"/>
        <w:left w:val="none" w:sz="0" w:space="0" w:color="auto"/>
        <w:bottom w:val="none" w:sz="0" w:space="0" w:color="auto"/>
        <w:right w:val="none" w:sz="0" w:space="0" w:color="auto"/>
      </w:divBdr>
    </w:div>
    <w:div w:id="327440870">
      <w:bodyDiv w:val="1"/>
      <w:marLeft w:val="0"/>
      <w:marRight w:val="0"/>
      <w:marTop w:val="0"/>
      <w:marBottom w:val="0"/>
      <w:divBdr>
        <w:top w:val="none" w:sz="0" w:space="0" w:color="auto"/>
        <w:left w:val="none" w:sz="0" w:space="0" w:color="auto"/>
        <w:bottom w:val="none" w:sz="0" w:space="0" w:color="auto"/>
        <w:right w:val="none" w:sz="0" w:space="0" w:color="auto"/>
      </w:divBdr>
    </w:div>
    <w:div w:id="1297375660">
      <w:bodyDiv w:val="1"/>
      <w:marLeft w:val="0"/>
      <w:marRight w:val="0"/>
      <w:marTop w:val="0"/>
      <w:marBottom w:val="0"/>
      <w:divBdr>
        <w:top w:val="none" w:sz="0" w:space="0" w:color="auto"/>
        <w:left w:val="none" w:sz="0" w:space="0" w:color="auto"/>
        <w:bottom w:val="none" w:sz="0" w:space="0" w:color="auto"/>
        <w:right w:val="none" w:sz="0" w:space="0" w:color="auto"/>
      </w:divBdr>
    </w:div>
    <w:div w:id="1364942763">
      <w:bodyDiv w:val="1"/>
      <w:marLeft w:val="0"/>
      <w:marRight w:val="0"/>
      <w:marTop w:val="0"/>
      <w:marBottom w:val="0"/>
      <w:divBdr>
        <w:top w:val="none" w:sz="0" w:space="0" w:color="auto"/>
        <w:left w:val="none" w:sz="0" w:space="0" w:color="auto"/>
        <w:bottom w:val="none" w:sz="0" w:space="0" w:color="auto"/>
        <w:right w:val="none" w:sz="0" w:space="0" w:color="auto"/>
      </w:divBdr>
    </w:div>
    <w:div w:id="1506900722">
      <w:bodyDiv w:val="1"/>
      <w:marLeft w:val="0"/>
      <w:marRight w:val="0"/>
      <w:marTop w:val="0"/>
      <w:marBottom w:val="0"/>
      <w:divBdr>
        <w:top w:val="none" w:sz="0" w:space="0" w:color="auto"/>
        <w:left w:val="none" w:sz="0" w:space="0" w:color="auto"/>
        <w:bottom w:val="none" w:sz="0" w:space="0" w:color="auto"/>
        <w:right w:val="none" w:sz="0" w:space="0" w:color="auto"/>
      </w:divBdr>
    </w:div>
    <w:div w:id="1561791439">
      <w:bodyDiv w:val="1"/>
      <w:marLeft w:val="0"/>
      <w:marRight w:val="0"/>
      <w:marTop w:val="0"/>
      <w:marBottom w:val="0"/>
      <w:divBdr>
        <w:top w:val="none" w:sz="0" w:space="0" w:color="auto"/>
        <w:left w:val="none" w:sz="0" w:space="0" w:color="auto"/>
        <w:bottom w:val="none" w:sz="0" w:space="0" w:color="auto"/>
        <w:right w:val="none" w:sz="0" w:space="0" w:color="auto"/>
      </w:divBdr>
    </w:div>
    <w:div w:id="204479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92963-2EAF-4FC8-9EF3-244CEAE89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1132</Words>
  <Characters>6454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AUSTRAC</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pjohns</dc:creator>
  <cp:lastModifiedBy>Hugh Dixon</cp:lastModifiedBy>
  <cp:revision>2</cp:revision>
  <cp:lastPrinted>2018-03-15T05:08:00Z</cp:lastPrinted>
  <dcterms:created xsi:type="dcterms:W3CDTF">2020-05-21T10:11:00Z</dcterms:created>
  <dcterms:modified xsi:type="dcterms:W3CDTF">2020-05-21T10:11:00Z</dcterms:modified>
</cp:coreProperties>
</file>