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304A8" w14:textId="77777777" w:rsidR="00F5638C" w:rsidRPr="00F00194" w:rsidRDefault="00F5638C" w:rsidP="00F5638C">
      <w:pPr>
        <w:rPr>
          <w:sz w:val="28"/>
        </w:rPr>
      </w:pPr>
      <w:r w:rsidRPr="00F00194">
        <w:rPr>
          <w:noProof/>
          <w:lang w:eastAsia="en-AU"/>
        </w:rPr>
        <w:drawing>
          <wp:inline distT="0" distB="0" distL="0" distR="0" wp14:anchorId="3F5A902D" wp14:editId="1059D47C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6703C" w14:textId="77777777" w:rsidR="00F5638C" w:rsidRPr="00F00194" w:rsidRDefault="00F5638C" w:rsidP="00F5638C">
      <w:pPr>
        <w:rPr>
          <w:sz w:val="19"/>
        </w:rPr>
      </w:pPr>
    </w:p>
    <w:p w14:paraId="44AC610C" w14:textId="77777777" w:rsidR="00F5638C" w:rsidRPr="00C41AA8" w:rsidRDefault="00A65160" w:rsidP="00F5638C">
      <w:pPr>
        <w:pStyle w:val="ShortT"/>
      </w:pPr>
      <w:r w:rsidRPr="00F00194">
        <w:t xml:space="preserve">Currency (Australian </w:t>
      </w:r>
      <w:r w:rsidRPr="00C41AA8">
        <w:t>Coins) Amendment (2020 Royal Australian Mint No. 2) Determination 2020</w:t>
      </w:r>
    </w:p>
    <w:p w14:paraId="2413EC7E" w14:textId="77777777" w:rsidR="00F5638C" w:rsidRPr="00C41AA8" w:rsidRDefault="00F5638C" w:rsidP="00F5638C">
      <w:pPr>
        <w:pStyle w:val="SignCoverPageStart"/>
        <w:spacing w:before="240"/>
        <w:rPr>
          <w:szCs w:val="22"/>
        </w:rPr>
      </w:pPr>
      <w:r w:rsidRPr="00C41AA8">
        <w:rPr>
          <w:szCs w:val="22"/>
        </w:rPr>
        <w:t xml:space="preserve">I, </w:t>
      </w:r>
      <w:r w:rsidR="00A65160" w:rsidRPr="00C41AA8">
        <w:rPr>
          <w:szCs w:val="22"/>
        </w:rPr>
        <w:t>Michael Sukkar, Minister for Housing and Assistant Treasurer, make the following determination.</w:t>
      </w:r>
    </w:p>
    <w:p w14:paraId="2B645D2A" w14:textId="05E0F8B8" w:rsidR="00F5638C" w:rsidRPr="00C41AA8" w:rsidRDefault="00F5638C" w:rsidP="00F5638C">
      <w:pPr>
        <w:keepNext/>
        <w:spacing w:before="720" w:line="240" w:lineRule="atLeast"/>
        <w:ind w:right="397"/>
        <w:jc w:val="both"/>
        <w:rPr>
          <w:szCs w:val="22"/>
        </w:rPr>
      </w:pPr>
      <w:r w:rsidRPr="00C41AA8">
        <w:rPr>
          <w:szCs w:val="22"/>
        </w:rPr>
        <w:t xml:space="preserve">Dated </w:t>
      </w:r>
      <w:r w:rsidR="003062B8">
        <w:rPr>
          <w:szCs w:val="22"/>
        </w:rPr>
        <w:t>20 May</w:t>
      </w:r>
      <w:r w:rsidR="00C70BCD">
        <w:rPr>
          <w:szCs w:val="22"/>
        </w:rPr>
        <w:t xml:space="preserve"> </w:t>
      </w:r>
      <w:bookmarkStart w:id="0" w:name="_GoBack"/>
      <w:bookmarkEnd w:id="0"/>
      <w:r w:rsidR="00A65160" w:rsidRPr="00C41AA8">
        <w:rPr>
          <w:szCs w:val="22"/>
        </w:rPr>
        <w:t>2020</w:t>
      </w:r>
    </w:p>
    <w:p w14:paraId="4456E15C" w14:textId="77777777" w:rsidR="00F5638C" w:rsidRPr="00C41AA8" w:rsidRDefault="00F5638C" w:rsidP="00F5638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54105CBD" w14:textId="0AE39590" w:rsidR="00F5638C" w:rsidRPr="00C41AA8" w:rsidRDefault="00A65160" w:rsidP="00F5638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41AA8">
        <w:rPr>
          <w:szCs w:val="22"/>
        </w:rPr>
        <w:t>Michael Sukkar</w:t>
      </w:r>
    </w:p>
    <w:p w14:paraId="12C2A218" w14:textId="77777777" w:rsidR="00F5638C" w:rsidRPr="00C41AA8" w:rsidRDefault="00F5638C" w:rsidP="00F5638C">
      <w:pPr>
        <w:pStyle w:val="SignCoverPageEnd"/>
        <w:rPr>
          <w:szCs w:val="22"/>
        </w:rPr>
      </w:pPr>
      <w:r w:rsidRPr="00C41AA8">
        <w:rPr>
          <w:szCs w:val="22"/>
        </w:rPr>
        <w:t xml:space="preserve">Minister for </w:t>
      </w:r>
      <w:r w:rsidR="00A65160" w:rsidRPr="00C41AA8">
        <w:rPr>
          <w:szCs w:val="22"/>
        </w:rPr>
        <w:t>Housing</w:t>
      </w:r>
      <w:r w:rsidR="00A65160" w:rsidRPr="00C41AA8">
        <w:rPr>
          <w:szCs w:val="22"/>
        </w:rPr>
        <w:br/>
        <w:t>Assistant Treasurer</w:t>
      </w:r>
    </w:p>
    <w:p w14:paraId="4FD1279E" w14:textId="77777777" w:rsidR="00F5638C" w:rsidRPr="00C41AA8" w:rsidRDefault="00F5638C" w:rsidP="00F5638C"/>
    <w:p w14:paraId="25E9BB61" w14:textId="77777777" w:rsidR="00F5638C" w:rsidRPr="00C41AA8" w:rsidRDefault="00F5638C" w:rsidP="00F5638C">
      <w:pPr>
        <w:pStyle w:val="Header"/>
        <w:tabs>
          <w:tab w:val="clear" w:pos="4150"/>
          <w:tab w:val="clear" w:pos="8307"/>
        </w:tabs>
      </w:pPr>
      <w:r w:rsidRPr="00C41AA8">
        <w:rPr>
          <w:rStyle w:val="CharAmSchNo"/>
        </w:rPr>
        <w:t xml:space="preserve"> </w:t>
      </w:r>
      <w:r w:rsidRPr="00C41AA8">
        <w:rPr>
          <w:rStyle w:val="CharAmSchText"/>
        </w:rPr>
        <w:t xml:space="preserve"> </w:t>
      </w:r>
    </w:p>
    <w:p w14:paraId="12C6500F" w14:textId="77777777" w:rsidR="00F5638C" w:rsidRPr="00C41AA8" w:rsidRDefault="00F5638C" w:rsidP="00F5638C">
      <w:pPr>
        <w:pStyle w:val="Header"/>
        <w:tabs>
          <w:tab w:val="clear" w:pos="4150"/>
          <w:tab w:val="clear" w:pos="8307"/>
        </w:tabs>
      </w:pPr>
      <w:r w:rsidRPr="00C41AA8">
        <w:rPr>
          <w:rStyle w:val="CharAmPartNo"/>
        </w:rPr>
        <w:t xml:space="preserve"> </w:t>
      </w:r>
      <w:r w:rsidRPr="00C41AA8">
        <w:rPr>
          <w:rStyle w:val="CharAmPartText"/>
        </w:rPr>
        <w:t xml:space="preserve"> </w:t>
      </w:r>
    </w:p>
    <w:p w14:paraId="5CF9FE6E" w14:textId="77777777" w:rsidR="00F5638C" w:rsidRPr="00C41AA8" w:rsidRDefault="00F5638C" w:rsidP="00F5638C">
      <w:pPr>
        <w:sectPr w:rsidR="00F5638C" w:rsidRPr="00C41AA8" w:rsidSect="00D753F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DA29787" w14:textId="77777777" w:rsidR="00F5638C" w:rsidRPr="00C41AA8" w:rsidRDefault="00F5638C" w:rsidP="00F5638C">
      <w:pPr>
        <w:outlineLvl w:val="0"/>
        <w:rPr>
          <w:sz w:val="36"/>
        </w:rPr>
      </w:pPr>
      <w:r w:rsidRPr="00C41AA8">
        <w:rPr>
          <w:sz w:val="36"/>
        </w:rPr>
        <w:lastRenderedPageBreak/>
        <w:t>Contents</w:t>
      </w:r>
    </w:p>
    <w:p w14:paraId="09F967A4" w14:textId="0E27CAB5" w:rsidR="00E01DED" w:rsidRPr="00C41AA8" w:rsidRDefault="00F563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41AA8">
        <w:fldChar w:fldCharType="begin"/>
      </w:r>
      <w:r w:rsidRPr="00C41AA8">
        <w:instrText xml:space="preserve"> TOC \o "1-9" </w:instrText>
      </w:r>
      <w:r w:rsidRPr="00C41AA8">
        <w:fldChar w:fldCharType="separate"/>
      </w:r>
      <w:r w:rsidR="00E01DED" w:rsidRPr="00C41AA8">
        <w:rPr>
          <w:noProof/>
        </w:rPr>
        <w:t>1  Name</w:t>
      </w:r>
      <w:r w:rsidR="00E01DED" w:rsidRPr="00C41AA8">
        <w:rPr>
          <w:noProof/>
        </w:rPr>
        <w:tab/>
      </w:r>
      <w:r w:rsidR="00E01DED" w:rsidRPr="00C41AA8">
        <w:rPr>
          <w:noProof/>
        </w:rPr>
        <w:tab/>
      </w:r>
      <w:r w:rsidR="00E01DED" w:rsidRPr="00C41AA8">
        <w:rPr>
          <w:noProof/>
        </w:rPr>
        <w:fldChar w:fldCharType="begin"/>
      </w:r>
      <w:r w:rsidR="00E01DED" w:rsidRPr="00C41AA8">
        <w:rPr>
          <w:noProof/>
        </w:rPr>
        <w:instrText xml:space="preserve"> PAGEREF _Toc40340501 \h </w:instrText>
      </w:r>
      <w:r w:rsidR="00E01DED" w:rsidRPr="00C41AA8">
        <w:rPr>
          <w:noProof/>
        </w:rPr>
      </w:r>
      <w:r w:rsidR="00E01DED" w:rsidRPr="00C41AA8">
        <w:rPr>
          <w:noProof/>
        </w:rPr>
        <w:fldChar w:fldCharType="separate"/>
      </w:r>
      <w:r w:rsidR="00721E9F">
        <w:rPr>
          <w:noProof/>
        </w:rPr>
        <w:t>1</w:t>
      </w:r>
      <w:r w:rsidR="00E01DED" w:rsidRPr="00C41AA8">
        <w:rPr>
          <w:noProof/>
        </w:rPr>
        <w:fldChar w:fldCharType="end"/>
      </w:r>
    </w:p>
    <w:p w14:paraId="4009A731" w14:textId="1561688E" w:rsidR="00E01DED" w:rsidRPr="00C41AA8" w:rsidRDefault="00E01DE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41AA8">
        <w:rPr>
          <w:noProof/>
        </w:rPr>
        <w:t>2  Commencement</w:t>
      </w:r>
      <w:r w:rsidRPr="00C41AA8">
        <w:rPr>
          <w:noProof/>
        </w:rPr>
        <w:tab/>
      </w:r>
      <w:r w:rsidRPr="00C41AA8">
        <w:rPr>
          <w:noProof/>
        </w:rPr>
        <w:fldChar w:fldCharType="begin"/>
      </w:r>
      <w:r w:rsidRPr="00C41AA8">
        <w:rPr>
          <w:noProof/>
        </w:rPr>
        <w:instrText xml:space="preserve"> PAGEREF _Toc40340502 \h </w:instrText>
      </w:r>
      <w:r w:rsidRPr="00C41AA8">
        <w:rPr>
          <w:noProof/>
        </w:rPr>
      </w:r>
      <w:r w:rsidRPr="00C41AA8">
        <w:rPr>
          <w:noProof/>
        </w:rPr>
        <w:fldChar w:fldCharType="separate"/>
      </w:r>
      <w:r w:rsidR="00721E9F">
        <w:rPr>
          <w:noProof/>
        </w:rPr>
        <w:t>1</w:t>
      </w:r>
      <w:r w:rsidRPr="00C41AA8">
        <w:rPr>
          <w:noProof/>
        </w:rPr>
        <w:fldChar w:fldCharType="end"/>
      </w:r>
    </w:p>
    <w:p w14:paraId="4D5FC782" w14:textId="50F1202F" w:rsidR="00E01DED" w:rsidRPr="00C41AA8" w:rsidRDefault="00E01DE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41AA8">
        <w:rPr>
          <w:noProof/>
        </w:rPr>
        <w:t>3  Authority</w:t>
      </w:r>
      <w:r w:rsidRPr="00C41AA8">
        <w:rPr>
          <w:noProof/>
        </w:rPr>
        <w:tab/>
      </w:r>
      <w:r w:rsidRPr="00C41AA8">
        <w:rPr>
          <w:noProof/>
        </w:rPr>
        <w:fldChar w:fldCharType="begin"/>
      </w:r>
      <w:r w:rsidRPr="00C41AA8">
        <w:rPr>
          <w:noProof/>
        </w:rPr>
        <w:instrText xml:space="preserve"> PAGEREF _Toc40340503 \h </w:instrText>
      </w:r>
      <w:r w:rsidRPr="00C41AA8">
        <w:rPr>
          <w:noProof/>
        </w:rPr>
      </w:r>
      <w:r w:rsidRPr="00C41AA8">
        <w:rPr>
          <w:noProof/>
        </w:rPr>
        <w:fldChar w:fldCharType="separate"/>
      </w:r>
      <w:r w:rsidR="00721E9F">
        <w:rPr>
          <w:noProof/>
        </w:rPr>
        <w:t>1</w:t>
      </w:r>
      <w:r w:rsidRPr="00C41AA8">
        <w:rPr>
          <w:noProof/>
        </w:rPr>
        <w:fldChar w:fldCharType="end"/>
      </w:r>
    </w:p>
    <w:p w14:paraId="6E75B5B8" w14:textId="5A41B380" w:rsidR="00E01DED" w:rsidRPr="00C41AA8" w:rsidRDefault="00E01DE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41AA8">
        <w:rPr>
          <w:noProof/>
        </w:rPr>
        <w:t>4  Schedules</w:t>
      </w:r>
      <w:r w:rsidRPr="00C41AA8">
        <w:rPr>
          <w:noProof/>
        </w:rPr>
        <w:tab/>
      </w:r>
      <w:r w:rsidRPr="00C41AA8">
        <w:rPr>
          <w:noProof/>
        </w:rPr>
        <w:fldChar w:fldCharType="begin"/>
      </w:r>
      <w:r w:rsidRPr="00C41AA8">
        <w:rPr>
          <w:noProof/>
        </w:rPr>
        <w:instrText xml:space="preserve"> PAGEREF _Toc40340504 \h </w:instrText>
      </w:r>
      <w:r w:rsidRPr="00C41AA8">
        <w:rPr>
          <w:noProof/>
        </w:rPr>
      </w:r>
      <w:r w:rsidRPr="00C41AA8">
        <w:rPr>
          <w:noProof/>
        </w:rPr>
        <w:fldChar w:fldCharType="separate"/>
      </w:r>
      <w:r w:rsidR="00721E9F">
        <w:rPr>
          <w:noProof/>
        </w:rPr>
        <w:t>1</w:t>
      </w:r>
      <w:r w:rsidRPr="00C41AA8">
        <w:rPr>
          <w:noProof/>
        </w:rPr>
        <w:fldChar w:fldCharType="end"/>
      </w:r>
    </w:p>
    <w:p w14:paraId="34C93879" w14:textId="2715DB53" w:rsidR="00E01DED" w:rsidRPr="00C41AA8" w:rsidRDefault="00E01DE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41AA8">
        <w:rPr>
          <w:noProof/>
        </w:rPr>
        <w:t>Schedule 1—Amendments</w:t>
      </w:r>
      <w:r w:rsidRPr="00C41AA8">
        <w:rPr>
          <w:noProof/>
        </w:rPr>
        <w:tab/>
      </w:r>
      <w:r w:rsidRPr="00C41AA8">
        <w:rPr>
          <w:b w:val="0"/>
          <w:noProof/>
          <w:sz w:val="18"/>
        </w:rPr>
        <w:fldChar w:fldCharType="begin"/>
      </w:r>
      <w:r w:rsidRPr="00C41AA8">
        <w:rPr>
          <w:b w:val="0"/>
          <w:noProof/>
          <w:sz w:val="18"/>
        </w:rPr>
        <w:instrText xml:space="preserve"> PAGEREF _Toc40340505 \h </w:instrText>
      </w:r>
      <w:r w:rsidRPr="00C41AA8">
        <w:rPr>
          <w:b w:val="0"/>
          <w:noProof/>
          <w:sz w:val="18"/>
        </w:rPr>
      </w:r>
      <w:r w:rsidRPr="00C41AA8">
        <w:rPr>
          <w:b w:val="0"/>
          <w:noProof/>
          <w:sz w:val="18"/>
        </w:rPr>
        <w:fldChar w:fldCharType="separate"/>
      </w:r>
      <w:r w:rsidR="00721E9F">
        <w:rPr>
          <w:b w:val="0"/>
          <w:noProof/>
          <w:sz w:val="18"/>
        </w:rPr>
        <w:t>2</w:t>
      </w:r>
      <w:r w:rsidRPr="00C41AA8">
        <w:rPr>
          <w:b w:val="0"/>
          <w:noProof/>
          <w:sz w:val="18"/>
        </w:rPr>
        <w:fldChar w:fldCharType="end"/>
      </w:r>
    </w:p>
    <w:p w14:paraId="268851B3" w14:textId="6A21F030" w:rsidR="00E01DED" w:rsidRPr="00C41AA8" w:rsidRDefault="00E01DE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41AA8">
        <w:rPr>
          <w:noProof/>
        </w:rPr>
        <w:t>Currency (Australian Coins) Determination 2019</w:t>
      </w:r>
      <w:r w:rsidRPr="00C41AA8">
        <w:rPr>
          <w:noProof/>
        </w:rPr>
        <w:tab/>
      </w:r>
      <w:r w:rsidRPr="00C41AA8">
        <w:rPr>
          <w:i w:val="0"/>
          <w:noProof/>
          <w:sz w:val="18"/>
        </w:rPr>
        <w:fldChar w:fldCharType="begin"/>
      </w:r>
      <w:r w:rsidRPr="00C41AA8">
        <w:rPr>
          <w:i w:val="0"/>
          <w:noProof/>
          <w:sz w:val="18"/>
        </w:rPr>
        <w:instrText xml:space="preserve"> PAGEREF _Toc40340506 \h </w:instrText>
      </w:r>
      <w:r w:rsidRPr="00C41AA8">
        <w:rPr>
          <w:i w:val="0"/>
          <w:noProof/>
          <w:sz w:val="18"/>
        </w:rPr>
      </w:r>
      <w:r w:rsidRPr="00C41AA8">
        <w:rPr>
          <w:i w:val="0"/>
          <w:noProof/>
          <w:sz w:val="18"/>
        </w:rPr>
        <w:fldChar w:fldCharType="separate"/>
      </w:r>
      <w:r w:rsidR="00721E9F">
        <w:rPr>
          <w:i w:val="0"/>
          <w:noProof/>
          <w:sz w:val="18"/>
        </w:rPr>
        <w:t>2</w:t>
      </w:r>
      <w:r w:rsidRPr="00C41AA8">
        <w:rPr>
          <w:i w:val="0"/>
          <w:noProof/>
          <w:sz w:val="18"/>
        </w:rPr>
        <w:fldChar w:fldCharType="end"/>
      </w:r>
    </w:p>
    <w:p w14:paraId="7BCDDDD4" w14:textId="3132EEA1" w:rsidR="00F5638C" w:rsidRPr="00C41AA8" w:rsidRDefault="00F5638C" w:rsidP="00F5638C">
      <w:r w:rsidRPr="00C41AA8">
        <w:fldChar w:fldCharType="end"/>
      </w:r>
    </w:p>
    <w:p w14:paraId="23C3FA97" w14:textId="77777777" w:rsidR="00F5638C" w:rsidRPr="00C41AA8" w:rsidRDefault="00F5638C" w:rsidP="00F5638C"/>
    <w:p w14:paraId="30712DFA" w14:textId="77777777" w:rsidR="00F5638C" w:rsidRPr="00C41AA8" w:rsidRDefault="00F5638C" w:rsidP="00F5638C">
      <w:pPr>
        <w:sectPr w:rsidR="00F5638C" w:rsidRPr="00C41AA8" w:rsidSect="00D753F7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0FD8F5D" w14:textId="77777777" w:rsidR="00F5638C" w:rsidRPr="00C41AA8" w:rsidRDefault="00F5638C" w:rsidP="00F5638C">
      <w:pPr>
        <w:pStyle w:val="ActHead5"/>
      </w:pPr>
      <w:bookmarkStart w:id="17" w:name="_Toc40340501"/>
      <w:r w:rsidRPr="00C41AA8">
        <w:rPr>
          <w:rStyle w:val="CharSectno"/>
        </w:rPr>
        <w:lastRenderedPageBreak/>
        <w:t>1</w:t>
      </w:r>
      <w:r w:rsidRPr="00C41AA8">
        <w:t xml:space="preserve">  Name</w:t>
      </w:r>
      <w:bookmarkEnd w:id="17"/>
    </w:p>
    <w:p w14:paraId="1A719776" w14:textId="77777777" w:rsidR="00F5638C" w:rsidRPr="00C41AA8" w:rsidRDefault="00F5638C" w:rsidP="00F5638C">
      <w:pPr>
        <w:pStyle w:val="subsection"/>
      </w:pPr>
      <w:r w:rsidRPr="00C41AA8">
        <w:tab/>
      </w:r>
      <w:r w:rsidRPr="00C41AA8">
        <w:tab/>
        <w:t xml:space="preserve">This instrument is the </w:t>
      </w:r>
      <w:r w:rsidR="00A65160" w:rsidRPr="00C41AA8">
        <w:rPr>
          <w:i/>
        </w:rPr>
        <w:t>Currency (Australian Coins) Amendment (2020 Royal Australian Mint No. 2) Determination 2020</w:t>
      </w:r>
      <w:r w:rsidRPr="00C41AA8">
        <w:t>.</w:t>
      </w:r>
    </w:p>
    <w:p w14:paraId="12CC57F2" w14:textId="77777777" w:rsidR="00F5638C" w:rsidRPr="00C41AA8" w:rsidRDefault="00F5638C" w:rsidP="00F5638C">
      <w:pPr>
        <w:pStyle w:val="ActHead5"/>
      </w:pPr>
      <w:bookmarkStart w:id="18" w:name="_Toc40340502"/>
      <w:r w:rsidRPr="00C41AA8">
        <w:rPr>
          <w:rStyle w:val="CharSectno"/>
        </w:rPr>
        <w:t>2</w:t>
      </w:r>
      <w:r w:rsidRPr="00C41AA8">
        <w:t xml:space="preserve">  Commencement</w:t>
      </w:r>
      <w:bookmarkEnd w:id="18"/>
    </w:p>
    <w:p w14:paraId="4456A83B" w14:textId="77777777" w:rsidR="00F5638C" w:rsidRPr="00C41AA8" w:rsidRDefault="00F5638C" w:rsidP="00F5638C">
      <w:pPr>
        <w:pStyle w:val="subsection"/>
      </w:pPr>
      <w:r w:rsidRPr="00C41AA8">
        <w:tab/>
        <w:t>(1)</w:t>
      </w:r>
      <w:r w:rsidRPr="00C41AA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B80C24D" w14:textId="77777777" w:rsidR="00F5638C" w:rsidRPr="00C41AA8" w:rsidRDefault="00F5638C" w:rsidP="00F5638C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:rsidRPr="00C41AA8" w14:paraId="280C1ABA" w14:textId="77777777" w:rsidTr="002539A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5AAE47B" w14:textId="77777777" w:rsidR="00F5638C" w:rsidRPr="00C41AA8" w:rsidRDefault="00F5638C" w:rsidP="00D753F7">
            <w:pPr>
              <w:pStyle w:val="TableHeading"/>
            </w:pPr>
            <w:r w:rsidRPr="00C41AA8">
              <w:t>Commencement information</w:t>
            </w:r>
          </w:p>
        </w:tc>
      </w:tr>
      <w:tr w:rsidR="00F5638C" w:rsidRPr="00C41AA8" w14:paraId="7660311C" w14:textId="77777777" w:rsidTr="002539A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36A1574" w14:textId="77777777" w:rsidR="00F5638C" w:rsidRPr="00C41AA8" w:rsidRDefault="00F5638C" w:rsidP="00D753F7">
            <w:pPr>
              <w:pStyle w:val="TableHeading"/>
            </w:pPr>
            <w:r w:rsidRPr="00C41AA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7C5F2B5" w14:textId="77777777" w:rsidR="00F5638C" w:rsidRPr="00C41AA8" w:rsidRDefault="00F5638C" w:rsidP="00D753F7">
            <w:pPr>
              <w:pStyle w:val="TableHeading"/>
            </w:pPr>
            <w:r w:rsidRPr="00C41AA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FFCF56E" w14:textId="77777777" w:rsidR="00F5638C" w:rsidRPr="00C41AA8" w:rsidRDefault="00F5638C" w:rsidP="00D753F7">
            <w:pPr>
              <w:pStyle w:val="TableHeading"/>
            </w:pPr>
            <w:r w:rsidRPr="00C41AA8">
              <w:t>Column 3</w:t>
            </w:r>
          </w:p>
        </w:tc>
      </w:tr>
      <w:tr w:rsidR="00F5638C" w:rsidRPr="00C41AA8" w14:paraId="6846E67F" w14:textId="77777777" w:rsidTr="002539A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348E932" w14:textId="77777777" w:rsidR="00F5638C" w:rsidRPr="00C41AA8" w:rsidRDefault="00F5638C" w:rsidP="00D753F7">
            <w:pPr>
              <w:pStyle w:val="TableHeading"/>
            </w:pPr>
            <w:r w:rsidRPr="00C41AA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F26FDE6" w14:textId="77777777" w:rsidR="00F5638C" w:rsidRPr="00C41AA8" w:rsidRDefault="00F5638C" w:rsidP="00D753F7">
            <w:pPr>
              <w:pStyle w:val="TableHeading"/>
            </w:pPr>
            <w:r w:rsidRPr="00C41AA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5E75F7C" w14:textId="77777777" w:rsidR="00F5638C" w:rsidRPr="00C41AA8" w:rsidRDefault="00F5638C" w:rsidP="00D753F7">
            <w:pPr>
              <w:pStyle w:val="TableHeading"/>
            </w:pPr>
            <w:r w:rsidRPr="00C41AA8">
              <w:t>Date/Details</w:t>
            </w:r>
          </w:p>
        </w:tc>
      </w:tr>
      <w:tr w:rsidR="00F5638C" w:rsidRPr="00C41AA8" w14:paraId="53F254ED" w14:textId="77777777" w:rsidTr="002539A4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30576CC" w14:textId="77777777" w:rsidR="00F5638C" w:rsidRPr="00C41AA8" w:rsidRDefault="00F5638C" w:rsidP="00644F8A">
            <w:pPr>
              <w:pStyle w:val="Tabletext"/>
            </w:pPr>
            <w:r w:rsidRPr="00C41AA8">
              <w:t xml:space="preserve">1.  </w:t>
            </w:r>
            <w:r w:rsidR="00644F8A" w:rsidRPr="00C41AA8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3AB2FBA" w14:textId="77777777" w:rsidR="00F5638C" w:rsidRPr="00C41AA8" w:rsidRDefault="00F5638C" w:rsidP="00D753F7">
            <w:pPr>
              <w:pStyle w:val="Tabletext"/>
            </w:pPr>
            <w:r w:rsidRPr="00C41AA8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952AE37" w14:textId="77777777" w:rsidR="00F5638C" w:rsidRPr="00C41AA8" w:rsidRDefault="00F5638C" w:rsidP="00D753F7">
            <w:pPr>
              <w:pStyle w:val="Tabletext"/>
            </w:pPr>
          </w:p>
        </w:tc>
      </w:tr>
    </w:tbl>
    <w:p w14:paraId="12B0FAAB" w14:textId="77777777" w:rsidR="00F5638C" w:rsidRPr="00C41AA8" w:rsidRDefault="00F5638C" w:rsidP="00F5638C">
      <w:pPr>
        <w:pStyle w:val="notetext"/>
      </w:pPr>
      <w:r w:rsidRPr="00C41AA8">
        <w:rPr>
          <w:snapToGrid w:val="0"/>
          <w:lang w:eastAsia="en-US"/>
        </w:rPr>
        <w:t>Note:</w:t>
      </w:r>
      <w:r w:rsidRPr="00C41AA8">
        <w:rPr>
          <w:snapToGrid w:val="0"/>
          <w:lang w:eastAsia="en-US"/>
        </w:rPr>
        <w:tab/>
        <w:t xml:space="preserve">This table relates only to the provisions of this </w:t>
      </w:r>
      <w:r w:rsidRPr="00C41AA8">
        <w:t xml:space="preserve">instrument </w:t>
      </w:r>
      <w:r w:rsidRPr="00C41AA8">
        <w:rPr>
          <w:snapToGrid w:val="0"/>
          <w:lang w:eastAsia="en-US"/>
        </w:rPr>
        <w:t xml:space="preserve">as originally made. It will not be amended to deal with any later amendments of this </w:t>
      </w:r>
      <w:r w:rsidRPr="00C41AA8">
        <w:t>instrument</w:t>
      </w:r>
      <w:r w:rsidRPr="00C41AA8">
        <w:rPr>
          <w:snapToGrid w:val="0"/>
          <w:lang w:eastAsia="en-US"/>
        </w:rPr>
        <w:t>.</w:t>
      </w:r>
    </w:p>
    <w:p w14:paraId="2A8D1B2F" w14:textId="77777777" w:rsidR="00F5638C" w:rsidRPr="00C41AA8" w:rsidRDefault="00F5638C" w:rsidP="00F5638C">
      <w:pPr>
        <w:pStyle w:val="subsection"/>
      </w:pPr>
      <w:r w:rsidRPr="00C41AA8">
        <w:tab/>
        <w:t>(2)</w:t>
      </w:r>
      <w:r w:rsidRPr="00C41AA8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D548834" w14:textId="77777777" w:rsidR="00F5638C" w:rsidRPr="00C41AA8" w:rsidRDefault="00F5638C" w:rsidP="00F5638C">
      <w:pPr>
        <w:pStyle w:val="ActHead5"/>
      </w:pPr>
      <w:bookmarkStart w:id="19" w:name="_Toc40340503"/>
      <w:r w:rsidRPr="00C41AA8">
        <w:t>3  Authority</w:t>
      </w:r>
      <w:bookmarkEnd w:id="19"/>
    </w:p>
    <w:p w14:paraId="4EF9F368" w14:textId="77777777" w:rsidR="00F5638C" w:rsidRPr="00C41AA8" w:rsidRDefault="00F5638C" w:rsidP="00F5638C">
      <w:pPr>
        <w:pStyle w:val="subsection"/>
      </w:pPr>
      <w:r w:rsidRPr="00C41AA8">
        <w:tab/>
      </w:r>
      <w:r w:rsidRPr="00C41AA8">
        <w:tab/>
        <w:t xml:space="preserve">This instrument is made under the </w:t>
      </w:r>
      <w:r w:rsidR="00A65160" w:rsidRPr="00C41AA8">
        <w:rPr>
          <w:i/>
        </w:rPr>
        <w:t>Currency Act 1965</w:t>
      </w:r>
      <w:r w:rsidRPr="00C41AA8">
        <w:rPr>
          <w:i/>
        </w:rPr>
        <w:t>.</w:t>
      </w:r>
    </w:p>
    <w:p w14:paraId="65FBB652" w14:textId="77777777" w:rsidR="00F5638C" w:rsidRPr="00C41AA8" w:rsidRDefault="00F5638C" w:rsidP="00F5638C">
      <w:pPr>
        <w:pStyle w:val="ActHead5"/>
      </w:pPr>
      <w:bookmarkStart w:id="20" w:name="_Toc40340504"/>
      <w:r w:rsidRPr="00C41AA8">
        <w:t>4  Schedules</w:t>
      </w:r>
      <w:bookmarkEnd w:id="20"/>
    </w:p>
    <w:p w14:paraId="048E43F4" w14:textId="77777777" w:rsidR="00F5638C" w:rsidRPr="00C41AA8" w:rsidRDefault="00F5638C" w:rsidP="00F5638C">
      <w:pPr>
        <w:pStyle w:val="subsection"/>
      </w:pPr>
      <w:r w:rsidRPr="00C41AA8">
        <w:tab/>
      </w:r>
      <w:r w:rsidRPr="00C41AA8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0D1AB26" w14:textId="77777777" w:rsidR="00F5638C" w:rsidRPr="00C41AA8" w:rsidRDefault="00F5638C" w:rsidP="00F5638C">
      <w:pPr>
        <w:pStyle w:val="ActHead6"/>
        <w:pageBreakBefore/>
      </w:pPr>
      <w:bookmarkStart w:id="21" w:name="_Toc40340505"/>
      <w:r w:rsidRPr="00C41AA8">
        <w:rPr>
          <w:rStyle w:val="CharAmSchNo"/>
        </w:rPr>
        <w:lastRenderedPageBreak/>
        <w:t>Schedule 1</w:t>
      </w:r>
      <w:r w:rsidRPr="00C41AA8">
        <w:t>—</w:t>
      </w:r>
      <w:r w:rsidRPr="00C41AA8">
        <w:rPr>
          <w:rStyle w:val="CharAmSchText"/>
        </w:rPr>
        <w:t>Amendments</w:t>
      </w:r>
      <w:bookmarkEnd w:id="21"/>
    </w:p>
    <w:p w14:paraId="669FC3E4" w14:textId="77777777" w:rsidR="00F5638C" w:rsidRPr="00C41AA8" w:rsidRDefault="00F5638C" w:rsidP="00F5638C">
      <w:pPr>
        <w:pStyle w:val="Header"/>
      </w:pPr>
      <w:r w:rsidRPr="00C41AA8">
        <w:t xml:space="preserve">  </w:t>
      </w:r>
    </w:p>
    <w:p w14:paraId="1A2B0208" w14:textId="77777777" w:rsidR="00644F8A" w:rsidRPr="00C41AA8" w:rsidRDefault="00644F8A" w:rsidP="00644F8A">
      <w:pPr>
        <w:pStyle w:val="ActHead9"/>
      </w:pPr>
      <w:bookmarkStart w:id="22" w:name="_Toc40340506"/>
      <w:r w:rsidRPr="00C41AA8">
        <w:t>Currency (Australian Coins) Determination 2019</w:t>
      </w:r>
      <w:bookmarkEnd w:id="22"/>
    </w:p>
    <w:p w14:paraId="049B842F" w14:textId="26149572" w:rsidR="00545FEE" w:rsidRPr="00C41AA8" w:rsidRDefault="009B17BD" w:rsidP="00545FEE">
      <w:pPr>
        <w:pStyle w:val="ItemHead"/>
      </w:pPr>
      <w:r w:rsidRPr="00C41AA8">
        <w:t>1</w:t>
      </w:r>
      <w:r w:rsidR="00545FEE" w:rsidRPr="00C41AA8">
        <w:t xml:space="preserve">  Schedule 2019, Part 1, clause 2, (table item 35, column headed ‘Standard composition’)</w:t>
      </w:r>
    </w:p>
    <w:p w14:paraId="5D2ABB51" w14:textId="77777777" w:rsidR="00545FEE" w:rsidRPr="00C41AA8" w:rsidRDefault="00545FEE" w:rsidP="00545FEE">
      <w:pPr>
        <w:pStyle w:val="Item"/>
      </w:pPr>
      <w:r w:rsidRPr="00C41AA8">
        <w:t>Repeal “99.9% silver”, substitute “99.99% silver”.</w:t>
      </w:r>
    </w:p>
    <w:p w14:paraId="4F8B1EC2" w14:textId="727EAF13" w:rsidR="00085BB7" w:rsidRPr="00C41AA8" w:rsidRDefault="009B17BD" w:rsidP="00085BB7">
      <w:pPr>
        <w:pStyle w:val="ItemHead"/>
      </w:pPr>
      <w:r w:rsidRPr="00C41AA8">
        <w:t>2</w:t>
      </w:r>
      <w:r w:rsidR="00085BB7" w:rsidRPr="00C41AA8">
        <w:t xml:space="preserve">  Schedule 2019, Part 1, clause 3 (table item 132, column headed ‘Explanation’)</w:t>
      </w:r>
    </w:p>
    <w:p w14:paraId="2727E3DA" w14:textId="77777777" w:rsidR="00085BB7" w:rsidRPr="00C41AA8" w:rsidRDefault="00085BB7" w:rsidP="00085BB7">
      <w:pPr>
        <w:pStyle w:val="Item"/>
      </w:pPr>
      <w:r w:rsidRPr="00C41AA8">
        <w:t>Repeal “1oz .999 SILVER”, substitute “1oz .9999 SILVER”.</w:t>
      </w:r>
    </w:p>
    <w:p w14:paraId="6E85A20E" w14:textId="3E17C0FF" w:rsidR="00943AC5" w:rsidRPr="00C41AA8" w:rsidRDefault="009B17BD" w:rsidP="00943AC5">
      <w:pPr>
        <w:pStyle w:val="ItemHead"/>
      </w:pPr>
      <w:r w:rsidRPr="00C41AA8">
        <w:t>3</w:t>
      </w:r>
      <w:r w:rsidR="00943AC5" w:rsidRPr="00C41AA8">
        <w:t xml:space="preserve">  Schedule 2019, Part 1, clause 3 (table item 160)</w:t>
      </w:r>
    </w:p>
    <w:p w14:paraId="17A6F6BD" w14:textId="77777777" w:rsidR="00943AC5" w:rsidRPr="00C41AA8" w:rsidRDefault="00943AC5" w:rsidP="00943AC5">
      <w:pPr>
        <w:pStyle w:val="Item"/>
      </w:pPr>
      <w:r w:rsidRPr="00C41AA8">
        <w:t>Repeal the item, substitute:</w:t>
      </w:r>
    </w:p>
    <w:p w14:paraId="7B5469AD" w14:textId="77777777" w:rsidR="00943AC5" w:rsidRPr="00C41AA8" w:rsidRDefault="00943AC5" w:rsidP="00943AC5">
      <w:pPr>
        <w:pStyle w:val="Tabletext"/>
      </w:pPr>
    </w:p>
    <w:tbl>
      <w:tblPr>
        <w:tblW w:w="8378" w:type="dxa"/>
        <w:tblInd w:w="9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6"/>
        <w:gridCol w:w="938"/>
        <w:gridCol w:w="938"/>
        <w:gridCol w:w="5886"/>
      </w:tblGrid>
      <w:tr w:rsidR="00943AC5" w:rsidRPr="00C41AA8" w14:paraId="395F060E" w14:textId="77777777" w:rsidTr="00943AC5">
        <w:tc>
          <w:tcPr>
            <w:tcW w:w="616" w:type="dxa"/>
            <w:shd w:val="clear" w:color="auto" w:fill="auto"/>
          </w:tcPr>
          <w:p w14:paraId="70671AD0" w14:textId="77777777" w:rsidR="00943AC5" w:rsidRPr="00C41AA8" w:rsidRDefault="00943AC5" w:rsidP="005A6592">
            <w:pPr>
              <w:pStyle w:val="Tabletext"/>
            </w:pPr>
            <w:r w:rsidRPr="00C41AA8">
              <w:t>160</w:t>
            </w:r>
          </w:p>
        </w:tc>
        <w:tc>
          <w:tcPr>
            <w:tcW w:w="938" w:type="dxa"/>
            <w:shd w:val="clear" w:color="auto" w:fill="auto"/>
          </w:tcPr>
          <w:p w14:paraId="3E7C9F44" w14:textId="77777777" w:rsidR="00943AC5" w:rsidRPr="00C41AA8" w:rsidRDefault="00943AC5" w:rsidP="005A6592">
            <w:pPr>
              <w:pStyle w:val="Tabletext"/>
            </w:pPr>
            <w:r w:rsidRPr="00C41AA8">
              <w:t>Reverse</w:t>
            </w:r>
          </w:p>
        </w:tc>
        <w:tc>
          <w:tcPr>
            <w:tcW w:w="938" w:type="dxa"/>
            <w:shd w:val="clear" w:color="auto" w:fill="auto"/>
          </w:tcPr>
          <w:p w14:paraId="4DF6B75D" w14:textId="77777777" w:rsidR="00943AC5" w:rsidRPr="00C41AA8" w:rsidRDefault="00943AC5" w:rsidP="005A6592">
            <w:pPr>
              <w:pStyle w:val="Tabletext"/>
            </w:pPr>
            <w:r w:rsidRPr="00C41AA8">
              <w:t>R61</w:t>
            </w:r>
          </w:p>
        </w:tc>
        <w:tc>
          <w:tcPr>
            <w:tcW w:w="5886" w:type="dxa"/>
            <w:shd w:val="clear" w:color="auto" w:fill="auto"/>
          </w:tcPr>
          <w:p w14:paraId="0CE54574" w14:textId="77777777" w:rsidR="00943AC5" w:rsidRPr="00C41AA8" w:rsidRDefault="00943AC5" w:rsidP="005A6592">
            <w:pPr>
              <w:pStyle w:val="Tabletext"/>
            </w:pPr>
            <w:r w:rsidRPr="00C41AA8">
              <w:t>A design consisting of:</w:t>
            </w:r>
          </w:p>
          <w:p w14:paraId="52A61E60" w14:textId="77777777" w:rsidR="00943AC5" w:rsidRPr="00C41AA8" w:rsidRDefault="00943AC5" w:rsidP="005A6592">
            <w:pPr>
              <w:pStyle w:val="Tablea"/>
            </w:pPr>
            <w:r w:rsidRPr="00C41AA8">
              <w:t>(a) a central circle enclosing the following:</w:t>
            </w:r>
          </w:p>
          <w:p w14:paraId="49E81B4C" w14:textId="77777777" w:rsidR="00943AC5" w:rsidRPr="00C41AA8" w:rsidRDefault="00943AC5" w:rsidP="005A6592">
            <w:pPr>
              <w:pStyle w:val="Tablei"/>
            </w:pPr>
            <w:r w:rsidRPr="00C41AA8">
              <w:t>(i) a stylised representation of the Chinese language character   (</w:t>
            </w:r>
            <w:r w:rsidRPr="00C41AA8">
              <w:rPr>
                <w:rFonts w:eastAsia="MS Mincho" w:hint="eastAsia"/>
              </w:rPr>
              <w:t>福</w:t>
            </w:r>
            <w:r w:rsidRPr="00C41AA8">
              <w:t>) pronounced </w:t>
            </w:r>
            <w:r w:rsidRPr="00C41AA8">
              <w:rPr>
                <w:i/>
              </w:rPr>
              <w:t>fú</w:t>
            </w:r>
            <w:r w:rsidRPr="00C41AA8">
              <w:t> under the Pinyin system and meaning good luck; and</w:t>
            </w:r>
          </w:p>
          <w:p w14:paraId="686C04F4" w14:textId="77777777" w:rsidR="00943AC5" w:rsidRPr="00C41AA8" w:rsidRDefault="00943AC5" w:rsidP="005A6592">
            <w:pPr>
              <w:pStyle w:val="Tablei"/>
            </w:pPr>
            <w:r w:rsidRPr="00C41AA8">
              <w:t>(ii) an ornamental border comprising of stylised representations of clouds; and</w:t>
            </w:r>
          </w:p>
          <w:p w14:paraId="1306F663" w14:textId="77777777" w:rsidR="00943AC5" w:rsidRPr="00C41AA8" w:rsidRDefault="00943AC5" w:rsidP="005A6592">
            <w:pPr>
              <w:pStyle w:val="Tablea"/>
            </w:pPr>
            <w:r w:rsidRPr="00C41AA8">
              <w:t>(b) surrounding that central circle, an ornamental border comprising stylised representations of splashing water; and</w:t>
            </w:r>
          </w:p>
          <w:p w14:paraId="0D26DD1B" w14:textId="77777777" w:rsidR="00943AC5" w:rsidRPr="00C41AA8" w:rsidRDefault="00943AC5" w:rsidP="005A6592">
            <w:pPr>
              <w:pStyle w:val="Tablea"/>
            </w:pPr>
            <w:r w:rsidRPr="00C41AA8">
              <w:t>(c) immediately inside the rim of the coin, a representation of the following:</w:t>
            </w:r>
          </w:p>
          <w:p w14:paraId="26FCFD92" w14:textId="77777777" w:rsidR="00943AC5" w:rsidRPr="00C41AA8" w:rsidRDefault="00943AC5" w:rsidP="005A6592">
            <w:pPr>
              <w:pStyle w:val="Tablei"/>
            </w:pPr>
            <w:r w:rsidRPr="00C41AA8">
              <w:t>(i) a rat; and</w:t>
            </w:r>
          </w:p>
          <w:p w14:paraId="52989CAF" w14:textId="77777777" w:rsidR="00943AC5" w:rsidRPr="00C41AA8" w:rsidRDefault="00943AC5" w:rsidP="005A6592">
            <w:pPr>
              <w:pStyle w:val="Tablei"/>
            </w:pPr>
            <w:r w:rsidRPr="00C41AA8">
              <w:t>(ii) a pig; and</w:t>
            </w:r>
          </w:p>
          <w:p w14:paraId="43BFCCD3" w14:textId="77777777" w:rsidR="00943AC5" w:rsidRPr="00C41AA8" w:rsidRDefault="00943AC5" w:rsidP="005A6592">
            <w:pPr>
              <w:pStyle w:val="Tablei"/>
            </w:pPr>
            <w:r w:rsidRPr="00C41AA8">
              <w:t>(iii) a dog; and</w:t>
            </w:r>
          </w:p>
          <w:p w14:paraId="3021A008" w14:textId="77777777" w:rsidR="00943AC5" w:rsidRPr="00C41AA8" w:rsidRDefault="00943AC5" w:rsidP="005A6592">
            <w:pPr>
              <w:pStyle w:val="Tablei"/>
            </w:pPr>
            <w:r w:rsidRPr="00C41AA8">
              <w:t>(iv) a rooster; and</w:t>
            </w:r>
          </w:p>
          <w:p w14:paraId="15052388" w14:textId="77777777" w:rsidR="00943AC5" w:rsidRPr="00C41AA8" w:rsidRDefault="00943AC5" w:rsidP="005A6592">
            <w:pPr>
              <w:pStyle w:val="Tablei"/>
            </w:pPr>
            <w:r w:rsidRPr="00C41AA8">
              <w:t>(v) a monkey; and</w:t>
            </w:r>
          </w:p>
          <w:p w14:paraId="0130DCF8" w14:textId="77777777" w:rsidR="00943AC5" w:rsidRPr="00C41AA8" w:rsidRDefault="00943AC5" w:rsidP="005A6592">
            <w:pPr>
              <w:pStyle w:val="Tablei"/>
            </w:pPr>
            <w:r w:rsidRPr="00C41AA8">
              <w:t>(vi) a goat; and</w:t>
            </w:r>
          </w:p>
          <w:p w14:paraId="4A99D149" w14:textId="77777777" w:rsidR="00943AC5" w:rsidRPr="00C41AA8" w:rsidRDefault="00943AC5" w:rsidP="005A6592">
            <w:pPr>
              <w:pStyle w:val="Tablei"/>
            </w:pPr>
            <w:r w:rsidRPr="00C41AA8">
              <w:t>(vii) a horse; and</w:t>
            </w:r>
          </w:p>
          <w:p w14:paraId="09FECA65" w14:textId="77777777" w:rsidR="00943AC5" w:rsidRPr="00C41AA8" w:rsidRDefault="00943AC5" w:rsidP="005A6592">
            <w:pPr>
              <w:pStyle w:val="Tablei"/>
            </w:pPr>
            <w:r w:rsidRPr="00C41AA8">
              <w:t>(viii) a snake; and</w:t>
            </w:r>
          </w:p>
          <w:p w14:paraId="0EA740B6" w14:textId="77777777" w:rsidR="00943AC5" w:rsidRPr="00C41AA8" w:rsidRDefault="00943AC5" w:rsidP="005A6592">
            <w:pPr>
              <w:pStyle w:val="Tablei"/>
            </w:pPr>
            <w:r w:rsidRPr="00C41AA8">
              <w:t>(ix) a dragon; and</w:t>
            </w:r>
          </w:p>
          <w:p w14:paraId="416A4C8D" w14:textId="77777777" w:rsidR="00943AC5" w:rsidRPr="00C41AA8" w:rsidRDefault="00943AC5" w:rsidP="005A6592">
            <w:pPr>
              <w:pStyle w:val="Tablei"/>
            </w:pPr>
            <w:r w:rsidRPr="00C41AA8">
              <w:t>(x) a rabbit; and</w:t>
            </w:r>
          </w:p>
          <w:p w14:paraId="26078D2C" w14:textId="77777777" w:rsidR="00943AC5" w:rsidRPr="00C41AA8" w:rsidRDefault="00943AC5" w:rsidP="005A6592">
            <w:pPr>
              <w:pStyle w:val="Tablei"/>
            </w:pPr>
            <w:r w:rsidRPr="00C41AA8">
              <w:t>(xi) a tiger; and</w:t>
            </w:r>
          </w:p>
          <w:p w14:paraId="0ABFA38F" w14:textId="77777777" w:rsidR="00943AC5" w:rsidRPr="00C41AA8" w:rsidRDefault="00943AC5" w:rsidP="005A6592">
            <w:pPr>
              <w:pStyle w:val="Tablei"/>
            </w:pPr>
            <w:r w:rsidRPr="00C41AA8">
              <w:t>(xii) an ox; and</w:t>
            </w:r>
          </w:p>
          <w:p w14:paraId="74F25EDE" w14:textId="77777777" w:rsidR="00943AC5" w:rsidRPr="00C41AA8" w:rsidRDefault="00943AC5" w:rsidP="005A6592">
            <w:pPr>
              <w:pStyle w:val="Tablea"/>
            </w:pPr>
            <w:r w:rsidRPr="00C41AA8">
              <w:t>(d) the animal mentioned in paragraph (c) that relates to the relevant zodiac year appearing at the top of the coin; and</w:t>
            </w:r>
          </w:p>
          <w:p w14:paraId="112E5427" w14:textId="77777777" w:rsidR="00943AC5" w:rsidRPr="00C41AA8" w:rsidRDefault="00943AC5" w:rsidP="005A6592">
            <w:pPr>
              <w:pStyle w:val="Tablea"/>
            </w:pPr>
            <w:r w:rsidRPr="00C41AA8">
              <w:t>(e) a stylised representation of the designer’s initials “BK”.</w:t>
            </w:r>
          </w:p>
        </w:tc>
      </w:tr>
    </w:tbl>
    <w:p w14:paraId="0D780F2C" w14:textId="77777777" w:rsidR="00943AC5" w:rsidRPr="00C41AA8" w:rsidRDefault="00943AC5" w:rsidP="00943AC5">
      <w:pPr>
        <w:pStyle w:val="Tabletext"/>
      </w:pPr>
    </w:p>
    <w:p w14:paraId="7EF9BE93" w14:textId="31B21C9D" w:rsidR="00F5638C" w:rsidRPr="00C41AA8" w:rsidRDefault="009B17BD" w:rsidP="00F5638C">
      <w:pPr>
        <w:pStyle w:val="ItemHead"/>
      </w:pPr>
      <w:r w:rsidRPr="00C41AA8">
        <w:t>4</w:t>
      </w:r>
      <w:r w:rsidR="00F5638C" w:rsidRPr="00C41AA8">
        <w:t xml:space="preserve">  </w:t>
      </w:r>
      <w:r w:rsidR="00644F8A" w:rsidRPr="00C41AA8">
        <w:t xml:space="preserve">Schedule 2020, </w:t>
      </w:r>
      <w:r w:rsidR="00AA10FD" w:rsidRPr="00C41AA8">
        <w:t>Part 1, clause 1 (</w:t>
      </w:r>
      <w:r w:rsidR="006A0781" w:rsidRPr="00C41AA8">
        <w:t>at the end of the table</w:t>
      </w:r>
      <w:r w:rsidR="00AA10FD" w:rsidRPr="00C41AA8">
        <w:t>)</w:t>
      </w:r>
    </w:p>
    <w:p w14:paraId="4E110D28" w14:textId="13C3AEA8" w:rsidR="00F5638C" w:rsidRPr="00C41AA8" w:rsidRDefault="006A0781" w:rsidP="00F5638C">
      <w:pPr>
        <w:pStyle w:val="Item"/>
      </w:pPr>
      <w:r w:rsidRPr="00C41AA8">
        <w:t>Add</w:t>
      </w:r>
      <w:r w:rsidR="006C03CC" w:rsidRPr="00C41AA8">
        <w:t>:</w:t>
      </w:r>
    </w:p>
    <w:p w14:paraId="0FD5F537" w14:textId="77777777" w:rsidR="00BF419C" w:rsidRPr="00C41AA8" w:rsidRDefault="00BF419C" w:rsidP="00BF419C">
      <w:pPr>
        <w:pStyle w:val="Tabletext"/>
      </w:pPr>
    </w:p>
    <w:tbl>
      <w:tblPr>
        <w:tblW w:w="9773" w:type="dxa"/>
        <w:jc w:val="center"/>
        <w:tblBorders>
          <w:insideH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12"/>
        <w:gridCol w:w="1143"/>
        <w:gridCol w:w="1283"/>
        <w:gridCol w:w="1612"/>
        <w:gridCol w:w="854"/>
        <w:gridCol w:w="713"/>
        <w:gridCol w:w="428"/>
        <w:gridCol w:w="570"/>
        <w:gridCol w:w="592"/>
        <w:gridCol w:w="611"/>
        <w:gridCol w:w="1155"/>
      </w:tblGrid>
      <w:tr w:rsidR="00AA10FD" w:rsidRPr="00C41AA8" w14:paraId="0A42883A" w14:textId="77777777" w:rsidTr="00D30A0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7F3285D4" w14:textId="77777777" w:rsidR="00AA10FD" w:rsidRPr="00C41AA8" w:rsidRDefault="00AA10FD" w:rsidP="00D753F7">
            <w:pPr>
              <w:pStyle w:val="Tabletext"/>
            </w:pPr>
            <w:r w:rsidRPr="00C41AA8">
              <w:t>2</w:t>
            </w:r>
          </w:p>
        </w:tc>
        <w:tc>
          <w:tcPr>
            <w:tcW w:w="1136" w:type="dxa"/>
            <w:shd w:val="clear" w:color="auto" w:fill="auto"/>
          </w:tcPr>
          <w:p w14:paraId="50450F19" w14:textId="77777777" w:rsidR="00AA10FD" w:rsidRPr="00C41AA8" w:rsidRDefault="00AA10FD" w:rsidP="00D753F7">
            <w:pPr>
              <w:pStyle w:val="Tabletext"/>
            </w:pPr>
            <w:r w:rsidRPr="00C41AA8">
              <w:t>$2</w:t>
            </w:r>
          </w:p>
        </w:tc>
        <w:tc>
          <w:tcPr>
            <w:tcW w:w="1275" w:type="dxa"/>
            <w:shd w:val="clear" w:color="auto" w:fill="auto"/>
          </w:tcPr>
          <w:p w14:paraId="0461204E" w14:textId="77777777" w:rsidR="00AA10FD" w:rsidRPr="00C41AA8" w:rsidRDefault="00AA10FD" w:rsidP="00D753F7">
            <w:pPr>
              <w:pStyle w:val="Tabletext"/>
            </w:pPr>
            <w:r w:rsidRPr="00C41AA8">
              <w:t>Copper, aluminium and nickel</w:t>
            </w:r>
          </w:p>
        </w:tc>
        <w:tc>
          <w:tcPr>
            <w:tcW w:w="1602" w:type="dxa"/>
            <w:shd w:val="clear" w:color="auto" w:fill="auto"/>
          </w:tcPr>
          <w:p w14:paraId="1D210B3B" w14:textId="77777777" w:rsidR="00AA10FD" w:rsidRPr="00C41AA8" w:rsidRDefault="00AA10FD" w:rsidP="00D753F7">
            <w:pPr>
              <w:pStyle w:val="Tabletext"/>
            </w:pPr>
            <w:r w:rsidRPr="00C41AA8">
              <w:t>6.60 ± 0.60</w:t>
            </w:r>
          </w:p>
        </w:tc>
        <w:tc>
          <w:tcPr>
            <w:tcW w:w="849" w:type="dxa"/>
            <w:shd w:val="clear" w:color="auto" w:fill="auto"/>
          </w:tcPr>
          <w:p w14:paraId="17B8A76F" w14:textId="77777777" w:rsidR="00AA10FD" w:rsidRPr="00C41AA8" w:rsidRDefault="00AA10FD" w:rsidP="00D753F7">
            <w:pPr>
              <w:pStyle w:val="Tabletext"/>
            </w:pPr>
            <w:r w:rsidRPr="00C41AA8">
              <w:t>20.62</w:t>
            </w:r>
          </w:p>
        </w:tc>
        <w:tc>
          <w:tcPr>
            <w:tcW w:w="709" w:type="dxa"/>
            <w:shd w:val="clear" w:color="auto" w:fill="auto"/>
          </w:tcPr>
          <w:p w14:paraId="21FC0E5D" w14:textId="77777777" w:rsidR="00AA10FD" w:rsidRPr="00C41AA8" w:rsidRDefault="00AA10FD" w:rsidP="00D753F7">
            <w:pPr>
              <w:pStyle w:val="Tabletext"/>
            </w:pPr>
            <w:r w:rsidRPr="00C41AA8">
              <w:t>3.70</w:t>
            </w:r>
          </w:p>
        </w:tc>
        <w:tc>
          <w:tcPr>
            <w:tcW w:w="425" w:type="dxa"/>
            <w:shd w:val="clear" w:color="auto" w:fill="auto"/>
          </w:tcPr>
          <w:p w14:paraId="5DBFD2BC" w14:textId="77777777" w:rsidR="00AA10FD" w:rsidRPr="00C41AA8" w:rsidRDefault="00AA10FD" w:rsidP="00D753F7">
            <w:pPr>
              <w:pStyle w:val="Tabletext"/>
            </w:pPr>
            <w:r w:rsidRPr="00C41AA8">
              <w:t>S1</w:t>
            </w:r>
          </w:p>
        </w:tc>
        <w:tc>
          <w:tcPr>
            <w:tcW w:w="567" w:type="dxa"/>
            <w:shd w:val="clear" w:color="auto" w:fill="auto"/>
          </w:tcPr>
          <w:p w14:paraId="2304650B" w14:textId="77777777" w:rsidR="00AA10FD" w:rsidRPr="00C41AA8" w:rsidRDefault="00AA10FD" w:rsidP="00D753F7">
            <w:pPr>
              <w:pStyle w:val="Tabletext"/>
            </w:pPr>
            <w:r w:rsidRPr="00C41AA8">
              <w:t>E3</w:t>
            </w:r>
          </w:p>
        </w:tc>
        <w:tc>
          <w:tcPr>
            <w:tcW w:w="588" w:type="dxa"/>
            <w:shd w:val="clear" w:color="auto" w:fill="auto"/>
          </w:tcPr>
          <w:p w14:paraId="7AA51C4D" w14:textId="77777777" w:rsidR="00AA10FD" w:rsidRPr="00C41AA8" w:rsidRDefault="00AA10FD" w:rsidP="00D753F7">
            <w:pPr>
              <w:pStyle w:val="Tabletext"/>
            </w:pPr>
            <w:r w:rsidRPr="00C41AA8">
              <w:t>O12</w:t>
            </w:r>
          </w:p>
        </w:tc>
        <w:tc>
          <w:tcPr>
            <w:tcW w:w="607" w:type="dxa"/>
            <w:shd w:val="clear" w:color="auto" w:fill="auto"/>
          </w:tcPr>
          <w:p w14:paraId="2B3BB6DA" w14:textId="77777777" w:rsidR="00AA10FD" w:rsidRPr="00C41AA8" w:rsidRDefault="00AA10FD" w:rsidP="00D753F7">
            <w:pPr>
              <w:pStyle w:val="Tabletext"/>
            </w:pPr>
            <w:r w:rsidRPr="00C41AA8">
              <w:t>R25</w:t>
            </w:r>
          </w:p>
        </w:tc>
        <w:tc>
          <w:tcPr>
            <w:tcW w:w="1148" w:type="dxa"/>
            <w:shd w:val="clear" w:color="auto" w:fill="auto"/>
          </w:tcPr>
          <w:p w14:paraId="2CE28CDB" w14:textId="66871E6F" w:rsidR="00AA10FD" w:rsidRPr="00C41AA8" w:rsidRDefault="001C46F2" w:rsidP="00D753F7">
            <w:pPr>
              <w:pStyle w:val="Tabletext"/>
            </w:pPr>
            <w:r>
              <w:t>18/05/2020</w:t>
            </w:r>
          </w:p>
        </w:tc>
      </w:tr>
      <w:tr w:rsidR="00AA10FD" w:rsidRPr="00C41AA8" w14:paraId="1A30A0FC" w14:textId="77777777" w:rsidTr="00D30A0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3570C44E" w14:textId="77777777" w:rsidR="00AA10FD" w:rsidRPr="00C41AA8" w:rsidRDefault="00AA10FD" w:rsidP="00D753F7">
            <w:pPr>
              <w:pStyle w:val="Tabletext"/>
            </w:pPr>
            <w:r w:rsidRPr="00C41AA8">
              <w:lastRenderedPageBreak/>
              <w:t>3</w:t>
            </w:r>
          </w:p>
        </w:tc>
        <w:tc>
          <w:tcPr>
            <w:tcW w:w="1136" w:type="dxa"/>
            <w:shd w:val="clear" w:color="auto" w:fill="auto"/>
          </w:tcPr>
          <w:p w14:paraId="4227B6C2" w14:textId="77777777" w:rsidR="00AA10FD" w:rsidRPr="00C41AA8" w:rsidRDefault="00AA10FD" w:rsidP="00D753F7">
            <w:pPr>
              <w:pStyle w:val="Tabletext"/>
            </w:pPr>
            <w:r w:rsidRPr="00C41AA8">
              <w:t>$2</w:t>
            </w:r>
          </w:p>
        </w:tc>
        <w:tc>
          <w:tcPr>
            <w:tcW w:w="1275" w:type="dxa"/>
            <w:shd w:val="clear" w:color="auto" w:fill="auto"/>
          </w:tcPr>
          <w:p w14:paraId="089B02D4" w14:textId="77777777" w:rsidR="00AA10FD" w:rsidRPr="00C41AA8" w:rsidRDefault="00AA10FD" w:rsidP="00D753F7">
            <w:pPr>
              <w:pStyle w:val="Tabletext"/>
            </w:pPr>
            <w:r w:rsidRPr="00C41AA8">
              <w:t>Copper, aluminium and nickel</w:t>
            </w:r>
          </w:p>
        </w:tc>
        <w:tc>
          <w:tcPr>
            <w:tcW w:w="1602" w:type="dxa"/>
            <w:shd w:val="clear" w:color="auto" w:fill="auto"/>
          </w:tcPr>
          <w:p w14:paraId="3DC82408" w14:textId="77777777" w:rsidR="00AA10FD" w:rsidRPr="00C41AA8" w:rsidRDefault="00AA10FD" w:rsidP="00D753F7">
            <w:pPr>
              <w:pStyle w:val="Tabletext"/>
            </w:pPr>
            <w:r w:rsidRPr="00C41AA8">
              <w:t>6.60 ± 0.60</w:t>
            </w:r>
          </w:p>
        </w:tc>
        <w:tc>
          <w:tcPr>
            <w:tcW w:w="849" w:type="dxa"/>
            <w:shd w:val="clear" w:color="auto" w:fill="auto"/>
          </w:tcPr>
          <w:p w14:paraId="421B1668" w14:textId="77777777" w:rsidR="00AA10FD" w:rsidRPr="00C41AA8" w:rsidRDefault="00AA10FD" w:rsidP="00D753F7">
            <w:pPr>
              <w:pStyle w:val="Tabletext"/>
            </w:pPr>
            <w:r w:rsidRPr="00C41AA8">
              <w:t>20.62</w:t>
            </w:r>
          </w:p>
        </w:tc>
        <w:tc>
          <w:tcPr>
            <w:tcW w:w="709" w:type="dxa"/>
            <w:shd w:val="clear" w:color="auto" w:fill="auto"/>
          </w:tcPr>
          <w:p w14:paraId="243762E8" w14:textId="77777777" w:rsidR="00AA10FD" w:rsidRPr="00C41AA8" w:rsidRDefault="00AA10FD" w:rsidP="00D753F7">
            <w:pPr>
              <w:pStyle w:val="Tabletext"/>
            </w:pPr>
            <w:r w:rsidRPr="00C41AA8">
              <w:t>3.70</w:t>
            </w:r>
          </w:p>
        </w:tc>
        <w:tc>
          <w:tcPr>
            <w:tcW w:w="425" w:type="dxa"/>
            <w:shd w:val="clear" w:color="auto" w:fill="auto"/>
          </w:tcPr>
          <w:p w14:paraId="7BDA30ED" w14:textId="77777777" w:rsidR="00AA10FD" w:rsidRPr="00C41AA8" w:rsidRDefault="00AA10FD" w:rsidP="00D753F7">
            <w:pPr>
              <w:pStyle w:val="Tabletext"/>
            </w:pPr>
            <w:r w:rsidRPr="00C41AA8">
              <w:t>S1</w:t>
            </w:r>
          </w:p>
        </w:tc>
        <w:tc>
          <w:tcPr>
            <w:tcW w:w="567" w:type="dxa"/>
            <w:shd w:val="clear" w:color="auto" w:fill="auto"/>
          </w:tcPr>
          <w:p w14:paraId="7C93DB58" w14:textId="77777777" w:rsidR="00AA10FD" w:rsidRPr="00C41AA8" w:rsidRDefault="00AA10FD" w:rsidP="00D753F7">
            <w:pPr>
              <w:pStyle w:val="Tabletext"/>
            </w:pPr>
            <w:r w:rsidRPr="00C41AA8">
              <w:t>E3</w:t>
            </w:r>
          </w:p>
        </w:tc>
        <w:tc>
          <w:tcPr>
            <w:tcW w:w="588" w:type="dxa"/>
            <w:shd w:val="clear" w:color="auto" w:fill="auto"/>
          </w:tcPr>
          <w:p w14:paraId="4F52CADC" w14:textId="77777777" w:rsidR="00AA10FD" w:rsidRPr="00C41AA8" w:rsidRDefault="00AA10FD" w:rsidP="00D753F7">
            <w:pPr>
              <w:pStyle w:val="Tabletext"/>
            </w:pPr>
            <w:r w:rsidRPr="00C41AA8">
              <w:t>O12</w:t>
            </w:r>
          </w:p>
        </w:tc>
        <w:tc>
          <w:tcPr>
            <w:tcW w:w="607" w:type="dxa"/>
            <w:shd w:val="clear" w:color="auto" w:fill="auto"/>
          </w:tcPr>
          <w:p w14:paraId="363D388F" w14:textId="23883C8F" w:rsidR="00AA10FD" w:rsidRPr="00C41AA8" w:rsidRDefault="00FA7DFC" w:rsidP="00D753F7">
            <w:pPr>
              <w:pStyle w:val="Tabletext"/>
            </w:pPr>
            <w:r w:rsidRPr="00C41AA8">
              <w:t>R27</w:t>
            </w:r>
          </w:p>
        </w:tc>
        <w:tc>
          <w:tcPr>
            <w:tcW w:w="1148" w:type="dxa"/>
            <w:shd w:val="clear" w:color="auto" w:fill="auto"/>
          </w:tcPr>
          <w:p w14:paraId="65AF893C" w14:textId="2D6D8FC4" w:rsidR="00AA10FD" w:rsidRPr="00C41AA8" w:rsidRDefault="001C46F2" w:rsidP="00D753F7">
            <w:pPr>
              <w:pStyle w:val="Tabletext"/>
            </w:pPr>
            <w:r>
              <w:t>18/05/2020</w:t>
            </w:r>
          </w:p>
        </w:tc>
      </w:tr>
    </w:tbl>
    <w:p w14:paraId="2DC84D20" w14:textId="77777777" w:rsidR="006A0781" w:rsidRPr="00C41AA8" w:rsidRDefault="006A0781" w:rsidP="006A0781">
      <w:pPr>
        <w:pStyle w:val="Tabletext"/>
      </w:pPr>
    </w:p>
    <w:p w14:paraId="569CA362" w14:textId="64D508F8" w:rsidR="00AA10FD" w:rsidRPr="00C41AA8" w:rsidRDefault="009B17BD" w:rsidP="00AA10FD">
      <w:pPr>
        <w:pStyle w:val="ItemHead"/>
      </w:pPr>
      <w:r w:rsidRPr="00C41AA8">
        <w:t>5</w:t>
      </w:r>
      <w:r w:rsidR="00AA10FD" w:rsidRPr="00C41AA8">
        <w:t xml:space="preserve">  Schedule 2020, Part 1, clause 2 (</w:t>
      </w:r>
      <w:r w:rsidR="006C03CC" w:rsidRPr="00C41AA8">
        <w:t>at the end the table</w:t>
      </w:r>
      <w:r w:rsidR="00AA10FD" w:rsidRPr="00C41AA8">
        <w:t>)</w:t>
      </w:r>
    </w:p>
    <w:p w14:paraId="5234DD83" w14:textId="42F2DEA2" w:rsidR="00AA10FD" w:rsidRPr="00C41AA8" w:rsidRDefault="006C03CC" w:rsidP="00AA10FD">
      <w:pPr>
        <w:pStyle w:val="Item"/>
      </w:pPr>
      <w:r w:rsidRPr="00C41AA8">
        <w:t>Add</w:t>
      </w:r>
      <w:r w:rsidR="00AA10FD" w:rsidRPr="00C41AA8">
        <w:t>:</w:t>
      </w:r>
    </w:p>
    <w:p w14:paraId="7A53B262" w14:textId="77777777" w:rsidR="006C03CC" w:rsidRPr="00C41AA8" w:rsidRDefault="006C03CC" w:rsidP="006C03CC">
      <w:pPr>
        <w:pStyle w:val="Tabletext"/>
      </w:pPr>
    </w:p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09"/>
        <w:gridCol w:w="1140"/>
        <w:gridCol w:w="1279"/>
        <w:gridCol w:w="1607"/>
        <w:gridCol w:w="852"/>
        <w:gridCol w:w="711"/>
        <w:gridCol w:w="455"/>
        <w:gridCol w:w="569"/>
        <w:gridCol w:w="590"/>
        <w:gridCol w:w="609"/>
        <w:gridCol w:w="1152"/>
      </w:tblGrid>
      <w:tr w:rsidR="00FA7DFC" w:rsidRPr="00C41AA8" w14:paraId="6E4310F8" w14:textId="77777777" w:rsidTr="0009538A">
        <w:trPr>
          <w:cantSplit/>
          <w:jc w:val="center"/>
        </w:trPr>
        <w:tc>
          <w:tcPr>
            <w:tcW w:w="80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79956E" w14:textId="77777777" w:rsidR="00FA7DFC" w:rsidRPr="00C41AA8" w:rsidRDefault="00FA7DFC" w:rsidP="00D753F7">
            <w:pPr>
              <w:pStyle w:val="Tabletext"/>
            </w:pPr>
            <w:r w:rsidRPr="00C41AA8"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D666B42" w14:textId="77777777" w:rsidR="00FA7DFC" w:rsidRPr="00C41AA8" w:rsidRDefault="00FA7DFC" w:rsidP="00D753F7">
            <w:pPr>
              <w:pStyle w:val="Tabletext"/>
            </w:pPr>
            <w:r w:rsidRPr="00C41AA8">
              <w:t>$2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2DBC10" w14:textId="77777777" w:rsidR="00FA7DFC" w:rsidRPr="00C41AA8" w:rsidRDefault="00FA7DFC" w:rsidP="00D753F7">
            <w:pPr>
              <w:pStyle w:val="Tabletext"/>
            </w:pPr>
            <w:r w:rsidRPr="00C41AA8">
              <w:t>Copper, aluminium and nickel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E9479AC" w14:textId="77777777" w:rsidR="00FA7DFC" w:rsidRPr="00C41AA8" w:rsidRDefault="00FA7DFC" w:rsidP="00D753F7">
            <w:pPr>
              <w:pStyle w:val="Tabletext"/>
            </w:pPr>
            <w:r w:rsidRPr="00C41AA8">
              <w:t>6.60 ± 0.60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0C7661" w14:textId="77777777" w:rsidR="00FA7DFC" w:rsidRPr="00C41AA8" w:rsidRDefault="00FA7DFC" w:rsidP="00D753F7">
            <w:pPr>
              <w:pStyle w:val="Tabletext"/>
            </w:pPr>
            <w:r w:rsidRPr="00C41AA8">
              <w:t>20.62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26383D" w14:textId="77777777" w:rsidR="00FA7DFC" w:rsidRPr="00C41AA8" w:rsidRDefault="00FA7DFC" w:rsidP="00D753F7">
            <w:pPr>
              <w:pStyle w:val="Tabletext"/>
            </w:pPr>
            <w:r w:rsidRPr="00C41AA8">
              <w:t>3.70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483D32" w14:textId="77777777" w:rsidR="00FA7DFC" w:rsidRPr="00C41AA8" w:rsidRDefault="00FA7DFC" w:rsidP="00D753F7">
            <w:pPr>
              <w:pStyle w:val="Tabletext"/>
            </w:pPr>
            <w:r w:rsidRPr="00C41AA8">
              <w:t>S1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609A7B" w14:textId="77777777" w:rsidR="00FA7DFC" w:rsidRPr="00C41AA8" w:rsidRDefault="00FA7DFC" w:rsidP="00D753F7">
            <w:pPr>
              <w:pStyle w:val="Tabletext"/>
            </w:pPr>
            <w:r w:rsidRPr="00C41AA8">
              <w:t>E3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6132911" w14:textId="77777777" w:rsidR="00FA7DFC" w:rsidRPr="00C41AA8" w:rsidRDefault="00FA7DFC" w:rsidP="00D753F7">
            <w:pPr>
              <w:pStyle w:val="Tabletext"/>
            </w:pPr>
            <w:r w:rsidRPr="00C41AA8">
              <w:t>O12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81B367D" w14:textId="77777777" w:rsidR="00FA7DFC" w:rsidRPr="00C41AA8" w:rsidRDefault="00FA7DFC" w:rsidP="00D753F7">
            <w:pPr>
              <w:pStyle w:val="Tabletext"/>
            </w:pPr>
            <w:r w:rsidRPr="00C41AA8">
              <w:t>R27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7060D8F" w14:textId="303A6907" w:rsidR="00FA7DFC" w:rsidRPr="00C41AA8" w:rsidRDefault="001C46F2" w:rsidP="00D753F7">
            <w:pPr>
              <w:pStyle w:val="Tabletext"/>
            </w:pPr>
            <w:r>
              <w:t>18/05/2020</w:t>
            </w:r>
          </w:p>
        </w:tc>
      </w:tr>
      <w:tr w:rsidR="001C46F2" w:rsidRPr="00C41AA8" w14:paraId="639B20BD" w14:textId="77777777" w:rsidTr="00D753F7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EEFB1F" w14:textId="77777777" w:rsidR="001C46F2" w:rsidRPr="00C41AA8" w:rsidRDefault="001C46F2" w:rsidP="001C46F2">
            <w:pPr>
              <w:pStyle w:val="Tabletext"/>
            </w:pPr>
            <w:r w:rsidRPr="00C41AA8">
              <w:t>32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424A601" w14:textId="65B9FAED" w:rsidR="001C46F2" w:rsidRPr="00C41AA8" w:rsidRDefault="001C46F2" w:rsidP="001C46F2">
            <w:pPr>
              <w:pStyle w:val="Tabletext"/>
            </w:pPr>
            <w:r w:rsidRPr="00C41AA8">
              <w:t>$2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017B16" w14:textId="5EA8DF05" w:rsidR="001C46F2" w:rsidRPr="00C41AA8" w:rsidRDefault="001C46F2" w:rsidP="001C46F2">
            <w:pPr>
              <w:pStyle w:val="Tabletext"/>
            </w:pPr>
            <w:r w:rsidRPr="00C41AA8">
              <w:t>Copper, aluminium and nickel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DBC53E" w14:textId="54378881" w:rsidR="001C46F2" w:rsidRPr="00C41AA8" w:rsidRDefault="001C46F2" w:rsidP="001C46F2">
            <w:pPr>
              <w:pStyle w:val="Tabletext"/>
            </w:pPr>
            <w:r w:rsidRPr="00C41AA8">
              <w:t>6.60 ± 0.60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2ADBF4" w14:textId="549CDE54" w:rsidR="001C46F2" w:rsidRPr="00C41AA8" w:rsidRDefault="001C46F2" w:rsidP="001C46F2">
            <w:pPr>
              <w:pStyle w:val="Tabletext"/>
            </w:pPr>
            <w:r w:rsidRPr="00C41AA8">
              <w:t>20.62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44E002" w14:textId="1B75ADD2" w:rsidR="001C46F2" w:rsidRPr="00C41AA8" w:rsidRDefault="001C46F2" w:rsidP="001C46F2">
            <w:pPr>
              <w:pStyle w:val="Tabletext"/>
            </w:pPr>
            <w:r w:rsidRPr="00C41AA8">
              <w:t>3.70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526154" w14:textId="0B2BAB16" w:rsidR="001C46F2" w:rsidRPr="00C41AA8" w:rsidRDefault="001C46F2" w:rsidP="001C46F2">
            <w:pPr>
              <w:pStyle w:val="Tabletext"/>
            </w:pPr>
            <w:r w:rsidRPr="00C41AA8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96C9A9F" w14:textId="682569B1" w:rsidR="001C46F2" w:rsidRPr="00C41AA8" w:rsidRDefault="001C46F2" w:rsidP="001C46F2">
            <w:pPr>
              <w:pStyle w:val="Tabletext"/>
            </w:pPr>
            <w:r w:rsidRPr="00C41AA8">
              <w:t>E3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674AE10" w14:textId="117DC2F4" w:rsidR="001C46F2" w:rsidRPr="00C41AA8" w:rsidRDefault="001C46F2" w:rsidP="001C46F2">
            <w:pPr>
              <w:pStyle w:val="Tabletext"/>
            </w:pPr>
            <w:r w:rsidRPr="00C41AA8">
              <w:t>O12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466FA8" w14:textId="1D2060EB" w:rsidR="001C46F2" w:rsidRPr="00C41AA8" w:rsidRDefault="001C46F2" w:rsidP="001C46F2">
            <w:pPr>
              <w:pStyle w:val="Tabletext"/>
            </w:pPr>
            <w:r w:rsidRPr="00C41AA8">
              <w:t>R26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3663B1" w14:textId="50E4C19C" w:rsidR="001C46F2" w:rsidRPr="00C41AA8" w:rsidRDefault="001C46F2" w:rsidP="001C46F2">
            <w:pPr>
              <w:pStyle w:val="Tabletext"/>
            </w:pPr>
            <w:r w:rsidRPr="00E5091F">
              <w:t>18/05/2020</w:t>
            </w:r>
          </w:p>
        </w:tc>
      </w:tr>
      <w:tr w:rsidR="001C46F2" w:rsidRPr="00C41AA8" w14:paraId="5FE46BED" w14:textId="77777777" w:rsidTr="00D753F7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43EFA4" w14:textId="77777777" w:rsidR="001C46F2" w:rsidRPr="00C41AA8" w:rsidRDefault="001C46F2" w:rsidP="001C46F2">
            <w:pPr>
              <w:pStyle w:val="Tabletext"/>
            </w:pPr>
            <w:r w:rsidRPr="00C41AA8">
              <w:t>33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64D3F85" w14:textId="0F8A8B47" w:rsidR="001C46F2" w:rsidRPr="00C41AA8" w:rsidRDefault="001C46F2" w:rsidP="001C46F2">
            <w:pPr>
              <w:pStyle w:val="Tabletext"/>
            </w:pPr>
            <w:r w:rsidRPr="00C41AA8">
              <w:t>50¢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8A9C18" w14:textId="00F551F8" w:rsidR="001C46F2" w:rsidRPr="00C41AA8" w:rsidRDefault="001C46F2" w:rsidP="001C46F2">
            <w:pPr>
              <w:pStyle w:val="Tabletext"/>
            </w:pPr>
            <w:r w:rsidRPr="00C41AA8">
              <w:t>Copper and nickel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932932" w14:textId="5E5649AB" w:rsidR="001C46F2" w:rsidRPr="00C41AA8" w:rsidRDefault="001C46F2" w:rsidP="001C46F2">
            <w:pPr>
              <w:pStyle w:val="Tabletext"/>
            </w:pPr>
            <w:r w:rsidRPr="00C41AA8">
              <w:t>15.37 ± 1.00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4A05342" w14:textId="2F551644" w:rsidR="001C46F2" w:rsidRPr="00C41AA8" w:rsidRDefault="001C46F2" w:rsidP="001C46F2">
            <w:pPr>
              <w:pStyle w:val="Tabletext"/>
            </w:pPr>
            <w:r w:rsidRPr="00C41AA8">
              <w:t>31.81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A6DAA1" w14:textId="6E43F848" w:rsidR="001C46F2" w:rsidRPr="00C41AA8" w:rsidRDefault="001C46F2" w:rsidP="001C46F2">
            <w:pPr>
              <w:pStyle w:val="Tabletext"/>
            </w:pPr>
            <w:r w:rsidRPr="00C41AA8">
              <w:t>3.00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1E092F" w14:textId="11B7D8D4" w:rsidR="001C46F2" w:rsidRPr="00C41AA8" w:rsidRDefault="001C46F2" w:rsidP="001C46F2">
            <w:pPr>
              <w:pStyle w:val="Tabletext"/>
            </w:pPr>
            <w:r w:rsidRPr="00C41AA8">
              <w:t>S9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45340D8" w14:textId="40931ED0" w:rsidR="001C46F2" w:rsidRPr="00C41AA8" w:rsidRDefault="001C46F2" w:rsidP="001C46F2">
            <w:pPr>
              <w:pStyle w:val="Tabletext"/>
            </w:pPr>
            <w:r w:rsidRPr="00C41AA8">
              <w:t>E2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EB602D" w14:textId="6711E22F" w:rsidR="001C46F2" w:rsidRPr="00C41AA8" w:rsidRDefault="001C46F2" w:rsidP="001C46F2">
            <w:pPr>
              <w:pStyle w:val="Tabletext"/>
            </w:pPr>
            <w:r w:rsidRPr="00C41AA8">
              <w:t>O10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D5AA03" w14:textId="341F0FFF" w:rsidR="001C46F2" w:rsidRPr="00C41AA8" w:rsidRDefault="001C46F2" w:rsidP="001C46F2">
            <w:pPr>
              <w:pStyle w:val="Tabletext"/>
            </w:pPr>
            <w:r w:rsidRPr="00C41AA8">
              <w:t>R28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E8251C" w14:textId="72E44B4B" w:rsidR="001C46F2" w:rsidRPr="00C41AA8" w:rsidRDefault="001C46F2" w:rsidP="001C46F2">
            <w:pPr>
              <w:pStyle w:val="Tabletext"/>
            </w:pPr>
            <w:r w:rsidRPr="00E5091F">
              <w:t>18/05/2020</w:t>
            </w:r>
          </w:p>
        </w:tc>
      </w:tr>
      <w:tr w:rsidR="001C46F2" w:rsidRPr="00C41AA8" w14:paraId="7365C9AC" w14:textId="77777777" w:rsidTr="00D753F7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F7D2E2F" w14:textId="18285D79" w:rsidR="001C46F2" w:rsidRPr="00C41AA8" w:rsidRDefault="001C46F2" w:rsidP="001C46F2">
            <w:pPr>
              <w:pStyle w:val="Tabletext"/>
            </w:pPr>
            <w:r w:rsidRPr="00C41AA8">
              <w:t>34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61B6DC" w14:textId="26B58B32" w:rsidR="001C46F2" w:rsidRPr="00C41AA8" w:rsidRDefault="001C46F2" w:rsidP="001C46F2">
            <w:pPr>
              <w:pStyle w:val="Tabletext"/>
            </w:pPr>
            <w:r w:rsidRPr="00C41AA8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B10472" w14:textId="1DA9C3AD" w:rsidR="001C46F2" w:rsidRPr="00C41AA8" w:rsidRDefault="001C46F2" w:rsidP="001C46F2">
            <w:pPr>
              <w:pStyle w:val="Tabletext"/>
            </w:pPr>
            <w:r w:rsidRPr="00C41AA8">
              <w:t>Copper, aluminium and nickel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0439D1" w14:textId="14C47467" w:rsidR="001C46F2" w:rsidRPr="00C41AA8" w:rsidRDefault="001C46F2" w:rsidP="001C46F2">
            <w:pPr>
              <w:pStyle w:val="Tabletext"/>
            </w:pPr>
            <w:r w:rsidRPr="00C41AA8">
              <w:t>9.00 ± 0.66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2AEDCD" w14:textId="4FB261DE" w:rsidR="001C46F2" w:rsidRPr="00C41AA8" w:rsidRDefault="001C46F2" w:rsidP="001C46F2">
            <w:pPr>
              <w:pStyle w:val="Tabletext"/>
            </w:pPr>
            <w:r w:rsidRPr="00C41AA8">
              <w:t>25.20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F1BA5E" w14:textId="0961624F" w:rsidR="001C46F2" w:rsidRPr="00C41AA8" w:rsidRDefault="001C46F2" w:rsidP="001C46F2">
            <w:pPr>
              <w:pStyle w:val="Tabletext"/>
            </w:pPr>
            <w:r w:rsidRPr="00C41AA8">
              <w:t>3.46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87B3BD" w14:textId="7805304F" w:rsidR="001C46F2" w:rsidRPr="00C41AA8" w:rsidRDefault="001C46F2" w:rsidP="001C46F2">
            <w:pPr>
              <w:pStyle w:val="Tabletext"/>
            </w:pPr>
            <w:r w:rsidRPr="00C41AA8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0742C9" w14:textId="7A1B4F11" w:rsidR="001C46F2" w:rsidRPr="00C41AA8" w:rsidRDefault="001C46F2" w:rsidP="001C46F2">
            <w:pPr>
              <w:pStyle w:val="Tabletext"/>
            </w:pPr>
            <w:r w:rsidRPr="00C41AA8">
              <w:t>E3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99ECDE" w14:textId="04B52F7F" w:rsidR="001C46F2" w:rsidRPr="00C41AA8" w:rsidRDefault="001C46F2" w:rsidP="001C46F2">
            <w:pPr>
              <w:pStyle w:val="Tabletext"/>
            </w:pPr>
            <w:r w:rsidRPr="00C41AA8">
              <w:t>O12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20BDF2" w14:textId="35EBD967" w:rsidR="001C46F2" w:rsidRPr="00C41AA8" w:rsidRDefault="001C46F2" w:rsidP="001C46F2">
            <w:pPr>
              <w:pStyle w:val="Tabletext"/>
            </w:pPr>
            <w:r w:rsidRPr="00C41AA8">
              <w:t>R29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23905B" w14:textId="3B298358" w:rsidR="001C46F2" w:rsidRPr="00C41AA8" w:rsidRDefault="001C46F2" w:rsidP="001C46F2">
            <w:pPr>
              <w:pStyle w:val="Tabletext"/>
            </w:pPr>
            <w:r w:rsidRPr="00E5091F">
              <w:t>18/05/2020</w:t>
            </w:r>
          </w:p>
        </w:tc>
      </w:tr>
      <w:tr w:rsidR="001C46F2" w:rsidRPr="00C41AA8" w14:paraId="6D9B8DA9" w14:textId="77777777" w:rsidTr="00D753F7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34268D" w14:textId="03967958" w:rsidR="001C46F2" w:rsidRPr="00C41AA8" w:rsidRDefault="001C46F2" w:rsidP="001C46F2">
            <w:pPr>
              <w:pStyle w:val="Tabletext"/>
            </w:pPr>
            <w:r w:rsidRPr="00C41AA8">
              <w:t>35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6B7B3DB" w14:textId="34001C16" w:rsidR="001C46F2" w:rsidRPr="00C41AA8" w:rsidRDefault="001C46F2" w:rsidP="001C46F2">
            <w:pPr>
              <w:pStyle w:val="Tabletext"/>
            </w:pPr>
            <w:r w:rsidRPr="00C41AA8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7BC116" w14:textId="03423F67" w:rsidR="001C46F2" w:rsidRPr="00C41AA8" w:rsidRDefault="001C46F2" w:rsidP="001C46F2">
            <w:pPr>
              <w:pStyle w:val="Tabletext"/>
            </w:pPr>
            <w:r w:rsidRPr="00C41AA8">
              <w:t>At least 99.9% silver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AB2B62" w14:textId="36D9CD75" w:rsidR="001C46F2" w:rsidRPr="00C41AA8" w:rsidRDefault="001C46F2" w:rsidP="001C46F2">
            <w:pPr>
              <w:pStyle w:val="Tabletext"/>
            </w:pPr>
            <w:r w:rsidRPr="00C41AA8">
              <w:t>15.55 + 2.00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ABFF88" w14:textId="441DD26B" w:rsidR="001C46F2" w:rsidRPr="00C41AA8" w:rsidRDefault="001C46F2" w:rsidP="001C46F2">
            <w:pPr>
              <w:pStyle w:val="Tabletext"/>
            </w:pPr>
            <w:r w:rsidRPr="00C41AA8">
              <w:t>43.30 × 25.30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476CF56" w14:textId="79A141E1" w:rsidR="001C46F2" w:rsidRPr="00C41AA8" w:rsidRDefault="001C46F2" w:rsidP="001C46F2">
            <w:pPr>
              <w:pStyle w:val="Tabletext"/>
            </w:pPr>
            <w:r w:rsidRPr="00C41AA8">
              <w:t>3.00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CFCE24C" w14:textId="64E0E3E9" w:rsidR="001C46F2" w:rsidRPr="00C41AA8" w:rsidRDefault="001C46F2" w:rsidP="001C46F2">
            <w:pPr>
              <w:pStyle w:val="Tabletext"/>
            </w:pPr>
            <w:r w:rsidRPr="00C41AA8">
              <w:t>S8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823F19" w14:textId="75CCD4A4" w:rsidR="001C46F2" w:rsidRPr="00C41AA8" w:rsidRDefault="001C46F2" w:rsidP="001C46F2">
            <w:pPr>
              <w:pStyle w:val="Tabletext"/>
            </w:pPr>
            <w:r w:rsidRPr="00C41AA8">
              <w:t>E2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BB727C" w14:textId="4E069E4C" w:rsidR="001C46F2" w:rsidRPr="00C41AA8" w:rsidRDefault="001C46F2" w:rsidP="001C46F2">
            <w:pPr>
              <w:pStyle w:val="Tabletext"/>
            </w:pPr>
            <w:r w:rsidRPr="00C41AA8">
              <w:t>O15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23AEB5" w14:textId="06BD1D0F" w:rsidR="001C46F2" w:rsidRPr="00C41AA8" w:rsidRDefault="001C46F2" w:rsidP="001C46F2">
            <w:pPr>
              <w:pStyle w:val="Tabletext"/>
            </w:pPr>
            <w:r w:rsidRPr="00C41AA8">
              <w:t>R29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F1F6F2" w14:textId="42A08DA0" w:rsidR="001C46F2" w:rsidRPr="00C41AA8" w:rsidRDefault="001C46F2" w:rsidP="001C46F2">
            <w:pPr>
              <w:pStyle w:val="Tabletext"/>
            </w:pPr>
            <w:r w:rsidRPr="00E5091F">
              <w:t>18/05/2020</w:t>
            </w:r>
          </w:p>
        </w:tc>
      </w:tr>
      <w:tr w:rsidR="001C46F2" w:rsidRPr="00C41AA8" w14:paraId="04552534" w14:textId="77777777" w:rsidTr="00D753F7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781C4B" w14:textId="5180FD27" w:rsidR="001C46F2" w:rsidRPr="00C41AA8" w:rsidRDefault="001C46F2" w:rsidP="001C46F2">
            <w:pPr>
              <w:pStyle w:val="Tabletext"/>
            </w:pPr>
            <w:r w:rsidRPr="00C41AA8">
              <w:t>36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E222A5" w14:textId="173C1D23" w:rsidR="001C46F2" w:rsidRPr="00C41AA8" w:rsidRDefault="001C46F2" w:rsidP="001C46F2">
            <w:pPr>
              <w:pStyle w:val="Tabletext"/>
            </w:pPr>
            <w:r w:rsidRPr="00C41AA8">
              <w:t>$5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57CCAA" w14:textId="78368813" w:rsidR="001C46F2" w:rsidRPr="00C41AA8" w:rsidRDefault="001C46F2" w:rsidP="001C46F2">
            <w:pPr>
              <w:pStyle w:val="Tabletext"/>
            </w:pPr>
            <w:r w:rsidRPr="00C41AA8">
              <w:t>At least 99.9% silver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535C7D" w14:textId="5F0F423A" w:rsidR="001C46F2" w:rsidRPr="00C41AA8" w:rsidRDefault="001C46F2" w:rsidP="001C46F2">
            <w:pPr>
              <w:pStyle w:val="Tabletext"/>
            </w:pPr>
            <w:r w:rsidRPr="00C41AA8">
              <w:t>31.103 + 3.00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10133C" w14:textId="676C98B0" w:rsidR="001C46F2" w:rsidRPr="00C41AA8" w:rsidRDefault="001C46F2" w:rsidP="001C46F2">
            <w:pPr>
              <w:pStyle w:val="Tabletext"/>
            </w:pPr>
            <w:r w:rsidRPr="00C41AA8">
              <w:t>40.50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BEA6E3" w14:textId="4C2A8E2D" w:rsidR="001C46F2" w:rsidRPr="00C41AA8" w:rsidRDefault="001C46F2" w:rsidP="001C46F2">
            <w:pPr>
              <w:pStyle w:val="Tabletext"/>
            </w:pPr>
            <w:r w:rsidRPr="00C41AA8">
              <w:t>8.30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6150DE2" w14:textId="179D1FF4" w:rsidR="001C46F2" w:rsidRPr="00C41AA8" w:rsidRDefault="001C46F2" w:rsidP="001C46F2">
            <w:pPr>
              <w:pStyle w:val="Tabletext"/>
            </w:pPr>
            <w:r w:rsidRPr="00C41AA8">
              <w:t>S4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C27283" w14:textId="01DF91AF" w:rsidR="001C46F2" w:rsidRPr="00C41AA8" w:rsidRDefault="001C46F2" w:rsidP="001C46F2">
            <w:pPr>
              <w:pStyle w:val="Tabletext"/>
            </w:pPr>
            <w:r w:rsidRPr="00C41AA8">
              <w:t>E2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AFFC82" w14:textId="78E4A955" w:rsidR="001C46F2" w:rsidRPr="00C41AA8" w:rsidRDefault="001C46F2" w:rsidP="001C46F2">
            <w:pPr>
              <w:pStyle w:val="Tabletext"/>
            </w:pPr>
            <w:r w:rsidRPr="00C41AA8">
              <w:t>O14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76D6CD" w14:textId="36A6EEED" w:rsidR="001C46F2" w:rsidRPr="00C41AA8" w:rsidRDefault="001C46F2" w:rsidP="001C46F2">
            <w:pPr>
              <w:pStyle w:val="Tabletext"/>
            </w:pPr>
            <w:r w:rsidRPr="00C41AA8">
              <w:t>R30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1B4C90" w14:textId="246617FB" w:rsidR="001C46F2" w:rsidRPr="00C41AA8" w:rsidRDefault="001C46F2" w:rsidP="001C46F2">
            <w:pPr>
              <w:pStyle w:val="Tabletext"/>
            </w:pPr>
            <w:r w:rsidRPr="00E5091F">
              <w:t>18/05/2020</w:t>
            </w:r>
          </w:p>
        </w:tc>
      </w:tr>
      <w:tr w:rsidR="001C46F2" w:rsidRPr="00C41AA8" w14:paraId="14D1C8A0" w14:textId="77777777" w:rsidTr="00D753F7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DEB0B9" w14:textId="4F0A6B1B" w:rsidR="001C46F2" w:rsidRPr="00C41AA8" w:rsidRDefault="001C46F2" w:rsidP="001C46F2">
            <w:pPr>
              <w:pStyle w:val="Tabletext"/>
            </w:pPr>
            <w:r w:rsidRPr="00C41AA8">
              <w:t>37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A2E8165" w14:textId="17DC92DB" w:rsidR="001C46F2" w:rsidRPr="00C41AA8" w:rsidRDefault="001C46F2" w:rsidP="001C46F2">
            <w:pPr>
              <w:pStyle w:val="Tabletext"/>
            </w:pPr>
            <w:r w:rsidRPr="00C41AA8">
              <w:t>$100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26F7E1" w14:textId="03FAA777" w:rsidR="001C46F2" w:rsidRPr="00C41AA8" w:rsidRDefault="001C46F2" w:rsidP="001C46F2">
            <w:pPr>
              <w:pStyle w:val="Tabletext"/>
            </w:pPr>
            <w:r w:rsidRPr="00C41AA8">
              <w:t>At least 99.99% gold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0033B4" w14:textId="41F733C8" w:rsidR="001C46F2" w:rsidRPr="00C41AA8" w:rsidRDefault="001C46F2" w:rsidP="001C46F2">
            <w:pPr>
              <w:pStyle w:val="Tabletext"/>
            </w:pPr>
            <w:r w:rsidRPr="00C41AA8">
              <w:t>31.103 + 0.50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CC4661" w14:textId="438A584C" w:rsidR="001C46F2" w:rsidRPr="00C41AA8" w:rsidRDefault="001C46F2" w:rsidP="001C46F2">
            <w:pPr>
              <w:pStyle w:val="Tabletext"/>
            </w:pPr>
            <w:r w:rsidRPr="00C41AA8">
              <w:t>38.75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B49D60" w14:textId="2D6A30E1" w:rsidR="001C46F2" w:rsidRPr="00C41AA8" w:rsidRDefault="001C46F2" w:rsidP="001C46F2">
            <w:pPr>
              <w:pStyle w:val="Tabletext"/>
            </w:pPr>
            <w:r w:rsidRPr="00C41AA8">
              <w:t>4.80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06572C" w14:textId="5DE1F656" w:rsidR="001C46F2" w:rsidRPr="00C41AA8" w:rsidRDefault="001C46F2" w:rsidP="001C46F2">
            <w:pPr>
              <w:pStyle w:val="Tabletext"/>
            </w:pPr>
            <w:r w:rsidRPr="00C41AA8">
              <w:t>S4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64B1104" w14:textId="40B42FD6" w:rsidR="001C46F2" w:rsidRPr="00C41AA8" w:rsidRDefault="001C46F2" w:rsidP="001C46F2">
            <w:pPr>
              <w:pStyle w:val="Tabletext"/>
            </w:pPr>
            <w:r w:rsidRPr="00C41AA8">
              <w:t>E2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8D8C514" w14:textId="5B9C027A" w:rsidR="001C46F2" w:rsidRPr="00C41AA8" w:rsidRDefault="001C46F2" w:rsidP="001C46F2">
            <w:pPr>
              <w:pStyle w:val="Tabletext"/>
            </w:pPr>
            <w:r w:rsidRPr="00C41AA8">
              <w:t>O14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F0D8F6B" w14:textId="274B469B" w:rsidR="001C46F2" w:rsidRPr="00C41AA8" w:rsidRDefault="001C46F2" w:rsidP="001C46F2">
            <w:pPr>
              <w:pStyle w:val="Tabletext"/>
            </w:pPr>
            <w:r w:rsidRPr="00C41AA8">
              <w:t>R31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43DF14" w14:textId="7BB2BE63" w:rsidR="001C46F2" w:rsidRPr="00C41AA8" w:rsidRDefault="001C46F2" w:rsidP="001C46F2">
            <w:pPr>
              <w:pStyle w:val="Tabletext"/>
            </w:pPr>
            <w:r w:rsidRPr="00E5091F">
              <w:t>18/05/2020</w:t>
            </w:r>
          </w:p>
        </w:tc>
      </w:tr>
      <w:tr w:rsidR="001C46F2" w:rsidRPr="00C41AA8" w14:paraId="2F458F48" w14:textId="77777777" w:rsidTr="00D753F7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2D8B16" w14:textId="1A969A25" w:rsidR="001C46F2" w:rsidRPr="00C41AA8" w:rsidRDefault="001C46F2" w:rsidP="001C46F2">
            <w:pPr>
              <w:pStyle w:val="Tabletext"/>
            </w:pPr>
            <w:r w:rsidRPr="00C41AA8">
              <w:t>38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3D9F96" w14:textId="2EBBF32E" w:rsidR="001C46F2" w:rsidRPr="00C41AA8" w:rsidRDefault="001C46F2" w:rsidP="001C46F2">
            <w:pPr>
              <w:pStyle w:val="Tabletext"/>
            </w:pPr>
            <w:r w:rsidRPr="00C41AA8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6201A1A" w14:textId="7B6CE70D" w:rsidR="001C46F2" w:rsidRPr="00C41AA8" w:rsidRDefault="001C46F2" w:rsidP="001C46F2">
            <w:pPr>
              <w:pStyle w:val="Tabletext"/>
            </w:pPr>
            <w:r w:rsidRPr="00C41AA8">
              <w:t>At least 99.9% silver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9644C3" w14:textId="1BE8D888" w:rsidR="001C46F2" w:rsidRPr="00C41AA8" w:rsidRDefault="001C46F2" w:rsidP="001C46F2">
            <w:pPr>
              <w:pStyle w:val="Tabletext"/>
            </w:pPr>
            <w:r w:rsidRPr="00C41AA8">
              <w:t>15.55 + 3.00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D8ED91" w14:textId="4EC7A828" w:rsidR="001C46F2" w:rsidRPr="00C41AA8" w:rsidRDefault="001C46F2" w:rsidP="001C46F2">
            <w:pPr>
              <w:pStyle w:val="Tabletext"/>
            </w:pPr>
            <w:r w:rsidRPr="00C41AA8">
              <w:t>36.10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81EAFEA" w14:textId="5C8ADCB3" w:rsidR="001C46F2" w:rsidRPr="00C41AA8" w:rsidRDefault="001C46F2" w:rsidP="001C46F2">
            <w:pPr>
              <w:pStyle w:val="Tabletext"/>
            </w:pPr>
            <w:r w:rsidRPr="00C41AA8">
              <w:t>2.50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C4F6E7C" w14:textId="56419485" w:rsidR="001C46F2" w:rsidRPr="00C41AA8" w:rsidRDefault="001C46F2" w:rsidP="001C46F2">
            <w:pPr>
              <w:pStyle w:val="Tabletext"/>
            </w:pPr>
            <w:r w:rsidRPr="00C41AA8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4E7A04" w14:textId="2CEB95D3" w:rsidR="001C46F2" w:rsidRPr="00C41AA8" w:rsidRDefault="001C46F2" w:rsidP="001C46F2">
            <w:pPr>
              <w:pStyle w:val="Tabletext"/>
            </w:pPr>
            <w:r w:rsidRPr="00C41AA8">
              <w:t>E1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ABC5BD" w14:textId="64DF7B85" w:rsidR="001C46F2" w:rsidRPr="00C41AA8" w:rsidRDefault="001C46F2" w:rsidP="001C46F2">
            <w:pPr>
              <w:pStyle w:val="Tabletext"/>
            </w:pPr>
            <w:r w:rsidRPr="00C41AA8">
              <w:t>O12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CDDF24" w14:textId="0CAA2835" w:rsidR="001C46F2" w:rsidRPr="00C41AA8" w:rsidRDefault="001C46F2" w:rsidP="001C46F2">
            <w:pPr>
              <w:pStyle w:val="Tabletext"/>
            </w:pPr>
            <w:r w:rsidRPr="00C41AA8">
              <w:t>R32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F64F1B" w14:textId="133EE3BD" w:rsidR="001C46F2" w:rsidRPr="00C41AA8" w:rsidRDefault="001C46F2" w:rsidP="001C46F2">
            <w:pPr>
              <w:pStyle w:val="Tabletext"/>
            </w:pPr>
            <w:r w:rsidRPr="00E5091F">
              <w:t>18/05/2020</w:t>
            </w:r>
          </w:p>
        </w:tc>
      </w:tr>
      <w:tr w:rsidR="001C46F2" w:rsidRPr="00C41AA8" w14:paraId="3908F73F" w14:textId="77777777" w:rsidTr="00D753F7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8C6B92" w14:textId="2802055A" w:rsidR="001C46F2" w:rsidRPr="00C41AA8" w:rsidRDefault="001C46F2" w:rsidP="001C46F2">
            <w:pPr>
              <w:pStyle w:val="Tabletext"/>
            </w:pPr>
            <w:r w:rsidRPr="00C41AA8">
              <w:t>39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07A3B2" w14:textId="4AB2A28A" w:rsidR="001C46F2" w:rsidRPr="00C41AA8" w:rsidRDefault="001C46F2" w:rsidP="001C46F2">
            <w:pPr>
              <w:pStyle w:val="Tabletext"/>
            </w:pPr>
            <w:r w:rsidRPr="00C41AA8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1FAD9F" w14:textId="42125A08" w:rsidR="001C46F2" w:rsidRPr="00C41AA8" w:rsidRDefault="001C46F2" w:rsidP="001C46F2">
            <w:pPr>
              <w:pStyle w:val="Tabletext"/>
            </w:pPr>
            <w:r w:rsidRPr="00C41AA8">
              <w:t>At least 99.9% silver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546AF4" w14:textId="5514ACD6" w:rsidR="001C46F2" w:rsidRPr="00C41AA8" w:rsidRDefault="001C46F2" w:rsidP="001C46F2">
            <w:pPr>
              <w:pStyle w:val="Tabletext"/>
            </w:pPr>
            <w:r w:rsidRPr="00C41AA8">
              <w:t>31.103 + 3.00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97E358" w14:textId="153775F8" w:rsidR="001C46F2" w:rsidRPr="00C41AA8" w:rsidRDefault="001C46F2" w:rsidP="001C46F2">
            <w:pPr>
              <w:pStyle w:val="Tabletext"/>
            </w:pPr>
            <w:r w:rsidRPr="00C41AA8">
              <w:t>40.50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4F94C21" w14:textId="0BB577F9" w:rsidR="001C46F2" w:rsidRPr="00C41AA8" w:rsidRDefault="001C46F2" w:rsidP="001C46F2">
            <w:pPr>
              <w:pStyle w:val="Tabletext"/>
            </w:pPr>
            <w:r w:rsidRPr="00C41AA8">
              <w:t>4.00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EA91CA" w14:textId="4BC84CDE" w:rsidR="001C46F2" w:rsidRPr="00C41AA8" w:rsidRDefault="001C46F2" w:rsidP="001C46F2">
            <w:pPr>
              <w:pStyle w:val="Tabletext"/>
            </w:pPr>
            <w:r w:rsidRPr="00C41AA8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E7B957" w14:textId="5E39D071" w:rsidR="001C46F2" w:rsidRPr="00C41AA8" w:rsidRDefault="001C46F2" w:rsidP="001C46F2">
            <w:pPr>
              <w:pStyle w:val="Tabletext"/>
            </w:pPr>
            <w:r w:rsidRPr="00C41AA8">
              <w:t>E1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BE18F8" w14:textId="6AFE5930" w:rsidR="001C46F2" w:rsidRPr="00C41AA8" w:rsidRDefault="001C46F2" w:rsidP="001C46F2">
            <w:pPr>
              <w:pStyle w:val="Tabletext"/>
            </w:pPr>
            <w:r w:rsidRPr="00C41AA8">
              <w:t>O12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D0BE2F" w14:textId="078A2E5B" w:rsidR="001C46F2" w:rsidRPr="00C41AA8" w:rsidRDefault="001C46F2" w:rsidP="001C46F2">
            <w:pPr>
              <w:pStyle w:val="Tabletext"/>
            </w:pPr>
            <w:r w:rsidRPr="00C41AA8">
              <w:t>R33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1CCD9E" w14:textId="6EB3823A" w:rsidR="001C46F2" w:rsidRPr="00C41AA8" w:rsidRDefault="001C46F2" w:rsidP="001C46F2">
            <w:pPr>
              <w:pStyle w:val="Tabletext"/>
            </w:pPr>
            <w:r w:rsidRPr="00E5091F">
              <w:t>18/05/2020</w:t>
            </w:r>
          </w:p>
        </w:tc>
      </w:tr>
      <w:tr w:rsidR="001C46F2" w:rsidRPr="00C41AA8" w14:paraId="5FC66CC1" w14:textId="77777777" w:rsidTr="00D753F7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3626B2" w14:textId="5A470C24" w:rsidR="001C46F2" w:rsidRPr="00C41AA8" w:rsidRDefault="001C46F2" w:rsidP="001C46F2">
            <w:pPr>
              <w:pStyle w:val="Tabletext"/>
            </w:pPr>
            <w:r w:rsidRPr="00C41AA8">
              <w:t>40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772E83" w14:textId="63141EDB" w:rsidR="001C46F2" w:rsidRPr="00C41AA8" w:rsidRDefault="001C46F2" w:rsidP="001C46F2">
            <w:pPr>
              <w:pStyle w:val="Tabletext"/>
            </w:pPr>
            <w:r w:rsidRPr="00C41AA8">
              <w:t>20¢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404C1A" w14:textId="23BA189C" w:rsidR="001C46F2" w:rsidRPr="00C41AA8" w:rsidRDefault="001C46F2" w:rsidP="001C46F2">
            <w:pPr>
              <w:pStyle w:val="Tabletext"/>
            </w:pPr>
            <w:r w:rsidRPr="00C41AA8">
              <w:t>Copper and nickel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B46CAC" w14:textId="354ECE19" w:rsidR="001C46F2" w:rsidRPr="00C41AA8" w:rsidRDefault="001C46F2" w:rsidP="001C46F2">
            <w:pPr>
              <w:pStyle w:val="Tabletext"/>
            </w:pPr>
            <w:r w:rsidRPr="00C41AA8">
              <w:t>11.30 ± 0.78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7B9B330" w14:textId="2B455C1E" w:rsidR="001C46F2" w:rsidRPr="00C41AA8" w:rsidRDefault="001C46F2" w:rsidP="001C46F2">
            <w:pPr>
              <w:pStyle w:val="Tabletext"/>
            </w:pPr>
            <w:r w:rsidRPr="00C41AA8">
              <w:t>28.65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A1C14D3" w14:textId="1EEBA5DF" w:rsidR="001C46F2" w:rsidRPr="00C41AA8" w:rsidRDefault="001C46F2" w:rsidP="001C46F2">
            <w:pPr>
              <w:pStyle w:val="Tabletext"/>
            </w:pPr>
            <w:r w:rsidRPr="00C41AA8">
              <w:t>2.92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57BB12" w14:textId="51470D9D" w:rsidR="001C46F2" w:rsidRPr="00C41AA8" w:rsidRDefault="001C46F2" w:rsidP="001C46F2">
            <w:pPr>
              <w:pStyle w:val="Tabletext"/>
            </w:pPr>
            <w:r w:rsidRPr="00C41AA8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B061E6" w14:textId="2DE22351" w:rsidR="001C46F2" w:rsidRPr="00C41AA8" w:rsidRDefault="001C46F2" w:rsidP="001C46F2">
            <w:pPr>
              <w:pStyle w:val="Tabletext"/>
            </w:pPr>
            <w:r w:rsidRPr="00C41AA8">
              <w:t>E1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A8B5E2" w14:textId="5771A7C0" w:rsidR="001C46F2" w:rsidRPr="00C41AA8" w:rsidRDefault="001C46F2" w:rsidP="001C46F2">
            <w:pPr>
              <w:pStyle w:val="Tabletext"/>
            </w:pPr>
            <w:r w:rsidRPr="00C41AA8">
              <w:t>O12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567D49" w14:textId="19E39A80" w:rsidR="001C46F2" w:rsidRPr="00C41AA8" w:rsidRDefault="001C46F2" w:rsidP="001C46F2">
            <w:pPr>
              <w:pStyle w:val="Tabletext"/>
            </w:pPr>
            <w:r w:rsidRPr="00C41AA8">
              <w:t>R34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B113FB8" w14:textId="7797F097" w:rsidR="001C46F2" w:rsidRPr="00C41AA8" w:rsidRDefault="001C46F2" w:rsidP="001C46F2">
            <w:pPr>
              <w:pStyle w:val="Tabletext"/>
            </w:pPr>
            <w:r w:rsidRPr="00E5091F">
              <w:t>18/05/2020</w:t>
            </w:r>
          </w:p>
        </w:tc>
      </w:tr>
      <w:tr w:rsidR="001C46F2" w:rsidRPr="00C41AA8" w14:paraId="1304F806" w14:textId="77777777" w:rsidTr="00D753F7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DDACAFF" w14:textId="40ABAD89" w:rsidR="001C46F2" w:rsidRPr="00C41AA8" w:rsidRDefault="001C46F2" w:rsidP="001C46F2">
            <w:pPr>
              <w:pStyle w:val="Tabletext"/>
            </w:pPr>
            <w:r w:rsidRPr="00C41AA8">
              <w:t>41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AA7BB2" w14:textId="02559BD9" w:rsidR="001C46F2" w:rsidRPr="00C41AA8" w:rsidRDefault="001C46F2" w:rsidP="001C46F2">
            <w:pPr>
              <w:pStyle w:val="Tabletext"/>
            </w:pPr>
            <w:r w:rsidRPr="00C41AA8">
              <w:t>20¢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0582B18" w14:textId="7D7E8F10" w:rsidR="001C46F2" w:rsidRPr="00C41AA8" w:rsidRDefault="001C46F2" w:rsidP="001C46F2">
            <w:pPr>
              <w:pStyle w:val="Tabletext"/>
            </w:pPr>
            <w:r w:rsidRPr="00C41AA8">
              <w:t>Copper and nickel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79D983" w14:textId="7B435796" w:rsidR="001C46F2" w:rsidRPr="00C41AA8" w:rsidRDefault="001C46F2" w:rsidP="001C46F2">
            <w:pPr>
              <w:pStyle w:val="Tabletext"/>
            </w:pPr>
            <w:r w:rsidRPr="00C41AA8">
              <w:t>11.30 ± 0.78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9A4D5C" w14:textId="61842295" w:rsidR="001C46F2" w:rsidRPr="00C41AA8" w:rsidRDefault="001C46F2" w:rsidP="001C46F2">
            <w:pPr>
              <w:pStyle w:val="Tabletext"/>
            </w:pPr>
            <w:r w:rsidRPr="00C41AA8">
              <w:t>28.65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C969153" w14:textId="252F892B" w:rsidR="001C46F2" w:rsidRPr="00C41AA8" w:rsidRDefault="001C46F2" w:rsidP="001C46F2">
            <w:pPr>
              <w:pStyle w:val="Tabletext"/>
            </w:pPr>
            <w:r w:rsidRPr="00C41AA8">
              <w:t>2.92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51DAE4" w14:textId="2BAE04B3" w:rsidR="001C46F2" w:rsidRPr="00C41AA8" w:rsidRDefault="001C46F2" w:rsidP="001C46F2">
            <w:pPr>
              <w:pStyle w:val="Tabletext"/>
            </w:pPr>
            <w:r w:rsidRPr="00C41AA8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475070" w14:textId="4DF704D8" w:rsidR="001C46F2" w:rsidRPr="00C41AA8" w:rsidRDefault="001C46F2" w:rsidP="001C46F2">
            <w:pPr>
              <w:pStyle w:val="Tabletext"/>
            </w:pPr>
            <w:r w:rsidRPr="00C41AA8">
              <w:t>E1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CE5E34F" w14:textId="1881A6B1" w:rsidR="001C46F2" w:rsidRPr="00C41AA8" w:rsidRDefault="001C46F2" w:rsidP="001C46F2">
            <w:pPr>
              <w:pStyle w:val="Tabletext"/>
            </w:pPr>
            <w:r w:rsidRPr="00C41AA8">
              <w:t>O12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A4E02AD" w14:textId="0F6D2A7E" w:rsidR="001C46F2" w:rsidRPr="00C41AA8" w:rsidRDefault="001C46F2" w:rsidP="001C46F2">
            <w:pPr>
              <w:pStyle w:val="Tabletext"/>
            </w:pPr>
            <w:r w:rsidRPr="00C41AA8">
              <w:t>R35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DC96A6E" w14:textId="1AF5C512" w:rsidR="001C46F2" w:rsidRPr="00C41AA8" w:rsidRDefault="001C46F2" w:rsidP="001C46F2">
            <w:pPr>
              <w:pStyle w:val="Tabletext"/>
            </w:pPr>
            <w:r w:rsidRPr="00E5091F">
              <w:t>18/05/2020</w:t>
            </w:r>
          </w:p>
        </w:tc>
      </w:tr>
      <w:tr w:rsidR="001C46F2" w:rsidRPr="00C41AA8" w14:paraId="25FCD317" w14:textId="77777777" w:rsidTr="00D753F7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00E55B" w14:textId="6F3AEE8C" w:rsidR="001C46F2" w:rsidRPr="00C41AA8" w:rsidRDefault="001C46F2" w:rsidP="001C46F2">
            <w:pPr>
              <w:pStyle w:val="Tabletext"/>
            </w:pPr>
            <w:r w:rsidRPr="00C41AA8">
              <w:t>42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6BC9C6" w14:textId="4F07589A" w:rsidR="001C46F2" w:rsidRPr="00C41AA8" w:rsidRDefault="001C46F2" w:rsidP="001C46F2">
            <w:pPr>
              <w:pStyle w:val="Tabletext"/>
            </w:pPr>
            <w:r w:rsidRPr="00C41AA8">
              <w:t>20¢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5287231" w14:textId="6114D1EF" w:rsidR="001C46F2" w:rsidRPr="00C41AA8" w:rsidRDefault="001C46F2" w:rsidP="001C46F2">
            <w:pPr>
              <w:pStyle w:val="Tabletext"/>
            </w:pPr>
            <w:r w:rsidRPr="00C41AA8">
              <w:t>Copper and nickel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BB1A3A8" w14:textId="76C6AB84" w:rsidR="001C46F2" w:rsidRPr="00C41AA8" w:rsidRDefault="001C46F2" w:rsidP="001C46F2">
            <w:pPr>
              <w:pStyle w:val="Tabletext"/>
            </w:pPr>
            <w:r w:rsidRPr="00C41AA8">
              <w:t>11.30 ± 0.78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8E0466A" w14:textId="3EAEE429" w:rsidR="001C46F2" w:rsidRPr="00C41AA8" w:rsidRDefault="001C46F2" w:rsidP="001C46F2">
            <w:pPr>
              <w:pStyle w:val="Tabletext"/>
            </w:pPr>
            <w:r w:rsidRPr="00C41AA8">
              <w:t>28.65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FA1703" w14:textId="5673C073" w:rsidR="001C46F2" w:rsidRPr="00C41AA8" w:rsidRDefault="001C46F2" w:rsidP="001C46F2">
            <w:pPr>
              <w:pStyle w:val="Tabletext"/>
            </w:pPr>
            <w:r w:rsidRPr="00C41AA8">
              <w:t>2.92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51CB60" w14:textId="31AAE787" w:rsidR="001C46F2" w:rsidRPr="00C41AA8" w:rsidRDefault="001C46F2" w:rsidP="001C46F2">
            <w:pPr>
              <w:pStyle w:val="Tabletext"/>
            </w:pPr>
            <w:r w:rsidRPr="00C41AA8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F3C9F6" w14:textId="0480E12A" w:rsidR="001C46F2" w:rsidRPr="00C41AA8" w:rsidRDefault="001C46F2" w:rsidP="001C46F2">
            <w:pPr>
              <w:pStyle w:val="Tabletext"/>
            </w:pPr>
            <w:r w:rsidRPr="00C41AA8">
              <w:t>E1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297C307" w14:textId="5F4AC7CC" w:rsidR="001C46F2" w:rsidRPr="00C41AA8" w:rsidRDefault="001C46F2" w:rsidP="001C46F2">
            <w:pPr>
              <w:pStyle w:val="Tabletext"/>
            </w:pPr>
            <w:r w:rsidRPr="00C41AA8">
              <w:t>O12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21A329" w14:textId="34241D90" w:rsidR="001C46F2" w:rsidRPr="00C41AA8" w:rsidRDefault="001C46F2" w:rsidP="001C46F2">
            <w:pPr>
              <w:pStyle w:val="Tabletext"/>
            </w:pPr>
            <w:r w:rsidRPr="00C41AA8">
              <w:t>R36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7D178A" w14:textId="619612E3" w:rsidR="001C46F2" w:rsidRPr="00C41AA8" w:rsidRDefault="001C46F2" w:rsidP="001C46F2">
            <w:pPr>
              <w:pStyle w:val="Tabletext"/>
            </w:pPr>
            <w:r w:rsidRPr="00E5091F">
              <w:t>18/05/2020</w:t>
            </w:r>
          </w:p>
        </w:tc>
      </w:tr>
      <w:tr w:rsidR="001C46F2" w:rsidRPr="00C41AA8" w14:paraId="180972EE" w14:textId="77777777" w:rsidTr="00D753F7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FD5D4C1" w14:textId="3D8ACBD5" w:rsidR="001C46F2" w:rsidRPr="00C41AA8" w:rsidRDefault="001C46F2" w:rsidP="001C46F2">
            <w:pPr>
              <w:pStyle w:val="Tabletext"/>
            </w:pPr>
            <w:r w:rsidRPr="00C41AA8">
              <w:t>43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94FE1B5" w14:textId="3AF9958E" w:rsidR="001C46F2" w:rsidRPr="00C41AA8" w:rsidRDefault="001C46F2" w:rsidP="001C46F2">
            <w:pPr>
              <w:pStyle w:val="Tabletext"/>
            </w:pPr>
            <w:r w:rsidRPr="00C41AA8">
              <w:t>20¢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929E50" w14:textId="344036EB" w:rsidR="001C46F2" w:rsidRPr="00C41AA8" w:rsidRDefault="001C46F2" w:rsidP="001C46F2">
            <w:pPr>
              <w:pStyle w:val="Tabletext"/>
            </w:pPr>
            <w:r w:rsidRPr="00C41AA8">
              <w:t>Copper and nickel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BD060CB" w14:textId="1E87A9AB" w:rsidR="001C46F2" w:rsidRPr="00C41AA8" w:rsidRDefault="001C46F2" w:rsidP="001C46F2">
            <w:pPr>
              <w:pStyle w:val="Tabletext"/>
            </w:pPr>
            <w:r w:rsidRPr="00C41AA8">
              <w:t>11.30 ± 0.78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41E1DCA" w14:textId="5584C5DC" w:rsidR="001C46F2" w:rsidRPr="00C41AA8" w:rsidRDefault="001C46F2" w:rsidP="001C46F2">
            <w:pPr>
              <w:pStyle w:val="Tabletext"/>
            </w:pPr>
            <w:r w:rsidRPr="00C41AA8">
              <w:t>28.65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269CA9D" w14:textId="61A7605D" w:rsidR="001C46F2" w:rsidRPr="00C41AA8" w:rsidRDefault="001C46F2" w:rsidP="001C46F2">
            <w:pPr>
              <w:pStyle w:val="Tabletext"/>
            </w:pPr>
            <w:r w:rsidRPr="00C41AA8">
              <w:t>2.92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8EC92A" w14:textId="6D28A8A6" w:rsidR="001C46F2" w:rsidRPr="00C41AA8" w:rsidRDefault="001C46F2" w:rsidP="001C46F2">
            <w:pPr>
              <w:pStyle w:val="Tabletext"/>
            </w:pPr>
            <w:r w:rsidRPr="00C41AA8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C8522F" w14:textId="4BDAD27A" w:rsidR="001C46F2" w:rsidRPr="00C41AA8" w:rsidRDefault="001C46F2" w:rsidP="001C46F2">
            <w:pPr>
              <w:pStyle w:val="Tabletext"/>
            </w:pPr>
            <w:r w:rsidRPr="00C41AA8">
              <w:t>E1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705ADB7" w14:textId="24C97AFF" w:rsidR="001C46F2" w:rsidRPr="00C41AA8" w:rsidRDefault="001C46F2" w:rsidP="001C46F2">
            <w:pPr>
              <w:pStyle w:val="Tabletext"/>
            </w:pPr>
            <w:r w:rsidRPr="00C41AA8">
              <w:t>O12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E61AC0" w14:textId="3C208AD1" w:rsidR="001C46F2" w:rsidRPr="00C41AA8" w:rsidRDefault="001C46F2" w:rsidP="001C46F2">
            <w:pPr>
              <w:pStyle w:val="Tabletext"/>
            </w:pPr>
            <w:r w:rsidRPr="00C41AA8">
              <w:t>R37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99D0659" w14:textId="555F7604" w:rsidR="001C46F2" w:rsidRPr="00C41AA8" w:rsidRDefault="001C46F2" w:rsidP="001C46F2">
            <w:pPr>
              <w:pStyle w:val="Tabletext"/>
            </w:pPr>
            <w:r w:rsidRPr="00E5091F">
              <w:t>18/05/2020</w:t>
            </w:r>
          </w:p>
        </w:tc>
      </w:tr>
      <w:tr w:rsidR="001C46F2" w:rsidRPr="00C41AA8" w14:paraId="73C0064F" w14:textId="77777777" w:rsidTr="00D753F7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FF8A9F2" w14:textId="28BF0CEC" w:rsidR="001C46F2" w:rsidRPr="00C41AA8" w:rsidRDefault="001C46F2" w:rsidP="001C46F2">
            <w:pPr>
              <w:pStyle w:val="Tabletext"/>
            </w:pPr>
            <w:r w:rsidRPr="00C41AA8">
              <w:t>44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19C9E1A" w14:textId="782B48C0" w:rsidR="001C46F2" w:rsidRPr="00C41AA8" w:rsidRDefault="001C46F2" w:rsidP="001C46F2">
            <w:pPr>
              <w:pStyle w:val="Tabletext"/>
            </w:pPr>
            <w:r w:rsidRPr="00C41AA8">
              <w:t>20¢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6A2895" w14:textId="096D688D" w:rsidR="001C46F2" w:rsidRPr="00C41AA8" w:rsidRDefault="001C46F2" w:rsidP="001C46F2">
            <w:pPr>
              <w:pStyle w:val="Tabletext"/>
            </w:pPr>
            <w:r w:rsidRPr="00C41AA8">
              <w:t>Copper and nickel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A3AD81" w14:textId="4550AE3B" w:rsidR="001C46F2" w:rsidRPr="00C41AA8" w:rsidRDefault="001C46F2" w:rsidP="001C46F2">
            <w:pPr>
              <w:pStyle w:val="Tabletext"/>
            </w:pPr>
            <w:r w:rsidRPr="00C41AA8">
              <w:t>11.30 ± 0.78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43EB62" w14:textId="4338F270" w:rsidR="001C46F2" w:rsidRPr="00C41AA8" w:rsidRDefault="001C46F2" w:rsidP="001C46F2">
            <w:pPr>
              <w:pStyle w:val="Tabletext"/>
            </w:pPr>
            <w:r w:rsidRPr="00C41AA8">
              <w:t>28.65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A9C6F3" w14:textId="7AB986D4" w:rsidR="001C46F2" w:rsidRPr="00C41AA8" w:rsidRDefault="001C46F2" w:rsidP="001C46F2">
            <w:pPr>
              <w:pStyle w:val="Tabletext"/>
            </w:pPr>
            <w:r w:rsidRPr="00C41AA8">
              <w:t>2.92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5422288" w14:textId="3A76728B" w:rsidR="001C46F2" w:rsidRPr="00C41AA8" w:rsidRDefault="001C46F2" w:rsidP="001C46F2">
            <w:pPr>
              <w:pStyle w:val="Tabletext"/>
            </w:pPr>
            <w:r w:rsidRPr="00C41AA8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339579" w14:textId="6D151E54" w:rsidR="001C46F2" w:rsidRPr="00C41AA8" w:rsidRDefault="001C46F2" w:rsidP="001C46F2">
            <w:pPr>
              <w:pStyle w:val="Tabletext"/>
            </w:pPr>
            <w:r w:rsidRPr="00C41AA8">
              <w:t>E1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FA032B" w14:textId="5E396291" w:rsidR="001C46F2" w:rsidRPr="00C41AA8" w:rsidRDefault="001C46F2" w:rsidP="001C46F2">
            <w:pPr>
              <w:pStyle w:val="Tabletext"/>
            </w:pPr>
            <w:r w:rsidRPr="00C41AA8">
              <w:t>O12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587C02" w14:textId="3F7D5C77" w:rsidR="001C46F2" w:rsidRPr="00C41AA8" w:rsidRDefault="001C46F2" w:rsidP="001C46F2">
            <w:pPr>
              <w:pStyle w:val="Tabletext"/>
            </w:pPr>
            <w:r w:rsidRPr="00C41AA8">
              <w:t>R38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9A4E71" w14:textId="4A3F5257" w:rsidR="001C46F2" w:rsidRPr="00C41AA8" w:rsidRDefault="001C46F2" w:rsidP="001C46F2">
            <w:pPr>
              <w:pStyle w:val="Tabletext"/>
            </w:pPr>
            <w:r w:rsidRPr="00E5091F">
              <w:t>18/05/2020</w:t>
            </w:r>
          </w:p>
        </w:tc>
      </w:tr>
      <w:tr w:rsidR="001C46F2" w:rsidRPr="00C41AA8" w14:paraId="58A7AC5A" w14:textId="77777777" w:rsidTr="00D753F7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4FCA50" w14:textId="338BE771" w:rsidR="001C46F2" w:rsidRPr="00C41AA8" w:rsidRDefault="001C46F2" w:rsidP="001C46F2">
            <w:pPr>
              <w:pStyle w:val="Tabletext"/>
            </w:pPr>
            <w:r w:rsidRPr="00C41AA8">
              <w:t>45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111935" w14:textId="4DF5AB34" w:rsidR="001C46F2" w:rsidRPr="00C41AA8" w:rsidRDefault="001C46F2" w:rsidP="001C46F2">
            <w:pPr>
              <w:pStyle w:val="Tabletext"/>
            </w:pPr>
            <w:r w:rsidRPr="00C41AA8">
              <w:t>20¢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00DE4C" w14:textId="5FE7E835" w:rsidR="001C46F2" w:rsidRPr="00C41AA8" w:rsidRDefault="001C46F2" w:rsidP="001C46F2">
            <w:pPr>
              <w:pStyle w:val="Tabletext"/>
            </w:pPr>
            <w:r w:rsidRPr="00C41AA8">
              <w:t>Copper and nickel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5CCD7F" w14:textId="5EC42D8B" w:rsidR="001C46F2" w:rsidRPr="00C41AA8" w:rsidRDefault="001C46F2" w:rsidP="001C46F2">
            <w:pPr>
              <w:pStyle w:val="Tabletext"/>
            </w:pPr>
            <w:r w:rsidRPr="00C41AA8">
              <w:t>11.30 ± 0.78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444A57" w14:textId="271403BE" w:rsidR="001C46F2" w:rsidRPr="00C41AA8" w:rsidRDefault="001C46F2" w:rsidP="001C46F2">
            <w:pPr>
              <w:pStyle w:val="Tabletext"/>
            </w:pPr>
            <w:r w:rsidRPr="00C41AA8">
              <w:t>28.65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9E4D733" w14:textId="45E0461F" w:rsidR="001C46F2" w:rsidRPr="00C41AA8" w:rsidRDefault="001C46F2" w:rsidP="001C46F2">
            <w:pPr>
              <w:pStyle w:val="Tabletext"/>
            </w:pPr>
            <w:r w:rsidRPr="00C41AA8">
              <w:t>2.92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20B96F" w14:textId="47EEF2A5" w:rsidR="001C46F2" w:rsidRPr="00C41AA8" w:rsidRDefault="001C46F2" w:rsidP="001C46F2">
            <w:pPr>
              <w:pStyle w:val="Tabletext"/>
            </w:pPr>
            <w:r w:rsidRPr="00C41AA8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176C58C" w14:textId="34DF868C" w:rsidR="001C46F2" w:rsidRPr="00C41AA8" w:rsidRDefault="001C46F2" w:rsidP="001C46F2">
            <w:pPr>
              <w:pStyle w:val="Tabletext"/>
            </w:pPr>
            <w:r w:rsidRPr="00C41AA8">
              <w:t>E1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48546C2" w14:textId="7E398432" w:rsidR="001C46F2" w:rsidRPr="00C41AA8" w:rsidRDefault="001C46F2" w:rsidP="001C46F2">
            <w:pPr>
              <w:pStyle w:val="Tabletext"/>
            </w:pPr>
            <w:r w:rsidRPr="00C41AA8">
              <w:t>O12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F82B1C" w14:textId="32DFD292" w:rsidR="001C46F2" w:rsidRPr="00C41AA8" w:rsidRDefault="001C46F2" w:rsidP="001C46F2">
            <w:pPr>
              <w:pStyle w:val="Tabletext"/>
            </w:pPr>
            <w:r w:rsidRPr="00C41AA8">
              <w:t>R39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69AB892" w14:textId="7A46BA1B" w:rsidR="001C46F2" w:rsidRPr="00C41AA8" w:rsidRDefault="001C46F2" w:rsidP="001C46F2">
            <w:pPr>
              <w:pStyle w:val="Tabletext"/>
            </w:pPr>
            <w:r w:rsidRPr="00E5091F">
              <w:t>18/05/2020</w:t>
            </w:r>
          </w:p>
        </w:tc>
      </w:tr>
      <w:tr w:rsidR="001C46F2" w:rsidRPr="00C41AA8" w14:paraId="19611F15" w14:textId="77777777" w:rsidTr="00D753F7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550112" w14:textId="3DF22433" w:rsidR="001C46F2" w:rsidRPr="00C41AA8" w:rsidRDefault="001C46F2" w:rsidP="001C46F2">
            <w:pPr>
              <w:pStyle w:val="Tabletext"/>
            </w:pPr>
            <w:r w:rsidRPr="00C41AA8">
              <w:t>46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B171D86" w14:textId="20CD5F46" w:rsidR="001C46F2" w:rsidRPr="00C41AA8" w:rsidRDefault="001C46F2" w:rsidP="001C46F2">
            <w:pPr>
              <w:pStyle w:val="Tabletext"/>
            </w:pPr>
            <w:r w:rsidRPr="00C41AA8">
              <w:t>20¢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0D4A5F9" w14:textId="1AEDA4F8" w:rsidR="001C46F2" w:rsidRPr="00C41AA8" w:rsidRDefault="001C46F2" w:rsidP="001C46F2">
            <w:pPr>
              <w:pStyle w:val="Tabletext"/>
            </w:pPr>
            <w:r w:rsidRPr="00C41AA8">
              <w:t>Copper and nickel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F02AE2" w14:textId="29DE8EDE" w:rsidR="001C46F2" w:rsidRPr="00C41AA8" w:rsidRDefault="001C46F2" w:rsidP="001C46F2">
            <w:pPr>
              <w:pStyle w:val="Tabletext"/>
            </w:pPr>
            <w:r w:rsidRPr="00C41AA8">
              <w:t>11.30 ± 0.78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A9E961" w14:textId="5A1BAD25" w:rsidR="001C46F2" w:rsidRPr="00C41AA8" w:rsidRDefault="001C46F2" w:rsidP="001C46F2">
            <w:pPr>
              <w:pStyle w:val="Tabletext"/>
            </w:pPr>
            <w:r w:rsidRPr="00C41AA8">
              <w:t>28.65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6B20CE" w14:textId="72CE3DC1" w:rsidR="001C46F2" w:rsidRPr="00C41AA8" w:rsidRDefault="001C46F2" w:rsidP="001C46F2">
            <w:pPr>
              <w:pStyle w:val="Tabletext"/>
            </w:pPr>
            <w:r w:rsidRPr="00C41AA8">
              <w:t>2.92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5D64E56" w14:textId="6D2402BB" w:rsidR="001C46F2" w:rsidRPr="00C41AA8" w:rsidRDefault="001C46F2" w:rsidP="001C46F2">
            <w:pPr>
              <w:pStyle w:val="Tabletext"/>
            </w:pPr>
            <w:r w:rsidRPr="00C41AA8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88085E" w14:textId="1989B63F" w:rsidR="001C46F2" w:rsidRPr="00C41AA8" w:rsidRDefault="001C46F2" w:rsidP="001C46F2">
            <w:pPr>
              <w:pStyle w:val="Tabletext"/>
            </w:pPr>
            <w:r w:rsidRPr="00C41AA8">
              <w:t>E1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B5D0CC" w14:textId="53216188" w:rsidR="001C46F2" w:rsidRPr="00C41AA8" w:rsidRDefault="001C46F2" w:rsidP="001C46F2">
            <w:pPr>
              <w:pStyle w:val="Tabletext"/>
            </w:pPr>
            <w:r w:rsidRPr="00C41AA8">
              <w:t>O12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417E300" w14:textId="141B0649" w:rsidR="001C46F2" w:rsidRPr="00C41AA8" w:rsidRDefault="001C46F2" w:rsidP="001C46F2">
            <w:pPr>
              <w:pStyle w:val="Tabletext"/>
            </w:pPr>
            <w:r w:rsidRPr="00C41AA8">
              <w:t>R40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36C3604" w14:textId="065E8A3C" w:rsidR="001C46F2" w:rsidRPr="00C41AA8" w:rsidRDefault="001C46F2" w:rsidP="001C46F2">
            <w:pPr>
              <w:pStyle w:val="Tabletext"/>
            </w:pPr>
            <w:r w:rsidRPr="00E5091F">
              <w:t>18/05/2020</w:t>
            </w:r>
          </w:p>
        </w:tc>
      </w:tr>
      <w:tr w:rsidR="001C46F2" w:rsidRPr="00C41AA8" w14:paraId="188D2347" w14:textId="77777777" w:rsidTr="00D753F7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2F6B61" w14:textId="798F1695" w:rsidR="001C46F2" w:rsidRPr="00C41AA8" w:rsidRDefault="001C46F2" w:rsidP="001C46F2">
            <w:pPr>
              <w:pStyle w:val="Tabletext"/>
            </w:pPr>
            <w:r w:rsidRPr="00C41AA8">
              <w:t>47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37722F" w14:textId="2FBF6369" w:rsidR="001C46F2" w:rsidRPr="00C41AA8" w:rsidRDefault="001C46F2" w:rsidP="001C46F2">
            <w:pPr>
              <w:pStyle w:val="Tabletext"/>
            </w:pPr>
            <w:r w:rsidRPr="00C41AA8">
              <w:t>$5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2437FD" w14:textId="5C5583C4" w:rsidR="001C46F2" w:rsidRPr="00C41AA8" w:rsidRDefault="001C46F2" w:rsidP="001C46F2">
            <w:pPr>
              <w:pStyle w:val="Tabletext"/>
            </w:pPr>
            <w:r w:rsidRPr="00C41AA8">
              <w:t>At least 99.9% silver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184A040" w14:textId="57ACE120" w:rsidR="001C46F2" w:rsidRPr="00C41AA8" w:rsidRDefault="001C46F2" w:rsidP="001C46F2">
            <w:pPr>
              <w:pStyle w:val="Tabletext"/>
            </w:pPr>
            <w:r w:rsidRPr="00C41AA8">
              <w:t>31.103 + 3.00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04B20F" w14:textId="1E456A2F" w:rsidR="001C46F2" w:rsidRPr="00C41AA8" w:rsidRDefault="001C46F2" w:rsidP="001C46F2">
            <w:pPr>
              <w:pStyle w:val="Tabletext"/>
            </w:pPr>
            <w:r w:rsidRPr="00C41AA8">
              <w:t>32.30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2FB820" w14:textId="68075394" w:rsidR="001C46F2" w:rsidRPr="00C41AA8" w:rsidRDefault="001C46F2" w:rsidP="001C46F2">
            <w:pPr>
              <w:pStyle w:val="Tabletext"/>
            </w:pPr>
            <w:r w:rsidRPr="00C41AA8">
              <w:t>6.00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CB772D2" w14:textId="7C1E520B" w:rsidR="001C46F2" w:rsidRPr="00C41AA8" w:rsidRDefault="001C46F2" w:rsidP="001C46F2">
            <w:pPr>
              <w:pStyle w:val="Tabletext"/>
            </w:pPr>
            <w:r w:rsidRPr="00C41AA8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BCE244" w14:textId="323E64CF" w:rsidR="001C46F2" w:rsidRPr="00C41AA8" w:rsidRDefault="001C46F2" w:rsidP="001C46F2">
            <w:pPr>
              <w:pStyle w:val="Tabletext"/>
            </w:pPr>
            <w:r w:rsidRPr="00C41AA8">
              <w:t>E1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412DD5" w14:textId="1EAE39EF" w:rsidR="001C46F2" w:rsidRPr="00C41AA8" w:rsidRDefault="001C46F2" w:rsidP="001C46F2">
            <w:pPr>
              <w:pStyle w:val="Tabletext"/>
            </w:pPr>
            <w:r w:rsidRPr="00C41AA8">
              <w:t>O12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882A21" w14:textId="03FC884D" w:rsidR="001C46F2" w:rsidRPr="00C41AA8" w:rsidRDefault="001C46F2" w:rsidP="001C46F2">
            <w:pPr>
              <w:pStyle w:val="Tabletext"/>
            </w:pPr>
            <w:r w:rsidRPr="00C41AA8">
              <w:t>R41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C5279B" w14:textId="73E9CCFA" w:rsidR="001C46F2" w:rsidRPr="00C41AA8" w:rsidRDefault="001C46F2" w:rsidP="001C46F2">
            <w:pPr>
              <w:pStyle w:val="Tabletext"/>
            </w:pPr>
            <w:r w:rsidRPr="00E5091F">
              <w:t>18/05/2020</w:t>
            </w:r>
          </w:p>
        </w:tc>
      </w:tr>
      <w:tr w:rsidR="001C46F2" w:rsidRPr="00C41AA8" w14:paraId="424F00D3" w14:textId="77777777" w:rsidTr="0009538A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51B5D1" w14:textId="6BDF7052" w:rsidR="001C46F2" w:rsidRPr="00C41AA8" w:rsidRDefault="001C46F2" w:rsidP="001C46F2">
            <w:pPr>
              <w:pStyle w:val="Tabletext"/>
            </w:pPr>
            <w:r w:rsidRPr="00C41AA8">
              <w:t>48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B8BED5" w14:textId="700D0FAA" w:rsidR="001C46F2" w:rsidRPr="00C41AA8" w:rsidRDefault="001C46F2" w:rsidP="001C46F2">
            <w:pPr>
              <w:pStyle w:val="Tabletext"/>
            </w:pPr>
            <w:r w:rsidRPr="00C41AA8">
              <w:t>$100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27DDC27" w14:textId="401EDD73" w:rsidR="001C46F2" w:rsidRPr="00C41AA8" w:rsidRDefault="001C46F2" w:rsidP="001C46F2">
            <w:pPr>
              <w:pStyle w:val="Tabletext"/>
            </w:pPr>
            <w:r w:rsidRPr="00C41AA8">
              <w:t>At least 99.99% gold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17397C9" w14:textId="7B2265CE" w:rsidR="001C46F2" w:rsidRPr="00C41AA8" w:rsidRDefault="001C46F2" w:rsidP="001C46F2">
            <w:pPr>
              <w:pStyle w:val="Tabletext"/>
            </w:pPr>
            <w:r w:rsidRPr="00C41AA8">
              <w:t>31.103 + 3.00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92EF21" w14:textId="71A898A7" w:rsidR="001C46F2" w:rsidRPr="00C41AA8" w:rsidRDefault="001C46F2" w:rsidP="001C46F2">
            <w:pPr>
              <w:pStyle w:val="Tabletext"/>
            </w:pPr>
            <w:r w:rsidRPr="00C41AA8">
              <w:t>34.40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1ECC197" w14:textId="6BF53294" w:rsidR="001C46F2" w:rsidRPr="00C41AA8" w:rsidRDefault="001C46F2" w:rsidP="001C46F2">
            <w:pPr>
              <w:pStyle w:val="Tabletext"/>
            </w:pPr>
            <w:r w:rsidRPr="00C41AA8">
              <w:t>3.20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CBC0C2" w14:textId="4D8656CB" w:rsidR="001C46F2" w:rsidRPr="00C41AA8" w:rsidRDefault="001C46F2" w:rsidP="001C46F2">
            <w:pPr>
              <w:pStyle w:val="Tabletext"/>
            </w:pPr>
            <w:r w:rsidRPr="00C41AA8">
              <w:t>S6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AE9289" w14:textId="471596D7" w:rsidR="001C46F2" w:rsidRPr="00C41AA8" w:rsidRDefault="001C46F2" w:rsidP="001C46F2">
            <w:pPr>
              <w:pStyle w:val="Tabletext"/>
            </w:pPr>
            <w:r w:rsidRPr="00C41AA8">
              <w:t>E2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389D96" w14:textId="22489677" w:rsidR="001C46F2" w:rsidRPr="00C41AA8" w:rsidRDefault="001C46F2" w:rsidP="001C46F2">
            <w:pPr>
              <w:pStyle w:val="Tabletext"/>
            </w:pPr>
            <w:r w:rsidRPr="00C41AA8">
              <w:t>O16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025B3B" w14:textId="7A22359D" w:rsidR="001C46F2" w:rsidRPr="00C41AA8" w:rsidRDefault="001C46F2" w:rsidP="001C46F2">
            <w:pPr>
              <w:pStyle w:val="Tabletext"/>
            </w:pPr>
            <w:r w:rsidRPr="00C41AA8">
              <w:t>R42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72DB2D" w14:textId="6B6980F6" w:rsidR="001C46F2" w:rsidRPr="00C41AA8" w:rsidRDefault="001C46F2" w:rsidP="001C46F2">
            <w:pPr>
              <w:pStyle w:val="Tabletext"/>
            </w:pPr>
            <w:r w:rsidRPr="00E5091F">
              <w:t>18/05/2020</w:t>
            </w:r>
          </w:p>
        </w:tc>
      </w:tr>
      <w:tr w:rsidR="001C46F2" w:rsidRPr="00C41AA8" w14:paraId="654DF2D6" w14:textId="77777777" w:rsidTr="0009538A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80138B" w14:textId="7A69EFF4" w:rsidR="001C46F2" w:rsidRPr="00C41AA8" w:rsidRDefault="001C46F2" w:rsidP="001C46F2">
            <w:pPr>
              <w:pStyle w:val="Tabletext"/>
            </w:pPr>
            <w:r w:rsidRPr="00C41AA8">
              <w:t>49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7A9F27" w14:textId="6C8F385E" w:rsidR="001C46F2" w:rsidRPr="00C41AA8" w:rsidRDefault="001C46F2" w:rsidP="001C46F2">
            <w:pPr>
              <w:pStyle w:val="Tabletext"/>
            </w:pPr>
            <w:r w:rsidRPr="00C41AA8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387084" w14:textId="4D725CF8" w:rsidR="001C46F2" w:rsidRPr="00C41AA8" w:rsidRDefault="001C46F2" w:rsidP="001C46F2">
            <w:pPr>
              <w:pStyle w:val="Tabletext"/>
            </w:pPr>
            <w:r w:rsidRPr="00C41AA8">
              <w:t>At least 99.9% silver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412729" w14:textId="37656272" w:rsidR="001C46F2" w:rsidRPr="00C41AA8" w:rsidRDefault="001C46F2" w:rsidP="001C46F2">
            <w:pPr>
              <w:pStyle w:val="Tabletext"/>
            </w:pPr>
            <w:r w:rsidRPr="00C41AA8">
              <w:t>31.103 + 3.00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881402" w14:textId="477E8CC6" w:rsidR="001C46F2" w:rsidRPr="00C41AA8" w:rsidRDefault="001C46F2" w:rsidP="001C46F2">
            <w:pPr>
              <w:pStyle w:val="Tabletext"/>
            </w:pPr>
            <w:r w:rsidRPr="00C41AA8">
              <w:t>34.40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74487A" w14:textId="5CEB6E35" w:rsidR="001C46F2" w:rsidRPr="00C41AA8" w:rsidRDefault="001C46F2" w:rsidP="001C46F2">
            <w:pPr>
              <w:pStyle w:val="Tabletext"/>
            </w:pPr>
            <w:r w:rsidRPr="00C41AA8">
              <w:t>5.00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0D4033" w14:textId="19C7D390" w:rsidR="001C46F2" w:rsidRPr="00C41AA8" w:rsidRDefault="001C46F2" w:rsidP="001C46F2">
            <w:pPr>
              <w:pStyle w:val="Tabletext"/>
            </w:pPr>
            <w:r w:rsidRPr="00C41AA8">
              <w:t>S6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6489C5" w14:textId="5E766B66" w:rsidR="001C46F2" w:rsidRPr="00C41AA8" w:rsidRDefault="001C46F2" w:rsidP="001C46F2">
            <w:pPr>
              <w:pStyle w:val="Tabletext"/>
            </w:pPr>
            <w:r w:rsidRPr="00C41AA8">
              <w:t>E2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06089C" w14:textId="00030E1C" w:rsidR="001C46F2" w:rsidRPr="00C41AA8" w:rsidRDefault="001C46F2" w:rsidP="001C46F2">
            <w:pPr>
              <w:pStyle w:val="Tabletext"/>
            </w:pPr>
            <w:r w:rsidRPr="00C41AA8">
              <w:t>O17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852270" w14:textId="062B7486" w:rsidR="001C46F2" w:rsidRPr="00C41AA8" w:rsidRDefault="001C46F2" w:rsidP="001C46F2">
            <w:pPr>
              <w:pStyle w:val="Tabletext"/>
            </w:pPr>
            <w:r w:rsidRPr="00C41AA8">
              <w:t>R43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86ED64" w14:textId="49855E2B" w:rsidR="001C46F2" w:rsidRPr="00C41AA8" w:rsidRDefault="001C46F2" w:rsidP="001C46F2">
            <w:pPr>
              <w:pStyle w:val="Tabletext"/>
            </w:pPr>
            <w:r w:rsidRPr="00E5091F">
              <w:t>18/05/2020</w:t>
            </w:r>
          </w:p>
        </w:tc>
      </w:tr>
    </w:tbl>
    <w:p w14:paraId="19CB4A5C" w14:textId="77777777" w:rsidR="00FA7DFC" w:rsidRPr="00C41AA8" w:rsidRDefault="00FA7DFC" w:rsidP="006C03CC">
      <w:pPr>
        <w:pStyle w:val="Tabletext"/>
      </w:pPr>
    </w:p>
    <w:p w14:paraId="5122CE8B" w14:textId="5306A9C8" w:rsidR="00AA10FD" w:rsidRPr="00C41AA8" w:rsidRDefault="009B17BD" w:rsidP="00AA10FD">
      <w:pPr>
        <w:pStyle w:val="ItemHead"/>
      </w:pPr>
      <w:r w:rsidRPr="00C41AA8">
        <w:t>6</w:t>
      </w:r>
      <w:r w:rsidR="00733386" w:rsidRPr="00C41AA8">
        <w:t xml:space="preserve">  Schedule 2020, Part 1</w:t>
      </w:r>
      <w:r w:rsidR="002336BB" w:rsidRPr="00C41AA8">
        <w:t>, clause 3 (after table item 5)</w:t>
      </w:r>
    </w:p>
    <w:p w14:paraId="1ED9E1D9" w14:textId="485BFDA6" w:rsidR="00733386" w:rsidRPr="00C41AA8" w:rsidRDefault="00733386" w:rsidP="00733386">
      <w:pPr>
        <w:pStyle w:val="Item"/>
      </w:pPr>
      <w:r w:rsidRPr="00C41AA8">
        <w:t>Inse</w:t>
      </w:r>
      <w:r w:rsidR="005E2C39" w:rsidRPr="00C41AA8">
        <w:t>rt:</w:t>
      </w:r>
    </w:p>
    <w:p w14:paraId="0C1E96C9" w14:textId="77777777" w:rsidR="005E2C39" w:rsidRPr="00C41AA8" w:rsidRDefault="005E2C39" w:rsidP="005E2C39">
      <w:pPr>
        <w:pStyle w:val="Tabletext"/>
      </w:pPr>
    </w:p>
    <w:tbl>
      <w:tblPr>
        <w:tblW w:w="8378" w:type="dxa"/>
        <w:tblInd w:w="93" w:type="dxa"/>
        <w:tblBorders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6"/>
        <w:gridCol w:w="938"/>
        <w:gridCol w:w="938"/>
        <w:gridCol w:w="5886"/>
      </w:tblGrid>
      <w:tr w:rsidR="00F00194" w:rsidRPr="00C41AA8" w14:paraId="1A63F9C4" w14:textId="77777777" w:rsidTr="0036601C">
        <w:tc>
          <w:tcPr>
            <w:tcW w:w="616" w:type="dxa"/>
            <w:shd w:val="clear" w:color="auto" w:fill="auto"/>
          </w:tcPr>
          <w:p w14:paraId="48804886" w14:textId="77777777" w:rsidR="00F00194" w:rsidRPr="00C41AA8" w:rsidRDefault="00F00194" w:rsidP="00176242">
            <w:pPr>
              <w:pStyle w:val="Tabletext"/>
            </w:pPr>
            <w:r w:rsidRPr="00C41AA8">
              <w:t>6</w:t>
            </w:r>
          </w:p>
        </w:tc>
        <w:tc>
          <w:tcPr>
            <w:tcW w:w="938" w:type="dxa"/>
            <w:shd w:val="clear" w:color="auto" w:fill="auto"/>
          </w:tcPr>
          <w:p w14:paraId="7C6B1E88" w14:textId="77777777" w:rsidR="00F00194" w:rsidRPr="00C41AA8" w:rsidRDefault="00F00194" w:rsidP="00176242">
            <w:pPr>
              <w:pStyle w:val="Tabletext"/>
            </w:pPr>
            <w:r w:rsidRPr="00C41AA8">
              <w:t>Shape</w:t>
            </w:r>
          </w:p>
        </w:tc>
        <w:tc>
          <w:tcPr>
            <w:tcW w:w="938" w:type="dxa"/>
            <w:shd w:val="clear" w:color="auto" w:fill="auto"/>
          </w:tcPr>
          <w:p w14:paraId="347F5027" w14:textId="1020F720" w:rsidR="00F00194" w:rsidRPr="00C41AA8" w:rsidRDefault="00F00194" w:rsidP="00176242">
            <w:pPr>
              <w:pStyle w:val="Tabletext"/>
            </w:pPr>
            <w:r w:rsidRPr="00C41AA8">
              <w:t>S6</w:t>
            </w:r>
          </w:p>
        </w:tc>
        <w:tc>
          <w:tcPr>
            <w:tcW w:w="5886" w:type="dxa"/>
            <w:shd w:val="clear" w:color="auto" w:fill="auto"/>
          </w:tcPr>
          <w:p w14:paraId="1332AEAE" w14:textId="3AC82C06" w:rsidR="00F00194" w:rsidRPr="00C41AA8" w:rsidRDefault="000C7521" w:rsidP="00176242">
            <w:pPr>
              <w:pStyle w:val="Tabletext"/>
            </w:pPr>
            <w:r w:rsidRPr="00C41AA8">
              <w:t>Triangular with rounded corners</w:t>
            </w:r>
          </w:p>
        </w:tc>
      </w:tr>
      <w:tr w:rsidR="00F00194" w:rsidRPr="00C41AA8" w14:paraId="2189F298" w14:textId="77777777" w:rsidTr="0036601C">
        <w:tc>
          <w:tcPr>
            <w:tcW w:w="616" w:type="dxa"/>
            <w:shd w:val="clear" w:color="auto" w:fill="auto"/>
          </w:tcPr>
          <w:p w14:paraId="0871A2A8" w14:textId="0A6973F2" w:rsidR="00F00194" w:rsidRPr="00C41AA8" w:rsidRDefault="000C7521" w:rsidP="00176242">
            <w:pPr>
              <w:pStyle w:val="Tabletext"/>
            </w:pPr>
            <w:r w:rsidRPr="00C41AA8">
              <w:t>8</w:t>
            </w:r>
          </w:p>
        </w:tc>
        <w:tc>
          <w:tcPr>
            <w:tcW w:w="938" w:type="dxa"/>
            <w:shd w:val="clear" w:color="auto" w:fill="auto"/>
          </w:tcPr>
          <w:p w14:paraId="0A79C154" w14:textId="77777777" w:rsidR="00F00194" w:rsidRPr="00C41AA8" w:rsidRDefault="00F00194" w:rsidP="00176242">
            <w:pPr>
              <w:pStyle w:val="Tabletext"/>
            </w:pPr>
            <w:r w:rsidRPr="00C41AA8">
              <w:t>Shape</w:t>
            </w:r>
          </w:p>
        </w:tc>
        <w:tc>
          <w:tcPr>
            <w:tcW w:w="938" w:type="dxa"/>
            <w:shd w:val="clear" w:color="auto" w:fill="auto"/>
          </w:tcPr>
          <w:p w14:paraId="7BFA7320" w14:textId="5DA45D1D" w:rsidR="00F00194" w:rsidRPr="00C41AA8" w:rsidRDefault="00F00194" w:rsidP="000C7521">
            <w:pPr>
              <w:pStyle w:val="Tabletext"/>
            </w:pPr>
            <w:r w:rsidRPr="00C41AA8">
              <w:t>S</w:t>
            </w:r>
            <w:r w:rsidR="000C7521" w:rsidRPr="00C41AA8">
              <w:t>8</w:t>
            </w:r>
          </w:p>
        </w:tc>
        <w:tc>
          <w:tcPr>
            <w:tcW w:w="5886" w:type="dxa"/>
            <w:shd w:val="clear" w:color="auto" w:fill="auto"/>
          </w:tcPr>
          <w:p w14:paraId="521F9AFE" w14:textId="4EFD07D9" w:rsidR="00F00194" w:rsidRPr="00C41AA8" w:rsidRDefault="00F00194" w:rsidP="00176242">
            <w:pPr>
              <w:pStyle w:val="Tabletext"/>
            </w:pPr>
            <w:r w:rsidRPr="00C41AA8">
              <w:t xml:space="preserve">Rectangular </w:t>
            </w:r>
            <w:r w:rsidR="000C7521" w:rsidRPr="00C41AA8">
              <w:t>with rounded corners</w:t>
            </w:r>
          </w:p>
        </w:tc>
      </w:tr>
      <w:tr w:rsidR="00F00194" w:rsidRPr="00C41AA8" w14:paraId="782E6FC8" w14:textId="77777777" w:rsidTr="0036601C">
        <w:tc>
          <w:tcPr>
            <w:tcW w:w="616" w:type="dxa"/>
            <w:shd w:val="clear" w:color="auto" w:fill="auto"/>
          </w:tcPr>
          <w:p w14:paraId="442C6F69" w14:textId="10DBA1A1" w:rsidR="00F00194" w:rsidRPr="00C41AA8" w:rsidRDefault="000C7521" w:rsidP="00176242">
            <w:pPr>
              <w:pStyle w:val="Tabletext"/>
            </w:pPr>
            <w:r w:rsidRPr="00C41AA8">
              <w:t>9</w:t>
            </w:r>
          </w:p>
        </w:tc>
        <w:tc>
          <w:tcPr>
            <w:tcW w:w="938" w:type="dxa"/>
            <w:shd w:val="clear" w:color="auto" w:fill="auto"/>
          </w:tcPr>
          <w:p w14:paraId="77BADFD7" w14:textId="77777777" w:rsidR="00F00194" w:rsidRPr="00C41AA8" w:rsidRDefault="00F00194" w:rsidP="00176242">
            <w:pPr>
              <w:pStyle w:val="Tabletext"/>
            </w:pPr>
            <w:r w:rsidRPr="00C41AA8">
              <w:t>Shape</w:t>
            </w:r>
          </w:p>
        </w:tc>
        <w:tc>
          <w:tcPr>
            <w:tcW w:w="938" w:type="dxa"/>
            <w:shd w:val="clear" w:color="auto" w:fill="auto"/>
          </w:tcPr>
          <w:p w14:paraId="572A2CFF" w14:textId="75B8C542" w:rsidR="00F00194" w:rsidRPr="00C41AA8" w:rsidRDefault="00F00194" w:rsidP="000C7521">
            <w:pPr>
              <w:pStyle w:val="Tabletext"/>
            </w:pPr>
            <w:r w:rsidRPr="00C41AA8">
              <w:t>S</w:t>
            </w:r>
            <w:r w:rsidR="000C7521" w:rsidRPr="00C41AA8">
              <w:t>9</w:t>
            </w:r>
          </w:p>
        </w:tc>
        <w:tc>
          <w:tcPr>
            <w:tcW w:w="5886" w:type="dxa"/>
            <w:shd w:val="clear" w:color="auto" w:fill="auto"/>
          </w:tcPr>
          <w:p w14:paraId="080D1013" w14:textId="6D474C45" w:rsidR="00F00194" w:rsidRPr="00C41AA8" w:rsidRDefault="000C7521" w:rsidP="00176242">
            <w:pPr>
              <w:pStyle w:val="Tabletext"/>
            </w:pPr>
            <w:r w:rsidRPr="00C41AA8">
              <w:t>Tetradecagonal</w:t>
            </w:r>
          </w:p>
        </w:tc>
      </w:tr>
    </w:tbl>
    <w:p w14:paraId="253E7055" w14:textId="77777777" w:rsidR="00F00194" w:rsidRPr="00C41AA8" w:rsidRDefault="00F00194" w:rsidP="005E2C39">
      <w:pPr>
        <w:pStyle w:val="Tabletext"/>
      </w:pPr>
    </w:p>
    <w:p w14:paraId="4185BD44" w14:textId="591B24A8" w:rsidR="00733386" w:rsidRPr="00C41AA8" w:rsidRDefault="009B17BD" w:rsidP="00733386">
      <w:pPr>
        <w:pStyle w:val="ItemHead"/>
      </w:pPr>
      <w:r w:rsidRPr="00C41AA8">
        <w:t>7</w:t>
      </w:r>
      <w:r w:rsidR="00733386" w:rsidRPr="00C41AA8">
        <w:t xml:space="preserve">  Schedule 2020, Part 1,</w:t>
      </w:r>
      <w:r w:rsidR="00BA592C" w:rsidRPr="00C41AA8">
        <w:t xml:space="preserve"> clause 3 (after table item 22)</w:t>
      </w:r>
    </w:p>
    <w:p w14:paraId="3D6AE5F1" w14:textId="51F6263D" w:rsidR="00733386" w:rsidRPr="00C41AA8" w:rsidRDefault="00BA592C" w:rsidP="00733386">
      <w:pPr>
        <w:pStyle w:val="Item"/>
      </w:pPr>
      <w:r w:rsidRPr="00C41AA8">
        <w:t>Insert:</w:t>
      </w:r>
    </w:p>
    <w:p w14:paraId="6B25CF12" w14:textId="77777777" w:rsidR="00BA592C" w:rsidRPr="00C41AA8" w:rsidRDefault="00BA592C" w:rsidP="00BA592C">
      <w:pPr>
        <w:pStyle w:val="Tabletext"/>
      </w:pPr>
    </w:p>
    <w:tbl>
      <w:tblPr>
        <w:tblW w:w="8378" w:type="dxa"/>
        <w:tblInd w:w="9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6"/>
        <w:gridCol w:w="938"/>
        <w:gridCol w:w="938"/>
        <w:gridCol w:w="5886"/>
      </w:tblGrid>
      <w:tr w:rsidR="00F00194" w:rsidRPr="00C41AA8" w14:paraId="1B1BD40F" w14:textId="77777777" w:rsidTr="00654FC8">
        <w:tc>
          <w:tcPr>
            <w:tcW w:w="616" w:type="dxa"/>
            <w:tcBorders>
              <w:top w:val="nil"/>
            </w:tcBorders>
            <w:shd w:val="clear" w:color="auto" w:fill="auto"/>
          </w:tcPr>
          <w:p w14:paraId="57393C66" w14:textId="77777777" w:rsidR="00F00194" w:rsidRPr="00C41AA8" w:rsidRDefault="00F00194" w:rsidP="00176242">
            <w:pPr>
              <w:pStyle w:val="Tabletext"/>
            </w:pPr>
            <w:r w:rsidRPr="00C41AA8">
              <w:t>23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auto"/>
          </w:tcPr>
          <w:p w14:paraId="49CEFABB" w14:textId="77777777" w:rsidR="00F00194" w:rsidRPr="00C41AA8" w:rsidRDefault="00F00194" w:rsidP="00176242">
            <w:pPr>
              <w:pStyle w:val="Tabletext"/>
            </w:pPr>
            <w:r w:rsidRPr="00C41AA8">
              <w:t>Obverse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auto"/>
          </w:tcPr>
          <w:p w14:paraId="2475C46F" w14:textId="77777777" w:rsidR="00F00194" w:rsidRPr="00C41AA8" w:rsidRDefault="00F00194" w:rsidP="00176242">
            <w:pPr>
              <w:pStyle w:val="Tabletext"/>
            </w:pPr>
            <w:r w:rsidRPr="00C41AA8">
              <w:t>O14</w:t>
            </w:r>
          </w:p>
        </w:tc>
        <w:tc>
          <w:tcPr>
            <w:tcW w:w="5886" w:type="dxa"/>
            <w:tcBorders>
              <w:top w:val="nil"/>
            </w:tcBorders>
            <w:shd w:val="clear" w:color="auto" w:fill="auto"/>
          </w:tcPr>
          <w:p w14:paraId="54FD8A66" w14:textId="77777777" w:rsidR="00F00194" w:rsidRPr="00C41AA8" w:rsidRDefault="00F00194" w:rsidP="00176242">
            <w:pPr>
              <w:pStyle w:val="Tabletext"/>
            </w:pPr>
            <w:r w:rsidRPr="00C41AA8">
              <w:rPr>
                <w:color w:val="000000"/>
              </w:rPr>
              <w:t>A design consisting of:</w:t>
            </w:r>
          </w:p>
          <w:p w14:paraId="02C866F6" w14:textId="75A45D89" w:rsidR="00F00194" w:rsidRPr="00C41AA8" w:rsidRDefault="00F00194" w:rsidP="00ED0073">
            <w:pPr>
              <w:pStyle w:val="Tablea"/>
            </w:pPr>
            <w:r w:rsidRPr="00C41AA8">
              <w:t>(a) a central circle enclosing an effigy of Queen Elizabeth II and the</w:t>
            </w:r>
            <w:r w:rsidR="00ED0073" w:rsidRPr="00C41AA8">
              <w:t xml:space="preserve"> </w:t>
            </w:r>
            <w:r w:rsidRPr="00C41AA8">
              <w:t>following:</w:t>
            </w:r>
          </w:p>
          <w:p w14:paraId="5D22963A" w14:textId="77777777" w:rsidR="00F00194" w:rsidRPr="00C41AA8" w:rsidRDefault="00F00194" w:rsidP="00ED0073">
            <w:pPr>
              <w:pStyle w:val="Tablei"/>
            </w:pPr>
            <w:r w:rsidRPr="00C41AA8">
              <w:t>(i) “ELIZABETH II”; and</w:t>
            </w:r>
          </w:p>
          <w:p w14:paraId="12EA0505" w14:textId="77777777" w:rsidR="00F00194" w:rsidRPr="00C41AA8" w:rsidRDefault="00F00194" w:rsidP="00ED0073">
            <w:pPr>
              <w:pStyle w:val="Tablei"/>
            </w:pPr>
            <w:r w:rsidRPr="00C41AA8">
              <w:t>(ii) “AUSTRALIA”; and</w:t>
            </w:r>
          </w:p>
          <w:p w14:paraId="36CF420C" w14:textId="77777777" w:rsidR="00F00194" w:rsidRPr="00C41AA8" w:rsidRDefault="00F00194" w:rsidP="00ED0073">
            <w:pPr>
              <w:pStyle w:val="Tablei"/>
            </w:pPr>
            <w:r w:rsidRPr="00C41AA8">
              <w:t>(iii) the inscription, in Arabic numerals, of a year; and</w:t>
            </w:r>
          </w:p>
          <w:p w14:paraId="482586CC" w14:textId="77777777" w:rsidR="00F00194" w:rsidRPr="00C41AA8" w:rsidRDefault="00F00194" w:rsidP="00ED0073">
            <w:pPr>
              <w:pStyle w:val="Tablei"/>
            </w:pPr>
            <w:r w:rsidRPr="00C41AA8">
              <w:t>(iv) Arabic numerals for the amount, in dollars, of the denomination of the coin, followed by “DOLLAR” or “DOLLARS” as the case requires; and</w:t>
            </w:r>
          </w:p>
          <w:p w14:paraId="62B1220A" w14:textId="77777777" w:rsidR="00F00194" w:rsidRPr="00C41AA8" w:rsidRDefault="00F00194" w:rsidP="00ED0073">
            <w:pPr>
              <w:pStyle w:val="Tablei"/>
            </w:pPr>
            <w:r w:rsidRPr="00C41AA8">
              <w:t>(v) “JC”; and</w:t>
            </w:r>
          </w:p>
          <w:p w14:paraId="340BFFDC" w14:textId="41710238" w:rsidR="00F00194" w:rsidRPr="00C41AA8" w:rsidRDefault="00F00194" w:rsidP="00ED0073">
            <w:pPr>
              <w:pStyle w:val="Tablea"/>
            </w:pPr>
            <w:r w:rsidRPr="00C41AA8">
              <w:t>(b) surrounding that central circle, an ornamental border comprising</w:t>
            </w:r>
            <w:r w:rsidR="00ED0073" w:rsidRPr="00C41AA8">
              <w:t xml:space="preserve"> </w:t>
            </w:r>
            <w:r w:rsidRPr="00C41AA8">
              <w:t>stylised representations of splashing water; and</w:t>
            </w:r>
          </w:p>
          <w:p w14:paraId="40161EF0" w14:textId="12B732C8" w:rsidR="00F00194" w:rsidRPr="00C41AA8" w:rsidRDefault="00F00194" w:rsidP="00ED0073">
            <w:pPr>
              <w:pStyle w:val="Tablea"/>
            </w:pPr>
            <w:r w:rsidRPr="00C41AA8">
              <w:t>(c) immediately inside the rim of the coin, a stylised representation of</w:t>
            </w:r>
            <w:r w:rsidR="00ED0073" w:rsidRPr="00C41AA8">
              <w:t xml:space="preserve"> </w:t>
            </w:r>
            <w:r w:rsidRPr="00C41AA8">
              <w:t>the following:</w:t>
            </w:r>
          </w:p>
          <w:p w14:paraId="2BADA8DE" w14:textId="77777777" w:rsidR="00F00194" w:rsidRPr="00C41AA8" w:rsidRDefault="00F00194" w:rsidP="00ED0073">
            <w:pPr>
              <w:pStyle w:val="Tablei"/>
            </w:pPr>
            <w:r w:rsidRPr="00C41AA8">
              <w:t>(i) a rat; and</w:t>
            </w:r>
          </w:p>
          <w:p w14:paraId="403411A8" w14:textId="77777777" w:rsidR="00F00194" w:rsidRPr="00C41AA8" w:rsidRDefault="00F00194" w:rsidP="00ED0073">
            <w:pPr>
              <w:pStyle w:val="Tablei"/>
            </w:pPr>
            <w:r w:rsidRPr="00C41AA8">
              <w:t>(ii) a pig; and</w:t>
            </w:r>
          </w:p>
          <w:p w14:paraId="28963F09" w14:textId="77777777" w:rsidR="00F00194" w:rsidRPr="00C41AA8" w:rsidRDefault="00F00194" w:rsidP="00ED0073">
            <w:pPr>
              <w:pStyle w:val="Tablei"/>
            </w:pPr>
            <w:r w:rsidRPr="00C41AA8">
              <w:t>(iii) a dog; and</w:t>
            </w:r>
          </w:p>
          <w:p w14:paraId="26FD106A" w14:textId="77777777" w:rsidR="00F00194" w:rsidRPr="00C41AA8" w:rsidRDefault="00F00194" w:rsidP="00ED0073">
            <w:pPr>
              <w:pStyle w:val="Tablei"/>
            </w:pPr>
            <w:r w:rsidRPr="00C41AA8">
              <w:t>(iv) a rooster; and</w:t>
            </w:r>
          </w:p>
          <w:p w14:paraId="556B8BAC" w14:textId="77777777" w:rsidR="00F00194" w:rsidRPr="00C41AA8" w:rsidRDefault="00F00194" w:rsidP="00ED0073">
            <w:pPr>
              <w:pStyle w:val="Tablei"/>
            </w:pPr>
            <w:r w:rsidRPr="00C41AA8">
              <w:t>(v) a monkey; and</w:t>
            </w:r>
          </w:p>
          <w:p w14:paraId="19DA252C" w14:textId="77777777" w:rsidR="00F00194" w:rsidRPr="00C41AA8" w:rsidRDefault="00F00194" w:rsidP="00ED0073">
            <w:pPr>
              <w:pStyle w:val="Tablei"/>
            </w:pPr>
            <w:r w:rsidRPr="00C41AA8">
              <w:t>(vi) a goat; and</w:t>
            </w:r>
          </w:p>
          <w:p w14:paraId="60D0BABC" w14:textId="77777777" w:rsidR="00F00194" w:rsidRPr="00C41AA8" w:rsidRDefault="00F00194" w:rsidP="00ED0073">
            <w:pPr>
              <w:pStyle w:val="Tablei"/>
            </w:pPr>
            <w:r w:rsidRPr="00C41AA8">
              <w:t>(vii) a horse; and</w:t>
            </w:r>
          </w:p>
          <w:p w14:paraId="4298AF84" w14:textId="77777777" w:rsidR="00F00194" w:rsidRPr="00C41AA8" w:rsidRDefault="00F00194" w:rsidP="00ED0073">
            <w:pPr>
              <w:pStyle w:val="Tablei"/>
            </w:pPr>
            <w:r w:rsidRPr="00C41AA8">
              <w:t>(viii) a snake; and</w:t>
            </w:r>
          </w:p>
          <w:p w14:paraId="76922009" w14:textId="77777777" w:rsidR="00F00194" w:rsidRPr="00C41AA8" w:rsidRDefault="00F00194" w:rsidP="00ED0073">
            <w:pPr>
              <w:pStyle w:val="Tablei"/>
            </w:pPr>
            <w:r w:rsidRPr="00C41AA8">
              <w:t>(ix) a dragon; and</w:t>
            </w:r>
          </w:p>
          <w:p w14:paraId="5EE3E53D" w14:textId="77777777" w:rsidR="00F00194" w:rsidRPr="00C41AA8" w:rsidRDefault="00F00194" w:rsidP="00ED0073">
            <w:pPr>
              <w:pStyle w:val="Tablei"/>
            </w:pPr>
            <w:r w:rsidRPr="00C41AA8">
              <w:t>(x) a rabbit; and</w:t>
            </w:r>
          </w:p>
          <w:p w14:paraId="67DE4B9F" w14:textId="77777777" w:rsidR="00F00194" w:rsidRPr="00C41AA8" w:rsidRDefault="00F00194" w:rsidP="00ED0073">
            <w:pPr>
              <w:pStyle w:val="Tablei"/>
            </w:pPr>
            <w:r w:rsidRPr="00C41AA8">
              <w:t>(xi) a tiger;  and</w:t>
            </w:r>
          </w:p>
          <w:p w14:paraId="5607F345" w14:textId="77777777" w:rsidR="00F00194" w:rsidRPr="00C41AA8" w:rsidRDefault="00F00194" w:rsidP="00ED0073">
            <w:pPr>
              <w:pStyle w:val="Tablei"/>
            </w:pPr>
            <w:r w:rsidRPr="00C41AA8">
              <w:t>(xii) an ox; and</w:t>
            </w:r>
          </w:p>
          <w:p w14:paraId="0A0C761C" w14:textId="77777777" w:rsidR="00F00194" w:rsidRPr="00C41AA8" w:rsidRDefault="00F00194" w:rsidP="00ED0073">
            <w:pPr>
              <w:pStyle w:val="Tablea"/>
            </w:pPr>
            <w:r w:rsidRPr="00C41AA8">
              <w:t>(d) the animal mentioned in paragraph (c) that relates to the relevant zodiac year appearing at the top of the coin.</w:t>
            </w:r>
          </w:p>
        </w:tc>
      </w:tr>
      <w:tr w:rsidR="00F00194" w:rsidRPr="00C41AA8" w14:paraId="11D59F97" w14:textId="77777777" w:rsidTr="00176242">
        <w:tc>
          <w:tcPr>
            <w:tcW w:w="616" w:type="dxa"/>
            <w:shd w:val="clear" w:color="auto" w:fill="auto"/>
          </w:tcPr>
          <w:p w14:paraId="15A30CA8" w14:textId="77777777" w:rsidR="00F00194" w:rsidRPr="00C41AA8" w:rsidRDefault="00F00194" w:rsidP="00176242">
            <w:pPr>
              <w:pStyle w:val="Tabletext"/>
            </w:pPr>
            <w:r w:rsidRPr="00C41AA8">
              <w:t>24</w:t>
            </w:r>
          </w:p>
        </w:tc>
        <w:tc>
          <w:tcPr>
            <w:tcW w:w="938" w:type="dxa"/>
            <w:shd w:val="clear" w:color="auto" w:fill="auto"/>
          </w:tcPr>
          <w:p w14:paraId="2B294E44" w14:textId="77777777" w:rsidR="00F00194" w:rsidRPr="00C41AA8" w:rsidRDefault="00F00194" w:rsidP="00176242">
            <w:pPr>
              <w:pStyle w:val="Tabletext"/>
            </w:pPr>
            <w:r w:rsidRPr="00C41AA8">
              <w:t>Obverse</w:t>
            </w:r>
          </w:p>
        </w:tc>
        <w:tc>
          <w:tcPr>
            <w:tcW w:w="938" w:type="dxa"/>
            <w:shd w:val="clear" w:color="auto" w:fill="auto"/>
          </w:tcPr>
          <w:p w14:paraId="6AAC5A3F" w14:textId="77777777" w:rsidR="00F00194" w:rsidRPr="00C41AA8" w:rsidRDefault="00F00194" w:rsidP="00176242">
            <w:pPr>
              <w:pStyle w:val="Tabletext"/>
            </w:pPr>
            <w:r w:rsidRPr="00C41AA8">
              <w:t>O15</w:t>
            </w:r>
          </w:p>
        </w:tc>
        <w:tc>
          <w:tcPr>
            <w:tcW w:w="5886" w:type="dxa"/>
            <w:shd w:val="clear" w:color="auto" w:fill="auto"/>
          </w:tcPr>
          <w:p w14:paraId="710F1107" w14:textId="032F1932" w:rsidR="00F00194" w:rsidRPr="00C41AA8" w:rsidRDefault="00F00194" w:rsidP="00176242">
            <w:pPr>
              <w:pStyle w:val="Tabletext"/>
            </w:pPr>
            <w:r w:rsidRPr="00C41AA8">
              <w:t>A re</w:t>
            </w:r>
            <w:r w:rsidR="00654FC8" w:rsidRPr="00C41AA8">
              <w:t>ctangular design consisting of:</w:t>
            </w:r>
          </w:p>
          <w:p w14:paraId="6A0D3A31" w14:textId="030D93EA" w:rsidR="00F00194" w:rsidRPr="00C41AA8" w:rsidRDefault="00F00194" w:rsidP="007D722D">
            <w:pPr>
              <w:pStyle w:val="Tablea"/>
            </w:pPr>
            <w:r w:rsidRPr="00C41AA8">
              <w:t>(a) a central circle enclosing an ef</w:t>
            </w:r>
            <w:r w:rsidR="00654FC8" w:rsidRPr="00C41AA8">
              <w:t>figy of Queen Elizabeth II; and</w:t>
            </w:r>
          </w:p>
          <w:p w14:paraId="187E655C" w14:textId="3DBA9E2D" w:rsidR="00F00194" w:rsidRPr="00C41AA8" w:rsidRDefault="00F00194" w:rsidP="007D722D">
            <w:pPr>
              <w:pStyle w:val="Tablea"/>
            </w:pPr>
            <w:r w:rsidRPr="00C41AA8">
              <w:t>(b) surrounding the central circle, a stylised represe</w:t>
            </w:r>
            <w:r w:rsidR="00654FC8" w:rsidRPr="00C41AA8">
              <w:t>ntation of willow branches; and</w:t>
            </w:r>
          </w:p>
          <w:p w14:paraId="4403420E" w14:textId="73726D53" w:rsidR="00F00194" w:rsidRPr="00C41AA8" w:rsidRDefault="00F00194" w:rsidP="007D722D">
            <w:pPr>
              <w:pStyle w:val="Tablea"/>
            </w:pPr>
            <w:r w:rsidRPr="00C41AA8">
              <w:t xml:space="preserve">(c) </w:t>
            </w:r>
            <w:r w:rsidR="00654FC8" w:rsidRPr="00C41AA8">
              <w:t>curved convex border edges; and</w:t>
            </w:r>
          </w:p>
          <w:p w14:paraId="4C09DF70" w14:textId="1DA5F575" w:rsidR="00F00194" w:rsidRPr="00C41AA8" w:rsidRDefault="00F00194" w:rsidP="007D722D">
            <w:pPr>
              <w:pStyle w:val="Tablea"/>
            </w:pPr>
            <w:r w:rsidRPr="00C41AA8">
              <w:t xml:space="preserve">(d) </w:t>
            </w:r>
            <w:r w:rsidR="00654FC8" w:rsidRPr="00C41AA8">
              <w:t>the following:</w:t>
            </w:r>
          </w:p>
          <w:p w14:paraId="31CDA90D" w14:textId="53B1EC7C" w:rsidR="00F00194" w:rsidRPr="00C41AA8" w:rsidRDefault="00654FC8" w:rsidP="007D722D">
            <w:pPr>
              <w:pStyle w:val="Tablei"/>
            </w:pPr>
            <w:r w:rsidRPr="00C41AA8">
              <w:t>(i) “ELIZABETH II”; and</w:t>
            </w:r>
          </w:p>
          <w:p w14:paraId="39DB17A3" w14:textId="71FD3590" w:rsidR="00F00194" w:rsidRPr="00C41AA8" w:rsidRDefault="00654FC8" w:rsidP="007D722D">
            <w:pPr>
              <w:pStyle w:val="Tablei"/>
            </w:pPr>
            <w:r w:rsidRPr="00C41AA8">
              <w:t>(ii) “AUSTRALIA”; and</w:t>
            </w:r>
          </w:p>
          <w:p w14:paraId="25269FBC" w14:textId="158D59B2" w:rsidR="00F00194" w:rsidRPr="00C41AA8" w:rsidRDefault="00F00194" w:rsidP="007D722D">
            <w:pPr>
              <w:pStyle w:val="Tablei"/>
            </w:pPr>
            <w:r w:rsidRPr="00C41AA8">
              <w:t xml:space="preserve">(iii) the inscription, in </w:t>
            </w:r>
            <w:r w:rsidR="00654FC8" w:rsidRPr="00C41AA8">
              <w:t>Arabic numerals, of a year; and</w:t>
            </w:r>
          </w:p>
          <w:p w14:paraId="55CAA8C4" w14:textId="076A360F" w:rsidR="00F00194" w:rsidRPr="00C41AA8" w:rsidRDefault="00F00194" w:rsidP="007D722D">
            <w:pPr>
              <w:pStyle w:val="Tablei"/>
            </w:pPr>
            <w:r w:rsidRPr="00C41AA8">
              <w:lastRenderedPageBreak/>
              <w:t>(iv) Arabic numerals for the amount, in dollars or cents, of the denomination of the coin, followed by “DOLLAR”, “DOLLARS” or “CENTS”</w:t>
            </w:r>
            <w:r w:rsidR="00654FC8" w:rsidRPr="00C41AA8">
              <w:t xml:space="preserve"> as the case requires; and</w:t>
            </w:r>
          </w:p>
          <w:p w14:paraId="5AB94D41" w14:textId="49C686E6" w:rsidR="00F00194" w:rsidRPr="00C41AA8" w:rsidRDefault="00654FC8" w:rsidP="007D722D">
            <w:pPr>
              <w:pStyle w:val="Tablei"/>
            </w:pPr>
            <w:r w:rsidRPr="00C41AA8">
              <w:t>(v) “JC”.</w:t>
            </w:r>
          </w:p>
        </w:tc>
      </w:tr>
      <w:tr w:rsidR="00F00194" w:rsidRPr="00C41AA8" w14:paraId="04B86025" w14:textId="77777777" w:rsidTr="00AD5558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4B5829B0" w14:textId="77777777" w:rsidR="00F00194" w:rsidRPr="00C41AA8" w:rsidRDefault="00F00194" w:rsidP="00176242">
            <w:pPr>
              <w:pStyle w:val="Tabletext"/>
            </w:pPr>
            <w:r w:rsidRPr="00C41AA8">
              <w:lastRenderedPageBreak/>
              <w:t>25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104429DF" w14:textId="77777777" w:rsidR="00F00194" w:rsidRPr="00C41AA8" w:rsidRDefault="00F00194" w:rsidP="00176242">
            <w:pPr>
              <w:pStyle w:val="Tabletext"/>
            </w:pPr>
            <w:r w:rsidRPr="00C41AA8">
              <w:t>Obverse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2206F6D4" w14:textId="77777777" w:rsidR="00F00194" w:rsidRPr="00C41AA8" w:rsidRDefault="00F00194" w:rsidP="00176242">
            <w:pPr>
              <w:pStyle w:val="Tabletext"/>
            </w:pPr>
            <w:r w:rsidRPr="00C41AA8">
              <w:t>O16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0037D9F1" w14:textId="3A7868EF" w:rsidR="00F00194" w:rsidRPr="00C41AA8" w:rsidRDefault="00F00194" w:rsidP="00176242">
            <w:pPr>
              <w:pStyle w:val="Tabletext"/>
            </w:pPr>
            <w:r w:rsidRPr="00C41AA8">
              <w:t>A t</w:t>
            </w:r>
            <w:r w:rsidR="007B2239" w:rsidRPr="00C41AA8">
              <w:t>riangular design consisting of:</w:t>
            </w:r>
          </w:p>
          <w:p w14:paraId="79B0AB7E" w14:textId="3051836B" w:rsidR="00F00194" w:rsidRPr="00C41AA8" w:rsidRDefault="00F00194" w:rsidP="007B2239">
            <w:pPr>
              <w:pStyle w:val="Tablea"/>
            </w:pPr>
            <w:r w:rsidRPr="00C41AA8">
              <w:t xml:space="preserve">(a) in </w:t>
            </w:r>
            <w:r w:rsidR="00D14B18" w:rsidRPr="00C41AA8">
              <w:t>a</w:t>
            </w:r>
            <w:r w:rsidRPr="00C41AA8">
              <w:t xml:space="preserve"> corner of the triangle, an effigy of Queen </w:t>
            </w:r>
            <w:r w:rsidR="007B2239" w:rsidRPr="00C41AA8">
              <w:t>Elizabeth II and the following:</w:t>
            </w:r>
          </w:p>
          <w:p w14:paraId="09B002C7" w14:textId="7967E1B7" w:rsidR="00F00194" w:rsidRPr="00C41AA8" w:rsidRDefault="007B2239" w:rsidP="007B2239">
            <w:pPr>
              <w:pStyle w:val="Tablei"/>
            </w:pPr>
            <w:r w:rsidRPr="00C41AA8">
              <w:t>(i) “ELIZABETH II”; and</w:t>
            </w:r>
          </w:p>
          <w:p w14:paraId="406753DA" w14:textId="38B73506" w:rsidR="00F00194" w:rsidRPr="00C41AA8" w:rsidRDefault="007B2239" w:rsidP="007B2239">
            <w:pPr>
              <w:pStyle w:val="Tablei"/>
            </w:pPr>
            <w:r w:rsidRPr="00C41AA8">
              <w:t>(ii) “AUSTRALIA”; and</w:t>
            </w:r>
          </w:p>
          <w:p w14:paraId="57089794" w14:textId="478B5E87" w:rsidR="00F00194" w:rsidRPr="00C41AA8" w:rsidRDefault="00F00194" w:rsidP="007B2239">
            <w:pPr>
              <w:pStyle w:val="Tablei"/>
            </w:pPr>
            <w:r w:rsidRPr="00C41AA8">
              <w:t>(iii) the inscription, in Arabic numerals,</w:t>
            </w:r>
            <w:r w:rsidR="007B2239" w:rsidRPr="00C41AA8">
              <w:t xml:space="preserve"> of a year; and</w:t>
            </w:r>
          </w:p>
          <w:p w14:paraId="7FABEA3E" w14:textId="4215EC4E" w:rsidR="00F00194" w:rsidRPr="00C41AA8" w:rsidRDefault="00D14B18" w:rsidP="007B2239">
            <w:pPr>
              <w:pStyle w:val="Tablei"/>
            </w:pPr>
            <w:r w:rsidRPr="00C41AA8">
              <w:t>(iv) “JC”; and</w:t>
            </w:r>
          </w:p>
          <w:p w14:paraId="014658CB" w14:textId="782630A7" w:rsidR="00F00194" w:rsidRPr="00C41AA8" w:rsidRDefault="00F00194" w:rsidP="007B2239">
            <w:pPr>
              <w:pStyle w:val="Tablea"/>
            </w:pPr>
            <w:r w:rsidRPr="00C41AA8">
              <w:t>(b) below the effigy, in the background, a stylised representation of a shipwreck, and survivors in</w:t>
            </w:r>
            <w:r w:rsidR="007B2239" w:rsidRPr="00C41AA8">
              <w:t xml:space="preserve"> a small boat in the ocean; and</w:t>
            </w:r>
          </w:p>
          <w:p w14:paraId="02C9186D" w14:textId="1FB68862" w:rsidR="00F00194" w:rsidRPr="00C41AA8" w:rsidRDefault="00F00194" w:rsidP="007B2239">
            <w:pPr>
              <w:pStyle w:val="Tablea"/>
            </w:pPr>
            <w:r w:rsidRPr="00C41AA8">
              <w:t>(c) in the foreground, a man clinging to a cliff-f</w:t>
            </w:r>
            <w:r w:rsidR="007B2239" w:rsidRPr="00C41AA8">
              <w:t>ace, rocks, and a skeleton; and</w:t>
            </w:r>
          </w:p>
          <w:p w14:paraId="77BAB54F" w14:textId="7B680DC3" w:rsidR="00F00194" w:rsidRPr="00C41AA8" w:rsidRDefault="00F00194" w:rsidP="007B2239">
            <w:pPr>
              <w:pStyle w:val="Tablea"/>
            </w:pPr>
            <w:r w:rsidRPr="00C41AA8">
              <w:t>(d) the foll</w:t>
            </w:r>
            <w:r w:rsidR="007B2239" w:rsidRPr="00C41AA8">
              <w:t>owing:</w:t>
            </w:r>
          </w:p>
          <w:p w14:paraId="50CA8760" w14:textId="4B05132F" w:rsidR="00F00194" w:rsidRPr="00C41AA8" w:rsidRDefault="007B2239" w:rsidP="007B2239">
            <w:pPr>
              <w:pStyle w:val="Tablei"/>
            </w:pPr>
            <w:r w:rsidRPr="00C41AA8">
              <w:t>(i) “ONE HUNDRED DOLLARS”.</w:t>
            </w:r>
          </w:p>
        </w:tc>
      </w:tr>
      <w:tr w:rsidR="00F00194" w:rsidRPr="00C41AA8" w14:paraId="2E966B79" w14:textId="77777777" w:rsidTr="00AD5558">
        <w:tc>
          <w:tcPr>
            <w:tcW w:w="61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304D1EFE" w14:textId="77777777" w:rsidR="00F00194" w:rsidRPr="00C41AA8" w:rsidRDefault="00F00194" w:rsidP="00176242">
            <w:pPr>
              <w:pStyle w:val="Tabletext"/>
            </w:pPr>
            <w:r w:rsidRPr="00C41AA8">
              <w:t>26</w:t>
            </w:r>
          </w:p>
        </w:tc>
        <w:tc>
          <w:tcPr>
            <w:tcW w:w="93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19AACEEB" w14:textId="77777777" w:rsidR="00F00194" w:rsidRPr="00C41AA8" w:rsidRDefault="00F00194" w:rsidP="00176242">
            <w:pPr>
              <w:pStyle w:val="Tabletext"/>
            </w:pPr>
            <w:r w:rsidRPr="00C41AA8">
              <w:t>Obverse</w:t>
            </w:r>
          </w:p>
        </w:tc>
        <w:tc>
          <w:tcPr>
            <w:tcW w:w="93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8D0BC47" w14:textId="77777777" w:rsidR="00F00194" w:rsidRPr="00C41AA8" w:rsidRDefault="00F00194" w:rsidP="00176242">
            <w:pPr>
              <w:pStyle w:val="Tabletext"/>
            </w:pPr>
            <w:r w:rsidRPr="00C41AA8">
              <w:t>O17</w:t>
            </w:r>
          </w:p>
        </w:tc>
        <w:tc>
          <w:tcPr>
            <w:tcW w:w="588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AD3BE65" w14:textId="08589228" w:rsidR="00F00194" w:rsidRPr="00C41AA8" w:rsidRDefault="00F00194" w:rsidP="00176242">
            <w:pPr>
              <w:pStyle w:val="Tabletext"/>
            </w:pPr>
            <w:r w:rsidRPr="00C41AA8">
              <w:t>The same as for item 25 except in paragraph (d) omit s</w:t>
            </w:r>
            <w:r w:rsidR="00A11DD7" w:rsidRPr="00C41AA8">
              <w:t>ubparagraph (i) and substitute:</w:t>
            </w:r>
          </w:p>
          <w:p w14:paraId="783BF0EB" w14:textId="3A7F25F7" w:rsidR="00F00194" w:rsidRPr="00C41AA8" w:rsidRDefault="00A11DD7" w:rsidP="00A11DD7">
            <w:pPr>
              <w:pStyle w:val="Tablei"/>
            </w:pPr>
            <w:r w:rsidRPr="00C41AA8">
              <w:t>(i) “ONE DOLLAR”.</w:t>
            </w:r>
          </w:p>
        </w:tc>
      </w:tr>
    </w:tbl>
    <w:p w14:paraId="46D9DBD4" w14:textId="77777777" w:rsidR="00F00194" w:rsidRPr="00C41AA8" w:rsidRDefault="00F00194" w:rsidP="00BA592C">
      <w:pPr>
        <w:pStyle w:val="Tabletext"/>
      </w:pPr>
    </w:p>
    <w:p w14:paraId="3B35B49D" w14:textId="6962B143" w:rsidR="00733386" w:rsidRPr="00C41AA8" w:rsidRDefault="009B17BD" w:rsidP="00733386">
      <w:pPr>
        <w:pStyle w:val="ItemHead"/>
      </w:pPr>
      <w:r w:rsidRPr="00C41AA8">
        <w:t>8</w:t>
      </w:r>
      <w:r w:rsidR="00A05B5C" w:rsidRPr="00C41AA8">
        <w:t xml:space="preserve">  </w:t>
      </w:r>
      <w:r w:rsidR="00733386" w:rsidRPr="00C41AA8">
        <w:t>Schedule 2020, Part 1, clause 3 (</w:t>
      </w:r>
      <w:r w:rsidR="008B2BC5" w:rsidRPr="00C41AA8">
        <w:t>at the end of the table</w:t>
      </w:r>
      <w:r w:rsidR="00733386" w:rsidRPr="00C41AA8">
        <w:t>)</w:t>
      </w:r>
    </w:p>
    <w:p w14:paraId="1757C60B" w14:textId="491D053D" w:rsidR="00733386" w:rsidRPr="00C41AA8" w:rsidRDefault="008B2BC5" w:rsidP="00733386">
      <w:pPr>
        <w:pStyle w:val="Item"/>
      </w:pPr>
      <w:r w:rsidRPr="00C41AA8">
        <w:t>Add</w:t>
      </w:r>
      <w:r w:rsidR="00733386" w:rsidRPr="00C41AA8">
        <w:t xml:space="preserve">: </w:t>
      </w:r>
    </w:p>
    <w:p w14:paraId="25E6DBE7" w14:textId="77777777" w:rsidR="008B2BC5" w:rsidRPr="00C41AA8" w:rsidRDefault="008B2BC5" w:rsidP="008B2BC5">
      <w:pPr>
        <w:pStyle w:val="Tabletext"/>
      </w:pPr>
    </w:p>
    <w:tbl>
      <w:tblPr>
        <w:tblW w:w="8378" w:type="dxa"/>
        <w:tblInd w:w="9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6"/>
        <w:gridCol w:w="938"/>
        <w:gridCol w:w="938"/>
        <w:gridCol w:w="5886"/>
      </w:tblGrid>
      <w:tr w:rsidR="00F00194" w:rsidRPr="00C41AA8" w14:paraId="4E598FD8" w14:textId="77777777" w:rsidTr="00CE09AF">
        <w:tc>
          <w:tcPr>
            <w:tcW w:w="616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2FB5EB0C" w14:textId="3A2CCF0C" w:rsidR="00F00194" w:rsidRPr="00C41AA8" w:rsidRDefault="00F00194" w:rsidP="00F00194">
            <w:pPr>
              <w:pStyle w:val="Tabletext"/>
            </w:pPr>
            <w:r w:rsidRPr="00C41AA8">
              <w:t>124</w:t>
            </w:r>
          </w:p>
        </w:tc>
        <w:tc>
          <w:tcPr>
            <w:tcW w:w="938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7106F456" w14:textId="5177588A" w:rsidR="00F00194" w:rsidRPr="00C41AA8" w:rsidRDefault="00F00194" w:rsidP="00F00194">
            <w:pPr>
              <w:pStyle w:val="Tabletext"/>
            </w:pPr>
            <w:r w:rsidRPr="00C41AA8">
              <w:t>Reverse</w:t>
            </w:r>
          </w:p>
        </w:tc>
        <w:tc>
          <w:tcPr>
            <w:tcW w:w="938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32D8844C" w14:textId="6A8C79D3" w:rsidR="00F00194" w:rsidRPr="00C41AA8" w:rsidRDefault="00F00194" w:rsidP="00F00194">
            <w:pPr>
              <w:pStyle w:val="Tabletext"/>
            </w:pPr>
            <w:r w:rsidRPr="00C41AA8">
              <w:t>R25</w:t>
            </w:r>
          </w:p>
        </w:tc>
        <w:tc>
          <w:tcPr>
            <w:tcW w:w="5886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3DD8F158" w14:textId="3D7B20D3" w:rsidR="00F00194" w:rsidRPr="00C41AA8" w:rsidRDefault="00DA483A" w:rsidP="00F00194">
            <w:pPr>
              <w:pStyle w:val="Tabletext"/>
            </w:pPr>
            <w:r w:rsidRPr="00C41AA8">
              <w:t>A design consisting of:</w:t>
            </w:r>
          </w:p>
          <w:p w14:paraId="46AF92D6" w14:textId="77777777" w:rsidR="00F00194" w:rsidRPr="00C41AA8" w:rsidRDefault="00F00194" w:rsidP="00DA483A">
            <w:pPr>
              <w:pStyle w:val="Tablea"/>
            </w:pPr>
            <w:r w:rsidRPr="00C41AA8">
              <w:t>(a) in the foreground, four central concentric circles ; and</w:t>
            </w:r>
          </w:p>
          <w:p w14:paraId="58A0FBB9" w14:textId="030BCDEE" w:rsidR="00F00194" w:rsidRPr="00C41AA8" w:rsidRDefault="00F00194" w:rsidP="00DA483A">
            <w:pPr>
              <w:pStyle w:val="Tablea"/>
            </w:pPr>
            <w:r w:rsidRPr="00C41AA8">
              <w:t>(b) printed over the circles, a coloured st</w:t>
            </w:r>
            <w:r w:rsidR="00DA483A" w:rsidRPr="00C41AA8">
              <w:t>ylised depiction of flames; and</w:t>
            </w:r>
          </w:p>
          <w:p w14:paraId="32E5DC32" w14:textId="69378A18" w:rsidR="00F00194" w:rsidRPr="00C41AA8" w:rsidRDefault="00F00194" w:rsidP="00DA483A">
            <w:pPr>
              <w:pStyle w:val="Tablea"/>
            </w:pPr>
            <w:r w:rsidRPr="00C41AA8">
              <w:t>(c) in the background, two firefighters in protective clothing standing back to back and holding hoses with wate</w:t>
            </w:r>
            <w:r w:rsidR="00DA483A" w:rsidRPr="00C41AA8">
              <w:t>r emanating from each hose; and</w:t>
            </w:r>
          </w:p>
          <w:p w14:paraId="373D4AE6" w14:textId="5DE0D76A" w:rsidR="00F00194" w:rsidRPr="00C41AA8" w:rsidRDefault="00F00194" w:rsidP="00DA483A">
            <w:pPr>
              <w:pStyle w:val="Tablea"/>
            </w:pPr>
            <w:r w:rsidRPr="00C41AA8">
              <w:t xml:space="preserve">(d) a stylised, curved framing motif </w:t>
            </w:r>
            <w:r w:rsidR="00DA483A" w:rsidRPr="00C41AA8">
              <w:t>at the base of the figures; and</w:t>
            </w:r>
          </w:p>
          <w:p w14:paraId="456F2023" w14:textId="0F6CF543" w:rsidR="00F00194" w:rsidRPr="00C41AA8" w:rsidRDefault="00F00194" w:rsidP="00DA483A">
            <w:pPr>
              <w:pStyle w:val="Tablea"/>
            </w:pPr>
            <w:r w:rsidRPr="00C41AA8">
              <w:t>(e) behind the fir</w:t>
            </w:r>
            <w:r w:rsidR="00DA483A" w:rsidRPr="00C41AA8">
              <w:t xml:space="preserve">efighters, stylised </w:t>
            </w:r>
            <w:r w:rsidR="00E45FB0" w:rsidRPr="00C41AA8">
              <w:t>flames</w:t>
            </w:r>
            <w:r w:rsidR="00DA483A" w:rsidRPr="00C41AA8">
              <w:t>; and</w:t>
            </w:r>
          </w:p>
          <w:p w14:paraId="5330BC99" w14:textId="25F4FF05" w:rsidR="00F00194" w:rsidRPr="00C41AA8" w:rsidRDefault="00DA483A" w:rsidP="00DA483A">
            <w:pPr>
              <w:pStyle w:val="Tablea"/>
            </w:pPr>
            <w:r w:rsidRPr="00C41AA8">
              <w:t>(f) the following:</w:t>
            </w:r>
          </w:p>
          <w:p w14:paraId="0FC02A47" w14:textId="66ADB0BB" w:rsidR="00F00194" w:rsidRPr="00C41AA8" w:rsidRDefault="00F00194" w:rsidP="00605AA6">
            <w:pPr>
              <w:pStyle w:val="Tablei"/>
            </w:pPr>
            <w:r w:rsidRPr="00C41AA8">
              <w:t>(i) “</w:t>
            </w:r>
            <w:r w:rsidR="00605AA6" w:rsidRPr="00C41AA8">
              <w:t>FIREFIGHTERS”; and</w:t>
            </w:r>
          </w:p>
          <w:p w14:paraId="37583798" w14:textId="67730B47" w:rsidR="00F00194" w:rsidRPr="00C41AA8" w:rsidRDefault="00605AA6" w:rsidP="00605AA6">
            <w:pPr>
              <w:pStyle w:val="Tablei"/>
            </w:pPr>
            <w:r w:rsidRPr="00C41AA8">
              <w:t>(ii) “AS”.</w:t>
            </w:r>
          </w:p>
        </w:tc>
      </w:tr>
      <w:tr w:rsidR="00F00194" w:rsidRPr="00C41AA8" w14:paraId="6CC964F1" w14:textId="77777777" w:rsidTr="00D753F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E7806CA" w14:textId="0532550F" w:rsidR="00F00194" w:rsidRPr="00C41AA8" w:rsidRDefault="00F00194" w:rsidP="00F00194">
            <w:pPr>
              <w:pStyle w:val="Tabletext"/>
            </w:pPr>
            <w:r w:rsidRPr="00C41AA8">
              <w:t>125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DA96F03" w14:textId="76F5DC50" w:rsidR="00F00194" w:rsidRPr="00C41AA8" w:rsidRDefault="00F00194" w:rsidP="00F00194">
            <w:pPr>
              <w:pStyle w:val="Tabletext"/>
            </w:pPr>
            <w:r w:rsidRPr="00C41AA8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814BB34" w14:textId="5111EE49" w:rsidR="00F00194" w:rsidRPr="00C41AA8" w:rsidRDefault="00F00194" w:rsidP="00F00194">
            <w:pPr>
              <w:pStyle w:val="Tabletext"/>
            </w:pPr>
            <w:r w:rsidRPr="00C41AA8">
              <w:t>R26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7EF3EDC" w14:textId="76ECBABA" w:rsidR="00F00194" w:rsidRPr="00C41AA8" w:rsidRDefault="00F37A0D" w:rsidP="00F00194">
            <w:pPr>
              <w:pStyle w:val="Tabletext"/>
            </w:pPr>
            <w:r w:rsidRPr="00C41AA8">
              <w:t>The same as for item 124, with the following inserted at the end of paragraph (f):</w:t>
            </w:r>
          </w:p>
          <w:p w14:paraId="3276A663" w14:textId="5D815150" w:rsidR="009D7CC0" w:rsidRPr="00C41AA8" w:rsidRDefault="009D7CC0" w:rsidP="00984355">
            <w:pPr>
              <w:pStyle w:val="Tablei"/>
            </w:pPr>
            <w:r w:rsidRPr="00C41AA8">
              <w:t>; and</w:t>
            </w:r>
          </w:p>
          <w:p w14:paraId="5E5E900E" w14:textId="5C39DA40" w:rsidR="00F00194" w:rsidRPr="00C41AA8" w:rsidRDefault="00F00194" w:rsidP="00984355">
            <w:pPr>
              <w:pStyle w:val="Tablei"/>
            </w:pPr>
            <w:r w:rsidRPr="00C41AA8">
              <w:t>(</w:t>
            </w:r>
            <w:r w:rsidR="00984355" w:rsidRPr="00C41AA8">
              <w:t>iii) “C”.</w:t>
            </w:r>
          </w:p>
        </w:tc>
      </w:tr>
      <w:tr w:rsidR="00F00194" w:rsidRPr="00C41AA8" w14:paraId="1C226706" w14:textId="77777777" w:rsidTr="00D753F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D016A64" w14:textId="4E77E3B9" w:rsidR="00F00194" w:rsidRPr="00C41AA8" w:rsidRDefault="00F00194" w:rsidP="00F00194">
            <w:pPr>
              <w:pStyle w:val="Tabletext"/>
            </w:pPr>
            <w:r w:rsidRPr="00C41AA8">
              <w:t>126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A5B26DE" w14:textId="4A0E3060" w:rsidR="00F00194" w:rsidRPr="00C41AA8" w:rsidRDefault="00F00194" w:rsidP="00F00194">
            <w:pPr>
              <w:pStyle w:val="Tabletext"/>
            </w:pPr>
            <w:r w:rsidRPr="00C41AA8">
              <w:t>Reverses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5EED063" w14:textId="1D62AED0" w:rsidR="00F00194" w:rsidRPr="00C41AA8" w:rsidRDefault="00F00194" w:rsidP="00F00194">
            <w:pPr>
              <w:pStyle w:val="Tabletext"/>
            </w:pPr>
            <w:r w:rsidRPr="00C41AA8">
              <w:t>R27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DD93687" w14:textId="77777777" w:rsidR="00F00194" w:rsidRPr="00C41AA8" w:rsidRDefault="00F00194" w:rsidP="00F00194">
            <w:pPr>
              <w:pStyle w:val="Tabletext"/>
            </w:pPr>
            <w:r w:rsidRPr="00C41AA8">
              <w:t>A design consisting of:</w:t>
            </w:r>
          </w:p>
          <w:p w14:paraId="410DD87F" w14:textId="5435D9D0" w:rsidR="00F00194" w:rsidRPr="00C41AA8" w:rsidRDefault="00F00194" w:rsidP="00E41466">
            <w:pPr>
              <w:pStyle w:val="Tablea"/>
            </w:pPr>
            <w:r w:rsidRPr="00C41AA8">
              <w:t xml:space="preserve">(a) a central </w:t>
            </w:r>
            <w:r w:rsidR="00E41466" w:rsidRPr="00C41AA8">
              <w:t>circle; and</w:t>
            </w:r>
          </w:p>
          <w:p w14:paraId="4B3758ED" w14:textId="162D813D" w:rsidR="00F00194" w:rsidRPr="00C41AA8" w:rsidRDefault="00F00194" w:rsidP="00E41466">
            <w:pPr>
              <w:pStyle w:val="Tablea"/>
            </w:pPr>
            <w:r w:rsidRPr="00C41AA8">
              <w:t>(b) surrounding the central circle, two concentric rings made up of a recurring pattern based on the Austral</w:t>
            </w:r>
            <w:r w:rsidR="00E41466" w:rsidRPr="00C41AA8">
              <w:t xml:space="preserve">ian Aboriginal Flag </w:t>
            </w:r>
            <w:r w:rsidR="00502716" w:rsidRPr="00C41AA8">
              <w:t xml:space="preserve">(as </w:t>
            </w:r>
            <w:r w:rsidR="001828D9" w:rsidRPr="00C41AA8">
              <w:t>proclaimed</w:t>
            </w:r>
            <w:r w:rsidR="00502716" w:rsidRPr="00C41AA8">
              <w:t xml:space="preserve"> in the </w:t>
            </w:r>
            <w:r w:rsidR="00502716" w:rsidRPr="00C41AA8">
              <w:rPr>
                <w:i/>
              </w:rPr>
              <w:t>Flags Act 1953 - Proclamation (Australian Aboriginal Flag)</w:t>
            </w:r>
            <w:r w:rsidR="00502716" w:rsidRPr="00C41AA8">
              <w:t>)</w:t>
            </w:r>
            <w:r w:rsidR="00E41466" w:rsidRPr="00C41AA8">
              <w:t>; and</w:t>
            </w:r>
          </w:p>
          <w:p w14:paraId="255B5F4E" w14:textId="77777777" w:rsidR="00F00194" w:rsidRPr="00C41AA8" w:rsidRDefault="00F00194" w:rsidP="00E41466">
            <w:pPr>
              <w:pStyle w:val="Tablea"/>
            </w:pPr>
            <w:r w:rsidRPr="00C41AA8">
              <w:t>(c) printed over the concentric rings, a coloured ring, half black and half red; and</w:t>
            </w:r>
          </w:p>
          <w:p w14:paraId="3D63F9B2" w14:textId="77777777" w:rsidR="00F00194" w:rsidRPr="00C41AA8" w:rsidRDefault="00F00194" w:rsidP="00E41466">
            <w:pPr>
              <w:pStyle w:val="Tablea"/>
            </w:pPr>
            <w:r w:rsidRPr="00C41AA8">
              <w:t xml:space="preserve">(e) the following: </w:t>
            </w:r>
          </w:p>
          <w:p w14:paraId="3F6EEAA5" w14:textId="7528042C" w:rsidR="00F00194" w:rsidRPr="00C41AA8" w:rsidRDefault="00F00194" w:rsidP="00E41466">
            <w:pPr>
              <w:pStyle w:val="Tablei"/>
            </w:pPr>
            <w:r w:rsidRPr="00C41AA8">
              <w:t>(i) “AUSTRA</w:t>
            </w:r>
            <w:r w:rsidR="00E41466" w:rsidRPr="00C41AA8">
              <w:t>LIAN ABORIGINAL FLAG 1971”; and</w:t>
            </w:r>
          </w:p>
          <w:p w14:paraId="15BD5995" w14:textId="42668B23" w:rsidR="00F00194" w:rsidRPr="00C41AA8" w:rsidRDefault="00F00194" w:rsidP="00E41466">
            <w:pPr>
              <w:pStyle w:val="Tablei"/>
            </w:pPr>
            <w:r w:rsidRPr="00C41AA8">
              <w:lastRenderedPageBreak/>
              <w:t>(ii) “AU</w:t>
            </w:r>
            <w:r w:rsidR="00E41466" w:rsidRPr="00C41AA8">
              <w:t>STRALIAN ABORIGINAL FLAG 2021”.</w:t>
            </w:r>
          </w:p>
        </w:tc>
      </w:tr>
      <w:tr w:rsidR="00F00194" w:rsidRPr="00C41AA8" w14:paraId="515AAB5D" w14:textId="77777777" w:rsidTr="00D753F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2CA8517" w14:textId="55C528B3" w:rsidR="00F00194" w:rsidRPr="00C41AA8" w:rsidRDefault="00F00194" w:rsidP="00F00194">
            <w:pPr>
              <w:pStyle w:val="Tabletext"/>
            </w:pPr>
            <w:r w:rsidRPr="00C41AA8">
              <w:lastRenderedPageBreak/>
              <w:t>127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E60A24A" w14:textId="5563F9EE" w:rsidR="00F00194" w:rsidRPr="00C41AA8" w:rsidRDefault="00F00194" w:rsidP="00F00194">
            <w:pPr>
              <w:pStyle w:val="Tabletext"/>
            </w:pPr>
            <w:r w:rsidRPr="00C41AA8">
              <w:t xml:space="preserve">Reverse 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C3ED00B" w14:textId="77780CA1" w:rsidR="00F00194" w:rsidRPr="00C41AA8" w:rsidRDefault="00F00194" w:rsidP="00F00194">
            <w:pPr>
              <w:pStyle w:val="Tabletext"/>
            </w:pPr>
            <w:r w:rsidRPr="00C41AA8">
              <w:t>R28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3896F47" w14:textId="6D931217" w:rsidR="00F00194" w:rsidRPr="00C41AA8" w:rsidRDefault="00F00194" w:rsidP="001828D9">
            <w:pPr>
              <w:pStyle w:val="Tabletext"/>
            </w:pPr>
            <w:r w:rsidRPr="00C41AA8">
              <w:t xml:space="preserve">A design consisting of a representation of an </w:t>
            </w:r>
            <w:r w:rsidR="00F46986" w:rsidRPr="00C41AA8">
              <w:t xml:space="preserve">bull </w:t>
            </w:r>
            <w:r w:rsidRPr="00C41AA8">
              <w:t>ox standing with its head raised under a tree wi</w:t>
            </w:r>
            <w:r w:rsidR="00CE2799" w:rsidRPr="00C41AA8">
              <w:t>th blossoms, and the following:</w:t>
            </w:r>
          </w:p>
          <w:p w14:paraId="5A7EDB1F" w14:textId="2F9CA29A" w:rsidR="00F00194" w:rsidRPr="00C41AA8" w:rsidRDefault="00F00194" w:rsidP="001828D9">
            <w:pPr>
              <w:pStyle w:val="Tablea"/>
            </w:pPr>
            <w:r w:rsidRPr="00C41AA8">
              <w:t>(a) the Chinese language character  (</w:t>
            </w:r>
            <w:r w:rsidR="00F46986" w:rsidRPr="00C41AA8">
              <w:rPr>
                <w:rFonts w:eastAsia="MS Mincho" w:hint="eastAsia"/>
              </w:rPr>
              <w:t>牛</w:t>
            </w:r>
            <w:r w:rsidRPr="00C41AA8">
              <w:rPr>
                <w:rFonts w:eastAsia="MS Gothic"/>
              </w:rPr>
              <w:t xml:space="preserve">), pronounced </w:t>
            </w:r>
            <w:r w:rsidRPr="00C41AA8">
              <w:rPr>
                <w:rFonts w:eastAsia="MS Gothic"/>
                <w:i/>
              </w:rPr>
              <w:t>niú</w:t>
            </w:r>
            <w:r w:rsidRPr="00C41AA8">
              <w:rPr>
                <w:rFonts w:eastAsia="MS Gothic"/>
              </w:rPr>
              <w:t xml:space="preserve"> under the Pi</w:t>
            </w:r>
            <w:r w:rsidR="00CE2799" w:rsidRPr="00C41AA8">
              <w:rPr>
                <w:rFonts w:eastAsia="MS Gothic"/>
              </w:rPr>
              <w:t>nyin system and meaning ox; and</w:t>
            </w:r>
          </w:p>
          <w:p w14:paraId="4FA9166B" w14:textId="7599878E" w:rsidR="00F00194" w:rsidRPr="00C41AA8" w:rsidRDefault="00CE2799" w:rsidP="001828D9">
            <w:pPr>
              <w:pStyle w:val="Tablea"/>
            </w:pPr>
            <w:r w:rsidRPr="00C41AA8">
              <w:t>(b) “50”; and</w:t>
            </w:r>
          </w:p>
          <w:p w14:paraId="30C003B3" w14:textId="2B9CE3E7" w:rsidR="00F00194" w:rsidRPr="00C41AA8" w:rsidRDefault="00CE2799" w:rsidP="001828D9">
            <w:pPr>
              <w:pStyle w:val="Tablea"/>
            </w:pPr>
            <w:r w:rsidRPr="00C41AA8">
              <w:t>(c) “TD”.</w:t>
            </w:r>
          </w:p>
        </w:tc>
      </w:tr>
      <w:tr w:rsidR="00F00194" w:rsidRPr="00C41AA8" w14:paraId="7610592E" w14:textId="77777777" w:rsidTr="00D753F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84BD9EE" w14:textId="117CDC53" w:rsidR="00F00194" w:rsidRPr="00C41AA8" w:rsidRDefault="00F00194" w:rsidP="00F00194">
            <w:pPr>
              <w:pStyle w:val="Tabletext"/>
            </w:pPr>
            <w:r w:rsidRPr="00C41AA8">
              <w:t>128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0F45601" w14:textId="0EE9AD7C" w:rsidR="00F00194" w:rsidRPr="00C41AA8" w:rsidRDefault="00F00194" w:rsidP="00F00194">
            <w:pPr>
              <w:pStyle w:val="Tabletext"/>
            </w:pPr>
            <w:r w:rsidRPr="00C41AA8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8943656" w14:textId="35B129EA" w:rsidR="00F00194" w:rsidRPr="00C41AA8" w:rsidRDefault="00F00194" w:rsidP="00F00194">
            <w:pPr>
              <w:pStyle w:val="Tabletext"/>
            </w:pPr>
            <w:r w:rsidRPr="00C41AA8">
              <w:t>R29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37020D7" w14:textId="1AD109D0" w:rsidR="00F00194" w:rsidRPr="00C41AA8" w:rsidRDefault="00D262B4" w:rsidP="00F00194">
            <w:pPr>
              <w:pStyle w:val="Tabletext"/>
            </w:pPr>
            <w:r w:rsidRPr="00C41AA8">
              <w:t>A design consisting of:</w:t>
            </w:r>
          </w:p>
          <w:p w14:paraId="1FA8A9EE" w14:textId="54450E06" w:rsidR="00F00194" w:rsidRPr="00C41AA8" w:rsidRDefault="00F00194" w:rsidP="004F53C3">
            <w:pPr>
              <w:pStyle w:val="Tablea"/>
            </w:pPr>
            <w:r w:rsidRPr="00C41AA8">
              <w:t>(a) in the background, a stylised represe</w:t>
            </w:r>
            <w:r w:rsidR="00D262B4" w:rsidRPr="00C41AA8">
              <w:t>ntation of willow branches; and</w:t>
            </w:r>
          </w:p>
          <w:p w14:paraId="248BD06D" w14:textId="7BE1844F" w:rsidR="00F00194" w:rsidRPr="00C41AA8" w:rsidRDefault="00F00194" w:rsidP="004F53C3">
            <w:pPr>
              <w:pStyle w:val="Tablea"/>
            </w:pPr>
            <w:r w:rsidRPr="00C41AA8">
              <w:t>(b) partially obscuring the willow branches, a crescent shape; and</w:t>
            </w:r>
          </w:p>
          <w:p w14:paraId="22C7AB95" w14:textId="72A54872" w:rsidR="00F00194" w:rsidRPr="00C41AA8" w:rsidRDefault="00F00194" w:rsidP="004F53C3">
            <w:pPr>
              <w:pStyle w:val="Tablea"/>
            </w:pPr>
            <w:r w:rsidRPr="00C41AA8">
              <w:t>(c) in the foreground, partially obscuring the crescent shape; a representation of an ox;</w:t>
            </w:r>
            <w:r w:rsidRPr="00C41AA8" w:rsidDel="0056490C">
              <w:t xml:space="preserve"> </w:t>
            </w:r>
            <w:r w:rsidR="00D262B4" w:rsidRPr="00C41AA8">
              <w:t>and</w:t>
            </w:r>
          </w:p>
          <w:p w14:paraId="610E3FA1" w14:textId="4B181E48" w:rsidR="00F00194" w:rsidRPr="00C41AA8" w:rsidRDefault="00F00194" w:rsidP="004F53C3">
            <w:pPr>
              <w:pStyle w:val="Tablea"/>
            </w:pPr>
            <w:r w:rsidRPr="00C41AA8">
              <w:t>(d) surrounded by the</w:t>
            </w:r>
            <w:r w:rsidR="00D262B4" w:rsidRPr="00C41AA8">
              <w:t xml:space="preserve"> crescent shape, the following:</w:t>
            </w:r>
          </w:p>
          <w:p w14:paraId="7AABEEC8" w14:textId="67A8ECDD" w:rsidR="00F00194" w:rsidRPr="00C41AA8" w:rsidRDefault="00F00194" w:rsidP="004F53C3">
            <w:pPr>
              <w:pStyle w:val="Tablei"/>
              <w:rPr>
                <w:rFonts w:eastAsia="MS Gothic"/>
              </w:rPr>
            </w:pPr>
            <w:r w:rsidRPr="00C41AA8">
              <w:t>(i) the Chinese language character  (</w:t>
            </w:r>
            <w:r w:rsidR="00076859" w:rsidRPr="00C41AA8">
              <w:rPr>
                <w:rFonts w:eastAsia="MS Mincho" w:hint="eastAsia"/>
              </w:rPr>
              <w:t>牛</w:t>
            </w:r>
            <w:r w:rsidRPr="00C41AA8">
              <w:rPr>
                <w:rFonts w:eastAsia="MS Gothic"/>
              </w:rPr>
              <w:t xml:space="preserve">), pronounced </w:t>
            </w:r>
            <w:r w:rsidRPr="00C41AA8">
              <w:rPr>
                <w:rFonts w:eastAsia="MS Gothic"/>
                <w:i/>
              </w:rPr>
              <w:t>niú</w:t>
            </w:r>
            <w:r w:rsidRPr="00C41AA8">
              <w:rPr>
                <w:rFonts w:eastAsia="MS Gothic"/>
              </w:rPr>
              <w:t xml:space="preserve"> under the Pinyin system and meaning o</w:t>
            </w:r>
            <w:r w:rsidR="00D262B4" w:rsidRPr="00C41AA8">
              <w:rPr>
                <w:rFonts w:eastAsia="MS Gothic"/>
              </w:rPr>
              <w:t>x; and</w:t>
            </w:r>
          </w:p>
          <w:p w14:paraId="7D270960" w14:textId="13B8DE72" w:rsidR="002B0CA8" w:rsidRPr="00C41AA8" w:rsidRDefault="00D262B4" w:rsidP="004F53C3">
            <w:pPr>
              <w:pStyle w:val="Tablei"/>
              <w:rPr>
                <w:rFonts w:eastAsia="MS Gothic"/>
              </w:rPr>
            </w:pPr>
            <w:r w:rsidRPr="00C41AA8">
              <w:rPr>
                <w:rFonts w:eastAsia="MS Gothic"/>
              </w:rPr>
              <w:t>(ii) “YEAR</w:t>
            </w:r>
            <w:r w:rsidR="002B0CA8" w:rsidRPr="00C41AA8">
              <w:rPr>
                <w:rFonts w:eastAsia="MS Gothic"/>
              </w:rPr>
              <w:t>”; and</w:t>
            </w:r>
          </w:p>
          <w:p w14:paraId="78CF50F9" w14:textId="55D76AF1" w:rsidR="002B0CA8" w:rsidRPr="00C41AA8" w:rsidRDefault="002B0CA8" w:rsidP="004F53C3">
            <w:pPr>
              <w:pStyle w:val="Tablei"/>
              <w:rPr>
                <w:rFonts w:eastAsia="MS Gothic"/>
              </w:rPr>
            </w:pPr>
            <w:r w:rsidRPr="00C41AA8">
              <w:rPr>
                <w:rFonts w:eastAsia="MS Gothic"/>
              </w:rPr>
              <w:t>(iii) “</w:t>
            </w:r>
            <w:r w:rsidR="00D262B4" w:rsidRPr="00C41AA8">
              <w:rPr>
                <w:rFonts w:eastAsia="MS Gothic"/>
              </w:rPr>
              <w:t>OF</w:t>
            </w:r>
            <w:r w:rsidRPr="00C41AA8">
              <w:rPr>
                <w:rFonts w:eastAsia="MS Gothic"/>
              </w:rPr>
              <w:t>”; and</w:t>
            </w:r>
          </w:p>
          <w:p w14:paraId="205EEA45" w14:textId="3A64169A" w:rsidR="002B0CA8" w:rsidRPr="00C41AA8" w:rsidRDefault="002B0CA8" w:rsidP="004F53C3">
            <w:pPr>
              <w:pStyle w:val="Tablei"/>
              <w:rPr>
                <w:rFonts w:eastAsia="MS Gothic"/>
              </w:rPr>
            </w:pPr>
            <w:r w:rsidRPr="00C41AA8">
              <w:rPr>
                <w:rFonts w:eastAsia="MS Gothic"/>
              </w:rPr>
              <w:t>(iv) “</w:t>
            </w:r>
            <w:r w:rsidR="00D262B4" w:rsidRPr="00C41AA8">
              <w:rPr>
                <w:rFonts w:eastAsia="MS Gothic"/>
              </w:rPr>
              <w:t>THE</w:t>
            </w:r>
            <w:r w:rsidRPr="00C41AA8">
              <w:rPr>
                <w:rFonts w:eastAsia="MS Gothic"/>
              </w:rPr>
              <w:t>”; and</w:t>
            </w:r>
          </w:p>
          <w:p w14:paraId="30F4730E" w14:textId="4B147252" w:rsidR="00F00194" w:rsidRPr="00C41AA8" w:rsidRDefault="002B0CA8" w:rsidP="004F53C3">
            <w:pPr>
              <w:pStyle w:val="Tablei"/>
              <w:rPr>
                <w:rFonts w:eastAsia="MS Gothic"/>
              </w:rPr>
            </w:pPr>
            <w:r w:rsidRPr="00C41AA8">
              <w:rPr>
                <w:rFonts w:eastAsia="MS Gothic"/>
              </w:rPr>
              <w:t>(v) “</w:t>
            </w:r>
            <w:r w:rsidR="00D262B4" w:rsidRPr="00C41AA8">
              <w:rPr>
                <w:rFonts w:eastAsia="MS Gothic"/>
              </w:rPr>
              <w:t>OX”; and</w:t>
            </w:r>
          </w:p>
          <w:p w14:paraId="78F55023" w14:textId="117DBAA6" w:rsidR="00F00194" w:rsidRPr="00C41AA8" w:rsidRDefault="00D262B4" w:rsidP="008E4857">
            <w:pPr>
              <w:pStyle w:val="Tablei"/>
            </w:pPr>
            <w:r w:rsidRPr="00C41AA8">
              <w:rPr>
                <w:rFonts w:eastAsia="MS Gothic"/>
              </w:rPr>
              <w:t>(</w:t>
            </w:r>
            <w:r w:rsidR="008E4857" w:rsidRPr="00C41AA8">
              <w:rPr>
                <w:rFonts w:eastAsia="MS Gothic"/>
              </w:rPr>
              <w:t>v</w:t>
            </w:r>
            <w:r w:rsidRPr="00C41AA8">
              <w:rPr>
                <w:rFonts w:eastAsia="MS Gothic"/>
              </w:rPr>
              <w:t>i) “BK”.</w:t>
            </w:r>
          </w:p>
        </w:tc>
      </w:tr>
      <w:tr w:rsidR="007D2FAD" w:rsidRPr="00C41AA8" w14:paraId="24BE8FEC" w14:textId="77777777" w:rsidTr="00D753F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CB5BD4D" w14:textId="42BB60A3" w:rsidR="007D2FAD" w:rsidRPr="00C41AA8" w:rsidRDefault="007D2FAD" w:rsidP="007D2FAD">
            <w:pPr>
              <w:pStyle w:val="Tabletext"/>
            </w:pPr>
            <w:r w:rsidRPr="00C41AA8">
              <w:t>129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32C0E63" w14:textId="45242887" w:rsidR="007D2FAD" w:rsidRPr="00C41AA8" w:rsidRDefault="007D2FAD" w:rsidP="007D2FAD">
            <w:pPr>
              <w:pStyle w:val="Tabletext"/>
            </w:pPr>
            <w:r w:rsidRPr="00C41AA8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C30B686" w14:textId="35F18B4E" w:rsidR="007D2FAD" w:rsidRPr="00C41AA8" w:rsidRDefault="007D2FAD" w:rsidP="00E75652">
            <w:pPr>
              <w:pStyle w:val="Tabletext"/>
            </w:pPr>
            <w:r w:rsidRPr="00C41AA8">
              <w:t>R</w:t>
            </w:r>
            <w:r w:rsidR="00E75652" w:rsidRPr="00C41AA8">
              <w:t>30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BE051F7" w14:textId="2850B81E" w:rsidR="007D2FAD" w:rsidRPr="00C41AA8" w:rsidRDefault="007D2FAD" w:rsidP="008E4857">
            <w:pPr>
              <w:pStyle w:val="Tabletext"/>
            </w:pPr>
            <w:r w:rsidRPr="00C41AA8">
              <w:t xml:space="preserve">The same as for item 128, </w:t>
            </w:r>
            <w:r w:rsidR="00A42238" w:rsidRPr="00C41AA8">
              <w:t>with the following inserted at the end of paragraph (d):</w:t>
            </w:r>
          </w:p>
          <w:p w14:paraId="4B4D68C2" w14:textId="5125C818" w:rsidR="008E4857" w:rsidRPr="00C41AA8" w:rsidRDefault="008E4857" w:rsidP="00A42238">
            <w:pPr>
              <w:pStyle w:val="Tablei"/>
              <w:rPr>
                <w:rFonts w:eastAsia="MS Gothic"/>
              </w:rPr>
            </w:pPr>
            <w:r w:rsidRPr="00C41AA8">
              <w:rPr>
                <w:rFonts w:eastAsia="MS Gothic"/>
              </w:rPr>
              <w:t>; and</w:t>
            </w:r>
          </w:p>
          <w:p w14:paraId="43D6DBE4" w14:textId="4AEEF28A" w:rsidR="007D2FAD" w:rsidRPr="00C41AA8" w:rsidRDefault="007D2FAD" w:rsidP="00A275E2">
            <w:pPr>
              <w:pStyle w:val="Tablei"/>
              <w:rPr>
                <w:rFonts w:eastAsia="MS Gothic"/>
              </w:rPr>
            </w:pPr>
            <w:r w:rsidRPr="00C41AA8">
              <w:rPr>
                <w:rFonts w:eastAsia="MS Gothic"/>
              </w:rPr>
              <w:t>(</w:t>
            </w:r>
            <w:r w:rsidR="008E4857" w:rsidRPr="00C41AA8">
              <w:rPr>
                <w:rFonts w:eastAsia="MS Gothic"/>
              </w:rPr>
              <w:t>vii</w:t>
            </w:r>
            <w:r w:rsidRPr="00C41AA8">
              <w:rPr>
                <w:rFonts w:eastAsia="MS Gothic"/>
              </w:rPr>
              <w:t>) “X</w:t>
            </w:r>
            <w:r w:rsidR="008E4857" w:rsidRPr="00C41AA8">
              <w:rPr>
                <w:rFonts w:eastAsia="MS Gothic"/>
              </w:rPr>
              <w:t xml:space="preserve"> </w:t>
            </w:r>
            <w:r w:rsidRPr="00C41AA8">
              <w:rPr>
                <w:rFonts w:eastAsia="MS Gothic"/>
              </w:rPr>
              <w:t>oz .999 Ag” (where “X” is the nominal weight in ounces of the coin, expressed as a whole number or common fraction in Arabic nu</w:t>
            </w:r>
            <w:r w:rsidR="00300744" w:rsidRPr="00C41AA8">
              <w:rPr>
                <w:rFonts w:eastAsia="MS Gothic"/>
              </w:rPr>
              <w:t>merals)</w:t>
            </w:r>
            <w:r w:rsidR="00A275E2" w:rsidRPr="00C41AA8">
              <w:rPr>
                <w:rFonts w:eastAsia="MS Gothic"/>
              </w:rPr>
              <w:t>.</w:t>
            </w:r>
          </w:p>
        </w:tc>
      </w:tr>
      <w:tr w:rsidR="007D2FAD" w:rsidRPr="00C41AA8" w14:paraId="71F88334" w14:textId="77777777" w:rsidTr="00D753F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1C50C5A" w14:textId="529348D0" w:rsidR="007D2FAD" w:rsidRPr="00C41AA8" w:rsidRDefault="007D2FAD" w:rsidP="007D2FAD">
            <w:pPr>
              <w:pStyle w:val="Tabletext"/>
            </w:pPr>
            <w:r w:rsidRPr="00C41AA8">
              <w:t>130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F777B62" w14:textId="7383FE20" w:rsidR="007D2FAD" w:rsidRPr="00C41AA8" w:rsidRDefault="007D2FAD" w:rsidP="007D2FAD">
            <w:pPr>
              <w:pStyle w:val="Tabletext"/>
            </w:pPr>
            <w:r w:rsidRPr="00C41AA8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5C562A1" w14:textId="36AE3E8A" w:rsidR="007D2FAD" w:rsidRPr="00C41AA8" w:rsidRDefault="007D2FAD" w:rsidP="00124F1B">
            <w:pPr>
              <w:pStyle w:val="Tabletext"/>
            </w:pPr>
            <w:r w:rsidRPr="00C41AA8">
              <w:t>R3</w:t>
            </w:r>
            <w:r w:rsidR="00124F1B" w:rsidRPr="00C41AA8">
              <w:t>1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3B5BBC1" w14:textId="77777777" w:rsidR="00A275E2" w:rsidRPr="00C41AA8" w:rsidRDefault="00A275E2" w:rsidP="00A275E2">
            <w:pPr>
              <w:pStyle w:val="Tabletext"/>
            </w:pPr>
            <w:r w:rsidRPr="00C41AA8">
              <w:t>The same as for item 128, with the following inserted at the end of paragraph (d):</w:t>
            </w:r>
          </w:p>
          <w:p w14:paraId="0DF09D6E" w14:textId="77777777" w:rsidR="00A275E2" w:rsidRPr="00C41AA8" w:rsidRDefault="00A275E2" w:rsidP="00A275E2">
            <w:pPr>
              <w:pStyle w:val="Tablei"/>
              <w:rPr>
                <w:rFonts w:eastAsia="MS Gothic"/>
              </w:rPr>
            </w:pPr>
            <w:r w:rsidRPr="00C41AA8">
              <w:rPr>
                <w:rFonts w:eastAsia="MS Gothic"/>
              </w:rPr>
              <w:t>; and</w:t>
            </w:r>
          </w:p>
          <w:p w14:paraId="206586FE" w14:textId="3879BE9D" w:rsidR="007D2FAD" w:rsidRPr="00C41AA8" w:rsidRDefault="00A275E2" w:rsidP="00A275E2">
            <w:pPr>
              <w:pStyle w:val="Tablei"/>
            </w:pPr>
            <w:r w:rsidRPr="00C41AA8">
              <w:rPr>
                <w:rFonts w:eastAsia="MS Gothic"/>
              </w:rPr>
              <w:t>(vii) “X oz</w:t>
            </w:r>
            <w:r w:rsidR="00CE210B" w:rsidRPr="00C41AA8">
              <w:rPr>
                <w:rFonts w:eastAsia="MS Gothic"/>
              </w:rPr>
              <w:t xml:space="preserve"> .9999 Au</w:t>
            </w:r>
            <w:r w:rsidRPr="00C41AA8">
              <w:rPr>
                <w:rFonts w:eastAsia="MS Gothic"/>
              </w:rPr>
              <w:t>” (where “X” is the nominal weight in ounces of the coin, expressed as a whole number or common fraction in Arabic numerals).</w:t>
            </w:r>
          </w:p>
        </w:tc>
      </w:tr>
      <w:tr w:rsidR="007D2FAD" w:rsidRPr="00C41AA8" w14:paraId="27242A81" w14:textId="77777777" w:rsidTr="00D753F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7F39054" w14:textId="42D17845" w:rsidR="007D2FAD" w:rsidRPr="00C41AA8" w:rsidRDefault="007D2FAD" w:rsidP="007D2FAD">
            <w:pPr>
              <w:pStyle w:val="Tabletext"/>
            </w:pPr>
            <w:r w:rsidRPr="00C41AA8">
              <w:t>131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5F4BC4E" w14:textId="4A64F7AA" w:rsidR="007D2FAD" w:rsidRPr="00C41AA8" w:rsidRDefault="007D2FAD" w:rsidP="007D2FAD">
            <w:pPr>
              <w:pStyle w:val="Tabletext"/>
            </w:pPr>
            <w:r w:rsidRPr="00C41AA8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8E8FBB6" w14:textId="597A32A9" w:rsidR="007D2FAD" w:rsidRPr="00C41AA8" w:rsidRDefault="00A14C28" w:rsidP="007D2FAD">
            <w:pPr>
              <w:pStyle w:val="Tabletext"/>
            </w:pPr>
            <w:r w:rsidRPr="00C41AA8">
              <w:t>R32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3B28462" w14:textId="42C7C827" w:rsidR="007D2FAD" w:rsidRPr="00C41AA8" w:rsidRDefault="00A14C28" w:rsidP="007D2FAD">
            <w:pPr>
              <w:pStyle w:val="Tabletext"/>
            </w:pPr>
            <w:r w:rsidRPr="00C41AA8">
              <w:t>A design consisting of:</w:t>
            </w:r>
          </w:p>
          <w:p w14:paraId="528D92CB" w14:textId="62FA87B0" w:rsidR="007D2FAD" w:rsidRPr="00C41AA8" w:rsidRDefault="007D2FAD" w:rsidP="00365676">
            <w:pPr>
              <w:pStyle w:val="Tablea"/>
            </w:pPr>
            <w:r w:rsidRPr="00C41AA8">
              <w:t>(a) a colour</w:t>
            </w:r>
            <w:r w:rsidR="00505646" w:rsidRPr="00C41AA8">
              <w:t>ed</w:t>
            </w:r>
            <w:r w:rsidRPr="00C41AA8">
              <w:t xml:space="preserve"> </w:t>
            </w:r>
            <w:r w:rsidR="00505646" w:rsidRPr="00C41AA8">
              <w:t>representation</w:t>
            </w:r>
            <w:r w:rsidRPr="00C41AA8">
              <w:t xml:space="preserve"> of a section of </w:t>
            </w:r>
            <w:r w:rsidR="00505646" w:rsidRPr="00C41AA8">
              <w:t xml:space="preserve">the artwork </w:t>
            </w:r>
            <w:r w:rsidRPr="00C41AA8">
              <w:rPr>
                <w:i/>
              </w:rPr>
              <w:t>Seven Jijas (sisters)</w:t>
            </w:r>
            <w:r w:rsidRPr="00C41AA8">
              <w:t xml:space="preserve"> by Wajarri</w:t>
            </w:r>
            <w:r w:rsidR="00505646" w:rsidRPr="00C41AA8">
              <w:noBreakHyphen/>
            </w:r>
            <w:r w:rsidRPr="00C41AA8">
              <w:t>Noongar artist C</w:t>
            </w:r>
            <w:r w:rsidR="00A14C28" w:rsidRPr="00C41AA8">
              <w:t>hristine ‘Jugarnu’ Collard; and</w:t>
            </w:r>
          </w:p>
          <w:p w14:paraId="1C4564DE" w14:textId="65CD3111" w:rsidR="007D2FAD" w:rsidRPr="00C41AA8" w:rsidRDefault="007D2FAD" w:rsidP="00365676">
            <w:pPr>
              <w:pStyle w:val="Tablea"/>
            </w:pPr>
            <w:r w:rsidRPr="00C41AA8">
              <w:t>(b) outside the colour</w:t>
            </w:r>
            <w:r w:rsidR="00505646" w:rsidRPr="00C41AA8">
              <w:t>ed</w:t>
            </w:r>
            <w:r w:rsidRPr="00C41AA8">
              <w:t xml:space="preserve"> </w:t>
            </w:r>
            <w:r w:rsidR="00505646" w:rsidRPr="00C41AA8">
              <w:t>representation</w:t>
            </w:r>
            <w:r w:rsidRPr="00C41AA8">
              <w:t>, in the bac</w:t>
            </w:r>
            <w:r w:rsidR="00A14C28" w:rsidRPr="00C41AA8">
              <w:t>kground, five curved lines; and</w:t>
            </w:r>
          </w:p>
          <w:p w14:paraId="2D3B5A70" w14:textId="1772563F" w:rsidR="007D2FAD" w:rsidRPr="00C41AA8" w:rsidRDefault="007D2FAD" w:rsidP="00365676">
            <w:pPr>
              <w:pStyle w:val="Tablea"/>
            </w:pPr>
            <w:r w:rsidRPr="00C41AA8">
              <w:t>(c) superimposed over the lines, representatio</w:t>
            </w:r>
            <w:r w:rsidR="00A14C28" w:rsidRPr="00C41AA8">
              <w:t>ns of seven female figures; and</w:t>
            </w:r>
          </w:p>
          <w:p w14:paraId="59094098" w14:textId="5D643980" w:rsidR="007D2FAD" w:rsidRPr="00C41AA8" w:rsidRDefault="00A14C28" w:rsidP="00365676">
            <w:pPr>
              <w:pStyle w:val="Tablea"/>
            </w:pPr>
            <w:r w:rsidRPr="00C41AA8">
              <w:t>(d) the following:</w:t>
            </w:r>
          </w:p>
          <w:p w14:paraId="52FFF31D" w14:textId="16B5FBCB" w:rsidR="007D2FAD" w:rsidRPr="00C41AA8" w:rsidRDefault="00A14C28" w:rsidP="00365676">
            <w:pPr>
              <w:pStyle w:val="Tablei"/>
            </w:pPr>
            <w:r w:rsidRPr="00C41AA8">
              <w:t>(i) “THE SEVEN SISTERS”; and</w:t>
            </w:r>
          </w:p>
          <w:p w14:paraId="1D0D6D3B" w14:textId="46E9FA7A" w:rsidR="007D2FAD" w:rsidRPr="00C41AA8" w:rsidRDefault="007D2FAD" w:rsidP="00365676">
            <w:pPr>
              <w:pStyle w:val="Tablei"/>
            </w:pPr>
            <w:r w:rsidRPr="00C41AA8">
              <w:t>(ii) “X</w:t>
            </w:r>
            <w:r w:rsidR="00505646" w:rsidRPr="00C41AA8">
              <w:t xml:space="preserve"> </w:t>
            </w:r>
            <w:r w:rsidRPr="00C41AA8">
              <w:t>oz .999 Ag” (where “X” is the nominal weight in ounces of the coin, expressed as a whole number or commo</w:t>
            </w:r>
            <w:r w:rsidR="00A14C28" w:rsidRPr="00C41AA8">
              <w:t>n fraction in Arabic numerals).</w:t>
            </w:r>
          </w:p>
        </w:tc>
      </w:tr>
      <w:tr w:rsidR="007D2FAD" w:rsidRPr="00C41AA8" w14:paraId="7CD33258" w14:textId="77777777" w:rsidTr="00D753F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0510E73" w14:textId="5E4A1B8C" w:rsidR="007D2FAD" w:rsidRPr="00C41AA8" w:rsidRDefault="007D2FAD" w:rsidP="007D2FAD">
            <w:pPr>
              <w:pStyle w:val="Tabletext"/>
            </w:pPr>
            <w:r w:rsidRPr="00C41AA8">
              <w:t>132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0A41A50" w14:textId="6F5F044C" w:rsidR="007D2FAD" w:rsidRPr="00C41AA8" w:rsidRDefault="007D2FAD" w:rsidP="007D2FAD">
            <w:pPr>
              <w:pStyle w:val="Tabletext"/>
            </w:pPr>
            <w:r w:rsidRPr="00C41AA8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2921BF2" w14:textId="2AA249C4" w:rsidR="007D2FAD" w:rsidRPr="00C41AA8" w:rsidRDefault="007D2FAD" w:rsidP="00CA511A">
            <w:pPr>
              <w:pStyle w:val="Tabletext"/>
            </w:pPr>
            <w:r w:rsidRPr="00C41AA8">
              <w:t>R3</w:t>
            </w:r>
            <w:r w:rsidR="00CA511A" w:rsidRPr="00C41AA8">
              <w:t>3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592D4F3" w14:textId="77777777" w:rsidR="007D2FAD" w:rsidRPr="00C41AA8" w:rsidRDefault="007D2FAD" w:rsidP="007D2FAD">
            <w:pPr>
              <w:pStyle w:val="Tabletext"/>
            </w:pPr>
            <w:r w:rsidRPr="00C41AA8">
              <w:t>A design consisting of:</w:t>
            </w:r>
          </w:p>
          <w:p w14:paraId="0D003038" w14:textId="6545836F" w:rsidR="007D2FAD" w:rsidRPr="00C41AA8" w:rsidRDefault="00CA511A" w:rsidP="00E94D06">
            <w:pPr>
              <w:pStyle w:val="Tablea"/>
            </w:pPr>
            <w:r w:rsidRPr="00C41AA8">
              <w:t>(a) a central circle; and</w:t>
            </w:r>
          </w:p>
          <w:p w14:paraId="5B4681D3" w14:textId="0CD1171A" w:rsidR="007D2FAD" w:rsidRPr="00C41AA8" w:rsidRDefault="007D2FAD" w:rsidP="00E94D06">
            <w:pPr>
              <w:pStyle w:val="Tablea"/>
            </w:pPr>
            <w:r w:rsidRPr="00C41AA8">
              <w:t xml:space="preserve">(b) partially obscuring the central circle, </w:t>
            </w:r>
            <w:r w:rsidR="00CA511A" w:rsidRPr="00C41AA8">
              <w:t xml:space="preserve">stylised </w:t>
            </w:r>
            <w:r w:rsidRPr="00C41AA8">
              <w:t>lightning bolts emanati</w:t>
            </w:r>
            <w:r w:rsidR="00CA511A" w:rsidRPr="00C41AA8">
              <w:t>ng from the central circle; and</w:t>
            </w:r>
          </w:p>
          <w:p w14:paraId="3AEF5F4F" w14:textId="03466E4B" w:rsidR="007D2FAD" w:rsidRPr="00C41AA8" w:rsidRDefault="007D2FAD" w:rsidP="00E94D06">
            <w:pPr>
              <w:pStyle w:val="Tablea"/>
            </w:pPr>
            <w:r w:rsidRPr="00C41AA8">
              <w:lastRenderedPageBreak/>
              <w:t xml:space="preserve">(c) partially obscuring the central circle, a </w:t>
            </w:r>
            <w:r w:rsidR="00CA511A" w:rsidRPr="00C41AA8">
              <w:t xml:space="preserve">representation of a </w:t>
            </w:r>
            <w:r w:rsidRPr="00C41AA8">
              <w:t>parrot, a canon, a man playing a guitar, barbed</w:t>
            </w:r>
            <w:r w:rsidR="00CA511A" w:rsidRPr="00C41AA8">
              <w:t xml:space="preserve"> wire, and a plank of wood; and</w:t>
            </w:r>
          </w:p>
          <w:p w14:paraId="0C282382" w14:textId="6C6326B3" w:rsidR="007D2FAD" w:rsidRPr="00C41AA8" w:rsidRDefault="007D2FAD" w:rsidP="00E94D06">
            <w:pPr>
              <w:pStyle w:val="Tablea"/>
            </w:pPr>
            <w:r w:rsidRPr="00C41AA8">
              <w:t xml:space="preserve">(d) in the background, a pattern of fine concentric circles representing the grooves on a </w:t>
            </w:r>
            <w:r w:rsidR="00CA511A" w:rsidRPr="00C41AA8">
              <w:t xml:space="preserve">vinyl </w:t>
            </w:r>
            <w:r w:rsidR="00403ED6" w:rsidRPr="00C41AA8">
              <w:t>record; and</w:t>
            </w:r>
          </w:p>
          <w:p w14:paraId="2A46E530" w14:textId="07FE8821" w:rsidR="007D2FAD" w:rsidRPr="00C41AA8" w:rsidRDefault="00403ED6" w:rsidP="00E94D06">
            <w:pPr>
              <w:pStyle w:val="Tablea"/>
            </w:pPr>
            <w:r w:rsidRPr="00C41AA8">
              <w:t xml:space="preserve">(e) </w:t>
            </w:r>
            <w:r w:rsidR="00024301" w:rsidRPr="00C41AA8">
              <w:t xml:space="preserve">superimposed over the central circle, </w:t>
            </w:r>
            <w:r w:rsidRPr="00C41AA8">
              <w:t>the logo of the music rock band AC/DC.</w:t>
            </w:r>
          </w:p>
        </w:tc>
      </w:tr>
      <w:tr w:rsidR="007D2FAD" w:rsidRPr="00C41AA8" w14:paraId="1DAA058B" w14:textId="77777777" w:rsidTr="00D753F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E0B0806" w14:textId="4E99CEA9" w:rsidR="007D2FAD" w:rsidRPr="00C41AA8" w:rsidRDefault="007D2FAD" w:rsidP="007D2FAD">
            <w:pPr>
              <w:pStyle w:val="Tabletext"/>
            </w:pPr>
            <w:r w:rsidRPr="00C41AA8">
              <w:lastRenderedPageBreak/>
              <w:t>133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83F8E18" w14:textId="2C2D01FB" w:rsidR="007D2FAD" w:rsidRPr="00C41AA8" w:rsidRDefault="007D2FAD" w:rsidP="007D2FAD">
            <w:pPr>
              <w:pStyle w:val="Tabletext"/>
            </w:pPr>
            <w:r w:rsidRPr="00C41AA8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93B063D" w14:textId="7B799BB2" w:rsidR="007D2FAD" w:rsidRPr="00C41AA8" w:rsidRDefault="00A048C6" w:rsidP="007D2FAD">
            <w:pPr>
              <w:pStyle w:val="Tabletext"/>
            </w:pPr>
            <w:r w:rsidRPr="00C41AA8">
              <w:t>R34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F037FAD" w14:textId="1F4420D9" w:rsidR="007D2FAD" w:rsidRPr="00C41AA8" w:rsidRDefault="002D02CF" w:rsidP="007D2FAD">
            <w:pPr>
              <w:pStyle w:val="Tabletext"/>
            </w:pPr>
            <w:r w:rsidRPr="00C41AA8">
              <w:t>A design consisting of:</w:t>
            </w:r>
          </w:p>
          <w:p w14:paraId="6445DFDF" w14:textId="6EDE839D" w:rsidR="007D2FAD" w:rsidRPr="00C41AA8" w:rsidRDefault="007D2FAD" w:rsidP="00BA5B5F">
            <w:pPr>
              <w:pStyle w:val="Tablea"/>
            </w:pPr>
            <w:r w:rsidRPr="00C41AA8">
              <w:t xml:space="preserve">(a) a central circle enclosing a design based on the cover art of the </w:t>
            </w:r>
            <w:r w:rsidR="002503E0" w:rsidRPr="00C41AA8">
              <w:t xml:space="preserve">1975 </w:t>
            </w:r>
            <w:r w:rsidRPr="00C41AA8">
              <w:t xml:space="preserve">Australian release of </w:t>
            </w:r>
            <w:r w:rsidR="009D535E" w:rsidRPr="00C41AA8">
              <w:t xml:space="preserve">music rock band AC/DC’s album </w:t>
            </w:r>
            <w:r w:rsidRPr="00C41AA8">
              <w:rPr>
                <w:i/>
              </w:rPr>
              <w:t>High Voltage</w:t>
            </w:r>
            <w:r w:rsidR="002D02CF" w:rsidRPr="00C41AA8">
              <w:t>; and</w:t>
            </w:r>
          </w:p>
          <w:p w14:paraId="67AA478D" w14:textId="4C6B81C0" w:rsidR="007D2FAD" w:rsidRPr="00C41AA8" w:rsidRDefault="007D2FAD" w:rsidP="00BA5B5F">
            <w:pPr>
              <w:pStyle w:val="Tablea"/>
            </w:pPr>
            <w:r w:rsidRPr="00C41AA8">
              <w:t xml:space="preserve">(b) surrounding the central circle, a black ring printed </w:t>
            </w:r>
            <w:r w:rsidR="00E45FB0" w:rsidRPr="00C41AA8">
              <w:t>over</w:t>
            </w:r>
            <w:r w:rsidR="002D02CF" w:rsidRPr="00C41AA8">
              <w:t xml:space="preserve"> fine, concentric </w:t>
            </w:r>
            <w:r w:rsidR="002503E0" w:rsidRPr="00C41AA8">
              <w:t>circles representing the grooves on a vinyl record</w:t>
            </w:r>
            <w:r w:rsidR="002D02CF" w:rsidRPr="00C41AA8">
              <w:t>; and</w:t>
            </w:r>
          </w:p>
          <w:p w14:paraId="0A87C863" w14:textId="5FEA4567" w:rsidR="007D2FAD" w:rsidRPr="00C41AA8" w:rsidRDefault="002D02CF" w:rsidP="00BA5B5F">
            <w:pPr>
              <w:pStyle w:val="Tablea"/>
            </w:pPr>
            <w:r w:rsidRPr="00C41AA8">
              <w:t>(c) the following:</w:t>
            </w:r>
          </w:p>
          <w:p w14:paraId="586B0BA1" w14:textId="10F25F92" w:rsidR="007D2FAD" w:rsidRPr="00C41AA8" w:rsidRDefault="007D2FAD" w:rsidP="00CA3AF6">
            <w:pPr>
              <w:pStyle w:val="Tablei"/>
            </w:pPr>
            <w:r w:rsidRPr="00C41AA8">
              <w:t>(i) “45</w:t>
            </w:r>
            <w:r w:rsidR="00CA3AF6" w:rsidRPr="00C41AA8">
              <w:rPr>
                <w:vertAlign w:val="superscript"/>
              </w:rPr>
              <w:t>th</w:t>
            </w:r>
            <w:r w:rsidR="00CA3AF6" w:rsidRPr="00C41AA8">
              <w:t xml:space="preserve"> </w:t>
            </w:r>
            <w:r w:rsidRPr="00C41AA8">
              <w:t>ANNI</w:t>
            </w:r>
            <w:r w:rsidR="002D02CF" w:rsidRPr="00C41AA8">
              <w:t>VERSARY OF HIGH VOLTAGE ALBUM”.</w:t>
            </w:r>
          </w:p>
        </w:tc>
      </w:tr>
      <w:tr w:rsidR="007D2FAD" w:rsidRPr="00C41AA8" w14:paraId="3612E53A" w14:textId="77777777" w:rsidTr="00D753F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9DAA93A" w14:textId="4D362243" w:rsidR="007D2FAD" w:rsidRPr="00C41AA8" w:rsidRDefault="007D2FAD" w:rsidP="007D2FAD">
            <w:pPr>
              <w:pStyle w:val="Tabletext"/>
            </w:pPr>
            <w:r w:rsidRPr="00C41AA8">
              <w:t>134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49B0A95" w14:textId="481FB20C" w:rsidR="007D2FAD" w:rsidRPr="00C41AA8" w:rsidRDefault="007D2FAD" w:rsidP="007D2FAD">
            <w:pPr>
              <w:pStyle w:val="Tabletext"/>
            </w:pPr>
            <w:r w:rsidRPr="00C41AA8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AF1E15A" w14:textId="473E62A7" w:rsidR="007D2FAD" w:rsidRPr="00C41AA8" w:rsidRDefault="007D2FAD" w:rsidP="00303CCF">
            <w:pPr>
              <w:pStyle w:val="Tabletext"/>
            </w:pPr>
            <w:r w:rsidRPr="00C41AA8">
              <w:t>R3</w:t>
            </w:r>
            <w:r w:rsidR="00303CCF" w:rsidRPr="00C41AA8">
              <w:t>5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1578632" w14:textId="700BE778" w:rsidR="007D2FAD" w:rsidRPr="00C41AA8" w:rsidRDefault="007D2FAD" w:rsidP="007D2FAD">
            <w:pPr>
              <w:pStyle w:val="Tabletext"/>
            </w:pPr>
            <w:r w:rsidRPr="00C41AA8">
              <w:t>A</w:t>
            </w:r>
            <w:r w:rsidR="00303CCF" w:rsidRPr="00C41AA8">
              <w:t xml:space="preserve"> design consisting of:</w:t>
            </w:r>
          </w:p>
          <w:p w14:paraId="45C42BEB" w14:textId="2A3F2ED1" w:rsidR="007D2FAD" w:rsidRPr="00C41AA8" w:rsidRDefault="007D2FAD" w:rsidP="00212343">
            <w:pPr>
              <w:pStyle w:val="Tablea"/>
            </w:pPr>
            <w:r w:rsidRPr="00C41AA8">
              <w:t xml:space="preserve">(a) a central circle enclosing a design based on the cover art of the </w:t>
            </w:r>
            <w:r w:rsidR="008964F6" w:rsidRPr="00C41AA8">
              <w:t xml:space="preserve">1975 </w:t>
            </w:r>
            <w:r w:rsidRPr="00C41AA8">
              <w:t xml:space="preserve">Australian release of </w:t>
            </w:r>
            <w:r w:rsidR="008964F6" w:rsidRPr="00C41AA8">
              <w:t xml:space="preserve">music rock band AC/DC’s album </w:t>
            </w:r>
            <w:r w:rsidRPr="00C41AA8">
              <w:rPr>
                <w:i/>
              </w:rPr>
              <w:t>T.N.T</w:t>
            </w:r>
            <w:r w:rsidR="00303CCF" w:rsidRPr="00C41AA8">
              <w:t>; and</w:t>
            </w:r>
          </w:p>
          <w:p w14:paraId="79795541" w14:textId="5211CF7B" w:rsidR="00212343" w:rsidRPr="00C41AA8" w:rsidRDefault="00212343" w:rsidP="00212343">
            <w:pPr>
              <w:pStyle w:val="Tablea"/>
            </w:pPr>
            <w:r w:rsidRPr="00C41AA8">
              <w:t xml:space="preserve">(b) surrounding the central circle, a black ring printed </w:t>
            </w:r>
            <w:r w:rsidR="00E45FB0" w:rsidRPr="00C41AA8">
              <w:t>over</w:t>
            </w:r>
            <w:r w:rsidRPr="00C41AA8">
              <w:t xml:space="preserve"> fine, concentric circles representing the grooves on a vinyl record; and</w:t>
            </w:r>
          </w:p>
          <w:p w14:paraId="4F8AC5A2" w14:textId="48477179" w:rsidR="007D2FAD" w:rsidRPr="00C41AA8" w:rsidRDefault="00303CCF" w:rsidP="00212343">
            <w:pPr>
              <w:pStyle w:val="Tablea"/>
            </w:pPr>
            <w:r w:rsidRPr="00C41AA8">
              <w:t>(c) the following:</w:t>
            </w:r>
          </w:p>
          <w:p w14:paraId="0C5F10C4" w14:textId="4BEED3CB" w:rsidR="007D2FAD" w:rsidRPr="00C41AA8" w:rsidRDefault="007D2FAD" w:rsidP="00CA3AF6">
            <w:pPr>
              <w:pStyle w:val="Tablei"/>
            </w:pPr>
            <w:r w:rsidRPr="00C41AA8">
              <w:t>(i) “45</w:t>
            </w:r>
            <w:r w:rsidR="00CA3AF6" w:rsidRPr="00C41AA8">
              <w:rPr>
                <w:vertAlign w:val="superscript"/>
              </w:rPr>
              <w:t>th</w:t>
            </w:r>
            <w:r w:rsidR="00CA3AF6" w:rsidRPr="00C41AA8">
              <w:t xml:space="preserve"> </w:t>
            </w:r>
            <w:r w:rsidR="00303CCF" w:rsidRPr="00C41AA8">
              <w:t>ANNIVERSARY OF T.N.T ALBUM”.</w:t>
            </w:r>
          </w:p>
        </w:tc>
      </w:tr>
      <w:tr w:rsidR="007D2FAD" w:rsidRPr="00C41AA8" w14:paraId="441FE25E" w14:textId="77777777" w:rsidTr="00D753F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A25B895" w14:textId="619A3CD3" w:rsidR="007D2FAD" w:rsidRPr="00C41AA8" w:rsidRDefault="007D2FAD" w:rsidP="007D2FAD">
            <w:pPr>
              <w:pStyle w:val="Tabletext"/>
            </w:pPr>
            <w:r w:rsidRPr="00C41AA8">
              <w:t>135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4270944" w14:textId="5AD57B79" w:rsidR="007D2FAD" w:rsidRPr="00C41AA8" w:rsidRDefault="007D2FAD" w:rsidP="007D2FAD">
            <w:pPr>
              <w:pStyle w:val="Tabletext"/>
            </w:pPr>
            <w:r w:rsidRPr="00C41AA8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89B4714" w14:textId="5B1E58B9" w:rsidR="007D2FAD" w:rsidRPr="00C41AA8" w:rsidRDefault="007D2FAD" w:rsidP="00440C07">
            <w:pPr>
              <w:pStyle w:val="Tabletext"/>
            </w:pPr>
            <w:r w:rsidRPr="00C41AA8">
              <w:t>R3</w:t>
            </w:r>
            <w:r w:rsidR="00440C07" w:rsidRPr="00C41AA8">
              <w:t>6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50378C7" w14:textId="3C2EC8D3" w:rsidR="007D2FAD" w:rsidRPr="00C41AA8" w:rsidRDefault="007D2FAD" w:rsidP="007D2FAD">
            <w:pPr>
              <w:pStyle w:val="Tabletext"/>
            </w:pPr>
            <w:r w:rsidRPr="00C41AA8">
              <w:t>A</w:t>
            </w:r>
            <w:r w:rsidR="00260823" w:rsidRPr="00C41AA8">
              <w:t xml:space="preserve"> design consisting of:</w:t>
            </w:r>
          </w:p>
          <w:p w14:paraId="313D34FF" w14:textId="3985A25E" w:rsidR="007D2FAD" w:rsidRPr="00C41AA8" w:rsidRDefault="007D2FAD" w:rsidP="00260823">
            <w:pPr>
              <w:pStyle w:val="Tablea"/>
            </w:pPr>
            <w:r w:rsidRPr="00C41AA8">
              <w:t xml:space="preserve">(a) a central circle enclosing a design based on the cover art of the </w:t>
            </w:r>
            <w:r w:rsidR="0053708F" w:rsidRPr="00C41AA8">
              <w:t xml:space="preserve">1980 </w:t>
            </w:r>
            <w:r w:rsidRPr="00C41AA8">
              <w:t xml:space="preserve">Australian release of </w:t>
            </w:r>
            <w:r w:rsidR="0053708F" w:rsidRPr="00C41AA8">
              <w:t xml:space="preserve">music rock band AC/DC’s album </w:t>
            </w:r>
            <w:r w:rsidRPr="00C41AA8">
              <w:rPr>
                <w:i/>
              </w:rPr>
              <w:t>Back in Black</w:t>
            </w:r>
            <w:r w:rsidR="00260823" w:rsidRPr="00C41AA8">
              <w:t>; and</w:t>
            </w:r>
          </w:p>
          <w:p w14:paraId="212E142C" w14:textId="77126492" w:rsidR="0053708F" w:rsidRPr="00C41AA8" w:rsidRDefault="0053708F" w:rsidP="0053708F">
            <w:pPr>
              <w:pStyle w:val="Tablea"/>
            </w:pPr>
            <w:r w:rsidRPr="00C41AA8">
              <w:t xml:space="preserve">(b) surrounding the central circle, a black ring printed </w:t>
            </w:r>
            <w:r w:rsidR="00E45FB0" w:rsidRPr="00C41AA8">
              <w:t>over</w:t>
            </w:r>
            <w:r w:rsidRPr="00C41AA8">
              <w:t xml:space="preserve"> fine, concentric circles representing the grooves on a vinyl record; and</w:t>
            </w:r>
          </w:p>
          <w:p w14:paraId="360A97A8" w14:textId="4A2BA58B" w:rsidR="007D2FAD" w:rsidRPr="00C41AA8" w:rsidRDefault="00260823" w:rsidP="0053708F">
            <w:pPr>
              <w:pStyle w:val="Tablea"/>
            </w:pPr>
            <w:r w:rsidRPr="00C41AA8">
              <w:t>(c) the following:</w:t>
            </w:r>
          </w:p>
          <w:p w14:paraId="680287C8" w14:textId="5F00A19D" w:rsidR="007D2FAD" w:rsidRPr="00C41AA8" w:rsidRDefault="007D2FAD" w:rsidP="00CA3AF6">
            <w:pPr>
              <w:pStyle w:val="Tablei"/>
            </w:pPr>
            <w:r w:rsidRPr="00C41AA8">
              <w:t>(i) “40</w:t>
            </w:r>
            <w:r w:rsidR="00CA3AF6" w:rsidRPr="00C41AA8">
              <w:rPr>
                <w:vertAlign w:val="superscript"/>
              </w:rPr>
              <w:t>th</w:t>
            </w:r>
            <w:r w:rsidR="00CA3AF6" w:rsidRPr="00C41AA8">
              <w:t xml:space="preserve"> </w:t>
            </w:r>
            <w:r w:rsidRPr="00C41AA8">
              <w:t>ANNIVERSARY OF BACK IN BLACK ALBUM”.</w:t>
            </w:r>
          </w:p>
        </w:tc>
      </w:tr>
      <w:tr w:rsidR="007D2FAD" w:rsidRPr="00C41AA8" w14:paraId="1AF2F0EB" w14:textId="77777777" w:rsidTr="00D753F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974FDFA" w14:textId="0CA5D834" w:rsidR="007D2FAD" w:rsidRPr="00C41AA8" w:rsidRDefault="007D2FAD" w:rsidP="007D2FAD">
            <w:pPr>
              <w:pStyle w:val="Tabletext"/>
            </w:pPr>
            <w:r w:rsidRPr="00C41AA8">
              <w:t>136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8404A4C" w14:textId="0418ABEC" w:rsidR="007D2FAD" w:rsidRPr="00C41AA8" w:rsidRDefault="007D2FAD" w:rsidP="007D2FAD">
            <w:pPr>
              <w:pStyle w:val="Tabletext"/>
            </w:pPr>
            <w:r w:rsidRPr="00C41AA8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56EFD5B" w14:textId="5A585660" w:rsidR="007D2FAD" w:rsidRPr="00C41AA8" w:rsidRDefault="00CA3AF6" w:rsidP="007D2FAD">
            <w:pPr>
              <w:pStyle w:val="Tabletext"/>
            </w:pPr>
            <w:r w:rsidRPr="00C41AA8">
              <w:t>R37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174B05E" w14:textId="1B42BE30" w:rsidR="007D2FAD" w:rsidRPr="00C41AA8" w:rsidRDefault="00CA3AF6" w:rsidP="007D2FAD">
            <w:pPr>
              <w:pStyle w:val="Tabletext"/>
            </w:pPr>
            <w:r w:rsidRPr="00C41AA8">
              <w:t>A design consisting of:</w:t>
            </w:r>
          </w:p>
          <w:p w14:paraId="149ECFBB" w14:textId="62550FBB" w:rsidR="007D2FAD" w:rsidRPr="00C41AA8" w:rsidRDefault="007D2FAD" w:rsidP="00CA3AF6">
            <w:pPr>
              <w:pStyle w:val="Tablea"/>
            </w:pPr>
            <w:r w:rsidRPr="00C41AA8">
              <w:t xml:space="preserve">(a) a central circle enclosing a design based on the cover art of the </w:t>
            </w:r>
            <w:r w:rsidR="00CA3AF6" w:rsidRPr="00C41AA8">
              <w:t xml:space="preserve">1995 </w:t>
            </w:r>
            <w:r w:rsidRPr="00C41AA8">
              <w:t xml:space="preserve">Australian release of </w:t>
            </w:r>
            <w:r w:rsidR="00CA3AF6" w:rsidRPr="00C41AA8">
              <w:t>music rock band AC/DC’s album</w:t>
            </w:r>
            <w:r w:rsidRPr="00C41AA8">
              <w:t xml:space="preserve"> </w:t>
            </w:r>
            <w:r w:rsidRPr="00C41AA8">
              <w:rPr>
                <w:i/>
              </w:rPr>
              <w:t>Ballbreaker</w:t>
            </w:r>
            <w:r w:rsidR="00CA3AF6" w:rsidRPr="00C41AA8">
              <w:t>; and</w:t>
            </w:r>
          </w:p>
          <w:p w14:paraId="717F534B" w14:textId="626E5750" w:rsidR="00CA3AF6" w:rsidRPr="00C41AA8" w:rsidRDefault="00CA3AF6" w:rsidP="00CA3AF6">
            <w:pPr>
              <w:pStyle w:val="Tablea"/>
            </w:pPr>
            <w:r w:rsidRPr="00C41AA8">
              <w:t xml:space="preserve">(b) surrounding the central circle, a black ring printed </w:t>
            </w:r>
            <w:r w:rsidR="00E45FB0" w:rsidRPr="00C41AA8">
              <w:t>over</w:t>
            </w:r>
            <w:r w:rsidRPr="00C41AA8">
              <w:t xml:space="preserve"> fine, concentric circles representing the grooves on a vinyl record; and</w:t>
            </w:r>
          </w:p>
          <w:p w14:paraId="6703713E" w14:textId="486859A4" w:rsidR="007D2FAD" w:rsidRPr="00C41AA8" w:rsidRDefault="00CA3AF6" w:rsidP="00CA3AF6">
            <w:pPr>
              <w:pStyle w:val="Tablea"/>
            </w:pPr>
            <w:r w:rsidRPr="00C41AA8">
              <w:t>(c) the following:</w:t>
            </w:r>
          </w:p>
          <w:p w14:paraId="4DFA6B4B" w14:textId="07319BD4" w:rsidR="007D2FAD" w:rsidRPr="00C41AA8" w:rsidRDefault="007D2FAD" w:rsidP="00CA3AF6">
            <w:pPr>
              <w:pStyle w:val="Tablei"/>
            </w:pPr>
            <w:r w:rsidRPr="00C41AA8">
              <w:t>(i) “25</w:t>
            </w:r>
            <w:r w:rsidR="00CA3AF6" w:rsidRPr="00C41AA8">
              <w:rPr>
                <w:vertAlign w:val="superscript"/>
              </w:rPr>
              <w:t>th</w:t>
            </w:r>
            <w:r w:rsidR="00CA3AF6" w:rsidRPr="00C41AA8">
              <w:t xml:space="preserve"> </w:t>
            </w:r>
            <w:r w:rsidRPr="00C41AA8">
              <w:t>ANNIVERSARY OF BALLBREAKER AL</w:t>
            </w:r>
            <w:r w:rsidR="00CA3AF6" w:rsidRPr="00C41AA8">
              <w:t>BUM”.</w:t>
            </w:r>
          </w:p>
        </w:tc>
      </w:tr>
      <w:tr w:rsidR="007D2FAD" w:rsidRPr="00C41AA8" w14:paraId="476F9E55" w14:textId="77777777" w:rsidTr="00D753F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161FBE5" w14:textId="61C3C81D" w:rsidR="007D2FAD" w:rsidRPr="00C41AA8" w:rsidRDefault="007D2FAD" w:rsidP="007D2FAD">
            <w:pPr>
              <w:pStyle w:val="Tabletext"/>
            </w:pPr>
            <w:r w:rsidRPr="00C41AA8">
              <w:t>137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7096019" w14:textId="79F1682C" w:rsidR="007D2FAD" w:rsidRPr="00C41AA8" w:rsidRDefault="007D2FAD" w:rsidP="007D2FAD">
            <w:pPr>
              <w:pStyle w:val="Tabletext"/>
            </w:pPr>
            <w:r w:rsidRPr="00C41AA8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DB88C1A" w14:textId="666EE512" w:rsidR="007D2FAD" w:rsidRPr="00C41AA8" w:rsidRDefault="007D2FAD" w:rsidP="007D5092">
            <w:pPr>
              <w:pStyle w:val="Tabletext"/>
            </w:pPr>
            <w:r w:rsidRPr="00C41AA8">
              <w:t>R3</w:t>
            </w:r>
            <w:r w:rsidR="007D5092" w:rsidRPr="00C41AA8">
              <w:t>8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B2E9682" w14:textId="6BCE76C5" w:rsidR="007D2FAD" w:rsidRPr="00C41AA8" w:rsidRDefault="00BD7CA0" w:rsidP="007D2FAD">
            <w:pPr>
              <w:pStyle w:val="Tabletext"/>
            </w:pPr>
            <w:r w:rsidRPr="00C41AA8">
              <w:t>A design consisting of:</w:t>
            </w:r>
          </w:p>
          <w:p w14:paraId="7550EBB7" w14:textId="3777C8E9" w:rsidR="007D2FAD" w:rsidRPr="00C41AA8" w:rsidRDefault="007D2FAD" w:rsidP="00BD7CA0">
            <w:pPr>
              <w:pStyle w:val="Tablea"/>
            </w:pPr>
            <w:r w:rsidRPr="00C41AA8">
              <w:t xml:space="preserve">(a) a central circle enclosing a design based on the cover art of the </w:t>
            </w:r>
            <w:r w:rsidR="00557344" w:rsidRPr="00C41AA8">
              <w:t xml:space="preserve">1976 </w:t>
            </w:r>
            <w:r w:rsidRPr="00C41AA8">
              <w:t xml:space="preserve">Australian release of </w:t>
            </w:r>
            <w:r w:rsidR="00557344" w:rsidRPr="00C41AA8">
              <w:t>music rock band AC/DC’s album</w:t>
            </w:r>
            <w:r w:rsidRPr="00C41AA8">
              <w:t xml:space="preserve"> </w:t>
            </w:r>
            <w:r w:rsidRPr="00C41AA8">
              <w:rPr>
                <w:i/>
              </w:rPr>
              <w:t>Dirty Deeds Done Dirt Cheap</w:t>
            </w:r>
            <w:r w:rsidR="00BD7CA0" w:rsidRPr="00C41AA8">
              <w:t>; and</w:t>
            </w:r>
          </w:p>
          <w:p w14:paraId="0F36E028" w14:textId="49232054" w:rsidR="00BD7CA0" w:rsidRPr="00C41AA8" w:rsidRDefault="00BD7CA0" w:rsidP="00BD7CA0">
            <w:pPr>
              <w:pStyle w:val="Tablea"/>
            </w:pPr>
            <w:r w:rsidRPr="00C41AA8">
              <w:t xml:space="preserve">(b) surrounding the central circle, a black ring printed </w:t>
            </w:r>
            <w:r w:rsidR="00E45FB0" w:rsidRPr="00C41AA8">
              <w:t>over</w:t>
            </w:r>
            <w:r w:rsidRPr="00C41AA8">
              <w:t xml:space="preserve"> fine, concentric circles representing the grooves on a vinyl record; and</w:t>
            </w:r>
          </w:p>
          <w:p w14:paraId="254AE854" w14:textId="5C1EE80E" w:rsidR="007D2FAD" w:rsidRPr="00C41AA8" w:rsidRDefault="00BD7CA0" w:rsidP="00BD7CA0">
            <w:pPr>
              <w:pStyle w:val="Tablea"/>
            </w:pPr>
            <w:r w:rsidRPr="00C41AA8">
              <w:t>(c) the following:</w:t>
            </w:r>
          </w:p>
          <w:p w14:paraId="5BE3A64C" w14:textId="08EAF11A" w:rsidR="007D2FAD" w:rsidRPr="00C41AA8" w:rsidRDefault="007D2FAD" w:rsidP="00BD7CA0">
            <w:pPr>
              <w:pStyle w:val="Tablei"/>
            </w:pPr>
            <w:r w:rsidRPr="00C41AA8">
              <w:t>(i) “45th ANNIVERSARY OF DIRT</w:t>
            </w:r>
            <w:r w:rsidR="00BD7CA0" w:rsidRPr="00C41AA8">
              <w:t>Y DEEDS DONE DIRT CHEAP ALBUM”.</w:t>
            </w:r>
          </w:p>
        </w:tc>
      </w:tr>
      <w:tr w:rsidR="007D2FAD" w:rsidRPr="00C41AA8" w14:paraId="5DD20441" w14:textId="77777777" w:rsidTr="00D753F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65216E1" w14:textId="3E58107D" w:rsidR="007D2FAD" w:rsidRPr="00C41AA8" w:rsidRDefault="007D2FAD" w:rsidP="007D2FAD">
            <w:pPr>
              <w:pStyle w:val="Tabletext"/>
            </w:pPr>
            <w:r w:rsidRPr="00C41AA8">
              <w:t>138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64481CB" w14:textId="61D7A8DD" w:rsidR="007D2FAD" w:rsidRPr="00C41AA8" w:rsidRDefault="007D2FAD" w:rsidP="007D2FAD">
            <w:pPr>
              <w:pStyle w:val="Tabletext"/>
            </w:pPr>
            <w:r w:rsidRPr="00C41AA8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D340A3B" w14:textId="5F6F4455" w:rsidR="007D2FAD" w:rsidRPr="00C41AA8" w:rsidRDefault="007D2FAD" w:rsidP="00C85A00">
            <w:pPr>
              <w:pStyle w:val="Tabletext"/>
            </w:pPr>
            <w:r w:rsidRPr="00C41AA8">
              <w:t>R</w:t>
            </w:r>
            <w:r w:rsidR="00C85A00" w:rsidRPr="00C41AA8">
              <w:t>39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4563F18" w14:textId="33DCDCED" w:rsidR="007D2FAD" w:rsidRPr="00C41AA8" w:rsidRDefault="007D2FAD" w:rsidP="007D2FAD">
            <w:pPr>
              <w:pStyle w:val="Tabletext"/>
            </w:pPr>
            <w:r w:rsidRPr="00C41AA8">
              <w:t>A</w:t>
            </w:r>
            <w:r w:rsidR="00C85A00" w:rsidRPr="00C41AA8">
              <w:t xml:space="preserve"> design consisting of:</w:t>
            </w:r>
          </w:p>
          <w:p w14:paraId="6BBF3B68" w14:textId="7D87EAD0" w:rsidR="007D2FAD" w:rsidRPr="00C41AA8" w:rsidRDefault="007D2FAD" w:rsidP="00C85A00">
            <w:pPr>
              <w:pStyle w:val="Tablea"/>
            </w:pPr>
            <w:r w:rsidRPr="00C41AA8">
              <w:lastRenderedPageBreak/>
              <w:t xml:space="preserve">(a) a central circle enclosing a design based on the cover art of the </w:t>
            </w:r>
            <w:r w:rsidR="00C85A00" w:rsidRPr="00C41AA8">
              <w:t xml:space="preserve">1981 </w:t>
            </w:r>
            <w:r w:rsidRPr="00C41AA8">
              <w:t xml:space="preserve">Australian release of </w:t>
            </w:r>
            <w:r w:rsidR="00C85A00" w:rsidRPr="00C41AA8">
              <w:t>music rock band AC/DC’s album</w:t>
            </w:r>
            <w:r w:rsidRPr="00C41AA8">
              <w:t xml:space="preserve"> </w:t>
            </w:r>
            <w:r w:rsidRPr="00C41AA8">
              <w:rPr>
                <w:i/>
              </w:rPr>
              <w:t>For Those About To Rock</w:t>
            </w:r>
            <w:r w:rsidR="00C85A00" w:rsidRPr="00C41AA8">
              <w:t>; and</w:t>
            </w:r>
          </w:p>
          <w:p w14:paraId="37195090" w14:textId="7629B253" w:rsidR="00C85A00" w:rsidRPr="00C41AA8" w:rsidRDefault="00C85A00" w:rsidP="00C85A00">
            <w:pPr>
              <w:pStyle w:val="Tablea"/>
            </w:pPr>
            <w:r w:rsidRPr="00C41AA8">
              <w:t xml:space="preserve">(b) surrounding the central circle, a black ring printed </w:t>
            </w:r>
            <w:r w:rsidR="00E45FB0" w:rsidRPr="00C41AA8">
              <w:t>over</w:t>
            </w:r>
            <w:r w:rsidRPr="00C41AA8">
              <w:t xml:space="preserve"> fine, concentric circles representing the grooves on a vinyl record; and</w:t>
            </w:r>
          </w:p>
          <w:p w14:paraId="7BEBF162" w14:textId="6376CEEC" w:rsidR="007D2FAD" w:rsidRPr="00C41AA8" w:rsidRDefault="00C85A00" w:rsidP="00C85A00">
            <w:pPr>
              <w:pStyle w:val="Tablea"/>
            </w:pPr>
            <w:r w:rsidRPr="00C41AA8">
              <w:t>(c) the following:</w:t>
            </w:r>
          </w:p>
          <w:p w14:paraId="50797032" w14:textId="23847821" w:rsidR="007D2FAD" w:rsidRPr="00C41AA8" w:rsidRDefault="007D2FAD" w:rsidP="00C85A00">
            <w:pPr>
              <w:pStyle w:val="Tablei"/>
            </w:pPr>
            <w:r w:rsidRPr="00C41AA8">
              <w:t xml:space="preserve">(i) “40th ANNIVERSARY OF </w:t>
            </w:r>
            <w:r w:rsidR="00C85A00" w:rsidRPr="00C41AA8">
              <w:t>FOR THOSE ABOUT TO ROCK ALBUM”.</w:t>
            </w:r>
          </w:p>
        </w:tc>
      </w:tr>
      <w:tr w:rsidR="007D2FAD" w:rsidRPr="00C41AA8" w14:paraId="6A1C948B" w14:textId="77777777" w:rsidTr="00D753F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36A454D" w14:textId="4755215B" w:rsidR="007D2FAD" w:rsidRPr="00C41AA8" w:rsidRDefault="007D2FAD" w:rsidP="007D2FAD">
            <w:pPr>
              <w:pStyle w:val="Tabletext"/>
            </w:pPr>
            <w:r w:rsidRPr="00C41AA8">
              <w:lastRenderedPageBreak/>
              <w:t>139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EF1837F" w14:textId="59567F8E" w:rsidR="007D2FAD" w:rsidRPr="00C41AA8" w:rsidRDefault="007D2FAD" w:rsidP="007D2FAD">
            <w:pPr>
              <w:pStyle w:val="Tabletext"/>
            </w:pPr>
            <w:r w:rsidRPr="00C41AA8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24E935B" w14:textId="4606E5C8" w:rsidR="007D2FAD" w:rsidRPr="00C41AA8" w:rsidRDefault="004B5FE5" w:rsidP="007D2FAD">
            <w:pPr>
              <w:pStyle w:val="Tabletext"/>
            </w:pPr>
            <w:r w:rsidRPr="00C41AA8">
              <w:t>R40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9A874AC" w14:textId="2A928F76" w:rsidR="007D2FAD" w:rsidRPr="00C41AA8" w:rsidRDefault="007D2FAD" w:rsidP="007D2FAD">
            <w:pPr>
              <w:pStyle w:val="Tabletext"/>
            </w:pPr>
            <w:r w:rsidRPr="00C41AA8">
              <w:t>A desi</w:t>
            </w:r>
            <w:r w:rsidR="004B5FE5" w:rsidRPr="00C41AA8">
              <w:t>gn consisting of:</w:t>
            </w:r>
          </w:p>
          <w:p w14:paraId="5E90D7E1" w14:textId="0A50B54E" w:rsidR="007D2FAD" w:rsidRPr="00C41AA8" w:rsidRDefault="004B5FE5" w:rsidP="004B5FE5">
            <w:pPr>
              <w:pStyle w:val="Tablea"/>
            </w:pPr>
            <w:r w:rsidRPr="00C41AA8">
              <w:t>(a) a central circle; and</w:t>
            </w:r>
          </w:p>
          <w:p w14:paraId="75B6B411" w14:textId="28748442" w:rsidR="007D2FAD" w:rsidRPr="00C41AA8" w:rsidRDefault="004B5FE5" w:rsidP="004B5FE5">
            <w:pPr>
              <w:pStyle w:val="Tablea"/>
            </w:pPr>
            <w:r w:rsidRPr="00C41AA8">
              <w:t>(b) at the centre of that</w:t>
            </w:r>
            <w:r w:rsidR="007D2FAD" w:rsidRPr="00C41AA8">
              <w:t>, a</w:t>
            </w:r>
            <w:r w:rsidRPr="00C41AA8">
              <w:t>nother</w:t>
            </w:r>
            <w:r w:rsidR="007D2FAD" w:rsidRPr="00C41AA8">
              <w:t xml:space="preserve"> circle with </w:t>
            </w:r>
            <w:r w:rsidRPr="00C41AA8">
              <w:t xml:space="preserve">stylised </w:t>
            </w:r>
            <w:r w:rsidR="007D2FAD" w:rsidRPr="00C41AA8">
              <w:t>l</w:t>
            </w:r>
            <w:r w:rsidRPr="00C41AA8">
              <w:t>ightning radiating from it; and</w:t>
            </w:r>
          </w:p>
          <w:p w14:paraId="7D26EE80" w14:textId="03F59E1D" w:rsidR="007D2FAD" w:rsidRPr="00C41AA8" w:rsidRDefault="007D2FAD" w:rsidP="004B5FE5">
            <w:pPr>
              <w:pStyle w:val="Tablea"/>
            </w:pPr>
            <w:r w:rsidRPr="00C41AA8">
              <w:t xml:space="preserve">(c) </w:t>
            </w:r>
            <w:r w:rsidR="004B5FE5" w:rsidRPr="00C41AA8">
              <w:t>superimposed over the central circle, the logo of the music rock band AC/DC; and</w:t>
            </w:r>
          </w:p>
          <w:p w14:paraId="6B77B30B" w14:textId="4F0BFE53" w:rsidR="007D2FAD" w:rsidRPr="00C41AA8" w:rsidRDefault="007D2FAD" w:rsidP="00E45FB0">
            <w:pPr>
              <w:pStyle w:val="Tablea"/>
            </w:pPr>
            <w:r w:rsidRPr="00C41AA8">
              <w:t xml:space="preserve">(d) </w:t>
            </w:r>
            <w:r w:rsidR="004B5FE5" w:rsidRPr="00C41AA8">
              <w:t xml:space="preserve">surrounding the central circle, a black ring printed </w:t>
            </w:r>
            <w:r w:rsidR="00E45FB0" w:rsidRPr="00C41AA8">
              <w:t>over</w:t>
            </w:r>
            <w:r w:rsidR="004B5FE5" w:rsidRPr="00C41AA8">
              <w:t xml:space="preserve"> fine, concentric circles representing the grooves on a vinyl record.</w:t>
            </w:r>
          </w:p>
        </w:tc>
      </w:tr>
      <w:tr w:rsidR="007D2FAD" w:rsidRPr="00C41AA8" w14:paraId="4B607305" w14:textId="77777777" w:rsidTr="00D753F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1FE3023" w14:textId="0D6AB725" w:rsidR="007D2FAD" w:rsidRPr="00C41AA8" w:rsidRDefault="007D2FAD" w:rsidP="007D2FAD">
            <w:pPr>
              <w:pStyle w:val="Tabletext"/>
            </w:pPr>
            <w:r w:rsidRPr="00C41AA8">
              <w:t>140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F898D45" w14:textId="51634E95" w:rsidR="007D2FAD" w:rsidRPr="00C41AA8" w:rsidRDefault="007D2FAD" w:rsidP="007D2FAD">
            <w:pPr>
              <w:pStyle w:val="Tabletext"/>
            </w:pPr>
            <w:r w:rsidRPr="00C41AA8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AFD991C" w14:textId="248C4CD8" w:rsidR="007D2FAD" w:rsidRPr="00C41AA8" w:rsidRDefault="00A15FE7" w:rsidP="007D2FAD">
            <w:pPr>
              <w:pStyle w:val="Tabletext"/>
            </w:pPr>
            <w:r w:rsidRPr="00C41AA8">
              <w:t>R41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B9F96F7" w14:textId="1298271A" w:rsidR="007D2FAD" w:rsidRPr="00C41AA8" w:rsidRDefault="00694A89" w:rsidP="007D2FAD">
            <w:pPr>
              <w:pStyle w:val="Tabletext"/>
            </w:pPr>
            <w:r w:rsidRPr="00C41AA8">
              <w:t>A design consisting of:</w:t>
            </w:r>
          </w:p>
          <w:p w14:paraId="546F3116" w14:textId="637ED260" w:rsidR="007D2FAD" w:rsidRPr="00C41AA8" w:rsidRDefault="007D2FAD" w:rsidP="00694A89">
            <w:pPr>
              <w:pStyle w:val="Tablea"/>
            </w:pPr>
            <w:r w:rsidRPr="00C41AA8">
              <w:t>(a) immediately inside the rim of t</w:t>
            </w:r>
            <w:r w:rsidR="00694A89" w:rsidRPr="00C41AA8">
              <w:t>he coin, a circular border; and</w:t>
            </w:r>
          </w:p>
          <w:p w14:paraId="48BAEB0A" w14:textId="244D4C07" w:rsidR="007D2FAD" w:rsidRPr="00C41AA8" w:rsidRDefault="007D2FAD" w:rsidP="00694A89">
            <w:pPr>
              <w:pStyle w:val="Tablea"/>
            </w:pPr>
            <w:r w:rsidRPr="00C41AA8">
              <w:t xml:space="preserve">(b) in the foreground, partially obscuring the border, a stylised representation of a </w:t>
            </w:r>
            <w:r w:rsidR="00694A89" w:rsidRPr="00C41AA8">
              <w:t>spinner dolphin; and</w:t>
            </w:r>
          </w:p>
          <w:p w14:paraId="45D7B480" w14:textId="2E1CBAC9" w:rsidR="007D2FAD" w:rsidRPr="00C41AA8" w:rsidRDefault="007D2FAD" w:rsidP="00694A89">
            <w:pPr>
              <w:pStyle w:val="Tablea"/>
            </w:pPr>
            <w:r w:rsidRPr="00C41AA8">
              <w:t xml:space="preserve">(c) in the background, the </w:t>
            </w:r>
            <w:r w:rsidR="00694A89" w:rsidRPr="00C41AA8">
              <w:t>ocean, the sun and the sky; and</w:t>
            </w:r>
          </w:p>
          <w:p w14:paraId="7F34727B" w14:textId="0B7D7BF8" w:rsidR="007D2FAD" w:rsidRPr="00C41AA8" w:rsidRDefault="00694A89" w:rsidP="00694A89">
            <w:pPr>
              <w:pStyle w:val="Tablea"/>
            </w:pPr>
            <w:r w:rsidRPr="00C41AA8">
              <w:t>(d) the following:</w:t>
            </w:r>
          </w:p>
          <w:p w14:paraId="1A18CCAD" w14:textId="6E90B744" w:rsidR="007D2FAD" w:rsidRPr="00C41AA8" w:rsidRDefault="00694A89" w:rsidP="00694A89">
            <w:pPr>
              <w:pStyle w:val="Tablei"/>
            </w:pPr>
            <w:r w:rsidRPr="00C41AA8">
              <w:t>(i) “SPINNER DOLPHIN”; and</w:t>
            </w:r>
          </w:p>
          <w:p w14:paraId="4DE7A98D" w14:textId="12408B5F" w:rsidR="007D2FAD" w:rsidRPr="00C41AA8" w:rsidRDefault="007D2FAD" w:rsidP="00694A89">
            <w:pPr>
              <w:pStyle w:val="Tablei"/>
            </w:pPr>
            <w:r w:rsidRPr="00C41AA8">
              <w:t>(ii) “X</w:t>
            </w:r>
            <w:r w:rsidR="00694A89" w:rsidRPr="00C41AA8">
              <w:t xml:space="preserve"> </w:t>
            </w:r>
            <w:r w:rsidRPr="00C41AA8">
              <w:t>oz .999 FINE SILVER” (where “X” is the nominal weight in ounces of the coin, expressed as a whole number or a common fr</w:t>
            </w:r>
            <w:r w:rsidR="00694A89" w:rsidRPr="00C41AA8">
              <w:t>action in Arabic numerals).</w:t>
            </w:r>
          </w:p>
        </w:tc>
      </w:tr>
      <w:tr w:rsidR="007D2FAD" w:rsidRPr="00C41AA8" w14:paraId="6A399647" w14:textId="77777777" w:rsidTr="00D753F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B9FF91C" w14:textId="2AADAA69" w:rsidR="007D2FAD" w:rsidRPr="00C41AA8" w:rsidRDefault="007D2FAD" w:rsidP="007D2FAD">
            <w:pPr>
              <w:pStyle w:val="Tabletext"/>
            </w:pPr>
            <w:r w:rsidRPr="00C41AA8">
              <w:t>141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32491DF" w14:textId="34FE01ED" w:rsidR="007D2FAD" w:rsidRPr="00C41AA8" w:rsidRDefault="007D2FAD" w:rsidP="007D2FAD">
            <w:pPr>
              <w:pStyle w:val="Tabletext"/>
            </w:pPr>
            <w:r w:rsidRPr="00C41AA8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CFCE4AA" w14:textId="13749E6C" w:rsidR="007D2FAD" w:rsidRPr="00C41AA8" w:rsidRDefault="007D2FAD" w:rsidP="004123B6">
            <w:pPr>
              <w:pStyle w:val="Tabletext"/>
            </w:pPr>
            <w:r w:rsidRPr="00C41AA8">
              <w:t>R</w:t>
            </w:r>
            <w:r w:rsidR="004123B6" w:rsidRPr="00C41AA8">
              <w:t>42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B5793E1" w14:textId="62EECD6B" w:rsidR="007D2FAD" w:rsidRPr="00C41AA8" w:rsidRDefault="007D2FAD" w:rsidP="007D2FAD">
            <w:pPr>
              <w:pStyle w:val="Tabletext"/>
            </w:pPr>
            <w:r w:rsidRPr="00C41AA8">
              <w:t>A t</w:t>
            </w:r>
            <w:r w:rsidR="00220F58" w:rsidRPr="00C41AA8">
              <w:t>riangular design consisting of:</w:t>
            </w:r>
          </w:p>
          <w:p w14:paraId="39D0D968" w14:textId="5850DB0D" w:rsidR="007D2FAD" w:rsidRPr="00C41AA8" w:rsidRDefault="007D2FAD" w:rsidP="00C7092F">
            <w:pPr>
              <w:pStyle w:val="Tablea"/>
            </w:pPr>
            <w:r w:rsidRPr="00C41AA8">
              <w:t xml:space="preserve">(a) an ornamental border comprised of the following elements from artwork </w:t>
            </w:r>
            <w:r w:rsidR="00C7092F" w:rsidRPr="00C41AA8">
              <w:t>by Adriaan de Jong:</w:t>
            </w:r>
          </w:p>
          <w:p w14:paraId="1C314D3D" w14:textId="77777777" w:rsidR="007D2FAD" w:rsidRPr="00C41AA8" w:rsidRDefault="007D2FAD" w:rsidP="00C7092F">
            <w:pPr>
              <w:pStyle w:val="Tablei"/>
            </w:pPr>
            <w:r w:rsidRPr="00C41AA8">
              <w:t>(i) a coat of arms bearing the Dutch East India Company logo; and</w:t>
            </w:r>
          </w:p>
          <w:p w14:paraId="2A6CEA90" w14:textId="77777777" w:rsidR="007D2FAD" w:rsidRPr="00C41AA8" w:rsidRDefault="007D2FAD" w:rsidP="00C7092F">
            <w:pPr>
              <w:pStyle w:val="Tablei"/>
            </w:pPr>
            <w:r w:rsidRPr="00C41AA8">
              <w:t>(ii) a male figure holding a representation of the coat of arms of the village of Zuiddorpe in the Netherlands; and</w:t>
            </w:r>
          </w:p>
          <w:p w14:paraId="2F6F6224" w14:textId="62C1B522" w:rsidR="007D2FAD" w:rsidRPr="00C41AA8" w:rsidRDefault="007D2FAD" w:rsidP="00C7092F">
            <w:pPr>
              <w:pStyle w:val="Tablei"/>
            </w:pPr>
            <w:r w:rsidRPr="00C41AA8">
              <w:t xml:space="preserve">(iii) a female figure holding a representation of the coat of arms of the province of </w:t>
            </w:r>
            <w:r w:rsidR="00C7092F" w:rsidRPr="00C41AA8">
              <w:t>Zeeland in the Netherlands; and</w:t>
            </w:r>
          </w:p>
          <w:p w14:paraId="5F14D206" w14:textId="77777777" w:rsidR="007D2FAD" w:rsidRPr="00C41AA8" w:rsidRDefault="007D2FAD" w:rsidP="00C7092F">
            <w:pPr>
              <w:pStyle w:val="Tablei"/>
            </w:pPr>
            <w:r w:rsidRPr="00C41AA8">
              <w:t>(iv) ribbons, flowers and fruit; and</w:t>
            </w:r>
          </w:p>
          <w:p w14:paraId="3CCA0CF1" w14:textId="5EF90EC3" w:rsidR="007D2FAD" w:rsidRPr="00C41AA8" w:rsidRDefault="007D2FAD" w:rsidP="00C7092F">
            <w:pPr>
              <w:pStyle w:val="Tablea"/>
            </w:pPr>
            <w:r w:rsidRPr="00C41AA8">
              <w:t xml:space="preserve">(b) a representation of the </w:t>
            </w:r>
            <w:r w:rsidRPr="00C41AA8">
              <w:rPr>
                <w:i/>
              </w:rPr>
              <w:t>Zuytdorp</w:t>
            </w:r>
            <w:r w:rsidRPr="00C41AA8">
              <w:t xml:space="preserve"> vessel </w:t>
            </w:r>
            <w:r w:rsidR="00220F58" w:rsidRPr="00C41AA8">
              <w:t>in full sail; and</w:t>
            </w:r>
          </w:p>
          <w:p w14:paraId="2E5F4E72" w14:textId="5A63404E" w:rsidR="007D2FAD" w:rsidRPr="00C41AA8" w:rsidRDefault="00220F58" w:rsidP="00C7092F">
            <w:pPr>
              <w:pStyle w:val="Tablea"/>
            </w:pPr>
            <w:r w:rsidRPr="00C41AA8">
              <w:t>(c) the following:</w:t>
            </w:r>
          </w:p>
          <w:p w14:paraId="19513D8A" w14:textId="085F17C0" w:rsidR="007D2FAD" w:rsidRPr="00C41AA8" w:rsidRDefault="007D2FAD" w:rsidP="00C7092F">
            <w:pPr>
              <w:pStyle w:val="Tablei"/>
            </w:pPr>
            <w:r w:rsidRPr="00C41AA8">
              <w:t>(i) “ZUY</w:t>
            </w:r>
            <w:r w:rsidR="00220F58" w:rsidRPr="00C41AA8">
              <w:t>TDORP” written upside down; and</w:t>
            </w:r>
          </w:p>
          <w:p w14:paraId="5CB28D9B" w14:textId="07086AD5" w:rsidR="007D2FAD" w:rsidRPr="00C41AA8" w:rsidRDefault="007D2FAD" w:rsidP="00C7092F">
            <w:pPr>
              <w:pStyle w:val="Tablei"/>
            </w:pPr>
            <w:r w:rsidRPr="00C41AA8">
              <w:t>(ii) “Xoz .9999 Au” written upside down (where “X” is the nominal weight in ounces of the coin, expressed as a whole number or a common fr</w:t>
            </w:r>
            <w:r w:rsidR="00220F58" w:rsidRPr="00C41AA8">
              <w:t>action in Arabic numerals); and</w:t>
            </w:r>
          </w:p>
          <w:p w14:paraId="1CDD20A2" w14:textId="75103BA8" w:rsidR="007D2FAD" w:rsidRPr="00C41AA8" w:rsidRDefault="007D2FAD" w:rsidP="00C7092F">
            <w:pPr>
              <w:pStyle w:val="Tablei"/>
            </w:pPr>
            <w:r w:rsidRPr="00C41AA8">
              <w:t>(i</w:t>
            </w:r>
            <w:r w:rsidR="00220F58" w:rsidRPr="00C41AA8">
              <w:t>ii) “1712” written upside down.</w:t>
            </w:r>
          </w:p>
        </w:tc>
      </w:tr>
      <w:tr w:rsidR="007D2FAD" w:rsidRPr="00F00194" w14:paraId="1CFACA44" w14:textId="77777777" w:rsidTr="00CE09AF">
        <w:tc>
          <w:tcPr>
            <w:tcW w:w="61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5695A2D" w14:textId="73F5DE4E" w:rsidR="007D2FAD" w:rsidRPr="00C41AA8" w:rsidRDefault="00846D25" w:rsidP="007D2FAD">
            <w:pPr>
              <w:pStyle w:val="Tabletext"/>
            </w:pPr>
            <w:r w:rsidRPr="00C41AA8">
              <w:t>142</w:t>
            </w:r>
          </w:p>
        </w:tc>
        <w:tc>
          <w:tcPr>
            <w:tcW w:w="93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15B56C0F" w14:textId="78216F0A" w:rsidR="007D2FAD" w:rsidRPr="00C41AA8" w:rsidRDefault="007D2FAD" w:rsidP="007D2FAD">
            <w:pPr>
              <w:pStyle w:val="Tabletext"/>
            </w:pPr>
            <w:r w:rsidRPr="00C41AA8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BFF2AA7" w14:textId="3231FCF2" w:rsidR="007D2FAD" w:rsidRPr="00C41AA8" w:rsidRDefault="007D2FAD" w:rsidP="004123B6">
            <w:pPr>
              <w:pStyle w:val="Tabletext"/>
            </w:pPr>
            <w:r w:rsidRPr="00C41AA8">
              <w:t>R</w:t>
            </w:r>
            <w:r w:rsidR="004123B6" w:rsidRPr="00C41AA8">
              <w:t>43</w:t>
            </w:r>
          </w:p>
        </w:tc>
        <w:tc>
          <w:tcPr>
            <w:tcW w:w="588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A023C1A" w14:textId="7CCA633B" w:rsidR="007D2FAD" w:rsidRPr="00C41AA8" w:rsidRDefault="007D2FAD" w:rsidP="007D2FAD">
            <w:pPr>
              <w:pStyle w:val="Tabletext"/>
            </w:pPr>
            <w:r w:rsidRPr="00C41AA8">
              <w:t>The same as for item 14</w:t>
            </w:r>
            <w:r w:rsidR="004E761B" w:rsidRPr="00C41AA8">
              <w:t>1</w:t>
            </w:r>
            <w:r w:rsidRPr="00C41AA8">
              <w:t>, except in paragraph (c) omit su</w:t>
            </w:r>
            <w:r w:rsidR="00C7092F" w:rsidRPr="00C41AA8">
              <w:t>bparagraph (ii) and substitute:</w:t>
            </w:r>
          </w:p>
          <w:p w14:paraId="37143324" w14:textId="5AD73FE8" w:rsidR="007D2FAD" w:rsidRPr="00C7092F" w:rsidRDefault="007D2FAD" w:rsidP="00C7092F">
            <w:pPr>
              <w:pStyle w:val="Tablei"/>
            </w:pPr>
            <w:r w:rsidRPr="00C41AA8">
              <w:t>(ii) “Xoz. 999 Ag” written upside down (where “X” is the nominal weight in ounces of the coin, expressed as a whole number or a common fr</w:t>
            </w:r>
            <w:r w:rsidR="00C7092F" w:rsidRPr="00C41AA8">
              <w:t>action in Arabic numerals); and</w:t>
            </w:r>
          </w:p>
        </w:tc>
      </w:tr>
    </w:tbl>
    <w:p w14:paraId="0AB0EB97" w14:textId="77777777" w:rsidR="006E2B18" w:rsidRDefault="006E2B18" w:rsidP="006E2B18">
      <w:pPr>
        <w:pStyle w:val="Tabletext"/>
      </w:pPr>
    </w:p>
    <w:sectPr w:rsidR="006E2B18" w:rsidSect="00D753F7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084D3" w14:textId="77777777" w:rsidR="008B49F8" w:rsidRDefault="008B49F8" w:rsidP="00F5638C">
      <w:pPr>
        <w:spacing w:line="240" w:lineRule="auto"/>
      </w:pPr>
      <w:r>
        <w:separator/>
      </w:r>
    </w:p>
  </w:endnote>
  <w:endnote w:type="continuationSeparator" w:id="0">
    <w:p w14:paraId="25062C7D" w14:textId="77777777" w:rsidR="008B49F8" w:rsidRDefault="008B49F8" w:rsidP="00F5638C">
      <w:pPr>
        <w:spacing w:line="240" w:lineRule="auto"/>
      </w:pPr>
      <w:r>
        <w:continuationSeparator/>
      </w:r>
    </w:p>
  </w:endnote>
  <w:endnote w:type="continuationNotice" w:id="1">
    <w:p w14:paraId="183C015C" w14:textId="77777777" w:rsidR="008B49F8" w:rsidRDefault="008B49F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50ADC" w14:textId="566CBE37" w:rsidR="008B49F8" w:rsidRPr="005F1388" w:rsidRDefault="008B49F8" w:rsidP="00D753F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90C99" w14:textId="065E6E21" w:rsidR="008B49F8" w:rsidRDefault="008B49F8" w:rsidP="00D753F7">
    <w:bookmarkStart w:id="1" w:name="_Hlk26285905"/>
    <w:bookmarkStart w:id="2" w:name="_Hlk26285906"/>
    <w:bookmarkStart w:id="3" w:name="_Hlk26285909"/>
    <w:bookmarkStart w:id="4" w:name="_Hlk26285910"/>
  </w:p>
  <w:bookmarkEnd w:id="1"/>
  <w:bookmarkEnd w:id="2"/>
  <w:bookmarkEnd w:id="3"/>
  <w:bookmarkEnd w:id="4"/>
  <w:p w14:paraId="73D43DEB" w14:textId="77777777" w:rsidR="008B49F8" w:rsidRPr="00E97334" w:rsidRDefault="008B49F8" w:rsidP="00D753F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33661" w14:textId="77777777" w:rsidR="008B49F8" w:rsidRPr="00ED79B6" w:rsidRDefault="008B49F8" w:rsidP="00D753F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7" w:name="_Hlk26285907"/>
    <w:bookmarkStart w:id="8" w:name="_Hlk26285908"/>
    <w:bookmarkStart w:id="9" w:name="_Hlk26285919"/>
    <w:bookmarkStart w:id="10" w:name="_Hlk26285920"/>
    <w:bookmarkEnd w:id="7"/>
    <w:bookmarkEnd w:id="8"/>
    <w:bookmarkEnd w:id="9"/>
    <w:bookmarkEnd w:id="10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944AB" w14:textId="35A0D99F" w:rsidR="008B49F8" w:rsidRPr="00E33C1C" w:rsidRDefault="008B49F8" w:rsidP="00D753F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B49F8" w14:paraId="0B47CD4C" w14:textId="77777777" w:rsidTr="002539A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49C1AB5" w14:textId="77777777" w:rsidR="008B49F8" w:rsidRDefault="008B49F8" w:rsidP="00D753F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B94946" w14:textId="50DEB154" w:rsidR="008B49F8" w:rsidRDefault="008B49F8" w:rsidP="00D753F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721E9F">
            <w:rPr>
              <w:i/>
              <w:noProof/>
              <w:sz w:val="18"/>
            </w:rPr>
            <w:t>Currency (Australian Coins) Amendment (2020 Royal Australian Mint No. 2) Determination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63CF320" w14:textId="77777777" w:rsidR="008B49F8" w:rsidRDefault="008B49F8" w:rsidP="00D753F7">
          <w:pPr>
            <w:spacing w:line="0" w:lineRule="atLeast"/>
            <w:jc w:val="right"/>
            <w:rPr>
              <w:sz w:val="18"/>
            </w:rPr>
          </w:pPr>
        </w:p>
      </w:tc>
    </w:tr>
  </w:tbl>
  <w:p w14:paraId="5D647D92" w14:textId="77777777" w:rsidR="008B49F8" w:rsidRPr="00ED79B6" w:rsidRDefault="008B49F8" w:rsidP="00D753F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E8A17" w14:textId="0882C59E" w:rsidR="008B49F8" w:rsidRPr="00E33C1C" w:rsidRDefault="008B49F8" w:rsidP="00D753F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1" w:name="_Hlk26285917"/>
    <w:bookmarkStart w:id="12" w:name="_Hlk26285918"/>
    <w:bookmarkStart w:id="13" w:name="_Hlk26285921"/>
    <w:bookmarkStart w:id="14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8B49F8" w14:paraId="276CCD6B" w14:textId="77777777" w:rsidTr="002539A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2148FC3" w14:textId="77777777" w:rsidR="008B49F8" w:rsidRDefault="008B49F8" w:rsidP="00D753F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9DC0BE6" w14:textId="1E8CDA59" w:rsidR="008B49F8" w:rsidRDefault="008B49F8" w:rsidP="00D753F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C70BCD">
            <w:rPr>
              <w:i/>
              <w:noProof/>
              <w:sz w:val="18"/>
            </w:rPr>
            <w:t>Currency (Australian Coins) Amendment (2020 Royal Australian Mint No. 2) Determination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9C14B27" w14:textId="70A8840F" w:rsidR="008B49F8" w:rsidRDefault="008B49F8" w:rsidP="00D753F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70BC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1"/>
    <w:bookmarkEnd w:id="12"/>
    <w:bookmarkEnd w:id="13"/>
    <w:bookmarkEnd w:id="14"/>
  </w:tbl>
  <w:p w14:paraId="55A4B053" w14:textId="77777777" w:rsidR="008B49F8" w:rsidRPr="00ED79B6" w:rsidRDefault="008B49F8" w:rsidP="00D753F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64724" w14:textId="19FEC5AD" w:rsidR="008B49F8" w:rsidRPr="00E33C1C" w:rsidRDefault="008B49F8" w:rsidP="00D753F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B49F8" w14:paraId="130F9E35" w14:textId="77777777" w:rsidTr="002539A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43E9C5" w14:textId="592EB17C" w:rsidR="008B49F8" w:rsidRDefault="008B49F8" w:rsidP="00D753F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70BC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6C2586" w14:textId="2C3E30E8" w:rsidR="008B49F8" w:rsidRDefault="008B49F8" w:rsidP="00D753F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C70BCD">
            <w:rPr>
              <w:i/>
              <w:noProof/>
              <w:sz w:val="18"/>
            </w:rPr>
            <w:t>Currency (Australian Coins) Amendment (2020 Royal Australian Mint No. 2) Determination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9E8624A" w14:textId="77777777" w:rsidR="008B49F8" w:rsidRDefault="008B49F8" w:rsidP="00D753F7">
          <w:pPr>
            <w:spacing w:line="0" w:lineRule="atLeast"/>
            <w:jc w:val="right"/>
            <w:rPr>
              <w:sz w:val="18"/>
            </w:rPr>
          </w:pPr>
        </w:p>
      </w:tc>
    </w:tr>
  </w:tbl>
  <w:p w14:paraId="35D7EDEF" w14:textId="77777777" w:rsidR="008B49F8" w:rsidRPr="00ED79B6" w:rsidRDefault="008B49F8" w:rsidP="00D753F7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931F3" w14:textId="2B7BA5C8" w:rsidR="008B49F8" w:rsidRPr="00E33C1C" w:rsidRDefault="008B49F8" w:rsidP="00D753F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7" w:name="_Hlk26285929"/>
    <w:bookmarkStart w:id="28" w:name="_Hlk26285930"/>
    <w:bookmarkStart w:id="29" w:name="_Hlk26285933"/>
    <w:bookmarkStart w:id="30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B49F8" w14:paraId="540194B0" w14:textId="77777777" w:rsidTr="002539A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83E0C79" w14:textId="77777777" w:rsidR="008B49F8" w:rsidRDefault="008B49F8" w:rsidP="00D753F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714596" w14:textId="0C17AE3F" w:rsidR="008B49F8" w:rsidRDefault="008B49F8" w:rsidP="00D753F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C70BCD">
            <w:rPr>
              <w:i/>
              <w:noProof/>
              <w:sz w:val="18"/>
            </w:rPr>
            <w:t>Currency (Australian Coins) Amendment (2020 Royal Australian Mint No. 2) Determination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877E35" w14:textId="063E0276" w:rsidR="008B49F8" w:rsidRDefault="008B49F8" w:rsidP="00D753F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70BC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7"/>
    <w:bookmarkEnd w:id="28"/>
    <w:bookmarkEnd w:id="29"/>
    <w:bookmarkEnd w:id="30"/>
  </w:tbl>
  <w:p w14:paraId="08A6DACE" w14:textId="77777777" w:rsidR="008B49F8" w:rsidRPr="00ED79B6" w:rsidRDefault="008B49F8" w:rsidP="00D753F7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7E8AF" w14:textId="77777777" w:rsidR="008B49F8" w:rsidRPr="00E33C1C" w:rsidRDefault="008B49F8" w:rsidP="00D753F7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3" w:name="_Hlk26285931"/>
    <w:bookmarkStart w:id="34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B49F8" w14:paraId="04A36170" w14:textId="77777777" w:rsidTr="002539A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0365AD1" w14:textId="77777777" w:rsidR="008B49F8" w:rsidRDefault="008B49F8" w:rsidP="00D753F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046C437" w14:textId="58D0F155" w:rsidR="008B49F8" w:rsidRDefault="008B49F8" w:rsidP="00D753F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21E9F">
            <w:rPr>
              <w:i/>
              <w:sz w:val="18"/>
            </w:rPr>
            <w:t>[title] Amendment [type]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5E245F9" w14:textId="77777777" w:rsidR="008B49F8" w:rsidRDefault="008B49F8" w:rsidP="00D753F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3"/>
    <w:bookmarkEnd w:id="34"/>
  </w:tbl>
  <w:p w14:paraId="72103B4A" w14:textId="77777777" w:rsidR="008B49F8" w:rsidRPr="00ED79B6" w:rsidRDefault="008B49F8" w:rsidP="00D753F7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0B1EC" w14:textId="77777777" w:rsidR="008B49F8" w:rsidRDefault="008B49F8" w:rsidP="00F5638C">
      <w:pPr>
        <w:spacing w:line="240" w:lineRule="auto"/>
      </w:pPr>
      <w:r>
        <w:separator/>
      </w:r>
    </w:p>
  </w:footnote>
  <w:footnote w:type="continuationSeparator" w:id="0">
    <w:p w14:paraId="19C41CCC" w14:textId="77777777" w:rsidR="008B49F8" w:rsidRDefault="008B49F8" w:rsidP="00F5638C">
      <w:pPr>
        <w:spacing w:line="240" w:lineRule="auto"/>
      </w:pPr>
      <w:r>
        <w:continuationSeparator/>
      </w:r>
    </w:p>
  </w:footnote>
  <w:footnote w:type="continuationNotice" w:id="1">
    <w:p w14:paraId="515CEF85" w14:textId="77777777" w:rsidR="008B49F8" w:rsidRDefault="008B49F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56140" w14:textId="483907D1" w:rsidR="008B49F8" w:rsidRPr="005F1388" w:rsidRDefault="008B49F8" w:rsidP="00D753F7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58240" w14:textId="511FF02C" w:rsidR="008B49F8" w:rsidRPr="005F1388" w:rsidRDefault="008B49F8" w:rsidP="00D753F7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E4C28" w14:textId="77777777" w:rsidR="008B49F8" w:rsidRPr="005F1388" w:rsidRDefault="008B49F8" w:rsidP="00D753F7">
    <w:pPr>
      <w:pStyle w:val="Header"/>
      <w:tabs>
        <w:tab w:val="clear" w:pos="4150"/>
        <w:tab w:val="clear" w:pos="8307"/>
      </w:tabs>
    </w:pPr>
    <w:bookmarkStart w:id="5" w:name="_Hlk26285901"/>
    <w:bookmarkStart w:id="6" w:name="_Hlk26285902"/>
    <w:bookmarkEnd w:id="5"/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A150D" w14:textId="0A5DA93F" w:rsidR="008B49F8" w:rsidRPr="00ED79B6" w:rsidRDefault="008B49F8" w:rsidP="00D753F7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DA5D7" w14:textId="7527A01F" w:rsidR="008B49F8" w:rsidRPr="00ED79B6" w:rsidRDefault="008B49F8" w:rsidP="00D753F7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5472B" w14:textId="77777777" w:rsidR="008B49F8" w:rsidRPr="00ED79B6" w:rsidRDefault="008B49F8" w:rsidP="00D753F7">
    <w:pPr>
      <w:pStyle w:val="Header"/>
      <w:tabs>
        <w:tab w:val="clear" w:pos="4150"/>
        <w:tab w:val="clear" w:pos="8307"/>
      </w:tabs>
    </w:pPr>
    <w:bookmarkStart w:id="15" w:name="_Hlk26285913"/>
    <w:bookmarkStart w:id="16" w:name="_Hlk26285914"/>
    <w:bookmarkEnd w:id="15"/>
    <w:bookmarkEnd w:id="16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6064C" w14:textId="40794786" w:rsidR="008B49F8" w:rsidRPr="00A961C4" w:rsidRDefault="008B49F8" w:rsidP="00D753F7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70BC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70BCD">
      <w:rPr>
        <w:noProof/>
        <w:sz w:val="20"/>
      </w:rPr>
      <w:t>Amendments</w:t>
    </w:r>
    <w:r>
      <w:rPr>
        <w:sz w:val="20"/>
      </w:rPr>
      <w:fldChar w:fldCharType="end"/>
    </w:r>
  </w:p>
  <w:p w14:paraId="7EDC7C14" w14:textId="44167B4B" w:rsidR="008B49F8" w:rsidRPr="00A961C4" w:rsidRDefault="008B49F8" w:rsidP="00D753F7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B910FBD" w14:textId="77777777" w:rsidR="008B49F8" w:rsidRPr="00A961C4" w:rsidRDefault="008B49F8" w:rsidP="00D753F7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3" w:name="_Hlk26285923"/>
  <w:bookmarkStart w:id="24" w:name="_Hlk26285924"/>
  <w:bookmarkStart w:id="25" w:name="_Hlk26285927"/>
  <w:bookmarkStart w:id="26" w:name="_Hlk26285928"/>
  <w:p w14:paraId="5463B9EF" w14:textId="473FB385" w:rsidR="008B49F8" w:rsidRPr="00A961C4" w:rsidRDefault="008B49F8" w:rsidP="00D753F7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0E0F060" w14:textId="3533FA71" w:rsidR="008B49F8" w:rsidRPr="00A961C4" w:rsidRDefault="008B49F8" w:rsidP="00D753F7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23"/>
  <w:bookmarkEnd w:id="24"/>
  <w:bookmarkEnd w:id="25"/>
  <w:bookmarkEnd w:id="26"/>
  <w:p w14:paraId="20725198" w14:textId="77777777" w:rsidR="008B49F8" w:rsidRPr="00A961C4" w:rsidRDefault="008B49F8" w:rsidP="00D753F7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973BC" w14:textId="77777777" w:rsidR="008B49F8" w:rsidRPr="00A961C4" w:rsidRDefault="008B49F8" w:rsidP="00D753F7">
    <w:bookmarkStart w:id="31" w:name="_Hlk26285925"/>
    <w:bookmarkStart w:id="32" w:name="_Hlk26285926"/>
    <w:bookmarkEnd w:id="31"/>
    <w:bookmarkEnd w:id="3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701B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E80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5C57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042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08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42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0E9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C0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0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748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attachedTemplate r:id="rId1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60"/>
    <w:rsid w:val="000224A9"/>
    <w:rsid w:val="00024301"/>
    <w:rsid w:val="00032B37"/>
    <w:rsid w:val="00076859"/>
    <w:rsid w:val="00085BB7"/>
    <w:rsid w:val="0009538A"/>
    <w:rsid w:val="000C7521"/>
    <w:rsid w:val="000D0BB5"/>
    <w:rsid w:val="000F2811"/>
    <w:rsid w:val="00124F1B"/>
    <w:rsid w:val="001560F9"/>
    <w:rsid w:val="00176242"/>
    <w:rsid w:val="001828D9"/>
    <w:rsid w:val="001845FF"/>
    <w:rsid w:val="001B46E0"/>
    <w:rsid w:val="001C46F2"/>
    <w:rsid w:val="001D2CF1"/>
    <w:rsid w:val="001E33D0"/>
    <w:rsid w:val="001F0425"/>
    <w:rsid w:val="00212343"/>
    <w:rsid w:val="00220F58"/>
    <w:rsid w:val="002324F0"/>
    <w:rsid w:val="002336BB"/>
    <w:rsid w:val="002503E0"/>
    <w:rsid w:val="002539A4"/>
    <w:rsid w:val="00260823"/>
    <w:rsid w:val="00281D95"/>
    <w:rsid w:val="002B0264"/>
    <w:rsid w:val="002B0CA8"/>
    <w:rsid w:val="002C33EA"/>
    <w:rsid w:val="002D02CF"/>
    <w:rsid w:val="00300744"/>
    <w:rsid w:val="00303516"/>
    <w:rsid w:val="00303CCF"/>
    <w:rsid w:val="003062B8"/>
    <w:rsid w:val="003476E7"/>
    <w:rsid w:val="00365676"/>
    <w:rsid w:val="0036601C"/>
    <w:rsid w:val="00370825"/>
    <w:rsid w:val="003C1503"/>
    <w:rsid w:val="003C44B5"/>
    <w:rsid w:val="003D3FAC"/>
    <w:rsid w:val="00403ED6"/>
    <w:rsid w:val="004123B6"/>
    <w:rsid w:val="00412BF3"/>
    <w:rsid w:val="004408AC"/>
    <w:rsid w:val="00440C07"/>
    <w:rsid w:val="004441C3"/>
    <w:rsid w:val="0046678B"/>
    <w:rsid w:val="004719F1"/>
    <w:rsid w:val="004929BA"/>
    <w:rsid w:val="004A34A8"/>
    <w:rsid w:val="004B5FE5"/>
    <w:rsid w:val="004B626D"/>
    <w:rsid w:val="004B7C3F"/>
    <w:rsid w:val="004C40AD"/>
    <w:rsid w:val="004C44B6"/>
    <w:rsid w:val="004C6207"/>
    <w:rsid w:val="004D7CF7"/>
    <w:rsid w:val="004E761B"/>
    <w:rsid w:val="004F2343"/>
    <w:rsid w:val="004F2B52"/>
    <w:rsid w:val="004F53C3"/>
    <w:rsid w:val="00502716"/>
    <w:rsid w:val="00505646"/>
    <w:rsid w:val="005068AC"/>
    <w:rsid w:val="0051239F"/>
    <w:rsid w:val="00512466"/>
    <w:rsid w:val="0053708F"/>
    <w:rsid w:val="00545FEE"/>
    <w:rsid w:val="00557344"/>
    <w:rsid w:val="00563705"/>
    <w:rsid w:val="005A6592"/>
    <w:rsid w:val="005C53F0"/>
    <w:rsid w:val="005D6D64"/>
    <w:rsid w:val="005E2C39"/>
    <w:rsid w:val="005F712B"/>
    <w:rsid w:val="0060178A"/>
    <w:rsid w:val="00605AA6"/>
    <w:rsid w:val="00630B2C"/>
    <w:rsid w:val="00644F8A"/>
    <w:rsid w:val="00653B76"/>
    <w:rsid w:val="00654FC8"/>
    <w:rsid w:val="00665591"/>
    <w:rsid w:val="00693A9E"/>
    <w:rsid w:val="00694A89"/>
    <w:rsid w:val="006A0781"/>
    <w:rsid w:val="006B1620"/>
    <w:rsid w:val="006C03CC"/>
    <w:rsid w:val="006D06FB"/>
    <w:rsid w:val="006E0F92"/>
    <w:rsid w:val="006E2B18"/>
    <w:rsid w:val="00721E9F"/>
    <w:rsid w:val="007240BC"/>
    <w:rsid w:val="00725D32"/>
    <w:rsid w:val="00726BD2"/>
    <w:rsid w:val="007327CF"/>
    <w:rsid w:val="00733386"/>
    <w:rsid w:val="0075606D"/>
    <w:rsid w:val="0076239A"/>
    <w:rsid w:val="00784AF5"/>
    <w:rsid w:val="00786201"/>
    <w:rsid w:val="007B079A"/>
    <w:rsid w:val="007B2239"/>
    <w:rsid w:val="007B7B84"/>
    <w:rsid w:val="007D09E7"/>
    <w:rsid w:val="007D16A1"/>
    <w:rsid w:val="007D2FAD"/>
    <w:rsid w:val="007D5092"/>
    <w:rsid w:val="007D722D"/>
    <w:rsid w:val="007D7342"/>
    <w:rsid w:val="007F7DA9"/>
    <w:rsid w:val="008022DD"/>
    <w:rsid w:val="00802821"/>
    <w:rsid w:val="008214D4"/>
    <w:rsid w:val="00826477"/>
    <w:rsid w:val="00846D25"/>
    <w:rsid w:val="0088717D"/>
    <w:rsid w:val="008964F6"/>
    <w:rsid w:val="008B1A76"/>
    <w:rsid w:val="008B2BC5"/>
    <w:rsid w:val="008B49F8"/>
    <w:rsid w:val="008B67F1"/>
    <w:rsid w:val="008D12F1"/>
    <w:rsid w:val="008D7AB7"/>
    <w:rsid w:val="008E4857"/>
    <w:rsid w:val="00903FDC"/>
    <w:rsid w:val="00943AC5"/>
    <w:rsid w:val="009534F2"/>
    <w:rsid w:val="00984355"/>
    <w:rsid w:val="009B17BD"/>
    <w:rsid w:val="009B1CD2"/>
    <w:rsid w:val="009C62AC"/>
    <w:rsid w:val="009D535E"/>
    <w:rsid w:val="009D7CC0"/>
    <w:rsid w:val="009E61D9"/>
    <w:rsid w:val="00A0165A"/>
    <w:rsid w:val="00A048C6"/>
    <w:rsid w:val="00A05B5C"/>
    <w:rsid w:val="00A11DD7"/>
    <w:rsid w:val="00A14C28"/>
    <w:rsid w:val="00A15FE7"/>
    <w:rsid w:val="00A174E5"/>
    <w:rsid w:val="00A23F1F"/>
    <w:rsid w:val="00A275E2"/>
    <w:rsid w:val="00A37251"/>
    <w:rsid w:val="00A42238"/>
    <w:rsid w:val="00A450D4"/>
    <w:rsid w:val="00A5392E"/>
    <w:rsid w:val="00A60268"/>
    <w:rsid w:val="00A65160"/>
    <w:rsid w:val="00AA10FD"/>
    <w:rsid w:val="00AC30D5"/>
    <w:rsid w:val="00AD5558"/>
    <w:rsid w:val="00AF0B34"/>
    <w:rsid w:val="00B2079D"/>
    <w:rsid w:val="00B44C5A"/>
    <w:rsid w:val="00B95023"/>
    <w:rsid w:val="00B975EE"/>
    <w:rsid w:val="00BA592C"/>
    <w:rsid w:val="00BA5B5F"/>
    <w:rsid w:val="00BC5C22"/>
    <w:rsid w:val="00BD35BE"/>
    <w:rsid w:val="00BD7CA0"/>
    <w:rsid w:val="00BF419C"/>
    <w:rsid w:val="00C0572F"/>
    <w:rsid w:val="00C41AA8"/>
    <w:rsid w:val="00C50E87"/>
    <w:rsid w:val="00C7092F"/>
    <w:rsid w:val="00C70BCD"/>
    <w:rsid w:val="00C85A00"/>
    <w:rsid w:val="00C9209D"/>
    <w:rsid w:val="00C9500F"/>
    <w:rsid w:val="00C967CC"/>
    <w:rsid w:val="00CA24D8"/>
    <w:rsid w:val="00CA3AF6"/>
    <w:rsid w:val="00CA511A"/>
    <w:rsid w:val="00CB467B"/>
    <w:rsid w:val="00CB4B17"/>
    <w:rsid w:val="00CC285E"/>
    <w:rsid w:val="00CC5110"/>
    <w:rsid w:val="00CD447B"/>
    <w:rsid w:val="00CE09AF"/>
    <w:rsid w:val="00CE210B"/>
    <w:rsid w:val="00CE2799"/>
    <w:rsid w:val="00CE7380"/>
    <w:rsid w:val="00CF2B61"/>
    <w:rsid w:val="00D0323C"/>
    <w:rsid w:val="00D14B18"/>
    <w:rsid w:val="00D262B4"/>
    <w:rsid w:val="00D27921"/>
    <w:rsid w:val="00D30A07"/>
    <w:rsid w:val="00D361F4"/>
    <w:rsid w:val="00D47793"/>
    <w:rsid w:val="00D64B6F"/>
    <w:rsid w:val="00D753F7"/>
    <w:rsid w:val="00D84A5E"/>
    <w:rsid w:val="00DA3591"/>
    <w:rsid w:val="00DA483A"/>
    <w:rsid w:val="00DE41E4"/>
    <w:rsid w:val="00DF5343"/>
    <w:rsid w:val="00E01DED"/>
    <w:rsid w:val="00E031F7"/>
    <w:rsid w:val="00E12519"/>
    <w:rsid w:val="00E41466"/>
    <w:rsid w:val="00E45FB0"/>
    <w:rsid w:val="00E561A4"/>
    <w:rsid w:val="00E6678E"/>
    <w:rsid w:val="00E66B12"/>
    <w:rsid w:val="00E75652"/>
    <w:rsid w:val="00E90CE1"/>
    <w:rsid w:val="00E94D06"/>
    <w:rsid w:val="00EB35C0"/>
    <w:rsid w:val="00EC09F3"/>
    <w:rsid w:val="00ED0073"/>
    <w:rsid w:val="00ED6882"/>
    <w:rsid w:val="00EF1FE4"/>
    <w:rsid w:val="00F00194"/>
    <w:rsid w:val="00F306AF"/>
    <w:rsid w:val="00F37A0D"/>
    <w:rsid w:val="00F46986"/>
    <w:rsid w:val="00F47F6D"/>
    <w:rsid w:val="00F5638C"/>
    <w:rsid w:val="00F64788"/>
    <w:rsid w:val="00F72BDE"/>
    <w:rsid w:val="00F94080"/>
    <w:rsid w:val="00FA7DFC"/>
    <w:rsid w:val="00FB5F65"/>
    <w:rsid w:val="00FB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3A6FEF"/>
  <w15:chartTrackingRefBased/>
  <w15:docId w15:val="{51C3CC69-D636-40F0-9B94-BF78B2EA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5638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638C"/>
  </w:style>
  <w:style w:type="paragraph" w:customStyle="1" w:styleId="Blocks">
    <w:name w:val="Blocks"/>
    <w:aliases w:val="bb"/>
    <w:basedOn w:val="OPCParaBase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638C"/>
    <w:rPr>
      <w:i/>
    </w:rPr>
  </w:style>
  <w:style w:type="paragraph" w:customStyle="1" w:styleId="BoxList">
    <w:name w:val="BoxList"/>
    <w:aliases w:val="bl"/>
    <w:basedOn w:val="BoxText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uiPriority w:val="1"/>
    <w:qFormat/>
    <w:rsid w:val="00F5638C"/>
  </w:style>
  <w:style w:type="character" w:customStyle="1" w:styleId="CharDivText">
    <w:name w:val="CharDivText"/>
    <w:basedOn w:val="OPCCharBase"/>
    <w:uiPriority w:val="1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uiPriority w:val="1"/>
    <w:qFormat/>
    <w:rsid w:val="00F5638C"/>
  </w:style>
  <w:style w:type="character" w:customStyle="1" w:styleId="CharPartText">
    <w:name w:val="CharPartText"/>
    <w:basedOn w:val="OPCCharBase"/>
    <w:uiPriority w:val="1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638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5638C"/>
  </w:style>
  <w:style w:type="paragraph" w:customStyle="1" w:styleId="TableHeading">
    <w:name w:val="TableHeading"/>
    <w:aliases w:val="th"/>
    <w:basedOn w:val="OPCParaBase"/>
    <w:next w:val="Tabletext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TabletextChar">
    <w:name w:val="Tabletext Char"/>
    <w:aliases w:val="tt Char"/>
    <w:basedOn w:val="DefaultParagraphFont"/>
    <w:link w:val="Tabletext"/>
    <w:rsid w:val="00AA10FD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text0">
    <w:name w:val="tabletext"/>
    <w:basedOn w:val="Normal"/>
    <w:rsid w:val="004C44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a0">
    <w:name w:val="tablea"/>
    <w:basedOn w:val="Normal"/>
    <w:rsid w:val="004C44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i0">
    <w:name w:val="tablei"/>
    <w:basedOn w:val="Normal"/>
    <w:rsid w:val="004C44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001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0194"/>
    <w:pPr>
      <w:spacing w:after="160" w:line="240" w:lineRule="auto"/>
    </w:pPr>
    <w:rPr>
      <w:rFonts w:asciiTheme="minorHAnsi" w:hAnsiTheme="minorHAns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0194"/>
    <w:rPr>
      <w:sz w:val="20"/>
      <w:szCs w:val="20"/>
    </w:rPr>
  </w:style>
  <w:style w:type="paragraph" w:customStyle="1" w:styleId="Default">
    <w:name w:val="Default"/>
    <w:rsid w:val="004D7C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3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29169" ma:contentTypeDescription=" " ma:contentTypeScope="" ma:versionID="640235d381fc0d2b3528ee7793eeb1c0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e075020021329a76efb76bd10c493362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IconOverlay xmlns="http://schemas.microsoft.com/sharepoint/v4" xsi:nil="true"/>
    <TaxCatchAll xmlns="0f563589-9cf9-4143-b1eb-fb0534803d38">
      <Value>7</Value>
    </TaxCatchAll>
    <_dlc_DocId xmlns="0f563589-9cf9-4143-b1eb-fb0534803d38">2020RG-111-14405</_dlc_DocId>
    <_dlc_DocIdUrl xmlns="0f563589-9cf9-4143-b1eb-fb0534803d38">
      <Url>http://tweb/sites/rg/ldp/lmu/_layouts/15/DocIdRedir.aspx?ID=2020RG-111-14405</Url>
      <Description>2020RG-111-14405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03B6F-7437-4A5C-A7A0-4EB522EF8F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D0B47C-769A-4942-8708-6351FF80F0E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D8A5393-DB1F-4537-881B-4CB2D03958A5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BAB9BBBB-7B6D-43F0-A02C-D93FD6E95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F8C6C58-B133-4BA3-BA20-0533D7047167}">
  <ds:schemaRefs>
    <ds:schemaRef ds:uri="http://schemas.microsoft.com/office/infopath/2007/PartnerControls"/>
    <ds:schemaRef ds:uri="0f563589-9cf9-4143-b1eb-fb0534803d38"/>
    <ds:schemaRef ds:uri="http://purl.org/dc/elements/1.1/"/>
    <ds:schemaRef ds:uri="http://schemas.microsoft.com/office/2006/metadata/properties"/>
    <ds:schemaRef ds:uri="http://schemas.microsoft.com/sharepoint/v3"/>
    <ds:schemaRef ds:uri="9f7bc583-7cbe-45b9-a2bd-8bbb6543b37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sharepoint/v4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5783FDCE-7715-4BCD-ADE0-171E01618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665</TotalTime>
  <Pages>12</Pages>
  <Words>2247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200421-LI-RAM No 2 2020_TSY_46_077.master</dc:title>
  <dc:subject/>
  <dc:creator>Lloyd, Madeleine</dc:creator>
  <cp:keywords/>
  <dc:description/>
  <cp:lastModifiedBy>Rolfe, Jacqueline</cp:lastModifiedBy>
  <cp:revision>153</cp:revision>
  <cp:lastPrinted>2020-05-14T01:13:00Z</cp:lastPrinted>
  <dcterms:created xsi:type="dcterms:W3CDTF">2020-04-20T22:48:00Z</dcterms:created>
  <dcterms:modified xsi:type="dcterms:W3CDTF">2020-05-21T03:17:00Z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Amendment [type] 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2017</vt:lpwstr>
  </property>
  <property fmtid="{D5CDD505-2E9C-101B-9397-08002B2CF9AE}" pid="10" name="ID">
    <vt:lpwstr> 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ContentTypeId">
    <vt:lpwstr>0x01010036BB8DE7EC542E42A8B2E98CC20CB69700D5C18F41BA18FB44827A222ACD6776F5</vt:lpwstr>
  </property>
  <property fmtid="{D5CDD505-2E9C-101B-9397-08002B2CF9AE}" pid="14" name="TSYRecordClass">
    <vt:lpwstr>7;#TSY RA-9236 - Retain as national archives|c6a225b4-6b93-473e-bcbb-6bc6ab25b623</vt:lpwstr>
  </property>
  <property fmtid="{D5CDD505-2E9C-101B-9397-08002B2CF9AE}" pid="15" name="_dlc_DocIdItemGuid">
    <vt:lpwstr>7a1c8fef-1fcb-46b8-9bab-828364f4c4e4</vt:lpwstr>
  </property>
  <property fmtid="{D5CDD505-2E9C-101B-9397-08002B2CF9AE}" pid="16" name="RecordPoint_WorkflowType">
    <vt:lpwstr>ActiveSubmitStub</vt:lpwstr>
  </property>
  <property fmtid="{D5CDD505-2E9C-101B-9397-08002B2CF9AE}" pid="17" name="RecordPoint_ActiveItemUniqueId">
    <vt:lpwstr>{68b92577-f7ce-45f9-908d-2b709fe224c4}</vt:lpwstr>
  </property>
  <property fmtid="{D5CDD505-2E9C-101B-9397-08002B2CF9AE}" pid="18" name="RecordPoint_ActiveItemWebId">
    <vt:lpwstr>{09392e0d-4618-463d-b4d2-50a90b9447cf}</vt:lpwstr>
  </property>
  <property fmtid="{D5CDD505-2E9C-101B-9397-08002B2CF9AE}" pid="19" name="RecordPoint_ActiveItemSiteId">
    <vt:lpwstr>{5b52b9a5-e5b2-4521-8814-a1e24ca2869d}</vt:lpwstr>
  </property>
  <property fmtid="{D5CDD505-2E9C-101B-9397-08002B2CF9AE}" pid="20" name="RecordPoint_ActiveItemListId">
    <vt:lpwstr>{687b78b0-2ddd-4441-8a8b-c9638c2a1939}</vt:lpwstr>
  </property>
  <property fmtid="{D5CDD505-2E9C-101B-9397-08002B2CF9AE}" pid="21" name="RecordPoint_RecordNumberSubmitted">
    <vt:lpwstr>R0002254342</vt:lpwstr>
  </property>
  <property fmtid="{D5CDD505-2E9C-101B-9397-08002B2CF9AE}" pid="22" name="RecordPoint_SubmissionCompleted">
    <vt:lpwstr>2020-05-14T11:37:47.6214887+10:00</vt:lpwstr>
  </property>
  <property fmtid="{D5CDD505-2E9C-101B-9397-08002B2CF9AE}" pid="23" name="Order">
    <vt:r8>1440500</vt:r8>
  </property>
  <property fmtid="{D5CDD505-2E9C-101B-9397-08002B2CF9AE}" pid="24" name="oae75e2df9d943898d59cb03ca0993c5">
    <vt:lpwstr/>
  </property>
  <property fmtid="{D5CDD505-2E9C-101B-9397-08002B2CF9AE}" pid="25" name="Topics">
    <vt:lpwstr/>
  </property>
</Properties>
</file>