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483EF" w14:textId="77777777" w:rsidR="00961E62" w:rsidRPr="009F1D5B" w:rsidRDefault="00961E62" w:rsidP="009F1D5B">
      <w:pPr>
        <w:spacing w:before="240" w:after="240" w:line="276" w:lineRule="auto"/>
        <w:ind w:right="-1"/>
        <w:jc w:val="center"/>
        <w:rPr>
          <w:sz w:val="22"/>
          <w:szCs w:val="22"/>
          <w:u w:val="single"/>
          <w:lang w:eastAsia="en-AU"/>
        </w:rPr>
      </w:pPr>
      <w:r w:rsidRPr="009F1D5B">
        <w:rPr>
          <w:sz w:val="22"/>
          <w:szCs w:val="22"/>
          <w:u w:val="single"/>
          <w:lang w:eastAsia="en-AU"/>
        </w:rPr>
        <w:t>EXPLANATORY STATEMENT</w:t>
      </w:r>
    </w:p>
    <w:p w14:paraId="64C64568" w14:textId="300E12F2" w:rsidR="00961E62" w:rsidRPr="009F1D5B" w:rsidRDefault="009F1D5B" w:rsidP="009F1D5B">
      <w:pPr>
        <w:keepNext/>
        <w:spacing w:before="240" w:after="240" w:line="276" w:lineRule="auto"/>
        <w:jc w:val="center"/>
        <w:outlineLvl w:val="0"/>
        <w:rPr>
          <w:sz w:val="22"/>
          <w:szCs w:val="22"/>
        </w:rPr>
      </w:pPr>
      <w:r>
        <w:rPr>
          <w:sz w:val="22"/>
          <w:szCs w:val="22"/>
        </w:rPr>
        <w:t xml:space="preserve">Issued by authority of the </w:t>
      </w:r>
      <w:r w:rsidR="00961E62" w:rsidRPr="009F1D5B">
        <w:rPr>
          <w:sz w:val="22"/>
          <w:szCs w:val="22"/>
        </w:rPr>
        <w:t>Australian Fisheries Management Authority</w:t>
      </w:r>
    </w:p>
    <w:p w14:paraId="2561A1F7" w14:textId="77777777" w:rsidR="00961E62" w:rsidRPr="009F1D5B" w:rsidRDefault="00961E62" w:rsidP="009F1D5B">
      <w:pPr>
        <w:keepNext/>
        <w:spacing w:before="240" w:after="240" w:line="276" w:lineRule="auto"/>
        <w:jc w:val="center"/>
        <w:outlineLvl w:val="0"/>
        <w:rPr>
          <w:i/>
          <w:sz w:val="22"/>
          <w:szCs w:val="22"/>
        </w:rPr>
      </w:pPr>
      <w:r w:rsidRPr="009F1D5B">
        <w:rPr>
          <w:i/>
          <w:sz w:val="22"/>
          <w:szCs w:val="22"/>
        </w:rPr>
        <w:t>Fisheries Management Act 1991</w:t>
      </w:r>
    </w:p>
    <w:p w14:paraId="6D5EFE0E" w14:textId="77777777" w:rsidR="00961E62" w:rsidRPr="009F1D5B" w:rsidRDefault="00961E62" w:rsidP="009F1D5B">
      <w:pPr>
        <w:autoSpaceDE w:val="0"/>
        <w:autoSpaceDN w:val="0"/>
        <w:adjustRightInd w:val="0"/>
        <w:spacing w:before="240" w:after="240" w:line="276" w:lineRule="auto"/>
        <w:jc w:val="center"/>
        <w:rPr>
          <w:i/>
          <w:iCs/>
          <w:sz w:val="22"/>
          <w:szCs w:val="22"/>
        </w:rPr>
      </w:pPr>
      <w:r w:rsidRPr="009F1D5B">
        <w:rPr>
          <w:bCs/>
          <w:i/>
          <w:sz w:val="22"/>
          <w:szCs w:val="22"/>
          <w:lang w:val="en-US"/>
        </w:rPr>
        <w:t>Bass Strait Central Zone Scallop Fishery</w:t>
      </w:r>
      <w:r w:rsidRPr="009F1D5B">
        <w:rPr>
          <w:i/>
          <w:iCs/>
          <w:sz w:val="22"/>
          <w:szCs w:val="22"/>
        </w:rPr>
        <w:t xml:space="preserve"> Management Plan 2002</w:t>
      </w:r>
    </w:p>
    <w:p w14:paraId="30A4A8C9" w14:textId="4F5CA135" w:rsidR="00961E62" w:rsidRPr="009F1D5B" w:rsidRDefault="00961E62" w:rsidP="009F1D5B">
      <w:pPr>
        <w:pStyle w:val="AFMANormal"/>
        <w:spacing w:after="600" w:line="276" w:lineRule="auto"/>
        <w:jc w:val="center"/>
        <w:rPr>
          <w:b/>
          <w:i/>
          <w:sz w:val="22"/>
          <w:szCs w:val="22"/>
        </w:rPr>
      </w:pPr>
      <w:r w:rsidRPr="009F1D5B">
        <w:rPr>
          <w:b/>
          <w:i/>
          <w:sz w:val="22"/>
          <w:szCs w:val="22"/>
        </w:rPr>
        <w:t xml:space="preserve">Bass Strait Central Zone Scallop Fishery </w:t>
      </w:r>
      <w:r w:rsidR="009F1D5B">
        <w:rPr>
          <w:b/>
          <w:i/>
          <w:sz w:val="22"/>
          <w:szCs w:val="22"/>
        </w:rPr>
        <w:t>(</w:t>
      </w:r>
      <w:r w:rsidR="00742440">
        <w:rPr>
          <w:b/>
          <w:i/>
          <w:sz w:val="22"/>
          <w:szCs w:val="22"/>
        </w:rPr>
        <w:t>Fishing Season</w:t>
      </w:r>
      <w:r w:rsidR="009F1D5B">
        <w:rPr>
          <w:b/>
          <w:i/>
          <w:sz w:val="22"/>
          <w:szCs w:val="22"/>
        </w:rPr>
        <w:t>)</w:t>
      </w:r>
      <w:r w:rsidRPr="009F1D5B">
        <w:rPr>
          <w:b/>
          <w:i/>
          <w:sz w:val="22"/>
          <w:szCs w:val="22"/>
        </w:rPr>
        <w:t xml:space="preserve"> Determination </w:t>
      </w:r>
      <w:r w:rsidR="00B56399" w:rsidRPr="009F1D5B">
        <w:rPr>
          <w:b/>
          <w:i/>
          <w:sz w:val="22"/>
          <w:szCs w:val="22"/>
        </w:rPr>
        <w:t>20</w:t>
      </w:r>
      <w:r w:rsidR="00DA0E8C">
        <w:rPr>
          <w:b/>
          <w:i/>
          <w:sz w:val="22"/>
          <w:szCs w:val="22"/>
        </w:rPr>
        <w:t>20</w:t>
      </w:r>
    </w:p>
    <w:p w14:paraId="7DA6CC4D" w14:textId="2E5096C2" w:rsidR="00EF3ECB" w:rsidRDefault="00EF3ECB" w:rsidP="00EF3ECB">
      <w:pPr>
        <w:pStyle w:val="AFMANormal"/>
        <w:spacing w:after="240" w:line="276" w:lineRule="auto"/>
        <w:rPr>
          <w:sz w:val="22"/>
          <w:szCs w:val="22"/>
        </w:rPr>
      </w:pPr>
      <w:r>
        <w:rPr>
          <w:sz w:val="22"/>
          <w:szCs w:val="22"/>
        </w:rPr>
        <w:t xml:space="preserve">Subsection </w:t>
      </w:r>
      <w:bookmarkStart w:id="0" w:name="_GoBack"/>
      <w:r>
        <w:rPr>
          <w:sz w:val="22"/>
          <w:szCs w:val="22"/>
        </w:rPr>
        <w:t>17</w:t>
      </w:r>
      <w:bookmarkEnd w:id="0"/>
      <w:r>
        <w:rPr>
          <w:sz w:val="22"/>
          <w:szCs w:val="22"/>
        </w:rPr>
        <w:t xml:space="preserve">(5) of the </w:t>
      </w:r>
      <w:r>
        <w:rPr>
          <w:i/>
          <w:iCs/>
          <w:sz w:val="22"/>
          <w:szCs w:val="22"/>
        </w:rPr>
        <w:t xml:space="preserve">Fisheries Management Act 1991 </w:t>
      </w:r>
      <w:r>
        <w:rPr>
          <w:sz w:val="22"/>
          <w:szCs w:val="22"/>
        </w:rPr>
        <w:t>(the Act) provides that a plan of management made under section 17 of the Act may provide for the Australian Fisheries Management Authority (AFMA) to give particular determinations for the purposes of attaining the object</w:t>
      </w:r>
      <w:r w:rsidR="00D16F2F">
        <w:rPr>
          <w:sz w:val="22"/>
          <w:szCs w:val="22"/>
        </w:rPr>
        <w:t>ives of the plan of management.</w:t>
      </w:r>
    </w:p>
    <w:p w14:paraId="552CEA8F" w14:textId="639B506A" w:rsidR="00EF3ECB" w:rsidRDefault="00A0011E" w:rsidP="00EF3ECB">
      <w:pPr>
        <w:pStyle w:val="AFMANormal"/>
        <w:spacing w:after="240" w:line="276" w:lineRule="auto"/>
        <w:rPr>
          <w:sz w:val="22"/>
          <w:szCs w:val="22"/>
        </w:rPr>
      </w:pPr>
      <w:r>
        <w:rPr>
          <w:sz w:val="22"/>
          <w:szCs w:val="22"/>
        </w:rPr>
        <w:t>Paragraph</w:t>
      </w:r>
      <w:r w:rsidR="00EF3ECB">
        <w:rPr>
          <w:sz w:val="22"/>
          <w:szCs w:val="22"/>
        </w:rPr>
        <w:t xml:space="preserve"> 17(6)(aa) of the Act provides that a plan of management may determine or provide for AFMA to determine the fishing capacity measured, by that method or those methods permitted for the fishery or a part of the fishery in respect of a particular period or periods.</w:t>
      </w:r>
    </w:p>
    <w:p w14:paraId="07F00DEB" w14:textId="5FF5C429" w:rsidR="00EF3ECB" w:rsidRDefault="00EF3ECB" w:rsidP="00EF3ECB">
      <w:pPr>
        <w:pStyle w:val="AFMANormal"/>
        <w:spacing w:after="240" w:line="276" w:lineRule="auto"/>
        <w:rPr>
          <w:sz w:val="22"/>
          <w:szCs w:val="22"/>
        </w:rPr>
      </w:pPr>
      <w:r>
        <w:rPr>
          <w:sz w:val="22"/>
          <w:szCs w:val="22"/>
        </w:rPr>
        <w:t xml:space="preserve">Section 3.1 of the </w:t>
      </w:r>
      <w:r w:rsidRPr="00EF3ECB">
        <w:rPr>
          <w:i/>
          <w:sz w:val="22"/>
          <w:szCs w:val="22"/>
        </w:rPr>
        <w:t>Bass Strait Central Zone Scallop Fishery Management Plan 2002</w:t>
      </w:r>
      <w:r>
        <w:rPr>
          <w:sz w:val="22"/>
          <w:szCs w:val="22"/>
        </w:rPr>
        <w:t xml:space="preserve"> (the Plan) provides that the definition of the term ‘fishing season’ means the period determined by AFMA. </w:t>
      </w:r>
    </w:p>
    <w:p w14:paraId="4858DD66" w14:textId="66FB9302" w:rsidR="00EF3ECB" w:rsidRDefault="00EF3ECB" w:rsidP="00EF3ECB">
      <w:pPr>
        <w:pStyle w:val="AFMANormal"/>
        <w:spacing w:after="240" w:line="276" w:lineRule="auto"/>
        <w:rPr>
          <w:sz w:val="22"/>
          <w:szCs w:val="22"/>
        </w:rPr>
      </w:pPr>
      <w:r>
        <w:rPr>
          <w:sz w:val="22"/>
          <w:szCs w:val="22"/>
        </w:rPr>
        <w:t xml:space="preserve">The </w:t>
      </w:r>
      <w:r w:rsidRPr="00EF3ECB">
        <w:rPr>
          <w:i/>
          <w:sz w:val="22"/>
          <w:szCs w:val="22"/>
        </w:rPr>
        <w:t>Bass Strait Central Zone Scallop Fishery (Fishing Season) Determination 2020</w:t>
      </w:r>
      <w:r>
        <w:rPr>
          <w:sz w:val="22"/>
          <w:szCs w:val="22"/>
        </w:rPr>
        <w:t xml:space="preserve"> (the Determination) is a legislative instrument for the purposes of the </w:t>
      </w:r>
      <w:r w:rsidRPr="00EF3ECB">
        <w:rPr>
          <w:i/>
          <w:sz w:val="22"/>
          <w:szCs w:val="22"/>
        </w:rPr>
        <w:t>Legislation Act 2003</w:t>
      </w:r>
      <w:r>
        <w:rPr>
          <w:i/>
          <w:sz w:val="22"/>
          <w:szCs w:val="22"/>
        </w:rPr>
        <w:t>.</w:t>
      </w:r>
    </w:p>
    <w:p w14:paraId="4669D8D2" w14:textId="11EC397C" w:rsidR="00EF3ECB" w:rsidRDefault="00EF3ECB" w:rsidP="00EF3ECB">
      <w:pPr>
        <w:pStyle w:val="AFMANormal"/>
        <w:spacing w:after="240" w:line="276" w:lineRule="auto"/>
        <w:rPr>
          <w:sz w:val="22"/>
          <w:szCs w:val="22"/>
        </w:rPr>
      </w:pPr>
      <w:r>
        <w:rPr>
          <w:sz w:val="22"/>
          <w:szCs w:val="22"/>
        </w:rPr>
        <w:t>The Determination determines the 2020 fishing season for the Bass Strait Central Zone Scallop Fishery (the</w:t>
      </w:r>
      <w:r w:rsidR="00E64717">
        <w:rPr>
          <w:sz w:val="22"/>
          <w:szCs w:val="22"/>
        </w:rPr>
        <w:t xml:space="preserve"> </w:t>
      </w:r>
      <w:r>
        <w:rPr>
          <w:sz w:val="22"/>
          <w:szCs w:val="22"/>
        </w:rPr>
        <w:t xml:space="preserve">Fishery) as the period </w:t>
      </w:r>
      <w:r w:rsidR="00F74259">
        <w:rPr>
          <w:sz w:val="22"/>
          <w:szCs w:val="22"/>
        </w:rPr>
        <w:t>commencing</w:t>
      </w:r>
      <w:r>
        <w:rPr>
          <w:sz w:val="22"/>
          <w:szCs w:val="22"/>
        </w:rPr>
        <w:t xml:space="preserve"> </w:t>
      </w:r>
      <w:r w:rsidR="00A60DF8">
        <w:rPr>
          <w:sz w:val="22"/>
          <w:szCs w:val="22"/>
        </w:rPr>
        <w:t xml:space="preserve">on </w:t>
      </w:r>
      <w:r>
        <w:rPr>
          <w:sz w:val="22"/>
          <w:szCs w:val="22"/>
        </w:rPr>
        <w:t xml:space="preserve">12 July 2020 and ending </w:t>
      </w:r>
      <w:r w:rsidR="007C2D9A">
        <w:rPr>
          <w:sz w:val="22"/>
          <w:szCs w:val="22"/>
        </w:rPr>
        <w:t xml:space="preserve">on </w:t>
      </w:r>
      <w:r>
        <w:rPr>
          <w:sz w:val="22"/>
          <w:szCs w:val="22"/>
        </w:rPr>
        <w:t xml:space="preserve">31 </w:t>
      </w:r>
      <w:r w:rsidR="00086891">
        <w:rPr>
          <w:sz w:val="22"/>
          <w:szCs w:val="22"/>
        </w:rPr>
        <w:t>December</w:t>
      </w:r>
      <w:r>
        <w:rPr>
          <w:sz w:val="22"/>
          <w:szCs w:val="22"/>
        </w:rPr>
        <w:t xml:space="preserve"> 2020. </w:t>
      </w:r>
    </w:p>
    <w:p w14:paraId="19DC2B07" w14:textId="77777777" w:rsidR="00996798" w:rsidRPr="009F1D5B" w:rsidRDefault="00996798" w:rsidP="00996798">
      <w:pPr>
        <w:pStyle w:val="AFMANormal"/>
        <w:spacing w:after="240" w:line="276" w:lineRule="auto"/>
        <w:rPr>
          <w:b/>
          <w:sz w:val="22"/>
          <w:szCs w:val="22"/>
        </w:rPr>
      </w:pPr>
      <w:r>
        <w:rPr>
          <w:b/>
          <w:sz w:val="22"/>
          <w:szCs w:val="22"/>
        </w:rPr>
        <w:t>Purpose</w:t>
      </w:r>
    </w:p>
    <w:p w14:paraId="2E6B64B7" w14:textId="452E23DE" w:rsidR="00996798" w:rsidRPr="00996798" w:rsidRDefault="00996798" w:rsidP="00996798">
      <w:pPr>
        <w:pStyle w:val="AFMANormal"/>
        <w:spacing w:after="240" w:line="276" w:lineRule="auto"/>
        <w:rPr>
          <w:sz w:val="22"/>
          <w:szCs w:val="22"/>
        </w:rPr>
      </w:pPr>
      <w:r w:rsidRPr="00996798">
        <w:rPr>
          <w:sz w:val="22"/>
          <w:szCs w:val="22"/>
        </w:rPr>
        <w:t>The</w:t>
      </w:r>
      <w:r w:rsidR="004952F7">
        <w:rPr>
          <w:sz w:val="22"/>
          <w:szCs w:val="22"/>
        </w:rPr>
        <w:t xml:space="preserve"> period for the fishing season </w:t>
      </w:r>
      <w:r w:rsidRPr="00996798">
        <w:rPr>
          <w:sz w:val="22"/>
          <w:szCs w:val="22"/>
        </w:rPr>
        <w:t>in the Determination is consistent with the purpose of the Fishery Harvest Strategy, which allows for the Fishery to be opened following a research survey and then closed on 31 December to protect settling or newly-settle commercial scallop spat. While a research survey was not conducted in 2020 due to the logistical and work health and safety issues arising from the Covid-19 pandemic</w:t>
      </w:r>
      <w:r w:rsidR="00B51573">
        <w:rPr>
          <w:sz w:val="22"/>
          <w:szCs w:val="22"/>
        </w:rPr>
        <w:t>,</w:t>
      </w:r>
      <w:r w:rsidRPr="00996798">
        <w:rPr>
          <w:sz w:val="22"/>
          <w:szCs w:val="22"/>
        </w:rPr>
        <w:t xml:space="preserve"> the proposed period for the 2020 fishing season is</w:t>
      </w:r>
      <w:r w:rsidR="004952F7">
        <w:rPr>
          <w:sz w:val="22"/>
          <w:szCs w:val="22"/>
        </w:rPr>
        <w:t xml:space="preserve"> the same as for the 2019 fishing season, and is consistent with the </w:t>
      </w:r>
      <w:r w:rsidRPr="00996798">
        <w:rPr>
          <w:sz w:val="22"/>
          <w:szCs w:val="22"/>
        </w:rPr>
        <w:t>intent of the Fishery Harvest Strategy</w:t>
      </w:r>
      <w:r w:rsidR="00663130">
        <w:rPr>
          <w:sz w:val="22"/>
          <w:szCs w:val="22"/>
        </w:rPr>
        <w:t>; that is,</w:t>
      </w:r>
      <w:r w:rsidR="004952F7">
        <w:rPr>
          <w:sz w:val="22"/>
          <w:szCs w:val="22"/>
        </w:rPr>
        <w:t xml:space="preserve"> to promote successful spawning and recruitment</w:t>
      </w:r>
      <w:r w:rsidRPr="00996798">
        <w:rPr>
          <w:sz w:val="22"/>
          <w:szCs w:val="22"/>
        </w:rPr>
        <w:t xml:space="preserve">. </w:t>
      </w:r>
    </w:p>
    <w:p w14:paraId="69038AA8" w14:textId="0507A7B8" w:rsidR="00996798" w:rsidRDefault="004952F7" w:rsidP="00996798">
      <w:pPr>
        <w:pStyle w:val="AFMANormal"/>
        <w:spacing w:after="240" w:line="276" w:lineRule="auto"/>
        <w:rPr>
          <w:sz w:val="22"/>
          <w:szCs w:val="22"/>
        </w:rPr>
      </w:pPr>
      <w:r>
        <w:rPr>
          <w:sz w:val="22"/>
          <w:szCs w:val="22"/>
        </w:rPr>
        <w:t xml:space="preserve">The </w:t>
      </w:r>
      <w:r w:rsidRPr="00996798">
        <w:rPr>
          <w:sz w:val="22"/>
          <w:szCs w:val="22"/>
        </w:rPr>
        <w:t xml:space="preserve">2020 </w:t>
      </w:r>
      <w:r>
        <w:rPr>
          <w:sz w:val="22"/>
          <w:szCs w:val="22"/>
        </w:rPr>
        <w:t>c</w:t>
      </w:r>
      <w:r w:rsidR="00996798" w:rsidRPr="00996798">
        <w:rPr>
          <w:sz w:val="22"/>
          <w:szCs w:val="22"/>
        </w:rPr>
        <w:t>ommercial scallop T</w:t>
      </w:r>
      <w:r w:rsidR="00B51573">
        <w:rPr>
          <w:sz w:val="22"/>
          <w:szCs w:val="22"/>
        </w:rPr>
        <w:t xml:space="preserve">otal </w:t>
      </w:r>
      <w:r w:rsidR="00996798" w:rsidRPr="00996798">
        <w:rPr>
          <w:sz w:val="22"/>
          <w:szCs w:val="22"/>
        </w:rPr>
        <w:t>A</w:t>
      </w:r>
      <w:r w:rsidR="00B51573">
        <w:rPr>
          <w:sz w:val="22"/>
          <w:szCs w:val="22"/>
        </w:rPr>
        <w:t xml:space="preserve">llowable </w:t>
      </w:r>
      <w:r w:rsidR="00996798" w:rsidRPr="00996798">
        <w:rPr>
          <w:sz w:val="22"/>
          <w:szCs w:val="22"/>
        </w:rPr>
        <w:t>C</w:t>
      </w:r>
      <w:r w:rsidR="00B51573">
        <w:rPr>
          <w:sz w:val="22"/>
          <w:szCs w:val="22"/>
        </w:rPr>
        <w:t>atch (TAC)</w:t>
      </w:r>
      <w:r w:rsidR="00996798" w:rsidRPr="00996798">
        <w:rPr>
          <w:sz w:val="22"/>
          <w:szCs w:val="22"/>
        </w:rPr>
        <w:t xml:space="preserve"> </w:t>
      </w:r>
      <w:r>
        <w:rPr>
          <w:sz w:val="22"/>
          <w:szCs w:val="22"/>
        </w:rPr>
        <w:t xml:space="preserve">and </w:t>
      </w:r>
      <w:r w:rsidR="00996798" w:rsidRPr="00996798">
        <w:rPr>
          <w:sz w:val="22"/>
          <w:szCs w:val="22"/>
        </w:rPr>
        <w:t xml:space="preserve">spatial closures are being determined by AFMA at the same time as the making of the Determination (see the </w:t>
      </w:r>
      <w:r w:rsidR="00996798" w:rsidRPr="00996798">
        <w:rPr>
          <w:i/>
          <w:sz w:val="22"/>
          <w:szCs w:val="22"/>
        </w:rPr>
        <w:t>Bass Strait Central Zone Scallop Fishery (Total Allowable Catch) Determination 2020</w:t>
      </w:r>
      <w:r w:rsidR="00996798" w:rsidRPr="00996798">
        <w:rPr>
          <w:sz w:val="22"/>
          <w:szCs w:val="22"/>
        </w:rPr>
        <w:t xml:space="preserve"> and </w:t>
      </w:r>
      <w:r w:rsidR="00996798" w:rsidRPr="00996798">
        <w:rPr>
          <w:i/>
          <w:sz w:val="22"/>
          <w:szCs w:val="22"/>
        </w:rPr>
        <w:t>Fisheries Management</w:t>
      </w:r>
      <w:r w:rsidR="00996798">
        <w:rPr>
          <w:sz w:val="22"/>
          <w:szCs w:val="22"/>
        </w:rPr>
        <w:t xml:space="preserve"> (</w:t>
      </w:r>
      <w:r w:rsidR="00996798" w:rsidRPr="00996798">
        <w:rPr>
          <w:i/>
          <w:sz w:val="22"/>
          <w:szCs w:val="22"/>
        </w:rPr>
        <w:t>Bass Strait Central Zone Scallop Fishery</w:t>
      </w:r>
      <w:r w:rsidR="00996798">
        <w:rPr>
          <w:i/>
          <w:sz w:val="22"/>
          <w:szCs w:val="22"/>
        </w:rPr>
        <w:t>)</w:t>
      </w:r>
      <w:r w:rsidR="00996798" w:rsidRPr="00996798">
        <w:rPr>
          <w:i/>
          <w:sz w:val="22"/>
          <w:szCs w:val="22"/>
        </w:rPr>
        <w:t xml:space="preserve"> (Closures) Direction 2020</w:t>
      </w:r>
      <w:r w:rsidR="00996798" w:rsidRPr="00996798">
        <w:rPr>
          <w:sz w:val="22"/>
          <w:szCs w:val="22"/>
        </w:rPr>
        <w:t>).</w:t>
      </w:r>
    </w:p>
    <w:p w14:paraId="237F8FE8" w14:textId="14F0844F" w:rsidR="00EF3ECB" w:rsidRDefault="00EF3ECB" w:rsidP="009F1D5B">
      <w:pPr>
        <w:pStyle w:val="AFMANormal"/>
        <w:spacing w:after="240" w:line="276" w:lineRule="auto"/>
        <w:rPr>
          <w:b/>
          <w:sz w:val="22"/>
          <w:szCs w:val="22"/>
        </w:rPr>
      </w:pPr>
      <w:r>
        <w:rPr>
          <w:b/>
          <w:sz w:val="22"/>
          <w:szCs w:val="22"/>
        </w:rPr>
        <w:t xml:space="preserve">Background </w:t>
      </w:r>
    </w:p>
    <w:p w14:paraId="15C0246A" w14:textId="77777777" w:rsidR="00EF3ECB" w:rsidRPr="00A10A64" w:rsidRDefault="00EF3ECB" w:rsidP="00EF3ECB">
      <w:pPr>
        <w:pStyle w:val="NormalWeb"/>
        <w:spacing w:before="240" w:beforeAutospacing="0" w:after="240" w:afterAutospacing="0" w:line="276" w:lineRule="auto"/>
        <w:jc w:val="both"/>
        <w:rPr>
          <w:sz w:val="22"/>
          <w:szCs w:val="22"/>
          <w:lang w:val="en-US"/>
        </w:rPr>
      </w:pPr>
      <w:r w:rsidRPr="00A10A64">
        <w:rPr>
          <w:sz w:val="22"/>
          <w:szCs w:val="22"/>
          <w:lang w:val="en-US"/>
        </w:rPr>
        <w:t>The Fishery lies in the Bass Strait above the State of Tasmania and extends from the Victoria/New South Wales border, around southern Australia to the Victoria/South Australian border, typically outside 20 nautical miles of the Tasmanian and Victorian coastlines.</w:t>
      </w:r>
    </w:p>
    <w:p w14:paraId="0741B8D3" w14:textId="1F091EA6" w:rsidR="00EF3ECB" w:rsidRPr="00A10A64" w:rsidRDefault="00EF3ECB" w:rsidP="00EF3ECB">
      <w:pPr>
        <w:autoSpaceDE w:val="0"/>
        <w:autoSpaceDN w:val="0"/>
        <w:adjustRightInd w:val="0"/>
        <w:spacing w:before="240" w:after="240" w:line="276" w:lineRule="auto"/>
        <w:jc w:val="both"/>
        <w:rPr>
          <w:color w:val="000000"/>
          <w:sz w:val="22"/>
          <w:szCs w:val="22"/>
        </w:rPr>
      </w:pPr>
      <w:r w:rsidRPr="00A10A64">
        <w:rPr>
          <w:color w:val="000000"/>
          <w:sz w:val="22"/>
          <w:szCs w:val="22"/>
        </w:rPr>
        <w:lastRenderedPageBreak/>
        <w:t xml:space="preserve">Management in the Fishery is through a combination of input and output controls in the form of individually transferable quotas with a </w:t>
      </w:r>
      <w:r>
        <w:rPr>
          <w:color w:val="000000"/>
          <w:sz w:val="22"/>
          <w:szCs w:val="22"/>
        </w:rPr>
        <w:t xml:space="preserve">TAC </w:t>
      </w:r>
      <w:r w:rsidRPr="00A10A64">
        <w:rPr>
          <w:color w:val="000000"/>
          <w:sz w:val="22"/>
          <w:szCs w:val="22"/>
        </w:rPr>
        <w:t xml:space="preserve">determined for each quota species for each fishing </w:t>
      </w:r>
      <w:r>
        <w:rPr>
          <w:color w:val="000000"/>
          <w:sz w:val="22"/>
          <w:szCs w:val="22"/>
        </w:rPr>
        <w:t xml:space="preserve">season. </w:t>
      </w:r>
      <w:r w:rsidRPr="00A10A64">
        <w:rPr>
          <w:color w:val="000000"/>
          <w:sz w:val="22"/>
          <w:szCs w:val="22"/>
        </w:rPr>
        <w:t xml:space="preserve">The target species in the Fishery is the </w:t>
      </w:r>
      <w:r>
        <w:rPr>
          <w:color w:val="000000"/>
          <w:sz w:val="22"/>
          <w:szCs w:val="22"/>
        </w:rPr>
        <w:t>commercial scallop</w:t>
      </w:r>
      <w:r w:rsidRPr="00A10A64">
        <w:rPr>
          <w:color w:val="000000"/>
          <w:sz w:val="22"/>
          <w:szCs w:val="22"/>
        </w:rPr>
        <w:t xml:space="preserve"> (</w:t>
      </w:r>
      <w:proofErr w:type="spellStart"/>
      <w:r w:rsidRPr="00A10A64">
        <w:rPr>
          <w:i/>
          <w:color w:val="000000"/>
          <w:sz w:val="22"/>
          <w:szCs w:val="22"/>
        </w:rPr>
        <w:t>Pecten</w:t>
      </w:r>
      <w:proofErr w:type="spellEnd"/>
      <w:r w:rsidRPr="00A10A64">
        <w:rPr>
          <w:i/>
          <w:color w:val="000000"/>
          <w:sz w:val="22"/>
          <w:szCs w:val="22"/>
        </w:rPr>
        <w:t xml:space="preserve"> </w:t>
      </w:r>
      <w:proofErr w:type="spellStart"/>
      <w:r w:rsidRPr="00A10A64">
        <w:rPr>
          <w:i/>
          <w:color w:val="000000"/>
          <w:sz w:val="22"/>
          <w:szCs w:val="22"/>
        </w:rPr>
        <w:t>fumatus</w:t>
      </w:r>
      <w:proofErr w:type="spellEnd"/>
      <w:r>
        <w:rPr>
          <w:color w:val="000000"/>
          <w:sz w:val="22"/>
          <w:szCs w:val="22"/>
        </w:rPr>
        <w:t>)</w:t>
      </w:r>
      <w:r w:rsidR="0004132D">
        <w:rPr>
          <w:color w:val="000000"/>
          <w:sz w:val="22"/>
          <w:szCs w:val="22"/>
        </w:rPr>
        <w:t xml:space="preserve"> and is primarily caught for the Australian domestic market</w:t>
      </w:r>
      <w:r>
        <w:rPr>
          <w:color w:val="000000"/>
          <w:sz w:val="22"/>
          <w:szCs w:val="22"/>
        </w:rPr>
        <w:t xml:space="preserve">. </w:t>
      </w:r>
      <w:r w:rsidRPr="00A10A64">
        <w:rPr>
          <w:color w:val="000000"/>
          <w:sz w:val="22"/>
          <w:szCs w:val="22"/>
        </w:rPr>
        <w:t xml:space="preserve">The </w:t>
      </w:r>
      <w:r>
        <w:rPr>
          <w:color w:val="000000"/>
          <w:sz w:val="22"/>
          <w:szCs w:val="22"/>
        </w:rPr>
        <w:t>doughboy scallop</w:t>
      </w:r>
      <w:r w:rsidRPr="00A10A64">
        <w:rPr>
          <w:color w:val="000000"/>
          <w:sz w:val="22"/>
          <w:szCs w:val="22"/>
        </w:rPr>
        <w:t xml:space="preserve"> (</w:t>
      </w:r>
      <w:proofErr w:type="spellStart"/>
      <w:r w:rsidRPr="00A10A64">
        <w:rPr>
          <w:i/>
          <w:color w:val="000000"/>
          <w:sz w:val="22"/>
          <w:szCs w:val="22"/>
        </w:rPr>
        <w:t>Chlamys</w:t>
      </w:r>
      <w:proofErr w:type="spellEnd"/>
      <w:r w:rsidRPr="00A10A64">
        <w:rPr>
          <w:i/>
          <w:color w:val="000000"/>
          <w:sz w:val="22"/>
          <w:szCs w:val="22"/>
        </w:rPr>
        <w:t xml:space="preserve"> (</w:t>
      </w:r>
      <w:proofErr w:type="spellStart"/>
      <w:r w:rsidRPr="00A10A64">
        <w:rPr>
          <w:i/>
          <w:color w:val="000000"/>
          <w:sz w:val="22"/>
          <w:szCs w:val="22"/>
        </w:rPr>
        <w:t>Mimachlamys</w:t>
      </w:r>
      <w:proofErr w:type="spellEnd"/>
      <w:r w:rsidRPr="00A10A64">
        <w:rPr>
          <w:i/>
          <w:color w:val="000000"/>
          <w:sz w:val="22"/>
          <w:szCs w:val="22"/>
        </w:rPr>
        <w:t xml:space="preserve">) </w:t>
      </w:r>
      <w:proofErr w:type="spellStart"/>
      <w:r w:rsidRPr="00A10A64">
        <w:rPr>
          <w:i/>
          <w:color w:val="000000"/>
          <w:sz w:val="22"/>
          <w:szCs w:val="22"/>
        </w:rPr>
        <w:t>asperrimus</w:t>
      </w:r>
      <w:proofErr w:type="spellEnd"/>
      <w:r w:rsidRPr="00A10A64">
        <w:rPr>
          <w:color w:val="000000"/>
          <w:sz w:val="22"/>
          <w:szCs w:val="22"/>
        </w:rPr>
        <w:t xml:space="preserve">) is common throughout the Bass Strait </w:t>
      </w:r>
      <w:r>
        <w:rPr>
          <w:color w:val="000000"/>
          <w:sz w:val="22"/>
          <w:szCs w:val="22"/>
        </w:rPr>
        <w:t xml:space="preserve">however it is rarely retained. </w:t>
      </w:r>
    </w:p>
    <w:p w14:paraId="7F5C209C" w14:textId="12270BA4" w:rsidR="00EF3ECB" w:rsidRDefault="00EF3ECB" w:rsidP="00EF3ECB">
      <w:pPr>
        <w:pStyle w:val="AFMANormal"/>
        <w:spacing w:after="240" w:line="276" w:lineRule="auto"/>
        <w:rPr>
          <w:sz w:val="22"/>
          <w:szCs w:val="22"/>
        </w:rPr>
      </w:pPr>
      <w:r w:rsidRPr="00A10A64">
        <w:rPr>
          <w:color w:val="000000"/>
          <w:sz w:val="22"/>
          <w:szCs w:val="22"/>
        </w:rPr>
        <w:t xml:space="preserve">The </w:t>
      </w:r>
      <w:r>
        <w:rPr>
          <w:color w:val="000000"/>
          <w:sz w:val="22"/>
          <w:szCs w:val="22"/>
        </w:rPr>
        <w:t xml:space="preserve">Fishery Harvest Strategy </w:t>
      </w:r>
      <w:r w:rsidRPr="00A10A64">
        <w:rPr>
          <w:color w:val="000000"/>
          <w:sz w:val="22"/>
          <w:szCs w:val="22"/>
        </w:rPr>
        <w:t>contains measures for setting a</w:t>
      </w:r>
      <w:r>
        <w:rPr>
          <w:color w:val="000000"/>
          <w:sz w:val="22"/>
          <w:szCs w:val="22"/>
        </w:rPr>
        <w:t xml:space="preserve"> commercial scallop</w:t>
      </w:r>
      <w:r w:rsidRPr="00A10A64">
        <w:rPr>
          <w:color w:val="000000"/>
          <w:sz w:val="22"/>
          <w:szCs w:val="22"/>
        </w:rPr>
        <w:t xml:space="preserve"> </w:t>
      </w:r>
      <w:r>
        <w:rPr>
          <w:color w:val="000000"/>
          <w:sz w:val="22"/>
          <w:szCs w:val="22"/>
        </w:rPr>
        <w:t>TAC</w:t>
      </w:r>
      <w:r w:rsidRPr="00A10A64">
        <w:rPr>
          <w:color w:val="000000"/>
          <w:sz w:val="22"/>
          <w:szCs w:val="22"/>
        </w:rPr>
        <w:t xml:space="preserve"> based on closing areas of the Fishery following research surveys to determine biomass estimates.</w:t>
      </w:r>
      <w:r>
        <w:rPr>
          <w:rStyle w:val="FootnoteReference"/>
          <w:color w:val="000000"/>
          <w:sz w:val="22"/>
          <w:szCs w:val="22"/>
        </w:rPr>
        <w:footnoteReference w:id="1"/>
      </w:r>
      <w:r w:rsidRPr="00A10A64">
        <w:rPr>
          <w:color w:val="000000"/>
          <w:sz w:val="22"/>
          <w:szCs w:val="22"/>
        </w:rPr>
        <w:t xml:space="preserve"> </w:t>
      </w:r>
      <w:r>
        <w:rPr>
          <w:color w:val="000000"/>
          <w:sz w:val="22"/>
          <w:szCs w:val="22"/>
        </w:rPr>
        <w:t xml:space="preserve"> These measures aim</w:t>
      </w:r>
      <w:r w:rsidRPr="00A10A64">
        <w:rPr>
          <w:color w:val="000000"/>
          <w:sz w:val="22"/>
          <w:szCs w:val="22"/>
        </w:rPr>
        <w:t xml:space="preserve"> to ensure </w:t>
      </w:r>
      <w:r>
        <w:rPr>
          <w:color w:val="000000"/>
          <w:sz w:val="22"/>
          <w:szCs w:val="22"/>
        </w:rPr>
        <w:t xml:space="preserve">commercial </w:t>
      </w:r>
      <w:r w:rsidRPr="00A10A64">
        <w:rPr>
          <w:color w:val="000000"/>
          <w:sz w:val="22"/>
          <w:szCs w:val="22"/>
        </w:rPr>
        <w:t xml:space="preserve">scallop beds of sufficient size and density are maintained to provide for ongoing recruitment in the </w:t>
      </w:r>
      <w:r>
        <w:rPr>
          <w:color w:val="000000"/>
          <w:sz w:val="22"/>
          <w:szCs w:val="22"/>
        </w:rPr>
        <w:t>Fishery</w:t>
      </w:r>
      <w:r w:rsidRPr="00A10A64">
        <w:rPr>
          <w:color w:val="000000"/>
          <w:sz w:val="22"/>
          <w:szCs w:val="22"/>
        </w:rPr>
        <w:t>.</w:t>
      </w:r>
      <w:r>
        <w:rPr>
          <w:color w:val="000000"/>
          <w:sz w:val="22"/>
          <w:szCs w:val="22"/>
        </w:rPr>
        <w:t xml:space="preserve"> </w:t>
      </w:r>
      <w:r w:rsidRPr="00022714">
        <w:rPr>
          <w:sz w:val="22"/>
          <w:szCs w:val="22"/>
        </w:rPr>
        <w:t xml:space="preserve">A </w:t>
      </w:r>
      <w:r>
        <w:rPr>
          <w:sz w:val="22"/>
          <w:szCs w:val="22"/>
        </w:rPr>
        <w:t>research</w:t>
      </w:r>
      <w:r w:rsidRPr="00022714">
        <w:rPr>
          <w:sz w:val="22"/>
          <w:szCs w:val="22"/>
        </w:rPr>
        <w:t xml:space="preserve"> survey was not undertaken in 2020</w:t>
      </w:r>
      <w:r>
        <w:rPr>
          <w:sz w:val="22"/>
          <w:szCs w:val="22"/>
        </w:rPr>
        <w:t xml:space="preserve"> due to the logistical and work health and safety issues arising from the Covid-19 pandemic</w:t>
      </w:r>
      <w:r w:rsidR="00734BC0">
        <w:rPr>
          <w:sz w:val="22"/>
          <w:szCs w:val="22"/>
        </w:rPr>
        <w:t>;</w:t>
      </w:r>
      <w:r w:rsidRPr="00022714">
        <w:rPr>
          <w:sz w:val="22"/>
          <w:szCs w:val="22"/>
        </w:rPr>
        <w:t xml:space="preserve"> rather, </w:t>
      </w:r>
      <w:r>
        <w:rPr>
          <w:sz w:val="22"/>
          <w:szCs w:val="22"/>
        </w:rPr>
        <w:t xml:space="preserve">a </w:t>
      </w:r>
      <w:r>
        <w:rPr>
          <w:color w:val="000000"/>
          <w:sz w:val="22"/>
          <w:szCs w:val="22"/>
        </w:rPr>
        <w:t xml:space="preserve">summary of information available for commercial scallop beds surveyed between 2015 and 2019 was used to determine that a sufficient biomass of commercial scallops </w:t>
      </w:r>
      <w:r w:rsidR="00E64717">
        <w:rPr>
          <w:color w:val="000000"/>
          <w:sz w:val="22"/>
          <w:szCs w:val="22"/>
        </w:rPr>
        <w:t xml:space="preserve">is </w:t>
      </w:r>
      <w:r>
        <w:rPr>
          <w:color w:val="000000"/>
          <w:sz w:val="22"/>
          <w:szCs w:val="22"/>
        </w:rPr>
        <w:t xml:space="preserve">protected through spatial closures for the 2020 fishing season to allow for a commercial scallop TAC in excess of 2,000 tonnes, as per the intent of the Fishery Harvest Strategy. </w:t>
      </w:r>
    </w:p>
    <w:p w14:paraId="0841D9AA" w14:textId="77777777" w:rsidR="00961E62" w:rsidRPr="009F1D5B" w:rsidRDefault="00961E62" w:rsidP="009F1D5B">
      <w:pPr>
        <w:pStyle w:val="AFMANormal"/>
        <w:keepNext/>
        <w:spacing w:after="240" w:line="276" w:lineRule="auto"/>
        <w:rPr>
          <w:b/>
          <w:sz w:val="22"/>
          <w:szCs w:val="22"/>
        </w:rPr>
      </w:pPr>
      <w:r w:rsidRPr="009F1D5B">
        <w:rPr>
          <w:b/>
          <w:sz w:val="22"/>
          <w:szCs w:val="22"/>
        </w:rPr>
        <w:t>Consultation</w:t>
      </w:r>
    </w:p>
    <w:p w14:paraId="32EC0690" w14:textId="3A0F7A25" w:rsidR="00D558FA" w:rsidRPr="009F1D5B" w:rsidRDefault="00D552BA" w:rsidP="009F1D5B">
      <w:pPr>
        <w:pStyle w:val="AFMANormal"/>
        <w:spacing w:after="240" w:line="276" w:lineRule="auto"/>
        <w:rPr>
          <w:sz w:val="22"/>
          <w:szCs w:val="22"/>
        </w:rPr>
      </w:pPr>
      <w:r>
        <w:rPr>
          <w:sz w:val="22"/>
          <w:szCs w:val="22"/>
        </w:rPr>
        <w:t>AFMA</w:t>
      </w:r>
      <w:r w:rsidR="00C75215" w:rsidRPr="009F1D5B">
        <w:rPr>
          <w:sz w:val="22"/>
          <w:szCs w:val="22"/>
        </w:rPr>
        <w:t xml:space="preserve"> consulted on the </w:t>
      </w:r>
      <w:r w:rsidR="009C4106">
        <w:rPr>
          <w:sz w:val="22"/>
          <w:szCs w:val="22"/>
        </w:rPr>
        <w:t>dates</w:t>
      </w:r>
      <w:r>
        <w:rPr>
          <w:sz w:val="22"/>
          <w:szCs w:val="22"/>
        </w:rPr>
        <w:t xml:space="preserve"> for the </w:t>
      </w:r>
      <w:r w:rsidR="00B56399" w:rsidRPr="009F1D5B">
        <w:rPr>
          <w:sz w:val="22"/>
          <w:szCs w:val="22"/>
        </w:rPr>
        <w:t>20</w:t>
      </w:r>
      <w:r w:rsidR="00926BEC">
        <w:rPr>
          <w:sz w:val="22"/>
          <w:szCs w:val="22"/>
        </w:rPr>
        <w:t>20</w:t>
      </w:r>
      <w:r w:rsidR="00B56399" w:rsidRPr="009F1D5B">
        <w:rPr>
          <w:sz w:val="22"/>
          <w:szCs w:val="22"/>
        </w:rPr>
        <w:t xml:space="preserve"> </w:t>
      </w:r>
      <w:r w:rsidR="00C75215" w:rsidRPr="009F1D5B">
        <w:rPr>
          <w:sz w:val="22"/>
          <w:szCs w:val="22"/>
        </w:rPr>
        <w:t xml:space="preserve">fishing </w:t>
      </w:r>
      <w:r w:rsidR="00E21679">
        <w:rPr>
          <w:sz w:val="22"/>
          <w:szCs w:val="22"/>
        </w:rPr>
        <w:t xml:space="preserve">season </w:t>
      </w:r>
      <w:r w:rsidR="00C75215" w:rsidRPr="009F1D5B">
        <w:rPr>
          <w:sz w:val="22"/>
          <w:szCs w:val="22"/>
        </w:rPr>
        <w:t xml:space="preserve">with the </w:t>
      </w:r>
      <w:r>
        <w:rPr>
          <w:sz w:val="22"/>
          <w:szCs w:val="22"/>
        </w:rPr>
        <w:t xml:space="preserve">Bass Strait Central Zone Scallop Fishery </w:t>
      </w:r>
      <w:r w:rsidR="00C75215" w:rsidRPr="009F1D5B">
        <w:rPr>
          <w:sz w:val="22"/>
          <w:szCs w:val="22"/>
        </w:rPr>
        <w:t>Resource Assessment Group</w:t>
      </w:r>
      <w:r w:rsidR="001F41D2">
        <w:rPr>
          <w:sz w:val="22"/>
          <w:szCs w:val="22"/>
        </w:rPr>
        <w:t xml:space="preserve"> (</w:t>
      </w:r>
      <w:proofErr w:type="spellStart"/>
      <w:r w:rsidR="001F41D2">
        <w:rPr>
          <w:sz w:val="22"/>
          <w:szCs w:val="22"/>
        </w:rPr>
        <w:t>ScallopRAG</w:t>
      </w:r>
      <w:proofErr w:type="spellEnd"/>
      <w:r w:rsidR="001F41D2">
        <w:rPr>
          <w:sz w:val="22"/>
          <w:szCs w:val="22"/>
        </w:rPr>
        <w:t>)</w:t>
      </w:r>
      <w:r w:rsidR="00C75215" w:rsidRPr="009F1D5B">
        <w:rPr>
          <w:sz w:val="22"/>
          <w:szCs w:val="22"/>
        </w:rPr>
        <w:t xml:space="preserve"> on </w:t>
      </w:r>
      <w:r w:rsidR="00926BEC">
        <w:rPr>
          <w:sz w:val="22"/>
          <w:szCs w:val="22"/>
        </w:rPr>
        <w:t>11</w:t>
      </w:r>
      <w:r w:rsidR="00852DCF" w:rsidRPr="009F1D5B">
        <w:rPr>
          <w:sz w:val="22"/>
          <w:szCs w:val="22"/>
        </w:rPr>
        <w:t xml:space="preserve"> </w:t>
      </w:r>
      <w:r w:rsidR="00926BEC">
        <w:rPr>
          <w:sz w:val="22"/>
          <w:szCs w:val="22"/>
        </w:rPr>
        <w:t>May</w:t>
      </w:r>
      <w:r w:rsidR="00450A99">
        <w:rPr>
          <w:sz w:val="22"/>
          <w:szCs w:val="22"/>
        </w:rPr>
        <w:t xml:space="preserve"> </w:t>
      </w:r>
      <w:r w:rsidR="00B56399" w:rsidRPr="009F1D5B">
        <w:rPr>
          <w:sz w:val="22"/>
          <w:szCs w:val="22"/>
        </w:rPr>
        <w:t>20</w:t>
      </w:r>
      <w:r w:rsidR="00926BEC">
        <w:rPr>
          <w:sz w:val="22"/>
          <w:szCs w:val="22"/>
        </w:rPr>
        <w:t>20</w:t>
      </w:r>
      <w:r w:rsidR="00C75215" w:rsidRPr="009F1D5B">
        <w:rPr>
          <w:sz w:val="22"/>
          <w:szCs w:val="22"/>
        </w:rPr>
        <w:t xml:space="preserve">, and with the </w:t>
      </w:r>
      <w:r>
        <w:rPr>
          <w:sz w:val="22"/>
          <w:szCs w:val="22"/>
        </w:rPr>
        <w:t>Bass Strait Central Zone Scallop Fishery Management Advisory Committee (</w:t>
      </w:r>
      <w:proofErr w:type="spellStart"/>
      <w:r w:rsidR="00C75215" w:rsidRPr="009F1D5B">
        <w:rPr>
          <w:sz w:val="22"/>
          <w:szCs w:val="22"/>
        </w:rPr>
        <w:t>ScallopMAC</w:t>
      </w:r>
      <w:proofErr w:type="spellEnd"/>
      <w:r>
        <w:rPr>
          <w:sz w:val="22"/>
          <w:szCs w:val="22"/>
        </w:rPr>
        <w:t>)</w:t>
      </w:r>
      <w:r w:rsidR="002C7F21" w:rsidRPr="009F1D5B">
        <w:rPr>
          <w:sz w:val="22"/>
          <w:szCs w:val="22"/>
        </w:rPr>
        <w:t xml:space="preserve"> on </w:t>
      </w:r>
      <w:r w:rsidR="00926BEC">
        <w:rPr>
          <w:sz w:val="22"/>
          <w:szCs w:val="22"/>
        </w:rPr>
        <w:t>1</w:t>
      </w:r>
      <w:r w:rsidR="009C4106">
        <w:rPr>
          <w:sz w:val="22"/>
          <w:szCs w:val="22"/>
        </w:rPr>
        <w:t>2</w:t>
      </w:r>
      <w:r w:rsidR="00450A99">
        <w:rPr>
          <w:sz w:val="22"/>
          <w:szCs w:val="22"/>
        </w:rPr>
        <w:t xml:space="preserve"> </w:t>
      </w:r>
      <w:r w:rsidR="00926BEC">
        <w:rPr>
          <w:sz w:val="22"/>
          <w:szCs w:val="22"/>
        </w:rPr>
        <w:t>May</w:t>
      </w:r>
      <w:r w:rsidR="00450A99">
        <w:rPr>
          <w:sz w:val="22"/>
          <w:szCs w:val="22"/>
        </w:rPr>
        <w:t xml:space="preserve"> </w:t>
      </w:r>
      <w:r w:rsidR="00B56399" w:rsidRPr="009F1D5B">
        <w:rPr>
          <w:sz w:val="22"/>
          <w:szCs w:val="22"/>
        </w:rPr>
        <w:t>20</w:t>
      </w:r>
      <w:r w:rsidR="00926BEC">
        <w:rPr>
          <w:sz w:val="22"/>
          <w:szCs w:val="22"/>
        </w:rPr>
        <w:t>20</w:t>
      </w:r>
      <w:r w:rsidR="00C75215" w:rsidRPr="009F1D5B">
        <w:rPr>
          <w:sz w:val="22"/>
          <w:szCs w:val="22"/>
        </w:rPr>
        <w:t>.</w:t>
      </w:r>
      <w:r w:rsidR="00FC1DDD" w:rsidRPr="009F1D5B">
        <w:rPr>
          <w:sz w:val="22"/>
          <w:szCs w:val="22"/>
        </w:rPr>
        <w:t xml:space="preserve"> The </w:t>
      </w:r>
      <w:r>
        <w:rPr>
          <w:sz w:val="22"/>
          <w:szCs w:val="22"/>
        </w:rPr>
        <w:t>period for the 2020 fishing season is</w:t>
      </w:r>
      <w:r w:rsidR="006F753C" w:rsidRPr="009F1D5B">
        <w:rPr>
          <w:sz w:val="22"/>
          <w:szCs w:val="22"/>
        </w:rPr>
        <w:t xml:space="preserve"> consistent with the </w:t>
      </w:r>
      <w:r w:rsidR="00FC1DDD" w:rsidRPr="009F1D5B">
        <w:rPr>
          <w:sz w:val="22"/>
          <w:szCs w:val="22"/>
        </w:rPr>
        <w:t xml:space="preserve">advice provided by both </w:t>
      </w:r>
      <w:proofErr w:type="spellStart"/>
      <w:r w:rsidR="00FC1DDD" w:rsidRPr="009F1D5B">
        <w:rPr>
          <w:sz w:val="22"/>
          <w:szCs w:val="22"/>
        </w:rPr>
        <w:t>ScallopRAG</w:t>
      </w:r>
      <w:proofErr w:type="spellEnd"/>
      <w:r w:rsidR="00FC1DDD" w:rsidRPr="009F1D5B">
        <w:rPr>
          <w:sz w:val="22"/>
          <w:szCs w:val="22"/>
        </w:rPr>
        <w:t xml:space="preserve"> and </w:t>
      </w:r>
      <w:proofErr w:type="spellStart"/>
      <w:r w:rsidR="00FC1DDD" w:rsidRPr="009F1D5B">
        <w:rPr>
          <w:sz w:val="22"/>
          <w:szCs w:val="22"/>
        </w:rPr>
        <w:t>ScallopMAC</w:t>
      </w:r>
      <w:proofErr w:type="spellEnd"/>
      <w:r w:rsidR="00792A4F">
        <w:rPr>
          <w:sz w:val="22"/>
          <w:szCs w:val="22"/>
        </w:rPr>
        <w:t>.</w:t>
      </w:r>
    </w:p>
    <w:p w14:paraId="190BE535" w14:textId="25F59C1F" w:rsidR="00961E62" w:rsidRPr="009F1D5B" w:rsidRDefault="00961E62" w:rsidP="009F1D5B">
      <w:pPr>
        <w:pStyle w:val="AFMANormal"/>
        <w:keepNext/>
        <w:spacing w:after="240" w:line="276" w:lineRule="auto"/>
        <w:rPr>
          <w:b/>
          <w:sz w:val="22"/>
          <w:szCs w:val="22"/>
        </w:rPr>
      </w:pPr>
      <w:r w:rsidRPr="009F1D5B">
        <w:rPr>
          <w:b/>
          <w:sz w:val="22"/>
          <w:szCs w:val="22"/>
        </w:rPr>
        <w:t xml:space="preserve">Regulation </w:t>
      </w:r>
      <w:r w:rsidR="009F1D5B" w:rsidRPr="009F1D5B">
        <w:rPr>
          <w:b/>
          <w:sz w:val="22"/>
          <w:szCs w:val="22"/>
        </w:rPr>
        <w:t>impact statement</w:t>
      </w:r>
    </w:p>
    <w:p w14:paraId="7864ED2E" w14:textId="1AA008A3" w:rsidR="006F28AC" w:rsidRPr="009F1D5B" w:rsidRDefault="006F28AC" w:rsidP="009F1D5B">
      <w:pPr>
        <w:pStyle w:val="AFMANormal"/>
        <w:spacing w:after="240" w:line="276" w:lineRule="auto"/>
        <w:rPr>
          <w:sz w:val="22"/>
          <w:szCs w:val="22"/>
        </w:rPr>
      </w:pPr>
      <w:r w:rsidRPr="009F1D5B">
        <w:rPr>
          <w:sz w:val="22"/>
          <w:szCs w:val="22"/>
        </w:rPr>
        <w:t xml:space="preserve">The Office of Best Practice Regulation does not require a Regulatory Impact Statement for this determination consistent with </w:t>
      </w:r>
      <w:r w:rsidR="00A06CA3">
        <w:rPr>
          <w:sz w:val="22"/>
          <w:szCs w:val="22"/>
        </w:rPr>
        <w:t>carve-</w:t>
      </w:r>
      <w:r w:rsidRPr="009F1D5B">
        <w:rPr>
          <w:sz w:val="22"/>
          <w:szCs w:val="22"/>
        </w:rPr>
        <w:t>out arrangement</w:t>
      </w:r>
      <w:r w:rsidR="00A06CA3">
        <w:rPr>
          <w:sz w:val="22"/>
          <w:szCs w:val="22"/>
        </w:rPr>
        <w:t>s</w:t>
      </w:r>
      <w:r w:rsidRPr="009F1D5B">
        <w:rPr>
          <w:sz w:val="22"/>
          <w:szCs w:val="22"/>
        </w:rPr>
        <w:t xml:space="preserve"> with AFMA for instruments of a minor or machinery nature </w:t>
      </w:r>
      <w:r w:rsidR="009F1D5B">
        <w:rPr>
          <w:sz w:val="22"/>
          <w:szCs w:val="22"/>
        </w:rPr>
        <w:t>s</w:t>
      </w:r>
      <w:r w:rsidR="00A06CA3">
        <w:rPr>
          <w:sz w:val="22"/>
          <w:szCs w:val="22"/>
        </w:rPr>
        <w:t>uch as the setting</w:t>
      </w:r>
      <w:r w:rsidR="009C4106">
        <w:rPr>
          <w:sz w:val="22"/>
          <w:szCs w:val="22"/>
        </w:rPr>
        <w:t xml:space="preserve"> of</w:t>
      </w:r>
      <w:r w:rsidR="00A06CA3">
        <w:rPr>
          <w:sz w:val="22"/>
          <w:szCs w:val="22"/>
        </w:rPr>
        <w:t xml:space="preserve"> </w:t>
      </w:r>
      <w:r w:rsidR="00450A99">
        <w:rPr>
          <w:sz w:val="22"/>
          <w:szCs w:val="22"/>
        </w:rPr>
        <w:t>opening and closing dates for a fishing season</w:t>
      </w:r>
      <w:r w:rsidR="008E049C">
        <w:rPr>
          <w:sz w:val="22"/>
          <w:szCs w:val="22"/>
        </w:rPr>
        <w:t xml:space="preserve"> in</w:t>
      </w:r>
      <w:r w:rsidR="00A06CA3">
        <w:rPr>
          <w:sz w:val="22"/>
          <w:szCs w:val="22"/>
        </w:rPr>
        <w:t xml:space="preserve"> a fishery </w:t>
      </w:r>
      <w:r w:rsidR="00A06CA3" w:rsidRPr="009F1D5B">
        <w:rPr>
          <w:sz w:val="22"/>
          <w:szCs w:val="22"/>
        </w:rPr>
        <w:t>(OBPR reference 14421)</w:t>
      </w:r>
      <w:r w:rsidR="00792A4F">
        <w:rPr>
          <w:sz w:val="22"/>
          <w:szCs w:val="22"/>
        </w:rPr>
        <w:t>.</w:t>
      </w:r>
    </w:p>
    <w:p w14:paraId="52EBF020" w14:textId="77777777" w:rsidR="00961E62" w:rsidRPr="009F1D5B" w:rsidRDefault="00961E62" w:rsidP="009F1D5B">
      <w:pPr>
        <w:spacing w:before="240" w:after="240" w:line="276" w:lineRule="auto"/>
        <w:jc w:val="both"/>
        <w:rPr>
          <w:b/>
          <w:sz w:val="22"/>
          <w:szCs w:val="22"/>
        </w:rPr>
      </w:pPr>
      <w:r w:rsidRPr="009F1D5B">
        <w:rPr>
          <w:b/>
          <w:sz w:val="22"/>
          <w:szCs w:val="22"/>
        </w:rPr>
        <w:t xml:space="preserve">Statement of compatibility prepared in accordance with Part 3 of the </w:t>
      </w:r>
      <w:r w:rsidRPr="009F1D5B">
        <w:rPr>
          <w:b/>
          <w:i/>
          <w:sz w:val="22"/>
          <w:szCs w:val="22"/>
        </w:rPr>
        <w:t xml:space="preserve">Human Rights (Parliamentary Scrutiny) Act 2011 </w:t>
      </w:r>
    </w:p>
    <w:p w14:paraId="4067E38D" w14:textId="52298297" w:rsidR="00961E62" w:rsidRPr="009F1D5B" w:rsidRDefault="00961E62" w:rsidP="009F1D5B">
      <w:pPr>
        <w:pStyle w:val="heading0"/>
        <w:keepNext/>
        <w:spacing w:before="240" w:beforeAutospacing="0" w:after="240" w:afterAutospacing="0" w:line="276" w:lineRule="auto"/>
        <w:jc w:val="both"/>
        <w:rPr>
          <w:rFonts w:ascii="Helvetica Neue" w:hAnsi="Helvetica Neue"/>
          <w:sz w:val="22"/>
          <w:szCs w:val="22"/>
        </w:rPr>
      </w:pPr>
      <w:r w:rsidRPr="009F1D5B">
        <w:rPr>
          <w:sz w:val="22"/>
          <w:szCs w:val="22"/>
        </w:rPr>
        <w:t xml:space="preserve">This legislative instrument does not infringe any of the applicable rights or freedoms recognised or declared in the international instruments listed in section 3 of the </w:t>
      </w:r>
      <w:r w:rsidRPr="009F1D5B">
        <w:rPr>
          <w:i/>
          <w:iCs/>
          <w:sz w:val="22"/>
          <w:szCs w:val="22"/>
        </w:rPr>
        <w:t>Human Rights (Parliamentary Scrutiny) Act 2011</w:t>
      </w:r>
      <w:r w:rsidR="00792A4F">
        <w:rPr>
          <w:sz w:val="22"/>
          <w:szCs w:val="22"/>
        </w:rPr>
        <w:t xml:space="preserve">. </w:t>
      </w:r>
      <w:r w:rsidRPr="009F1D5B">
        <w:rPr>
          <w:sz w:val="22"/>
          <w:szCs w:val="22"/>
        </w:rPr>
        <w:t xml:space="preserve">Accordingly, in </w:t>
      </w:r>
      <w:r w:rsidR="00450A99">
        <w:rPr>
          <w:sz w:val="22"/>
          <w:szCs w:val="22"/>
        </w:rPr>
        <w:t>AFMA</w:t>
      </w:r>
      <w:r w:rsidRPr="009F1D5B">
        <w:rPr>
          <w:sz w:val="22"/>
          <w:szCs w:val="22"/>
        </w:rPr>
        <w:t xml:space="preserve">’s assessment, this legislative instrument is compatible with human rights. </w:t>
      </w:r>
      <w:r w:rsidR="009F1D5B">
        <w:rPr>
          <w:sz w:val="22"/>
          <w:szCs w:val="22"/>
        </w:rPr>
        <w:t>A statement of compatibilit</w:t>
      </w:r>
      <w:r w:rsidR="00792A4F">
        <w:rPr>
          <w:sz w:val="22"/>
          <w:szCs w:val="22"/>
        </w:rPr>
        <w:t>y is included at Attachment A.</w:t>
      </w:r>
    </w:p>
    <w:p w14:paraId="2272C5C1" w14:textId="77777777" w:rsidR="00961E62" w:rsidRPr="009F1D5B" w:rsidRDefault="00961E62" w:rsidP="009F1D5B">
      <w:pPr>
        <w:pStyle w:val="AFMANormal"/>
        <w:keepNext/>
        <w:spacing w:after="240" w:line="276" w:lineRule="auto"/>
        <w:rPr>
          <w:sz w:val="22"/>
          <w:szCs w:val="22"/>
        </w:rPr>
      </w:pPr>
      <w:r w:rsidRPr="009F1D5B">
        <w:rPr>
          <w:sz w:val="22"/>
          <w:szCs w:val="22"/>
        </w:rPr>
        <w:t>Details of the Determination are set out below:</w:t>
      </w:r>
    </w:p>
    <w:tbl>
      <w:tblPr>
        <w:tblW w:w="0" w:type="auto"/>
        <w:tblLook w:val="01E0" w:firstRow="1" w:lastRow="1" w:firstColumn="1" w:lastColumn="1" w:noHBand="0" w:noVBand="0"/>
      </w:tblPr>
      <w:tblGrid>
        <w:gridCol w:w="1350"/>
        <w:gridCol w:w="7506"/>
      </w:tblGrid>
      <w:tr w:rsidR="00961E62" w:rsidRPr="009F1D5B" w14:paraId="74C3FE2E" w14:textId="77777777" w:rsidTr="00792A4F">
        <w:tc>
          <w:tcPr>
            <w:tcW w:w="1350" w:type="dxa"/>
            <w:shd w:val="clear" w:color="auto" w:fill="auto"/>
          </w:tcPr>
          <w:p w14:paraId="6C7D7F17" w14:textId="1A750A3B" w:rsidR="00961E62" w:rsidRPr="009F1D5B" w:rsidRDefault="009F1D5B" w:rsidP="009F1D5B">
            <w:pPr>
              <w:pStyle w:val="AFMANormal"/>
              <w:keepNext/>
              <w:spacing w:before="120" w:after="120" w:line="276" w:lineRule="auto"/>
              <w:rPr>
                <w:b/>
                <w:i/>
                <w:sz w:val="22"/>
                <w:szCs w:val="22"/>
              </w:rPr>
            </w:pPr>
            <w:r>
              <w:rPr>
                <w:b/>
                <w:i/>
                <w:sz w:val="22"/>
                <w:szCs w:val="22"/>
              </w:rPr>
              <w:t>Section</w:t>
            </w:r>
            <w:r w:rsidR="00961E62" w:rsidRPr="009F1D5B">
              <w:rPr>
                <w:b/>
                <w:i/>
                <w:sz w:val="22"/>
                <w:szCs w:val="22"/>
              </w:rPr>
              <w:t xml:space="preserve"> 1</w:t>
            </w:r>
          </w:p>
        </w:tc>
        <w:tc>
          <w:tcPr>
            <w:tcW w:w="7506" w:type="dxa"/>
            <w:shd w:val="clear" w:color="auto" w:fill="auto"/>
          </w:tcPr>
          <w:p w14:paraId="2581847A" w14:textId="50EE28AF" w:rsidR="00961E62" w:rsidRPr="009F1D5B" w:rsidRDefault="00961E62" w:rsidP="00450A99">
            <w:pPr>
              <w:pStyle w:val="AFMANormal"/>
              <w:keepNext/>
              <w:spacing w:before="120" w:after="120" w:line="276" w:lineRule="auto"/>
              <w:rPr>
                <w:sz w:val="22"/>
                <w:szCs w:val="22"/>
              </w:rPr>
            </w:pPr>
            <w:r w:rsidRPr="009F1D5B">
              <w:rPr>
                <w:sz w:val="22"/>
                <w:szCs w:val="22"/>
              </w:rPr>
              <w:t xml:space="preserve">Provides </w:t>
            </w:r>
            <w:r w:rsidR="0055589F">
              <w:rPr>
                <w:sz w:val="22"/>
                <w:szCs w:val="22"/>
              </w:rPr>
              <w:t>that the name of the instrument is the</w:t>
            </w:r>
            <w:r w:rsidRPr="009F1D5B">
              <w:rPr>
                <w:sz w:val="22"/>
                <w:szCs w:val="22"/>
              </w:rPr>
              <w:t xml:space="preserve"> </w:t>
            </w:r>
            <w:r w:rsidRPr="009F1D5B">
              <w:rPr>
                <w:i/>
                <w:sz w:val="22"/>
                <w:szCs w:val="22"/>
              </w:rPr>
              <w:t xml:space="preserve">Bass Strait Central Zone Scallop Fishery </w:t>
            </w:r>
            <w:r w:rsidR="0055589F">
              <w:rPr>
                <w:i/>
                <w:sz w:val="22"/>
                <w:szCs w:val="22"/>
              </w:rPr>
              <w:t>(</w:t>
            </w:r>
            <w:r w:rsidR="00450A99">
              <w:rPr>
                <w:i/>
                <w:sz w:val="22"/>
                <w:szCs w:val="22"/>
              </w:rPr>
              <w:t>Fishing Season</w:t>
            </w:r>
            <w:r w:rsidR="0055589F">
              <w:rPr>
                <w:i/>
                <w:sz w:val="22"/>
                <w:szCs w:val="22"/>
              </w:rPr>
              <w:t>)</w:t>
            </w:r>
            <w:r w:rsidRPr="009F1D5B">
              <w:rPr>
                <w:i/>
                <w:sz w:val="22"/>
                <w:szCs w:val="22"/>
              </w:rPr>
              <w:t xml:space="preserve"> Determination </w:t>
            </w:r>
            <w:r w:rsidR="00B56399" w:rsidRPr="009F1D5B">
              <w:rPr>
                <w:i/>
                <w:sz w:val="22"/>
                <w:szCs w:val="22"/>
              </w:rPr>
              <w:t>20</w:t>
            </w:r>
            <w:r w:rsidR="00926BEC">
              <w:rPr>
                <w:i/>
                <w:sz w:val="22"/>
                <w:szCs w:val="22"/>
              </w:rPr>
              <w:t>20</w:t>
            </w:r>
            <w:r w:rsidRPr="009F1D5B">
              <w:rPr>
                <w:sz w:val="22"/>
                <w:szCs w:val="22"/>
              </w:rPr>
              <w:t>.</w:t>
            </w:r>
          </w:p>
        </w:tc>
      </w:tr>
      <w:tr w:rsidR="00961E62" w:rsidRPr="009F1D5B" w14:paraId="5FBE3141" w14:textId="77777777" w:rsidTr="00792A4F">
        <w:tc>
          <w:tcPr>
            <w:tcW w:w="1350" w:type="dxa"/>
            <w:shd w:val="clear" w:color="auto" w:fill="auto"/>
          </w:tcPr>
          <w:p w14:paraId="1DFB1DF4" w14:textId="2756FAC1" w:rsidR="00961E62" w:rsidRPr="009F1D5B" w:rsidRDefault="009F1D5B" w:rsidP="009F1D5B">
            <w:pPr>
              <w:pStyle w:val="AFMANormal"/>
              <w:spacing w:before="120" w:after="120" w:line="276" w:lineRule="auto"/>
              <w:rPr>
                <w:b/>
                <w:i/>
                <w:sz w:val="22"/>
                <w:szCs w:val="22"/>
              </w:rPr>
            </w:pPr>
            <w:r>
              <w:rPr>
                <w:b/>
                <w:i/>
                <w:sz w:val="22"/>
                <w:szCs w:val="22"/>
              </w:rPr>
              <w:t>Section</w:t>
            </w:r>
            <w:r w:rsidR="00961E62" w:rsidRPr="009F1D5B">
              <w:rPr>
                <w:b/>
                <w:i/>
                <w:sz w:val="22"/>
                <w:szCs w:val="22"/>
              </w:rPr>
              <w:t xml:space="preserve"> 2</w:t>
            </w:r>
          </w:p>
        </w:tc>
        <w:tc>
          <w:tcPr>
            <w:tcW w:w="7506" w:type="dxa"/>
            <w:shd w:val="clear" w:color="auto" w:fill="auto"/>
          </w:tcPr>
          <w:p w14:paraId="45B8DB34" w14:textId="37BB3BF4" w:rsidR="00961E62" w:rsidRPr="009F1D5B" w:rsidRDefault="00961E62" w:rsidP="00926BEC">
            <w:pPr>
              <w:pStyle w:val="AFMANormal"/>
              <w:spacing w:before="120" w:after="120" w:line="276" w:lineRule="auto"/>
              <w:rPr>
                <w:sz w:val="22"/>
                <w:szCs w:val="22"/>
              </w:rPr>
            </w:pPr>
            <w:r w:rsidRPr="009F1D5B">
              <w:rPr>
                <w:sz w:val="22"/>
                <w:szCs w:val="22"/>
              </w:rPr>
              <w:t xml:space="preserve">Provides that the Determination commences on </w:t>
            </w:r>
            <w:r w:rsidR="00926BEC" w:rsidRPr="00450A99">
              <w:rPr>
                <w:sz w:val="22"/>
                <w:szCs w:val="22"/>
              </w:rPr>
              <w:t>1</w:t>
            </w:r>
            <w:r w:rsidR="00F77E95">
              <w:rPr>
                <w:sz w:val="22"/>
                <w:szCs w:val="22"/>
              </w:rPr>
              <w:t>2 July</w:t>
            </w:r>
            <w:r w:rsidR="00926BEC" w:rsidRPr="00450A99">
              <w:rPr>
                <w:sz w:val="22"/>
                <w:szCs w:val="22"/>
              </w:rPr>
              <w:t xml:space="preserve"> 2020</w:t>
            </w:r>
            <w:r w:rsidRPr="009F1D5B">
              <w:rPr>
                <w:sz w:val="22"/>
                <w:szCs w:val="22"/>
              </w:rPr>
              <w:t>.</w:t>
            </w:r>
          </w:p>
        </w:tc>
      </w:tr>
      <w:tr w:rsidR="0055589F" w:rsidRPr="009F1D5B" w14:paraId="40266F96" w14:textId="77777777" w:rsidTr="00792A4F">
        <w:trPr>
          <w:trHeight w:val="83"/>
        </w:trPr>
        <w:tc>
          <w:tcPr>
            <w:tcW w:w="1350" w:type="dxa"/>
            <w:shd w:val="clear" w:color="auto" w:fill="auto"/>
          </w:tcPr>
          <w:p w14:paraId="69E86E73" w14:textId="7F2E072F" w:rsidR="0055589F" w:rsidRDefault="0055589F" w:rsidP="00450A99">
            <w:pPr>
              <w:pStyle w:val="AFMANormal"/>
              <w:spacing w:before="120" w:after="120" w:line="276" w:lineRule="auto"/>
              <w:rPr>
                <w:b/>
                <w:i/>
                <w:sz w:val="22"/>
                <w:szCs w:val="22"/>
              </w:rPr>
            </w:pPr>
            <w:r>
              <w:rPr>
                <w:b/>
                <w:i/>
                <w:sz w:val="22"/>
                <w:szCs w:val="22"/>
              </w:rPr>
              <w:t xml:space="preserve">Section </w:t>
            </w:r>
            <w:r w:rsidR="00450A99">
              <w:rPr>
                <w:b/>
                <w:i/>
                <w:sz w:val="22"/>
                <w:szCs w:val="22"/>
              </w:rPr>
              <w:t>3</w:t>
            </w:r>
          </w:p>
        </w:tc>
        <w:tc>
          <w:tcPr>
            <w:tcW w:w="7506" w:type="dxa"/>
            <w:shd w:val="clear" w:color="auto" w:fill="auto"/>
          </w:tcPr>
          <w:p w14:paraId="14E21403" w14:textId="048B2055" w:rsidR="0055589F" w:rsidRPr="009F1D5B" w:rsidRDefault="0055589F" w:rsidP="00450A99">
            <w:pPr>
              <w:pStyle w:val="AFMANormal"/>
              <w:spacing w:before="120" w:after="120" w:line="276" w:lineRule="auto"/>
              <w:rPr>
                <w:color w:val="000000"/>
                <w:sz w:val="22"/>
                <w:szCs w:val="22"/>
              </w:rPr>
            </w:pPr>
            <w:r w:rsidRPr="009F1D5B">
              <w:rPr>
                <w:sz w:val="22"/>
                <w:szCs w:val="22"/>
              </w:rPr>
              <w:t xml:space="preserve">Provides that the Determination is made </w:t>
            </w:r>
            <w:r>
              <w:rPr>
                <w:sz w:val="22"/>
                <w:szCs w:val="22"/>
              </w:rPr>
              <w:t>under</w:t>
            </w:r>
            <w:r w:rsidRPr="009F1D5B">
              <w:rPr>
                <w:sz w:val="22"/>
                <w:szCs w:val="22"/>
              </w:rPr>
              <w:t xml:space="preserve"> paragraph 17(6</w:t>
            </w:r>
            <w:proofErr w:type="gramStart"/>
            <w:r w:rsidRPr="009F1D5B">
              <w:rPr>
                <w:sz w:val="22"/>
                <w:szCs w:val="22"/>
              </w:rPr>
              <w:t>)(</w:t>
            </w:r>
            <w:proofErr w:type="gramEnd"/>
            <w:r w:rsidRPr="009F1D5B">
              <w:rPr>
                <w:sz w:val="22"/>
                <w:szCs w:val="22"/>
              </w:rPr>
              <w:t xml:space="preserve">aa) of the </w:t>
            </w:r>
            <w:r>
              <w:rPr>
                <w:sz w:val="22"/>
                <w:szCs w:val="22"/>
              </w:rPr>
              <w:t>Act</w:t>
            </w:r>
            <w:r w:rsidRPr="009F1D5B">
              <w:rPr>
                <w:sz w:val="22"/>
                <w:szCs w:val="22"/>
              </w:rPr>
              <w:t xml:space="preserve"> </w:t>
            </w:r>
            <w:r>
              <w:rPr>
                <w:sz w:val="22"/>
                <w:szCs w:val="22"/>
              </w:rPr>
              <w:t>for the purpose of</w:t>
            </w:r>
            <w:r w:rsidRPr="009F1D5B">
              <w:rPr>
                <w:sz w:val="22"/>
                <w:szCs w:val="22"/>
              </w:rPr>
              <w:t xml:space="preserve"> </w:t>
            </w:r>
            <w:r w:rsidR="00450A99">
              <w:rPr>
                <w:sz w:val="22"/>
                <w:szCs w:val="22"/>
              </w:rPr>
              <w:t>subsection</w:t>
            </w:r>
            <w:r w:rsidRPr="009F1D5B">
              <w:rPr>
                <w:sz w:val="22"/>
                <w:szCs w:val="22"/>
              </w:rPr>
              <w:t xml:space="preserve"> </w:t>
            </w:r>
            <w:r w:rsidR="00450A99">
              <w:rPr>
                <w:sz w:val="22"/>
                <w:szCs w:val="22"/>
              </w:rPr>
              <w:t>3.1</w:t>
            </w:r>
            <w:r w:rsidRPr="009F1D5B">
              <w:rPr>
                <w:sz w:val="22"/>
                <w:szCs w:val="22"/>
              </w:rPr>
              <w:t xml:space="preserve"> of the </w:t>
            </w:r>
            <w:r>
              <w:rPr>
                <w:sz w:val="22"/>
                <w:szCs w:val="22"/>
              </w:rPr>
              <w:t>Plan.</w:t>
            </w:r>
          </w:p>
        </w:tc>
      </w:tr>
      <w:tr w:rsidR="00F77E95" w:rsidRPr="009F1D5B" w14:paraId="318ED2A6" w14:textId="77777777" w:rsidTr="00792A4F">
        <w:trPr>
          <w:trHeight w:val="83"/>
        </w:trPr>
        <w:tc>
          <w:tcPr>
            <w:tcW w:w="1350" w:type="dxa"/>
            <w:shd w:val="clear" w:color="auto" w:fill="auto"/>
          </w:tcPr>
          <w:p w14:paraId="63DCA28E" w14:textId="14FF3F02" w:rsidR="00F77E95" w:rsidRDefault="00F77E95" w:rsidP="00450A99">
            <w:pPr>
              <w:pStyle w:val="AFMANormal"/>
              <w:spacing w:before="120" w:after="120" w:line="276" w:lineRule="auto"/>
              <w:rPr>
                <w:b/>
                <w:i/>
                <w:sz w:val="22"/>
                <w:szCs w:val="22"/>
              </w:rPr>
            </w:pPr>
            <w:r>
              <w:rPr>
                <w:b/>
                <w:i/>
                <w:sz w:val="22"/>
                <w:szCs w:val="22"/>
              </w:rPr>
              <w:t>Section 4</w:t>
            </w:r>
          </w:p>
        </w:tc>
        <w:tc>
          <w:tcPr>
            <w:tcW w:w="7506" w:type="dxa"/>
            <w:shd w:val="clear" w:color="auto" w:fill="auto"/>
          </w:tcPr>
          <w:p w14:paraId="2254FD86" w14:textId="0FE8E7F2" w:rsidR="00F77E95" w:rsidRPr="009F1D5B" w:rsidRDefault="00F77E95" w:rsidP="00450A99">
            <w:pPr>
              <w:pStyle w:val="AFMANormal"/>
              <w:spacing w:before="120" w:after="120" w:line="276" w:lineRule="auto"/>
              <w:rPr>
                <w:sz w:val="22"/>
                <w:szCs w:val="22"/>
              </w:rPr>
            </w:pPr>
            <w:r>
              <w:rPr>
                <w:sz w:val="22"/>
                <w:szCs w:val="22"/>
              </w:rPr>
              <w:t xml:space="preserve">Provides that the Determination </w:t>
            </w:r>
            <w:r w:rsidR="00A95CB3">
              <w:rPr>
                <w:sz w:val="22"/>
                <w:szCs w:val="22"/>
              </w:rPr>
              <w:t>ceases</w:t>
            </w:r>
            <w:r w:rsidR="00C63E6F">
              <w:rPr>
                <w:sz w:val="22"/>
                <w:szCs w:val="22"/>
              </w:rPr>
              <w:t xml:space="preserve"> as</w:t>
            </w:r>
            <w:r w:rsidR="00A95CB3">
              <w:rPr>
                <w:sz w:val="22"/>
                <w:szCs w:val="22"/>
              </w:rPr>
              <w:t xml:space="preserve"> if it was revoked on 1 January 2021.</w:t>
            </w:r>
          </w:p>
        </w:tc>
      </w:tr>
      <w:tr w:rsidR="00961E62" w:rsidRPr="009F1D5B" w14:paraId="042EAA4E" w14:textId="77777777" w:rsidTr="00792A4F">
        <w:tc>
          <w:tcPr>
            <w:tcW w:w="1350" w:type="dxa"/>
            <w:shd w:val="clear" w:color="auto" w:fill="auto"/>
          </w:tcPr>
          <w:p w14:paraId="53910443" w14:textId="57D4FC34" w:rsidR="00961E62" w:rsidRPr="009F1D5B" w:rsidRDefault="0055589F" w:rsidP="00450A99">
            <w:pPr>
              <w:pStyle w:val="AFMANormal"/>
              <w:spacing w:before="120" w:after="120" w:line="276" w:lineRule="auto"/>
              <w:rPr>
                <w:b/>
                <w:i/>
                <w:sz w:val="22"/>
                <w:szCs w:val="22"/>
              </w:rPr>
            </w:pPr>
            <w:r>
              <w:rPr>
                <w:b/>
                <w:i/>
                <w:sz w:val="22"/>
                <w:szCs w:val="22"/>
              </w:rPr>
              <w:t>Section</w:t>
            </w:r>
            <w:r w:rsidR="00961E62" w:rsidRPr="009F1D5B">
              <w:rPr>
                <w:b/>
                <w:i/>
                <w:sz w:val="22"/>
                <w:szCs w:val="22"/>
              </w:rPr>
              <w:t xml:space="preserve"> </w:t>
            </w:r>
            <w:r w:rsidR="00F77E95">
              <w:rPr>
                <w:b/>
                <w:i/>
                <w:sz w:val="22"/>
                <w:szCs w:val="22"/>
              </w:rPr>
              <w:t>5</w:t>
            </w:r>
          </w:p>
        </w:tc>
        <w:tc>
          <w:tcPr>
            <w:tcW w:w="7506" w:type="dxa"/>
            <w:shd w:val="clear" w:color="auto" w:fill="auto"/>
          </w:tcPr>
          <w:p w14:paraId="7D5D6D15" w14:textId="3DAFA097" w:rsidR="0055589F" w:rsidRPr="009F1D5B" w:rsidRDefault="002D799D" w:rsidP="00F74259">
            <w:pPr>
              <w:pStyle w:val="AFMANormal"/>
              <w:spacing w:before="120" w:after="120" w:line="276" w:lineRule="auto"/>
              <w:rPr>
                <w:sz w:val="22"/>
                <w:szCs w:val="22"/>
              </w:rPr>
            </w:pPr>
            <w:r>
              <w:rPr>
                <w:snapToGrid/>
                <w:sz w:val="22"/>
                <w:szCs w:val="22"/>
              </w:rPr>
              <w:t>P</w:t>
            </w:r>
            <w:r w:rsidR="00450A99">
              <w:rPr>
                <w:snapToGrid/>
                <w:sz w:val="22"/>
                <w:szCs w:val="22"/>
              </w:rPr>
              <w:t>rovides</w:t>
            </w:r>
            <w:r>
              <w:rPr>
                <w:snapToGrid/>
                <w:sz w:val="22"/>
                <w:szCs w:val="22"/>
              </w:rPr>
              <w:t xml:space="preserve"> </w:t>
            </w:r>
            <w:r w:rsidR="00450A99">
              <w:rPr>
                <w:snapToGrid/>
                <w:sz w:val="22"/>
                <w:szCs w:val="22"/>
              </w:rPr>
              <w:t xml:space="preserve">that a term </w:t>
            </w:r>
            <w:r>
              <w:rPr>
                <w:snapToGrid/>
                <w:sz w:val="22"/>
                <w:szCs w:val="22"/>
              </w:rPr>
              <w:t xml:space="preserve">used </w:t>
            </w:r>
            <w:r w:rsidR="00450A99">
              <w:rPr>
                <w:snapToGrid/>
                <w:sz w:val="22"/>
                <w:szCs w:val="22"/>
              </w:rPr>
              <w:t xml:space="preserve">in the </w:t>
            </w:r>
            <w:r>
              <w:rPr>
                <w:snapToGrid/>
                <w:sz w:val="22"/>
                <w:szCs w:val="22"/>
              </w:rPr>
              <w:t>Determination that is defined in the Act or the Plan</w:t>
            </w:r>
            <w:r w:rsidR="00450A99">
              <w:rPr>
                <w:snapToGrid/>
                <w:sz w:val="22"/>
                <w:szCs w:val="22"/>
              </w:rPr>
              <w:t xml:space="preserve"> has the same meaning </w:t>
            </w:r>
            <w:r>
              <w:rPr>
                <w:snapToGrid/>
                <w:sz w:val="22"/>
                <w:szCs w:val="22"/>
              </w:rPr>
              <w:t>as in the Act or the Plan (respectively)</w:t>
            </w:r>
            <w:r w:rsidR="00450A99">
              <w:rPr>
                <w:snapToGrid/>
                <w:sz w:val="22"/>
                <w:szCs w:val="22"/>
              </w:rPr>
              <w:t xml:space="preserve">. Relevantly, this includes ‘fishery’ and ‘fishing season’ as defined in section 3 of the Plan.  The geographic area of the Fishery is prescribed in Schedule 1 to the Plan.  </w:t>
            </w:r>
          </w:p>
        </w:tc>
      </w:tr>
      <w:tr w:rsidR="00961E62" w:rsidRPr="009F1D5B" w14:paraId="1C54F018" w14:textId="77777777" w:rsidTr="00792A4F">
        <w:tc>
          <w:tcPr>
            <w:tcW w:w="1350" w:type="dxa"/>
            <w:shd w:val="clear" w:color="auto" w:fill="auto"/>
          </w:tcPr>
          <w:p w14:paraId="0D482690" w14:textId="0248B024" w:rsidR="00961E62" w:rsidRPr="009F1D5B" w:rsidRDefault="0055589F" w:rsidP="009F1D5B">
            <w:pPr>
              <w:pStyle w:val="AFMANormal"/>
              <w:spacing w:before="120" w:after="120" w:line="276" w:lineRule="auto"/>
              <w:rPr>
                <w:b/>
                <w:i/>
                <w:sz w:val="22"/>
                <w:szCs w:val="22"/>
              </w:rPr>
            </w:pPr>
            <w:r>
              <w:rPr>
                <w:b/>
                <w:i/>
                <w:sz w:val="22"/>
                <w:szCs w:val="22"/>
              </w:rPr>
              <w:t>Section</w:t>
            </w:r>
            <w:r w:rsidR="00961E62" w:rsidRPr="009F1D5B">
              <w:rPr>
                <w:b/>
                <w:i/>
                <w:sz w:val="22"/>
                <w:szCs w:val="22"/>
              </w:rPr>
              <w:t xml:space="preserve"> </w:t>
            </w:r>
            <w:r w:rsidR="00E93EEA" w:rsidRPr="009F1D5B">
              <w:rPr>
                <w:b/>
                <w:i/>
                <w:sz w:val="22"/>
                <w:szCs w:val="22"/>
              </w:rPr>
              <w:t>6</w:t>
            </w:r>
          </w:p>
        </w:tc>
        <w:tc>
          <w:tcPr>
            <w:tcW w:w="7506" w:type="dxa"/>
            <w:shd w:val="clear" w:color="auto" w:fill="auto"/>
          </w:tcPr>
          <w:p w14:paraId="23FC2CF1" w14:textId="4C3E5AF2" w:rsidR="00A06CA3" w:rsidRPr="008376C0" w:rsidRDefault="00450A99" w:rsidP="00E64717">
            <w:pPr>
              <w:pStyle w:val="AFMANormal"/>
              <w:spacing w:before="120" w:after="120" w:line="276" w:lineRule="auto"/>
              <w:rPr>
                <w:snapToGrid/>
                <w:sz w:val="22"/>
                <w:szCs w:val="22"/>
              </w:rPr>
            </w:pPr>
            <w:r>
              <w:rPr>
                <w:snapToGrid/>
                <w:sz w:val="22"/>
                <w:szCs w:val="22"/>
              </w:rPr>
              <w:t xml:space="preserve">Determines the period for the 2020 </w:t>
            </w:r>
            <w:r w:rsidR="00C52BB4">
              <w:rPr>
                <w:snapToGrid/>
                <w:sz w:val="22"/>
                <w:szCs w:val="22"/>
              </w:rPr>
              <w:t>fishing season for the Fish</w:t>
            </w:r>
            <w:r w:rsidR="002D799D">
              <w:rPr>
                <w:snapToGrid/>
                <w:sz w:val="22"/>
                <w:szCs w:val="22"/>
              </w:rPr>
              <w:t>ery</w:t>
            </w:r>
            <w:r w:rsidR="00C52BB4">
              <w:rPr>
                <w:snapToGrid/>
                <w:sz w:val="22"/>
                <w:szCs w:val="22"/>
              </w:rPr>
              <w:t xml:space="preserve"> </w:t>
            </w:r>
            <w:r w:rsidR="002D799D">
              <w:rPr>
                <w:snapToGrid/>
                <w:sz w:val="22"/>
                <w:szCs w:val="22"/>
              </w:rPr>
              <w:t>as</w:t>
            </w:r>
            <w:r w:rsidR="00C52BB4">
              <w:rPr>
                <w:snapToGrid/>
                <w:sz w:val="22"/>
                <w:szCs w:val="22"/>
              </w:rPr>
              <w:t xml:space="preserve"> the period </w:t>
            </w:r>
            <w:r w:rsidR="002D799D">
              <w:rPr>
                <w:snapToGrid/>
                <w:sz w:val="22"/>
                <w:szCs w:val="22"/>
              </w:rPr>
              <w:t xml:space="preserve">commencing on </w:t>
            </w:r>
            <w:r w:rsidR="00C52BB4">
              <w:rPr>
                <w:snapToGrid/>
                <w:sz w:val="22"/>
                <w:szCs w:val="22"/>
              </w:rPr>
              <w:t>12</w:t>
            </w:r>
            <w:r w:rsidR="00E64717">
              <w:rPr>
                <w:snapToGrid/>
                <w:sz w:val="22"/>
                <w:szCs w:val="22"/>
              </w:rPr>
              <w:t xml:space="preserve"> </w:t>
            </w:r>
            <w:r w:rsidR="00C52BB4">
              <w:rPr>
                <w:snapToGrid/>
                <w:sz w:val="22"/>
                <w:szCs w:val="22"/>
              </w:rPr>
              <w:t xml:space="preserve">July 2020 </w:t>
            </w:r>
            <w:r w:rsidR="002D799D">
              <w:rPr>
                <w:snapToGrid/>
                <w:sz w:val="22"/>
                <w:szCs w:val="22"/>
              </w:rPr>
              <w:t>and ending on</w:t>
            </w:r>
            <w:r w:rsidR="00C52BB4">
              <w:rPr>
                <w:snapToGrid/>
                <w:sz w:val="22"/>
                <w:szCs w:val="22"/>
              </w:rPr>
              <w:t xml:space="preserve"> 31 December 2020.</w:t>
            </w:r>
            <w:r w:rsidR="008376C0">
              <w:rPr>
                <w:snapToGrid/>
                <w:sz w:val="22"/>
                <w:szCs w:val="22"/>
              </w:rPr>
              <w:t xml:space="preserve"> </w:t>
            </w:r>
          </w:p>
        </w:tc>
      </w:tr>
    </w:tbl>
    <w:p w14:paraId="018B9AB2" w14:textId="77777777" w:rsidR="00FC1DDD" w:rsidRPr="009F1D5B" w:rsidRDefault="00FC1DDD" w:rsidP="009F1D5B">
      <w:pPr>
        <w:spacing w:before="240" w:after="240" w:line="276" w:lineRule="auto"/>
        <w:jc w:val="both"/>
        <w:rPr>
          <w:sz w:val="22"/>
          <w:szCs w:val="22"/>
        </w:rPr>
      </w:pPr>
      <w:r w:rsidRPr="009F1D5B">
        <w:rPr>
          <w:sz w:val="22"/>
          <w:szCs w:val="22"/>
        </w:rPr>
        <w:br w:type="page"/>
      </w:r>
    </w:p>
    <w:tbl>
      <w:tblPr>
        <w:tblW w:w="0" w:type="auto"/>
        <w:tblLook w:val="01E0" w:firstRow="1" w:lastRow="1" w:firstColumn="1" w:lastColumn="1" w:noHBand="0" w:noVBand="0"/>
      </w:tblPr>
      <w:tblGrid>
        <w:gridCol w:w="1350"/>
        <w:gridCol w:w="7506"/>
      </w:tblGrid>
      <w:tr w:rsidR="00961E62" w:rsidRPr="009F1D5B" w14:paraId="4A774691" w14:textId="77777777" w:rsidTr="00826E01">
        <w:tc>
          <w:tcPr>
            <w:tcW w:w="1350" w:type="dxa"/>
            <w:shd w:val="clear" w:color="auto" w:fill="auto"/>
          </w:tcPr>
          <w:p w14:paraId="63BA4733" w14:textId="77777777" w:rsidR="00961E62" w:rsidRPr="009F1D5B" w:rsidRDefault="00961E62" w:rsidP="009F1D5B">
            <w:pPr>
              <w:pStyle w:val="AFMANormal"/>
              <w:spacing w:after="240" w:line="276" w:lineRule="auto"/>
              <w:rPr>
                <w:b/>
                <w:i/>
                <w:sz w:val="22"/>
                <w:szCs w:val="22"/>
              </w:rPr>
            </w:pPr>
          </w:p>
        </w:tc>
        <w:tc>
          <w:tcPr>
            <w:tcW w:w="7506" w:type="dxa"/>
            <w:shd w:val="clear" w:color="auto" w:fill="auto"/>
          </w:tcPr>
          <w:p w14:paraId="7C4A53A1" w14:textId="309B7BC9" w:rsidR="00961E62" w:rsidRPr="009F1D5B" w:rsidRDefault="009F1D5B" w:rsidP="009F1D5B">
            <w:pPr>
              <w:pStyle w:val="AFMANormal"/>
              <w:spacing w:after="240" w:line="276" w:lineRule="auto"/>
              <w:rPr>
                <w:snapToGrid/>
                <w:sz w:val="22"/>
                <w:szCs w:val="22"/>
              </w:rPr>
            </w:pPr>
            <w:r w:rsidRPr="009F1D5B">
              <w:rPr>
                <w:noProof/>
                <w:sz w:val="22"/>
                <w:szCs w:val="22"/>
                <w:lang w:eastAsia="en-AU"/>
              </w:rPr>
              <mc:AlternateContent>
                <mc:Choice Requires="wps">
                  <w:drawing>
                    <wp:anchor distT="0" distB="0" distL="114300" distR="114300" simplePos="0" relativeHeight="251659264" behindDoc="0" locked="0" layoutInCell="1" allowOverlap="1" wp14:anchorId="205683BB" wp14:editId="38117029">
                      <wp:simplePos x="0" y="0"/>
                      <wp:positionH relativeFrom="column">
                        <wp:posOffset>-887510</wp:posOffset>
                      </wp:positionH>
                      <wp:positionV relativeFrom="paragraph">
                        <wp:posOffset>36999</wp:posOffset>
                      </wp:positionV>
                      <wp:extent cx="6226377" cy="9424134"/>
                      <wp:effectExtent l="38100" t="38100" r="41275" b="438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377" cy="9424134"/>
                              </a:xfrm>
                              <a:prstGeom prst="rect">
                                <a:avLst/>
                              </a:prstGeom>
                              <a:solidFill>
                                <a:srgbClr val="FFFFFF"/>
                              </a:solidFill>
                              <a:ln w="76200" cmpd="tri">
                                <a:solidFill>
                                  <a:srgbClr val="000000"/>
                                </a:solidFill>
                                <a:miter lim="800000"/>
                                <a:headEnd/>
                                <a:tailEnd/>
                              </a:ln>
                            </wps:spPr>
                            <wps:txbx>
                              <w:txbxContent>
                                <w:p w14:paraId="15795E64" w14:textId="77777777" w:rsidR="005A7814" w:rsidRPr="009F1D5B" w:rsidRDefault="005A7814" w:rsidP="0055589F">
                                  <w:pPr>
                                    <w:spacing w:before="240" w:after="240" w:line="276" w:lineRule="auto"/>
                                    <w:jc w:val="center"/>
                                    <w:rPr>
                                      <w:b/>
                                      <w:sz w:val="22"/>
                                      <w:szCs w:val="22"/>
                                    </w:rPr>
                                  </w:pPr>
                                  <w:r w:rsidRPr="009F1D5B">
                                    <w:rPr>
                                      <w:b/>
                                      <w:sz w:val="22"/>
                                      <w:szCs w:val="22"/>
                                    </w:rPr>
                                    <w:t>Statement of Compatibility with Human Rights</w:t>
                                  </w:r>
                                </w:p>
                                <w:p w14:paraId="6C26E982" w14:textId="77777777" w:rsidR="005A7814" w:rsidRPr="009F1D5B" w:rsidRDefault="005A7814" w:rsidP="0055589F">
                                  <w:pPr>
                                    <w:spacing w:before="240" w:after="240" w:line="276" w:lineRule="auto"/>
                                    <w:jc w:val="center"/>
                                    <w:rPr>
                                      <w:sz w:val="22"/>
                                      <w:szCs w:val="22"/>
                                    </w:rPr>
                                  </w:pPr>
                                  <w:r w:rsidRPr="009F1D5B">
                                    <w:rPr>
                                      <w:sz w:val="22"/>
                                      <w:szCs w:val="22"/>
                                    </w:rPr>
                                    <w:t xml:space="preserve">Prepared in accordance with Part 3 of the </w:t>
                                  </w:r>
                                  <w:r w:rsidRPr="009F1D5B">
                                    <w:rPr>
                                      <w:i/>
                                      <w:sz w:val="22"/>
                                      <w:szCs w:val="22"/>
                                    </w:rPr>
                                    <w:t>Human Rights (Parliamentary Scrutiny) Act 2011</w:t>
                                  </w:r>
                                </w:p>
                                <w:p w14:paraId="41344AF0" w14:textId="0888C69A" w:rsidR="005A7814" w:rsidRPr="009F1D5B" w:rsidRDefault="005A7814" w:rsidP="0055589F">
                                  <w:pPr>
                                    <w:spacing w:before="240" w:after="240" w:line="276" w:lineRule="auto"/>
                                    <w:jc w:val="center"/>
                                    <w:rPr>
                                      <w:b/>
                                      <w:sz w:val="22"/>
                                      <w:szCs w:val="22"/>
                                    </w:rPr>
                                  </w:pPr>
                                  <w:r w:rsidRPr="009F1D5B">
                                    <w:rPr>
                                      <w:b/>
                                      <w:sz w:val="22"/>
                                      <w:szCs w:val="22"/>
                                    </w:rPr>
                                    <w:t xml:space="preserve">Bass Strait Central Zone Scallop Fishery </w:t>
                                  </w:r>
                                  <w:r w:rsidR="0074401C">
                                    <w:rPr>
                                      <w:b/>
                                      <w:sz w:val="22"/>
                                      <w:szCs w:val="22"/>
                                    </w:rPr>
                                    <w:t>(</w:t>
                                  </w:r>
                                  <w:r w:rsidR="00C52BB4">
                                    <w:rPr>
                                      <w:b/>
                                      <w:sz w:val="22"/>
                                      <w:szCs w:val="22"/>
                                    </w:rPr>
                                    <w:t>Fishing Season</w:t>
                                  </w:r>
                                  <w:r w:rsidR="0074401C">
                                    <w:rPr>
                                      <w:b/>
                                      <w:sz w:val="22"/>
                                      <w:szCs w:val="22"/>
                                    </w:rPr>
                                    <w:t>)</w:t>
                                  </w:r>
                                  <w:r w:rsidRPr="009F1D5B">
                                    <w:rPr>
                                      <w:b/>
                                      <w:sz w:val="22"/>
                                      <w:szCs w:val="22"/>
                                    </w:rPr>
                                    <w:t xml:space="preserve"> Determination </w:t>
                                  </w:r>
                                  <w:r w:rsidR="00401746" w:rsidRPr="009F1D5B">
                                    <w:rPr>
                                      <w:b/>
                                      <w:sz w:val="22"/>
                                      <w:szCs w:val="22"/>
                                    </w:rPr>
                                    <w:t>20</w:t>
                                  </w:r>
                                  <w:r w:rsidR="00926BEC">
                                    <w:rPr>
                                      <w:b/>
                                      <w:sz w:val="22"/>
                                      <w:szCs w:val="22"/>
                                    </w:rPr>
                                    <w:t>20</w:t>
                                  </w:r>
                                </w:p>
                                <w:p w14:paraId="3A5269D1" w14:textId="5DE79DE8" w:rsidR="005A7814" w:rsidRPr="009F1D5B" w:rsidRDefault="005A7814" w:rsidP="0055589F">
                                  <w:pPr>
                                    <w:spacing w:before="240" w:after="600" w:line="276" w:lineRule="auto"/>
                                    <w:jc w:val="center"/>
                                    <w:rPr>
                                      <w:sz w:val="22"/>
                                      <w:szCs w:val="22"/>
                                    </w:rPr>
                                  </w:pPr>
                                  <w:r w:rsidRPr="009F1D5B">
                                    <w:rPr>
                                      <w:sz w:val="22"/>
                                      <w:szCs w:val="22"/>
                                    </w:rPr>
                                    <w:t xml:space="preserve">This Legislative Instrument is compatible with the human rights and freedoms recognised or declared in the international instruments listed in section 3 of the </w:t>
                                  </w:r>
                                  <w:r w:rsidRPr="009F1D5B">
                                    <w:rPr>
                                      <w:i/>
                                      <w:sz w:val="22"/>
                                      <w:szCs w:val="22"/>
                                    </w:rPr>
                                    <w:t>Human Rights (Parliamentary Scrutiny) Act 2011</w:t>
                                  </w:r>
                                  <w:r w:rsidRPr="009F1D5B">
                                    <w:rPr>
                                      <w:sz w:val="22"/>
                                      <w:szCs w:val="22"/>
                                    </w:rPr>
                                    <w:t>.</w:t>
                                  </w:r>
                                </w:p>
                                <w:p w14:paraId="7E4D895A" w14:textId="77777777" w:rsidR="005A7814" w:rsidRPr="009F1D5B" w:rsidRDefault="005A7814" w:rsidP="0055589F">
                                  <w:pPr>
                                    <w:spacing w:before="240" w:after="240" w:line="276" w:lineRule="auto"/>
                                    <w:jc w:val="both"/>
                                    <w:rPr>
                                      <w:b/>
                                      <w:sz w:val="22"/>
                                      <w:szCs w:val="22"/>
                                    </w:rPr>
                                  </w:pPr>
                                  <w:r w:rsidRPr="009F1D5B">
                                    <w:rPr>
                                      <w:b/>
                                      <w:sz w:val="22"/>
                                      <w:szCs w:val="22"/>
                                    </w:rPr>
                                    <w:t>Overview of the Legislative Instrument</w:t>
                                  </w:r>
                                </w:p>
                                <w:p w14:paraId="7F9E5695" w14:textId="77777777" w:rsidR="00C52BB4" w:rsidRDefault="00C52BB4" w:rsidP="00C52BB4">
                                  <w:pPr>
                                    <w:pStyle w:val="AFMANormal"/>
                                    <w:spacing w:after="240" w:line="276" w:lineRule="auto"/>
                                    <w:rPr>
                                      <w:sz w:val="22"/>
                                      <w:szCs w:val="22"/>
                                    </w:rPr>
                                  </w:pPr>
                                  <w:r>
                                    <w:rPr>
                                      <w:sz w:val="22"/>
                                      <w:szCs w:val="22"/>
                                    </w:rPr>
                                    <w:t xml:space="preserve">Subsection 17(5) of the </w:t>
                                  </w:r>
                                  <w:r>
                                    <w:rPr>
                                      <w:i/>
                                      <w:iCs/>
                                      <w:sz w:val="22"/>
                                      <w:szCs w:val="22"/>
                                    </w:rPr>
                                    <w:t xml:space="preserve">Fisheries Management Act 1991 </w:t>
                                  </w:r>
                                  <w:r>
                                    <w:rPr>
                                      <w:sz w:val="22"/>
                                      <w:szCs w:val="22"/>
                                    </w:rPr>
                                    <w:t xml:space="preserve">(the Act) provides that a plan of management made under section 17 of the Act may provide for the Australian Fisheries Management Authority (AFMA) to give particular determinations for the purposes of attaining the objectives of the plan of management. </w:t>
                                  </w:r>
                                </w:p>
                                <w:p w14:paraId="786CA057" w14:textId="0CEB1D8D" w:rsidR="00C52BB4" w:rsidRDefault="00825752" w:rsidP="00C52BB4">
                                  <w:pPr>
                                    <w:pStyle w:val="AFMANormal"/>
                                    <w:spacing w:after="240" w:line="276" w:lineRule="auto"/>
                                    <w:rPr>
                                      <w:sz w:val="22"/>
                                      <w:szCs w:val="22"/>
                                    </w:rPr>
                                  </w:pPr>
                                  <w:r>
                                    <w:rPr>
                                      <w:sz w:val="22"/>
                                      <w:szCs w:val="22"/>
                                    </w:rPr>
                                    <w:t>Paragraph</w:t>
                                  </w:r>
                                  <w:r w:rsidR="00C52BB4">
                                    <w:rPr>
                                      <w:sz w:val="22"/>
                                      <w:szCs w:val="22"/>
                                    </w:rPr>
                                    <w:t xml:space="preserve"> 17(6)(aa) of the Act provides that a plan of management may determine or provide for AFMA to determine the fishing capacity measured, by that method or those methods permitted for the fishery or a part of the fishery in respect of a particular period or periods.</w:t>
                                  </w:r>
                                </w:p>
                                <w:p w14:paraId="7A502083" w14:textId="77777777" w:rsidR="00C52BB4" w:rsidRDefault="00C52BB4" w:rsidP="00C52BB4">
                                  <w:pPr>
                                    <w:pStyle w:val="AFMANormal"/>
                                    <w:spacing w:after="240" w:line="276" w:lineRule="auto"/>
                                    <w:rPr>
                                      <w:sz w:val="22"/>
                                      <w:szCs w:val="22"/>
                                    </w:rPr>
                                  </w:pPr>
                                  <w:r>
                                    <w:rPr>
                                      <w:sz w:val="22"/>
                                      <w:szCs w:val="22"/>
                                    </w:rPr>
                                    <w:t xml:space="preserve">Section 3.1 of the </w:t>
                                  </w:r>
                                  <w:r w:rsidRPr="00EF3ECB">
                                    <w:rPr>
                                      <w:i/>
                                      <w:sz w:val="22"/>
                                      <w:szCs w:val="22"/>
                                    </w:rPr>
                                    <w:t>Bass Strait Central Zone Scallop Fishery Management Plan 2002</w:t>
                                  </w:r>
                                  <w:r>
                                    <w:rPr>
                                      <w:sz w:val="22"/>
                                      <w:szCs w:val="22"/>
                                    </w:rPr>
                                    <w:t xml:space="preserve"> (the Plan) provides that the definition of the term ‘fishing season’ means the period determined by AFMA. </w:t>
                                  </w:r>
                                </w:p>
                                <w:p w14:paraId="6EFC4BFB" w14:textId="77777777" w:rsidR="00C52BB4" w:rsidRDefault="00C52BB4" w:rsidP="00C52BB4">
                                  <w:pPr>
                                    <w:pStyle w:val="AFMANormal"/>
                                    <w:spacing w:after="240" w:line="276" w:lineRule="auto"/>
                                    <w:rPr>
                                      <w:sz w:val="22"/>
                                      <w:szCs w:val="22"/>
                                    </w:rPr>
                                  </w:pPr>
                                  <w:r>
                                    <w:rPr>
                                      <w:sz w:val="22"/>
                                      <w:szCs w:val="22"/>
                                    </w:rPr>
                                    <w:t xml:space="preserve">The </w:t>
                                  </w:r>
                                  <w:r w:rsidRPr="00EF3ECB">
                                    <w:rPr>
                                      <w:i/>
                                      <w:sz w:val="22"/>
                                      <w:szCs w:val="22"/>
                                    </w:rPr>
                                    <w:t>Bass Strait Central Zone Scallop Fishery (Fishing Season) Determination 2020</w:t>
                                  </w:r>
                                  <w:r>
                                    <w:rPr>
                                      <w:sz w:val="22"/>
                                      <w:szCs w:val="22"/>
                                    </w:rPr>
                                    <w:t xml:space="preserve"> (the Determination) is a legislative instrument for the purposes of the </w:t>
                                  </w:r>
                                  <w:r w:rsidRPr="00EF3ECB">
                                    <w:rPr>
                                      <w:i/>
                                      <w:sz w:val="22"/>
                                      <w:szCs w:val="22"/>
                                    </w:rPr>
                                    <w:t>Legislation Act 2003</w:t>
                                  </w:r>
                                  <w:r>
                                    <w:rPr>
                                      <w:i/>
                                      <w:sz w:val="22"/>
                                      <w:szCs w:val="22"/>
                                    </w:rPr>
                                    <w:t>.</w:t>
                                  </w:r>
                                </w:p>
                                <w:p w14:paraId="5FFBC8E7" w14:textId="0CEE1721" w:rsidR="00C52BB4" w:rsidRDefault="00C52BB4" w:rsidP="00C52BB4">
                                  <w:pPr>
                                    <w:pStyle w:val="AFMANormal"/>
                                    <w:spacing w:after="240" w:line="276" w:lineRule="auto"/>
                                    <w:rPr>
                                      <w:sz w:val="22"/>
                                      <w:szCs w:val="22"/>
                                    </w:rPr>
                                  </w:pPr>
                                  <w:r>
                                    <w:rPr>
                                      <w:sz w:val="22"/>
                                      <w:szCs w:val="22"/>
                                    </w:rPr>
                                    <w:t xml:space="preserve">The Determination determines the 2020 fishing season for the Bass Strait Central Zone Scallop Fishery (the Fishery) as the period </w:t>
                                  </w:r>
                                  <w:r w:rsidR="007C2D9A">
                                    <w:rPr>
                                      <w:sz w:val="22"/>
                                      <w:szCs w:val="22"/>
                                    </w:rPr>
                                    <w:t>commencing on</w:t>
                                  </w:r>
                                  <w:r>
                                    <w:rPr>
                                      <w:sz w:val="22"/>
                                      <w:szCs w:val="22"/>
                                    </w:rPr>
                                    <w:t xml:space="preserve"> 12 July 2020 and ending </w:t>
                                  </w:r>
                                  <w:r w:rsidR="007C2D9A">
                                    <w:rPr>
                                      <w:sz w:val="22"/>
                                      <w:szCs w:val="22"/>
                                    </w:rPr>
                                    <w:t xml:space="preserve">on </w:t>
                                  </w:r>
                                  <w:r>
                                    <w:rPr>
                                      <w:sz w:val="22"/>
                                      <w:szCs w:val="22"/>
                                    </w:rPr>
                                    <w:t xml:space="preserve">31 </w:t>
                                  </w:r>
                                  <w:r w:rsidR="007C2D9A">
                                    <w:rPr>
                                      <w:sz w:val="22"/>
                                      <w:szCs w:val="22"/>
                                    </w:rPr>
                                    <w:t>December</w:t>
                                  </w:r>
                                  <w:r>
                                    <w:rPr>
                                      <w:sz w:val="22"/>
                                      <w:szCs w:val="22"/>
                                    </w:rPr>
                                    <w:t xml:space="preserve"> 2020. </w:t>
                                  </w:r>
                                </w:p>
                                <w:p w14:paraId="756BC4F7" w14:textId="35E97546" w:rsidR="00C52BB4" w:rsidRPr="009F1D5B" w:rsidRDefault="00C52BB4" w:rsidP="00D4059E">
                                  <w:pPr>
                                    <w:pStyle w:val="AFMANormal"/>
                                    <w:spacing w:after="240" w:line="276" w:lineRule="auto"/>
                                    <w:rPr>
                                      <w:sz w:val="22"/>
                                      <w:szCs w:val="22"/>
                                    </w:rPr>
                                  </w:pPr>
                                  <w:r>
                                    <w:rPr>
                                      <w:sz w:val="22"/>
                                      <w:szCs w:val="22"/>
                                    </w:rPr>
                                    <w:t xml:space="preserve">The period for the fishing season determined in the Determination is consistent with the purpose of the Fishery Harvest Strategy, which allows for the Fishery to be opened following a research survey and then </w:t>
                                  </w:r>
                                  <w:r w:rsidRPr="00E64717">
                                    <w:rPr>
                                      <w:sz w:val="22"/>
                                      <w:szCs w:val="22"/>
                                    </w:rPr>
                                    <w:t>closed on 31 December</w:t>
                                  </w:r>
                                  <w:r>
                                    <w:rPr>
                                      <w:sz w:val="22"/>
                                      <w:szCs w:val="22"/>
                                    </w:rPr>
                                    <w:t xml:space="preserve"> to protect settling or newly-settle commercial scallop spat. While a research survey was not conducted in 2020</w:t>
                                  </w:r>
                                  <w:r w:rsidR="007B4E64">
                                    <w:rPr>
                                      <w:sz w:val="22"/>
                                      <w:szCs w:val="22"/>
                                    </w:rPr>
                                    <w:t xml:space="preserve"> due to the logistical and work health and safety issues arising from the Covid-19 pandemic</w:t>
                                  </w:r>
                                  <w:r w:rsidR="00887FB4">
                                    <w:rPr>
                                      <w:sz w:val="22"/>
                                      <w:szCs w:val="22"/>
                                    </w:rPr>
                                    <w:t>,</w:t>
                                  </w:r>
                                  <w:r>
                                    <w:rPr>
                                      <w:sz w:val="22"/>
                                      <w:szCs w:val="22"/>
                                    </w:rPr>
                                    <w:t xml:space="preserve"> the proposed period for the 2020 fishing season is considered sufficient to meet the intent of the Fishery Harvest Strategy. </w:t>
                                  </w:r>
                                </w:p>
                                <w:p w14:paraId="28D1208B" w14:textId="77777777" w:rsidR="005A7814" w:rsidRPr="009F1D5B" w:rsidRDefault="005A7814" w:rsidP="00D4059E">
                                  <w:pPr>
                                    <w:spacing w:before="240" w:after="240" w:line="276" w:lineRule="auto"/>
                                    <w:jc w:val="both"/>
                                    <w:rPr>
                                      <w:b/>
                                      <w:sz w:val="22"/>
                                      <w:szCs w:val="22"/>
                                    </w:rPr>
                                  </w:pPr>
                                  <w:r w:rsidRPr="009F1D5B">
                                    <w:rPr>
                                      <w:b/>
                                      <w:sz w:val="22"/>
                                      <w:szCs w:val="22"/>
                                    </w:rPr>
                                    <w:t>Human rights implications</w:t>
                                  </w:r>
                                </w:p>
                                <w:p w14:paraId="79DA3DD9" w14:textId="77777777" w:rsidR="005A7814" w:rsidRPr="009F1D5B" w:rsidRDefault="005A7814" w:rsidP="00D4059E">
                                  <w:pPr>
                                    <w:spacing w:before="240" w:after="240" w:line="276" w:lineRule="auto"/>
                                    <w:jc w:val="both"/>
                                    <w:rPr>
                                      <w:sz w:val="22"/>
                                      <w:szCs w:val="22"/>
                                    </w:rPr>
                                  </w:pPr>
                                  <w:r w:rsidRPr="009F1D5B">
                                    <w:rPr>
                                      <w:sz w:val="22"/>
                                      <w:szCs w:val="22"/>
                                    </w:rPr>
                                    <w:t>This Legislative Instrument does not engage any of the applicable rights or freedoms.</w:t>
                                  </w:r>
                                </w:p>
                                <w:p w14:paraId="09B88C9B" w14:textId="77777777" w:rsidR="005A7814" w:rsidRPr="009F1D5B" w:rsidRDefault="005A7814" w:rsidP="00D4059E">
                                  <w:pPr>
                                    <w:spacing w:before="240" w:after="240" w:line="276" w:lineRule="auto"/>
                                    <w:jc w:val="both"/>
                                    <w:rPr>
                                      <w:b/>
                                      <w:sz w:val="22"/>
                                      <w:szCs w:val="22"/>
                                    </w:rPr>
                                  </w:pPr>
                                  <w:r w:rsidRPr="009F1D5B">
                                    <w:rPr>
                                      <w:b/>
                                      <w:sz w:val="22"/>
                                      <w:szCs w:val="22"/>
                                    </w:rPr>
                                    <w:t>Conclusion</w:t>
                                  </w:r>
                                </w:p>
                                <w:p w14:paraId="07F6C66B" w14:textId="3E40A03B" w:rsidR="005A7814" w:rsidRPr="009F1D5B" w:rsidRDefault="005A7814" w:rsidP="00D4059E">
                                  <w:pPr>
                                    <w:spacing w:before="240" w:after="240" w:line="276" w:lineRule="auto"/>
                                    <w:jc w:val="both"/>
                                    <w:rPr>
                                      <w:sz w:val="22"/>
                                      <w:szCs w:val="22"/>
                                    </w:rPr>
                                  </w:pPr>
                                  <w:r w:rsidRPr="009F1D5B">
                                    <w:rPr>
                                      <w:sz w:val="22"/>
                                      <w:szCs w:val="22"/>
                                    </w:rPr>
                                    <w:t xml:space="preserve">This Legislative Instrument is compatible with human rights as it does not raise any human rights issues.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683BB" id="Rectangle 1" o:spid="_x0000_s1026" style="position:absolute;left:0;text-align:left;margin-left:-69.9pt;margin-top:2.9pt;width:490.25pt;height:7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" strokeweight="6pt">
                      <v:stroke linestyle="thickBetweenThin"/>
                      <v:textbox inset="5mm,,5mm">
                        <w:txbxContent>
                          <w:p w14:paraId="15795E64" w14:textId="77777777" w:rsidR="005A7814" w:rsidRPr="009F1D5B" w:rsidRDefault="005A7814" w:rsidP="0055589F">
                            <w:pPr>
                              <w:spacing w:before="240" w:after="240" w:line="276" w:lineRule="auto"/>
                              <w:jc w:val="center"/>
                              <w:rPr>
                                <w:b/>
                                <w:sz w:val="22"/>
                                <w:szCs w:val="22"/>
                              </w:rPr>
                            </w:pPr>
                            <w:r w:rsidRPr="009F1D5B">
                              <w:rPr>
                                <w:b/>
                                <w:sz w:val="22"/>
                                <w:szCs w:val="22"/>
                              </w:rPr>
                              <w:t>Statement of Compatibility with Human Rights</w:t>
                            </w:r>
                          </w:p>
                          <w:p w14:paraId="6C26E982" w14:textId="77777777" w:rsidR="005A7814" w:rsidRPr="009F1D5B" w:rsidRDefault="005A7814" w:rsidP="0055589F">
                            <w:pPr>
                              <w:spacing w:before="240" w:after="240" w:line="276" w:lineRule="auto"/>
                              <w:jc w:val="center"/>
                              <w:rPr>
                                <w:sz w:val="22"/>
                                <w:szCs w:val="22"/>
                              </w:rPr>
                            </w:pPr>
                            <w:r w:rsidRPr="009F1D5B">
                              <w:rPr>
                                <w:sz w:val="22"/>
                                <w:szCs w:val="22"/>
                              </w:rPr>
                              <w:t xml:space="preserve">Prepared in accordance with Part 3 of the </w:t>
                            </w:r>
                            <w:r w:rsidRPr="009F1D5B">
                              <w:rPr>
                                <w:i/>
                                <w:sz w:val="22"/>
                                <w:szCs w:val="22"/>
                              </w:rPr>
                              <w:t>Human Rights (Parliamentary Scrutiny) Act 2011</w:t>
                            </w:r>
                          </w:p>
                          <w:p w14:paraId="41344AF0" w14:textId="0888C69A" w:rsidR="005A7814" w:rsidRPr="009F1D5B" w:rsidRDefault="005A7814" w:rsidP="0055589F">
                            <w:pPr>
                              <w:spacing w:before="240" w:after="240" w:line="276" w:lineRule="auto"/>
                              <w:jc w:val="center"/>
                              <w:rPr>
                                <w:b/>
                                <w:sz w:val="22"/>
                                <w:szCs w:val="22"/>
                              </w:rPr>
                            </w:pPr>
                            <w:r w:rsidRPr="009F1D5B">
                              <w:rPr>
                                <w:b/>
                                <w:sz w:val="22"/>
                                <w:szCs w:val="22"/>
                              </w:rPr>
                              <w:t xml:space="preserve">Bass Strait Central Zone Scallop Fishery </w:t>
                            </w:r>
                            <w:r w:rsidR="0074401C">
                              <w:rPr>
                                <w:b/>
                                <w:sz w:val="22"/>
                                <w:szCs w:val="22"/>
                              </w:rPr>
                              <w:t>(</w:t>
                            </w:r>
                            <w:r w:rsidR="00C52BB4">
                              <w:rPr>
                                <w:b/>
                                <w:sz w:val="22"/>
                                <w:szCs w:val="22"/>
                              </w:rPr>
                              <w:t>Fishing Season</w:t>
                            </w:r>
                            <w:r w:rsidR="0074401C">
                              <w:rPr>
                                <w:b/>
                                <w:sz w:val="22"/>
                                <w:szCs w:val="22"/>
                              </w:rPr>
                              <w:t>)</w:t>
                            </w:r>
                            <w:r w:rsidRPr="009F1D5B">
                              <w:rPr>
                                <w:b/>
                                <w:sz w:val="22"/>
                                <w:szCs w:val="22"/>
                              </w:rPr>
                              <w:t xml:space="preserve"> Determination </w:t>
                            </w:r>
                            <w:r w:rsidR="00401746" w:rsidRPr="009F1D5B">
                              <w:rPr>
                                <w:b/>
                                <w:sz w:val="22"/>
                                <w:szCs w:val="22"/>
                              </w:rPr>
                              <w:t>20</w:t>
                            </w:r>
                            <w:r w:rsidR="00926BEC">
                              <w:rPr>
                                <w:b/>
                                <w:sz w:val="22"/>
                                <w:szCs w:val="22"/>
                              </w:rPr>
                              <w:t>20</w:t>
                            </w:r>
                          </w:p>
                          <w:p w14:paraId="3A5269D1" w14:textId="5DE79DE8" w:rsidR="005A7814" w:rsidRPr="009F1D5B" w:rsidRDefault="005A7814" w:rsidP="0055589F">
                            <w:pPr>
                              <w:spacing w:before="240" w:after="600" w:line="276" w:lineRule="auto"/>
                              <w:jc w:val="center"/>
                              <w:rPr>
                                <w:sz w:val="22"/>
                                <w:szCs w:val="22"/>
                              </w:rPr>
                            </w:pPr>
                            <w:r w:rsidRPr="009F1D5B">
                              <w:rPr>
                                <w:sz w:val="22"/>
                                <w:szCs w:val="22"/>
                              </w:rPr>
                              <w:t xml:space="preserve">This Legislative Instrument is compatible with the human rights and freedoms recognised or declared in the international instruments listed in section 3 of the </w:t>
                            </w:r>
                            <w:r w:rsidRPr="009F1D5B">
                              <w:rPr>
                                <w:i/>
                                <w:sz w:val="22"/>
                                <w:szCs w:val="22"/>
                              </w:rPr>
                              <w:t>Human Rights (Parliamentary Scrutiny) Act 2011</w:t>
                            </w:r>
                            <w:r w:rsidRPr="009F1D5B">
                              <w:rPr>
                                <w:sz w:val="22"/>
                                <w:szCs w:val="22"/>
                              </w:rPr>
                              <w:t>.</w:t>
                            </w:r>
                          </w:p>
                          <w:p w14:paraId="7E4D895A" w14:textId="77777777" w:rsidR="005A7814" w:rsidRPr="009F1D5B" w:rsidRDefault="005A7814" w:rsidP="0055589F">
                            <w:pPr>
                              <w:spacing w:before="240" w:after="240" w:line="276" w:lineRule="auto"/>
                              <w:jc w:val="both"/>
                              <w:rPr>
                                <w:b/>
                                <w:sz w:val="22"/>
                                <w:szCs w:val="22"/>
                              </w:rPr>
                            </w:pPr>
                            <w:r w:rsidRPr="009F1D5B">
                              <w:rPr>
                                <w:b/>
                                <w:sz w:val="22"/>
                                <w:szCs w:val="22"/>
                              </w:rPr>
                              <w:t>Overview of the Legislative Instrument</w:t>
                            </w:r>
                          </w:p>
                          <w:p w14:paraId="7F9E5695" w14:textId="77777777" w:rsidR="00C52BB4" w:rsidRDefault="00C52BB4" w:rsidP="00C52BB4">
                            <w:pPr>
                              <w:pStyle w:val="AFMANormal"/>
                              <w:spacing w:after="240" w:line="276" w:lineRule="auto"/>
                              <w:rPr>
                                <w:sz w:val="22"/>
                                <w:szCs w:val="22"/>
                              </w:rPr>
                            </w:pPr>
                            <w:r>
                              <w:rPr>
                                <w:sz w:val="22"/>
                                <w:szCs w:val="22"/>
                              </w:rPr>
                              <w:t xml:space="preserve">Subsection 17(5) of the </w:t>
                            </w:r>
                            <w:r>
                              <w:rPr>
                                <w:i/>
                                <w:iCs/>
                                <w:sz w:val="22"/>
                                <w:szCs w:val="22"/>
                              </w:rPr>
                              <w:t xml:space="preserve">Fisheries Management Act 1991 </w:t>
                            </w:r>
                            <w:r>
                              <w:rPr>
                                <w:sz w:val="22"/>
                                <w:szCs w:val="22"/>
                              </w:rPr>
                              <w:t xml:space="preserve">(the Act) provides that a plan of management made under section 17 of the Act may provide for the Australian Fisheries Management Authority (AFMA) to give particular determinations for the purposes of attaining the objectives of the plan of management. </w:t>
                            </w:r>
                          </w:p>
                          <w:p w14:paraId="786CA057" w14:textId="0CEB1D8D" w:rsidR="00C52BB4" w:rsidRDefault="00825752" w:rsidP="00C52BB4">
                            <w:pPr>
                              <w:pStyle w:val="AFMANormal"/>
                              <w:spacing w:after="240" w:line="276" w:lineRule="auto"/>
                              <w:rPr>
                                <w:sz w:val="22"/>
                                <w:szCs w:val="22"/>
                              </w:rPr>
                            </w:pPr>
                            <w:r>
                              <w:rPr>
                                <w:sz w:val="22"/>
                                <w:szCs w:val="22"/>
                              </w:rPr>
                              <w:t>Paragraph</w:t>
                            </w:r>
                            <w:r w:rsidR="00C52BB4">
                              <w:rPr>
                                <w:sz w:val="22"/>
                                <w:szCs w:val="22"/>
                              </w:rPr>
                              <w:t xml:space="preserve"> 17(6)(aa) of the Act provides that a plan of management may determine or provide for AFMA to determine the fishing capacity measured, by that method or those methods permitted for the fishery or a part of the fishery in respect of a particular period or periods.</w:t>
                            </w:r>
                          </w:p>
                          <w:p w14:paraId="7A502083" w14:textId="77777777" w:rsidR="00C52BB4" w:rsidRDefault="00C52BB4" w:rsidP="00C52BB4">
                            <w:pPr>
                              <w:pStyle w:val="AFMANormal"/>
                              <w:spacing w:after="240" w:line="276" w:lineRule="auto"/>
                              <w:rPr>
                                <w:sz w:val="22"/>
                                <w:szCs w:val="22"/>
                              </w:rPr>
                            </w:pPr>
                            <w:r>
                              <w:rPr>
                                <w:sz w:val="22"/>
                                <w:szCs w:val="22"/>
                              </w:rPr>
                              <w:t xml:space="preserve">Section 3.1 of the </w:t>
                            </w:r>
                            <w:r w:rsidRPr="00EF3ECB">
                              <w:rPr>
                                <w:i/>
                                <w:sz w:val="22"/>
                                <w:szCs w:val="22"/>
                              </w:rPr>
                              <w:t>Bass Strait Central Zone Scallop Fishery Management Plan 2002</w:t>
                            </w:r>
                            <w:r>
                              <w:rPr>
                                <w:sz w:val="22"/>
                                <w:szCs w:val="22"/>
                              </w:rPr>
                              <w:t xml:space="preserve"> (the Plan) provides that the definition of the term ‘fishing season’ means the period determined by AFMA. </w:t>
                            </w:r>
                          </w:p>
                          <w:p w14:paraId="6EFC4BFB" w14:textId="77777777" w:rsidR="00C52BB4" w:rsidRDefault="00C52BB4" w:rsidP="00C52BB4">
                            <w:pPr>
                              <w:pStyle w:val="AFMANormal"/>
                              <w:spacing w:after="240" w:line="276" w:lineRule="auto"/>
                              <w:rPr>
                                <w:sz w:val="22"/>
                                <w:szCs w:val="22"/>
                              </w:rPr>
                            </w:pPr>
                            <w:r>
                              <w:rPr>
                                <w:sz w:val="22"/>
                                <w:szCs w:val="22"/>
                              </w:rPr>
                              <w:t xml:space="preserve">The </w:t>
                            </w:r>
                            <w:r w:rsidRPr="00EF3ECB">
                              <w:rPr>
                                <w:i/>
                                <w:sz w:val="22"/>
                                <w:szCs w:val="22"/>
                              </w:rPr>
                              <w:t>Bass Strait Central Zone Scallop Fishery (Fishing Season) Determination 2020</w:t>
                            </w:r>
                            <w:r>
                              <w:rPr>
                                <w:sz w:val="22"/>
                                <w:szCs w:val="22"/>
                              </w:rPr>
                              <w:t xml:space="preserve"> (the Determination) is a legislative instrument for the purposes of the </w:t>
                            </w:r>
                            <w:r w:rsidRPr="00EF3ECB">
                              <w:rPr>
                                <w:i/>
                                <w:sz w:val="22"/>
                                <w:szCs w:val="22"/>
                              </w:rPr>
                              <w:t>Legislation Act 2003</w:t>
                            </w:r>
                            <w:r>
                              <w:rPr>
                                <w:i/>
                                <w:sz w:val="22"/>
                                <w:szCs w:val="22"/>
                              </w:rPr>
                              <w:t>.</w:t>
                            </w:r>
                          </w:p>
                          <w:p w14:paraId="5FFBC8E7" w14:textId="0CEE1721" w:rsidR="00C52BB4" w:rsidRDefault="00C52BB4" w:rsidP="00C52BB4">
                            <w:pPr>
                              <w:pStyle w:val="AFMANormal"/>
                              <w:spacing w:after="240" w:line="276" w:lineRule="auto"/>
                              <w:rPr>
                                <w:sz w:val="22"/>
                                <w:szCs w:val="22"/>
                              </w:rPr>
                            </w:pPr>
                            <w:r>
                              <w:rPr>
                                <w:sz w:val="22"/>
                                <w:szCs w:val="22"/>
                              </w:rPr>
                              <w:t xml:space="preserve">The Determination determines the 2020 fishing season for the Bass Strait Central Zone Scallop Fishery (the Fishery) as the period </w:t>
                            </w:r>
                            <w:r w:rsidR="007C2D9A">
                              <w:rPr>
                                <w:sz w:val="22"/>
                                <w:szCs w:val="22"/>
                              </w:rPr>
                              <w:t>commencing on</w:t>
                            </w:r>
                            <w:r>
                              <w:rPr>
                                <w:sz w:val="22"/>
                                <w:szCs w:val="22"/>
                              </w:rPr>
                              <w:t xml:space="preserve"> 12 July 2020 and ending </w:t>
                            </w:r>
                            <w:r w:rsidR="007C2D9A">
                              <w:rPr>
                                <w:sz w:val="22"/>
                                <w:szCs w:val="22"/>
                              </w:rPr>
                              <w:t xml:space="preserve">on </w:t>
                            </w:r>
                            <w:r>
                              <w:rPr>
                                <w:sz w:val="22"/>
                                <w:szCs w:val="22"/>
                              </w:rPr>
                              <w:t xml:space="preserve">31 </w:t>
                            </w:r>
                            <w:r w:rsidR="007C2D9A">
                              <w:rPr>
                                <w:sz w:val="22"/>
                                <w:szCs w:val="22"/>
                              </w:rPr>
                              <w:t>December</w:t>
                            </w:r>
                            <w:r>
                              <w:rPr>
                                <w:sz w:val="22"/>
                                <w:szCs w:val="22"/>
                              </w:rPr>
                              <w:t xml:space="preserve"> 2020. </w:t>
                            </w:r>
                          </w:p>
                          <w:p w14:paraId="756BC4F7" w14:textId="35E97546" w:rsidR="00C52BB4" w:rsidRPr="009F1D5B" w:rsidRDefault="00C52BB4" w:rsidP="00D4059E">
                            <w:pPr>
                              <w:pStyle w:val="AFMANormal"/>
                              <w:spacing w:after="240" w:line="276" w:lineRule="auto"/>
                              <w:rPr>
                                <w:sz w:val="22"/>
                                <w:szCs w:val="22"/>
                              </w:rPr>
                            </w:pPr>
                            <w:r>
                              <w:rPr>
                                <w:sz w:val="22"/>
                                <w:szCs w:val="22"/>
                              </w:rPr>
                              <w:t xml:space="preserve">The period for the fishing season determined in the Determination is consistent with the purpose of the Fishery Harvest Strategy, which allows for the Fishery to be opened following a research survey and then </w:t>
                            </w:r>
                            <w:r w:rsidRPr="00E64717">
                              <w:rPr>
                                <w:sz w:val="22"/>
                                <w:szCs w:val="22"/>
                              </w:rPr>
                              <w:t>closed on 31 December</w:t>
                            </w:r>
                            <w:r>
                              <w:rPr>
                                <w:sz w:val="22"/>
                                <w:szCs w:val="22"/>
                              </w:rPr>
                              <w:t xml:space="preserve"> to protect settling or newly-settle commercial scallop spat. While a research survey was not conducted in 2020</w:t>
                            </w:r>
                            <w:r w:rsidR="007B4E64">
                              <w:rPr>
                                <w:sz w:val="22"/>
                                <w:szCs w:val="22"/>
                              </w:rPr>
                              <w:t xml:space="preserve"> due to the logistical and work health and safety issues arising from the Covid-19 pandemic</w:t>
                            </w:r>
                            <w:r w:rsidR="00887FB4">
                              <w:rPr>
                                <w:sz w:val="22"/>
                                <w:szCs w:val="22"/>
                              </w:rPr>
                              <w:t>,</w:t>
                            </w:r>
                            <w:r>
                              <w:rPr>
                                <w:sz w:val="22"/>
                                <w:szCs w:val="22"/>
                              </w:rPr>
                              <w:t xml:space="preserve"> the proposed period for the 2020 fishing season is considered sufficient to meet the intent of the Fishery Harvest Strategy. </w:t>
                            </w:r>
                          </w:p>
                          <w:p w14:paraId="28D1208B" w14:textId="77777777" w:rsidR="005A7814" w:rsidRPr="009F1D5B" w:rsidRDefault="005A7814" w:rsidP="00D4059E">
                            <w:pPr>
                              <w:spacing w:before="240" w:after="240" w:line="276" w:lineRule="auto"/>
                              <w:jc w:val="both"/>
                              <w:rPr>
                                <w:b/>
                                <w:sz w:val="22"/>
                                <w:szCs w:val="22"/>
                              </w:rPr>
                            </w:pPr>
                            <w:r w:rsidRPr="009F1D5B">
                              <w:rPr>
                                <w:b/>
                                <w:sz w:val="22"/>
                                <w:szCs w:val="22"/>
                              </w:rPr>
                              <w:t>Human rights implications</w:t>
                            </w:r>
                          </w:p>
                          <w:p w14:paraId="79DA3DD9" w14:textId="77777777" w:rsidR="005A7814" w:rsidRPr="009F1D5B" w:rsidRDefault="005A7814" w:rsidP="00D4059E">
                            <w:pPr>
                              <w:spacing w:before="240" w:after="240" w:line="276" w:lineRule="auto"/>
                              <w:jc w:val="both"/>
                              <w:rPr>
                                <w:sz w:val="22"/>
                                <w:szCs w:val="22"/>
                              </w:rPr>
                            </w:pPr>
                            <w:r w:rsidRPr="009F1D5B">
                              <w:rPr>
                                <w:sz w:val="22"/>
                                <w:szCs w:val="22"/>
                              </w:rPr>
                              <w:t>This Legislative Instrument does not engage any of the applicable rights or freedoms.</w:t>
                            </w:r>
                          </w:p>
                          <w:p w14:paraId="09B88C9B" w14:textId="77777777" w:rsidR="005A7814" w:rsidRPr="009F1D5B" w:rsidRDefault="005A7814" w:rsidP="00D4059E">
                            <w:pPr>
                              <w:spacing w:before="240" w:after="240" w:line="276" w:lineRule="auto"/>
                              <w:jc w:val="both"/>
                              <w:rPr>
                                <w:b/>
                                <w:sz w:val="22"/>
                                <w:szCs w:val="22"/>
                              </w:rPr>
                            </w:pPr>
                            <w:r w:rsidRPr="009F1D5B">
                              <w:rPr>
                                <w:b/>
                                <w:sz w:val="22"/>
                                <w:szCs w:val="22"/>
                              </w:rPr>
                              <w:t>Conclusion</w:t>
                            </w:r>
                          </w:p>
                          <w:p w14:paraId="07F6C66B" w14:textId="3E40A03B" w:rsidR="005A7814" w:rsidRPr="009F1D5B" w:rsidRDefault="005A7814" w:rsidP="00D4059E">
                            <w:pPr>
                              <w:spacing w:before="240" w:after="240" w:line="276" w:lineRule="auto"/>
                              <w:jc w:val="both"/>
                              <w:rPr>
                                <w:sz w:val="22"/>
                                <w:szCs w:val="22"/>
                              </w:rPr>
                            </w:pPr>
                            <w:r w:rsidRPr="009F1D5B">
                              <w:rPr>
                                <w:sz w:val="22"/>
                                <w:szCs w:val="22"/>
                              </w:rPr>
                              <w:t xml:space="preserve">This Legislative Instrument is compatible with human rights as it does not raise any human rights issues.  </w:t>
                            </w:r>
                          </w:p>
                        </w:txbxContent>
                      </v:textbox>
                    </v:rect>
                  </w:pict>
                </mc:Fallback>
              </mc:AlternateContent>
            </w:r>
          </w:p>
        </w:tc>
      </w:tr>
    </w:tbl>
    <w:p w14:paraId="5CDB04E9" w14:textId="4E766F5F" w:rsidR="00961E62" w:rsidRPr="009F1D5B" w:rsidRDefault="00961E62" w:rsidP="009F1D5B">
      <w:pPr>
        <w:pStyle w:val="AFMANormal"/>
        <w:spacing w:after="240" w:line="276" w:lineRule="auto"/>
        <w:rPr>
          <w:sz w:val="22"/>
          <w:szCs w:val="22"/>
        </w:rPr>
      </w:pPr>
    </w:p>
    <w:sectPr w:rsidR="00961E62" w:rsidRPr="009F1D5B" w:rsidSect="009F1D5B">
      <w:footerReference w:type="even" r:id="rId7"/>
      <w:footerReference w:type="default" r:id="rId8"/>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1C9BD" w14:textId="77777777" w:rsidR="008167F4" w:rsidRDefault="00C75215">
      <w:r>
        <w:separator/>
      </w:r>
    </w:p>
  </w:endnote>
  <w:endnote w:type="continuationSeparator" w:id="0">
    <w:p w14:paraId="48494366" w14:textId="77777777" w:rsidR="008167F4" w:rsidRDefault="00C7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9EB8" w14:textId="77777777" w:rsidR="008A1A86" w:rsidRDefault="00961E62" w:rsidP="00065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7E111" w14:textId="77777777" w:rsidR="008A1A86" w:rsidRDefault="00315071" w:rsidP="00065D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4966F" w14:textId="2AE32421" w:rsidR="008A1A86" w:rsidRPr="00640640" w:rsidRDefault="00961E62" w:rsidP="00065DA8">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315071">
      <w:rPr>
        <w:rStyle w:val="PageNumber"/>
        <w:noProof/>
        <w:sz w:val="24"/>
        <w:szCs w:val="24"/>
      </w:rPr>
      <w:t>4</w:t>
    </w:r>
    <w:r w:rsidRPr="00640640">
      <w:rPr>
        <w:rStyle w:val="PageNumber"/>
        <w:sz w:val="24"/>
        <w:szCs w:val="24"/>
      </w:rPr>
      <w:fldChar w:fldCharType="end"/>
    </w:r>
  </w:p>
  <w:p w14:paraId="64EBF7B0" w14:textId="77777777" w:rsidR="008A1A86" w:rsidRDefault="00315071" w:rsidP="00065D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20179" w14:textId="77777777" w:rsidR="008167F4" w:rsidRDefault="00C75215">
      <w:r>
        <w:separator/>
      </w:r>
    </w:p>
  </w:footnote>
  <w:footnote w:type="continuationSeparator" w:id="0">
    <w:p w14:paraId="4811A33A" w14:textId="77777777" w:rsidR="008167F4" w:rsidRDefault="00C75215">
      <w:r>
        <w:continuationSeparator/>
      </w:r>
    </w:p>
  </w:footnote>
  <w:footnote w:id="1">
    <w:p w14:paraId="0C5BF617" w14:textId="77777777" w:rsidR="00EF3ECB" w:rsidRDefault="00EF3ECB" w:rsidP="00EF3ECB">
      <w:pPr>
        <w:pStyle w:val="FootnoteText"/>
      </w:pPr>
      <w:r>
        <w:rPr>
          <w:rStyle w:val="FootnoteReference"/>
        </w:rPr>
        <w:footnoteRef/>
      </w:r>
      <w:r>
        <w:t xml:space="preserve"> Available on the AFMA’s website: https://www.afma.gov.au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62"/>
    <w:rsid w:val="00022714"/>
    <w:rsid w:val="0004132D"/>
    <w:rsid w:val="00086891"/>
    <w:rsid w:val="000F652F"/>
    <w:rsid w:val="000F786A"/>
    <w:rsid w:val="00117A81"/>
    <w:rsid w:val="00141963"/>
    <w:rsid w:val="001D0414"/>
    <w:rsid w:val="001F41D2"/>
    <w:rsid w:val="002064AD"/>
    <w:rsid w:val="0023732F"/>
    <w:rsid w:val="00271B84"/>
    <w:rsid w:val="002875D8"/>
    <w:rsid w:val="002B0581"/>
    <w:rsid w:val="002C24F5"/>
    <w:rsid w:val="002C7F21"/>
    <w:rsid w:val="002D799D"/>
    <w:rsid w:val="00315071"/>
    <w:rsid w:val="00362147"/>
    <w:rsid w:val="003C1744"/>
    <w:rsid w:val="00401746"/>
    <w:rsid w:val="00407D0D"/>
    <w:rsid w:val="00422C5B"/>
    <w:rsid w:val="00432EFB"/>
    <w:rsid w:val="0044479D"/>
    <w:rsid w:val="00450A99"/>
    <w:rsid w:val="00474AF4"/>
    <w:rsid w:val="0049099F"/>
    <w:rsid w:val="004952F7"/>
    <w:rsid w:val="004A6ABA"/>
    <w:rsid w:val="005056A7"/>
    <w:rsid w:val="00534A68"/>
    <w:rsid w:val="0055589F"/>
    <w:rsid w:val="00582FE2"/>
    <w:rsid w:val="005A7814"/>
    <w:rsid w:val="005C04D7"/>
    <w:rsid w:val="006408F9"/>
    <w:rsid w:val="00663130"/>
    <w:rsid w:val="006A6EEE"/>
    <w:rsid w:val="006F28AC"/>
    <w:rsid w:val="006F753C"/>
    <w:rsid w:val="00730A14"/>
    <w:rsid w:val="00734BC0"/>
    <w:rsid w:val="00742440"/>
    <w:rsid w:val="0074401C"/>
    <w:rsid w:val="00792A4F"/>
    <w:rsid w:val="007B0733"/>
    <w:rsid w:val="007B4E64"/>
    <w:rsid w:val="007C2D9A"/>
    <w:rsid w:val="007E7B2B"/>
    <w:rsid w:val="008167F4"/>
    <w:rsid w:val="00825752"/>
    <w:rsid w:val="008376C0"/>
    <w:rsid w:val="008432CC"/>
    <w:rsid w:val="00852DCF"/>
    <w:rsid w:val="00884DA9"/>
    <w:rsid w:val="00887FB4"/>
    <w:rsid w:val="008E049C"/>
    <w:rsid w:val="008E4C9B"/>
    <w:rsid w:val="00926BEC"/>
    <w:rsid w:val="00932CBE"/>
    <w:rsid w:val="00961E62"/>
    <w:rsid w:val="00996798"/>
    <w:rsid w:val="009C4106"/>
    <w:rsid w:val="009F15A6"/>
    <w:rsid w:val="009F1D5B"/>
    <w:rsid w:val="00A0011E"/>
    <w:rsid w:val="00A06CA3"/>
    <w:rsid w:val="00A511CA"/>
    <w:rsid w:val="00A55719"/>
    <w:rsid w:val="00A60DF8"/>
    <w:rsid w:val="00A94BE0"/>
    <w:rsid w:val="00A95CB3"/>
    <w:rsid w:val="00A967E0"/>
    <w:rsid w:val="00AD1BEF"/>
    <w:rsid w:val="00B13D58"/>
    <w:rsid w:val="00B222D8"/>
    <w:rsid w:val="00B51573"/>
    <w:rsid w:val="00B56399"/>
    <w:rsid w:val="00B64B61"/>
    <w:rsid w:val="00B703A0"/>
    <w:rsid w:val="00B812C3"/>
    <w:rsid w:val="00BC6DA4"/>
    <w:rsid w:val="00C52BB4"/>
    <w:rsid w:val="00C63E6F"/>
    <w:rsid w:val="00C65FC9"/>
    <w:rsid w:val="00C75215"/>
    <w:rsid w:val="00C91C92"/>
    <w:rsid w:val="00D16F2F"/>
    <w:rsid w:val="00D4059E"/>
    <w:rsid w:val="00D41E77"/>
    <w:rsid w:val="00D552BA"/>
    <w:rsid w:val="00D558FA"/>
    <w:rsid w:val="00D57856"/>
    <w:rsid w:val="00D75A1D"/>
    <w:rsid w:val="00DA0E8C"/>
    <w:rsid w:val="00E05653"/>
    <w:rsid w:val="00E21679"/>
    <w:rsid w:val="00E64717"/>
    <w:rsid w:val="00E90B6C"/>
    <w:rsid w:val="00E93EEA"/>
    <w:rsid w:val="00EF3ECB"/>
    <w:rsid w:val="00F46DE1"/>
    <w:rsid w:val="00F74259"/>
    <w:rsid w:val="00F77E95"/>
    <w:rsid w:val="00FB73A3"/>
    <w:rsid w:val="00FC1DDD"/>
    <w:rsid w:val="00FC6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7590F31"/>
  <w15:docId w15:val="{C4BEAA84-251D-4ED8-BB4A-B394AEB2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1E62"/>
    <w:pPr>
      <w:tabs>
        <w:tab w:val="center" w:pos="4819"/>
        <w:tab w:val="right" w:pos="9071"/>
      </w:tabs>
    </w:pPr>
    <w:rPr>
      <w:sz w:val="24"/>
      <w:lang w:val="en-GB"/>
    </w:rPr>
  </w:style>
  <w:style w:type="character" w:customStyle="1" w:styleId="HeaderChar">
    <w:name w:val="Header Char"/>
    <w:basedOn w:val="DefaultParagraphFont"/>
    <w:link w:val="Header"/>
    <w:rsid w:val="00961E62"/>
    <w:rPr>
      <w:rFonts w:ascii="Times New Roman" w:eastAsia="Times New Roman" w:hAnsi="Times New Roman" w:cs="Times New Roman"/>
      <w:sz w:val="24"/>
      <w:szCs w:val="20"/>
      <w:lang w:val="en-GB"/>
    </w:rPr>
  </w:style>
  <w:style w:type="paragraph" w:styleId="Footer">
    <w:name w:val="footer"/>
    <w:basedOn w:val="Normal"/>
    <w:link w:val="FooterChar"/>
    <w:rsid w:val="00961E62"/>
    <w:pPr>
      <w:tabs>
        <w:tab w:val="center" w:pos="4153"/>
        <w:tab w:val="right" w:pos="8306"/>
      </w:tabs>
    </w:pPr>
  </w:style>
  <w:style w:type="character" w:customStyle="1" w:styleId="FooterChar">
    <w:name w:val="Footer Char"/>
    <w:basedOn w:val="DefaultParagraphFont"/>
    <w:link w:val="Footer"/>
    <w:rsid w:val="00961E62"/>
    <w:rPr>
      <w:rFonts w:ascii="Times New Roman" w:eastAsia="Times New Roman" w:hAnsi="Times New Roman" w:cs="Times New Roman"/>
      <w:sz w:val="20"/>
      <w:szCs w:val="20"/>
    </w:rPr>
  </w:style>
  <w:style w:type="character" w:styleId="PageNumber">
    <w:name w:val="page number"/>
    <w:basedOn w:val="DefaultParagraphFont"/>
    <w:rsid w:val="00961E62"/>
  </w:style>
  <w:style w:type="paragraph" w:styleId="BodyText">
    <w:name w:val="Body Text"/>
    <w:basedOn w:val="Normal"/>
    <w:link w:val="BodyTextChar"/>
    <w:rsid w:val="00961E62"/>
    <w:pPr>
      <w:spacing w:before="120"/>
      <w:jc w:val="both"/>
    </w:pPr>
    <w:rPr>
      <w:sz w:val="24"/>
    </w:rPr>
  </w:style>
  <w:style w:type="character" w:customStyle="1" w:styleId="BodyTextChar">
    <w:name w:val="Body Text Char"/>
    <w:basedOn w:val="DefaultParagraphFont"/>
    <w:link w:val="BodyText"/>
    <w:rsid w:val="00961E62"/>
    <w:rPr>
      <w:rFonts w:ascii="Times New Roman" w:eastAsia="Times New Roman" w:hAnsi="Times New Roman" w:cs="Times New Roman"/>
      <w:sz w:val="24"/>
      <w:szCs w:val="20"/>
    </w:rPr>
  </w:style>
  <w:style w:type="paragraph" w:customStyle="1" w:styleId="AFMANormal">
    <w:name w:val="AFMA Normal"/>
    <w:rsid w:val="00961E62"/>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961E62"/>
    <w:pPr>
      <w:spacing w:before="100" w:beforeAutospacing="1" w:after="100" w:afterAutospacing="1"/>
    </w:pPr>
    <w:rPr>
      <w:sz w:val="24"/>
      <w:szCs w:val="24"/>
      <w:lang w:eastAsia="en-AU"/>
    </w:rPr>
  </w:style>
  <w:style w:type="paragraph" w:styleId="NormalWeb">
    <w:name w:val="Normal (Web)"/>
    <w:basedOn w:val="Normal"/>
    <w:rsid w:val="00961E62"/>
    <w:pPr>
      <w:spacing w:before="100" w:beforeAutospacing="1" w:after="100" w:afterAutospacing="1"/>
    </w:pPr>
    <w:rPr>
      <w:sz w:val="24"/>
      <w:szCs w:val="24"/>
      <w:lang w:eastAsia="en-AU"/>
    </w:rPr>
  </w:style>
  <w:style w:type="paragraph" w:styleId="BalloonText">
    <w:name w:val="Balloon Text"/>
    <w:basedOn w:val="Normal"/>
    <w:link w:val="BalloonTextChar"/>
    <w:uiPriority w:val="99"/>
    <w:semiHidden/>
    <w:unhideWhenUsed/>
    <w:rsid w:val="00B56399"/>
    <w:rPr>
      <w:rFonts w:ascii="Tahoma" w:hAnsi="Tahoma" w:cs="Tahoma"/>
      <w:sz w:val="16"/>
      <w:szCs w:val="16"/>
    </w:rPr>
  </w:style>
  <w:style w:type="character" w:customStyle="1" w:styleId="BalloonTextChar">
    <w:name w:val="Balloon Text Char"/>
    <w:basedOn w:val="DefaultParagraphFont"/>
    <w:link w:val="BalloonText"/>
    <w:uiPriority w:val="99"/>
    <w:semiHidden/>
    <w:rsid w:val="00B5639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B0581"/>
    <w:rPr>
      <w:sz w:val="16"/>
      <w:szCs w:val="16"/>
    </w:rPr>
  </w:style>
  <w:style w:type="paragraph" w:styleId="CommentText">
    <w:name w:val="annotation text"/>
    <w:basedOn w:val="Normal"/>
    <w:link w:val="CommentTextChar"/>
    <w:uiPriority w:val="99"/>
    <w:semiHidden/>
    <w:unhideWhenUsed/>
    <w:rsid w:val="002B0581"/>
  </w:style>
  <w:style w:type="character" w:customStyle="1" w:styleId="CommentTextChar">
    <w:name w:val="Comment Text Char"/>
    <w:basedOn w:val="DefaultParagraphFont"/>
    <w:link w:val="CommentText"/>
    <w:uiPriority w:val="99"/>
    <w:semiHidden/>
    <w:rsid w:val="002B0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581"/>
    <w:rPr>
      <w:b/>
      <w:bCs/>
    </w:rPr>
  </w:style>
  <w:style w:type="character" w:customStyle="1" w:styleId="CommentSubjectChar">
    <w:name w:val="Comment Subject Char"/>
    <w:basedOn w:val="CommentTextChar"/>
    <w:link w:val="CommentSubject"/>
    <w:uiPriority w:val="99"/>
    <w:semiHidden/>
    <w:rsid w:val="002B058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06CA3"/>
  </w:style>
  <w:style w:type="character" w:customStyle="1" w:styleId="FootnoteTextChar">
    <w:name w:val="Footnote Text Char"/>
    <w:basedOn w:val="DefaultParagraphFont"/>
    <w:link w:val="FootnoteText"/>
    <w:uiPriority w:val="99"/>
    <w:semiHidden/>
    <w:rsid w:val="00A06C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6CA3"/>
    <w:rPr>
      <w:vertAlign w:val="superscript"/>
    </w:rPr>
  </w:style>
  <w:style w:type="character" w:styleId="Hyperlink">
    <w:name w:val="Hyperlink"/>
    <w:basedOn w:val="DefaultParagraphFont"/>
    <w:uiPriority w:val="99"/>
    <w:unhideWhenUsed/>
    <w:rsid w:val="00A06CA3"/>
    <w:rPr>
      <w:color w:val="0000FF" w:themeColor="hyperlink"/>
      <w:u w:val="single"/>
    </w:rPr>
  </w:style>
  <w:style w:type="paragraph" w:customStyle="1" w:styleId="Default">
    <w:name w:val="Default"/>
    <w:rsid w:val="00EF3E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9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C64B-23B8-496F-957A-DF7B18C0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Brendan</dc:creator>
  <cp:lastModifiedBy>YEE, Violet</cp:lastModifiedBy>
  <cp:revision>8</cp:revision>
  <cp:lastPrinted>2019-06-20T01:59:00Z</cp:lastPrinted>
  <dcterms:created xsi:type="dcterms:W3CDTF">2020-05-15T04:00:00Z</dcterms:created>
  <dcterms:modified xsi:type="dcterms:W3CDTF">2020-05-26T01:58:00Z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70024a94-8253-4f25-8a00-b4a70894af2f</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