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E3AC6" w:rsidRDefault="00DA186E" w:rsidP="00B05CF4">
      <w:pPr>
        <w:rPr>
          <w:sz w:val="28"/>
        </w:rPr>
      </w:pPr>
      <w:r w:rsidRPr="00CE3AC6">
        <w:rPr>
          <w:noProof/>
          <w:lang w:eastAsia="en-AU"/>
        </w:rPr>
        <w:drawing>
          <wp:inline distT="0" distB="0" distL="0" distR="0" wp14:anchorId="64C7A079" wp14:editId="59643BF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E3AC6" w:rsidRDefault="00715914" w:rsidP="00715914">
      <w:pPr>
        <w:rPr>
          <w:sz w:val="19"/>
        </w:rPr>
      </w:pPr>
    </w:p>
    <w:p w:rsidR="00715914" w:rsidRPr="00CE3AC6" w:rsidRDefault="008320D4" w:rsidP="00081123">
      <w:pPr>
        <w:pStyle w:val="ShortT"/>
      </w:pPr>
      <w:r w:rsidRPr="00CE3AC6">
        <w:rPr>
          <w:rFonts w:eastAsiaTheme="minorHAnsi"/>
        </w:rPr>
        <w:t>Corporations (FinT</w:t>
      </w:r>
      <w:r w:rsidR="00081123" w:rsidRPr="00CE3AC6">
        <w:rPr>
          <w:rFonts w:eastAsiaTheme="minorHAnsi"/>
        </w:rPr>
        <w:t xml:space="preserve">ech Sandbox </w:t>
      </w:r>
      <w:r w:rsidR="00CC5B59" w:rsidRPr="00CE3AC6">
        <w:rPr>
          <w:rFonts w:eastAsiaTheme="minorHAnsi"/>
        </w:rPr>
        <w:t>Australian Financial Services</w:t>
      </w:r>
      <w:r w:rsidRPr="00CE3AC6">
        <w:rPr>
          <w:rFonts w:eastAsiaTheme="minorHAnsi"/>
        </w:rPr>
        <w:t xml:space="preserve"> Licen</w:t>
      </w:r>
      <w:r w:rsidR="00CC5B59" w:rsidRPr="00CE3AC6">
        <w:rPr>
          <w:rFonts w:eastAsiaTheme="minorHAnsi"/>
        </w:rPr>
        <w:t>ce</w:t>
      </w:r>
      <w:r w:rsidRPr="00CE3AC6">
        <w:rPr>
          <w:rFonts w:eastAsiaTheme="minorHAnsi"/>
        </w:rPr>
        <w:t xml:space="preserve"> </w:t>
      </w:r>
      <w:r w:rsidR="00081123" w:rsidRPr="00CE3AC6">
        <w:rPr>
          <w:rFonts w:eastAsiaTheme="minorHAnsi"/>
        </w:rPr>
        <w:t xml:space="preserve">Exemption) </w:t>
      </w:r>
      <w:r w:rsidR="00673381" w:rsidRPr="00CE3AC6">
        <w:rPr>
          <w:rFonts w:eastAsiaTheme="minorHAnsi"/>
        </w:rPr>
        <w:t>Regulations</w:t>
      </w:r>
      <w:r w:rsidR="00CE3AC6" w:rsidRPr="00CE3AC6">
        <w:rPr>
          <w:rFonts w:eastAsiaTheme="minorHAnsi"/>
        </w:rPr>
        <w:t> </w:t>
      </w:r>
      <w:r w:rsidR="00673381" w:rsidRPr="00CE3AC6">
        <w:rPr>
          <w:rFonts w:eastAsiaTheme="minorHAnsi"/>
        </w:rPr>
        <w:t>2</w:t>
      </w:r>
      <w:r w:rsidR="005F70C3" w:rsidRPr="00CE3AC6">
        <w:rPr>
          <w:rFonts w:eastAsiaTheme="minorHAnsi"/>
        </w:rPr>
        <w:t>020</w:t>
      </w:r>
    </w:p>
    <w:p w:rsidR="00075E92" w:rsidRPr="00CE3AC6" w:rsidRDefault="00075E92" w:rsidP="00075E92">
      <w:pPr>
        <w:pStyle w:val="SignCoverPageStart"/>
        <w:spacing w:before="240"/>
        <w:rPr>
          <w:szCs w:val="22"/>
        </w:rPr>
      </w:pPr>
      <w:r w:rsidRPr="00CE3AC6">
        <w:rPr>
          <w:szCs w:val="22"/>
        </w:rPr>
        <w:t>I, General the Honourable David Hurley AC DSC (Retd), Governor</w:t>
      </w:r>
      <w:r w:rsidR="00CE3AC6">
        <w:rPr>
          <w:szCs w:val="22"/>
        </w:rPr>
        <w:noBreakHyphen/>
      </w:r>
      <w:r w:rsidRPr="00CE3AC6">
        <w:rPr>
          <w:szCs w:val="22"/>
        </w:rPr>
        <w:t>General of the Commonwealth of Australia, acting with the advice of the Federal Executive Council, make the following regulations.</w:t>
      </w:r>
    </w:p>
    <w:p w:rsidR="00DD3C89" w:rsidRPr="00CE3AC6" w:rsidRDefault="00DD3C89" w:rsidP="009D1B50">
      <w:pPr>
        <w:keepNext/>
        <w:spacing w:before="720" w:line="240" w:lineRule="atLeast"/>
        <w:ind w:right="397"/>
        <w:jc w:val="both"/>
        <w:rPr>
          <w:szCs w:val="22"/>
        </w:rPr>
      </w:pPr>
      <w:r w:rsidRPr="00CE3AC6">
        <w:rPr>
          <w:szCs w:val="22"/>
        </w:rPr>
        <w:t xml:space="preserve">Dated </w:t>
      </w:r>
      <w:bookmarkStart w:id="0" w:name="BKCheck15B_1"/>
      <w:bookmarkEnd w:id="0"/>
      <w:r w:rsidRPr="00CE3AC6">
        <w:rPr>
          <w:szCs w:val="22"/>
        </w:rPr>
        <w:fldChar w:fldCharType="begin"/>
      </w:r>
      <w:r w:rsidRPr="00CE3AC6">
        <w:rPr>
          <w:szCs w:val="22"/>
        </w:rPr>
        <w:instrText xml:space="preserve"> DOCPROPERTY  DateMade </w:instrText>
      </w:r>
      <w:r w:rsidRPr="00CE3AC6">
        <w:rPr>
          <w:szCs w:val="22"/>
        </w:rPr>
        <w:fldChar w:fldCharType="separate"/>
      </w:r>
      <w:r w:rsidR="00557C26">
        <w:rPr>
          <w:szCs w:val="22"/>
        </w:rPr>
        <w:t>28 May 2020</w:t>
      </w:r>
      <w:r w:rsidRPr="00CE3AC6">
        <w:rPr>
          <w:szCs w:val="22"/>
        </w:rPr>
        <w:fldChar w:fldCharType="end"/>
      </w:r>
    </w:p>
    <w:p w:rsidR="00DD3C89" w:rsidRPr="00CE3AC6" w:rsidRDefault="00767BFF" w:rsidP="009D1B50">
      <w:pPr>
        <w:keepNext/>
        <w:tabs>
          <w:tab w:val="left" w:pos="3402"/>
        </w:tabs>
        <w:spacing w:before="1080" w:line="300" w:lineRule="atLeast"/>
        <w:ind w:left="397" w:right="397"/>
        <w:jc w:val="right"/>
        <w:rPr>
          <w:szCs w:val="22"/>
        </w:rPr>
      </w:pPr>
      <w:r w:rsidRPr="00CE3AC6">
        <w:rPr>
          <w:szCs w:val="22"/>
        </w:rPr>
        <w:t>David Hurley</w:t>
      </w:r>
    </w:p>
    <w:p w:rsidR="00DD3C89" w:rsidRPr="00CE3AC6" w:rsidRDefault="00DD3C89" w:rsidP="009D1B50">
      <w:pPr>
        <w:keepNext/>
        <w:tabs>
          <w:tab w:val="left" w:pos="3402"/>
        </w:tabs>
        <w:spacing w:line="300" w:lineRule="atLeast"/>
        <w:ind w:left="397" w:right="397"/>
        <w:jc w:val="right"/>
        <w:rPr>
          <w:szCs w:val="22"/>
        </w:rPr>
      </w:pPr>
      <w:r w:rsidRPr="00CE3AC6">
        <w:rPr>
          <w:szCs w:val="22"/>
        </w:rPr>
        <w:t>Governor</w:t>
      </w:r>
      <w:r w:rsidR="00CE3AC6">
        <w:rPr>
          <w:szCs w:val="22"/>
        </w:rPr>
        <w:noBreakHyphen/>
      </w:r>
      <w:r w:rsidRPr="00CE3AC6">
        <w:rPr>
          <w:szCs w:val="22"/>
        </w:rPr>
        <w:t>General</w:t>
      </w:r>
    </w:p>
    <w:p w:rsidR="00DD3C89" w:rsidRPr="00CE3AC6" w:rsidRDefault="00DD3C89" w:rsidP="009D1B50">
      <w:pPr>
        <w:keepNext/>
        <w:tabs>
          <w:tab w:val="left" w:pos="3402"/>
        </w:tabs>
        <w:spacing w:before="840" w:after="1080" w:line="300" w:lineRule="atLeast"/>
        <w:ind w:right="397"/>
        <w:rPr>
          <w:szCs w:val="22"/>
        </w:rPr>
      </w:pPr>
      <w:r w:rsidRPr="00CE3AC6">
        <w:rPr>
          <w:szCs w:val="22"/>
        </w:rPr>
        <w:t>By His Excellency’s Command</w:t>
      </w:r>
    </w:p>
    <w:p w:rsidR="00DD3C89" w:rsidRPr="00CE3AC6" w:rsidRDefault="00B23E47" w:rsidP="009D1B50">
      <w:pPr>
        <w:keepNext/>
        <w:tabs>
          <w:tab w:val="left" w:pos="3402"/>
        </w:tabs>
        <w:spacing w:before="480" w:line="300" w:lineRule="atLeast"/>
        <w:ind w:right="397"/>
        <w:rPr>
          <w:szCs w:val="22"/>
        </w:rPr>
      </w:pPr>
      <w:r w:rsidRPr="00CE3AC6">
        <w:rPr>
          <w:szCs w:val="22"/>
        </w:rPr>
        <w:t>Jane Hume</w:t>
      </w:r>
    </w:p>
    <w:p w:rsidR="00DD3C89" w:rsidRPr="00CE3AC6" w:rsidRDefault="00B23E47" w:rsidP="009D1B50">
      <w:pPr>
        <w:pStyle w:val="SignCoverPageEnd"/>
        <w:rPr>
          <w:szCs w:val="22"/>
        </w:rPr>
      </w:pPr>
      <w:r w:rsidRPr="00CE3AC6">
        <w:rPr>
          <w:szCs w:val="22"/>
        </w:rPr>
        <w:t>Assistant Minister for Superannuation, Financial Services and Financial Technology</w:t>
      </w:r>
      <w:r w:rsidRPr="00CE3AC6">
        <w:rPr>
          <w:szCs w:val="22"/>
        </w:rPr>
        <w:br/>
        <w:t>Parliamentary Secretary to the Treasurer</w:t>
      </w:r>
    </w:p>
    <w:p w:rsidR="00DD3C89" w:rsidRPr="00CE3AC6" w:rsidRDefault="00DD3C89" w:rsidP="009D1B50"/>
    <w:p w:rsidR="00715914" w:rsidRPr="00BB596D" w:rsidRDefault="00715914" w:rsidP="00715914">
      <w:pPr>
        <w:pStyle w:val="Header"/>
        <w:tabs>
          <w:tab w:val="clear" w:pos="4150"/>
          <w:tab w:val="clear" w:pos="8307"/>
        </w:tabs>
      </w:pPr>
      <w:r w:rsidRPr="00BB596D">
        <w:rPr>
          <w:rStyle w:val="CharChapNo"/>
        </w:rPr>
        <w:t xml:space="preserve"> </w:t>
      </w:r>
      <w:r w:rsidRPr="00BB596D">
        <w:rPr>
          <w:rStyle w:val="CharChapText"/>
        </w:rPr>
        <w:t xml:space="preserve"> </w:t>
      </w:r>
    </w:p>
    <w:p w:rsidR="00715914" w:rsidRPr="00BB596D" w:rsidRDefault="00715914" w:rsidP="00715914">
      <w:pPr>
        <w:pStyle w:val="Header"/>
        <w:tabs>
          <w:tab w:val="clear" w:pos="4150"/>
          <w:tab w:val="clear" w:pos="8307"/>
        </w:tabs>
      </w:pPr>
      <w:r w:rsidRPr="00BB596D">
        <w:rPr>
          <w:rStyle w:val="CharPartNo"/>
        </w:rPr>
        <w:t xml:space="preserve"> </w:t>
      </w:r>
      <w:r w:rsidRPr="00BB596D">
        <w:rPr>
          <w:rStyle w:val="CharPartText"/>
        </w:rPr>
        <w:t xml:space="preserve"> </w:t>
      </w:r>
    </w:p>
    <w:p w:rsidR="00715914" w:rsidRPr="00BB596D" w:rsidRDefault="00715914" w:rsidP="00715914">
      <w:pPr>
        <w:pStyle w:val="Header"/>
        <w:tabs>
          <w:tab w:val="clear" w:pos="4150"/>
          <w:tab w:val="clear" w:pos="8307"/>
        </w:tabs>
      </w:pPr>
      <w:r w:rsidRPr="00BB596D">
        <w:rPr>
          <w:rStyle w:val="CharDivNo"/>
        </w:rPr>
        <w:t xml:space="preserve"> </w:t>
      </w:r>
      <w:r w:rsidRPr="00BB596D">
        <w:rPr>
          <w:rStyle w:val="CharDivText"/>
        </w:rPr>
        <w:t xml:space="preserve"> </w:t>
      </w:r>
    </w:p>
    <w:p w:rsidR="00715914" w:rsidRPr="00CE3AC6" w:rsidRDefault="00715914" w:rsidP="00715914">
      <w:pPr>
        <w:sectPr w:rsidR="00715914" w:rsidRPr="00CE3AC6" w:rsidSect="00CB1E3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E3AC6" w:rsidRDefault="00715914" w:rsidP="00DD3C89">
      <w:pPr>
        <w:rPr>
          <w:sz w:val="36"/>
        </w:rPr>
      </w:pPr>
      <w:r w:rsidRPr="00CE3AC6">
        <w:rPr>
          <w:sz w:val="36"/>
        </w:rPr>
        <w:lastRenderedPageBreak/>
        <w:t>Contents</w:t>
      </w:r>
    </w:p>
    <w:bookmarkStart w:id="1" w:name="BKCheck15B_2"/>
    <w:bookmarkEnd w:id="1"/>
    <w:p w:rsidR="00CE3AC6" w:rsidRDefault="00CE3AC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E3AC6">
        <w:rPr>
          <w:b w:val="0"/>
          <w:noProof/>
          <w:sz w:val="18"/>
        </w:rPr>
        <w:tab/>
      </w:r>
      <w:r w:rsidRPr="00CE3AC6">
        <w:rPr>
          <w:b w:val="0"/>
          <w:noProof/>
          <w:sz w:val="18"/>
        </w:rPr>
        <w:fldChar w:fldCharType="begin"/>
      </w:r>
      <w:r w:rsidRPr="00CE3AC6">
        <w:rPr>
          <w:b w:val="0"/>
          <w:noProof/>
          <w:sz w:val="18"/>
        </w:rPr>
        <w:instrText xml:space="preserve"> PAGEREF _Toc38951875 \h </w:instrText>
      </w:r>
      <w:r w:rsidRPr="00CE3AC6">
        <w:rPr>
          <w:b w:val="0"/>
          <w:noProof/>
          <w:sz w:val="18"/>
        </w:rPr>
      </w:r>
      <w:r w:rsidRPr="00CE3AC6">
        <w:rPr>
          <w:b w:val="0"/>
          <w:noProof/>
          <w:sz w:val="18"/>
        </w:rPr>
        <w:fldChar w:fldCharType="separate"/>
      </w:r>
      <w:r w:rsidR="00557C26">
        <w:rPr>
          <w:b w:val="0"/>
          <w:noProof/>
          <w:sz w:val="18"/>
        </w:rPr>
        <w:t>1</w:t>
      </w:r>
      <w:r w:rsidRPr="00CE3AC6">
        <w:rPr>
          <w:b w:val="0"/>
          <w:noProof/>
          <w:sz w:val="18"/>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w:t>
      </w:r>
      <w:r>
        <w:rPr>
          <w:noProof/>
        </w:rPr>
        <w:tab/>
        <w:t>Name</w:t>
      </w:r>
      <w:r w:rsidRPr="00CE3AC6">
        <w:rPr>
          <w:noProof/>
        </w:rPr>
        <w:tab/>
      </w:r>
      <w:r w:rsidRPr="00CE3AC6">
        <w:rPr>
          <w:noProof/>
        </w:rPr>
        <w:fldChar w:fldCharType="begin"/>
      </w:r>
      <w:r w:rsidRPr="00CE3AC6">
        <w:rPr>
          <w:noProof/>
        </w:rPr>
        <w:instrText xml:space="preserve"> PAGEREF _Toc38951876 \h </w:instrText>
      </w:r>
      <w:r w:rsidRPr="00CE3AC6">
        <w:rPr>
          <w:noProof/>
        </w:rPr>
      </w:r>
      <w:r w:rsidRPr="00CE3AC6">
        <w:rPr>
          <w:noProof/>
        </w:rPr>
        <w:fldChar w:fldCharType="separate"/>
      </w:r>
      <w:r w:rsidR="00557C26">
        <w:rPr>
          <w:noProof/>
        </w:rPr>
        <w:t>1</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2</w:t>
      </w:r>
      <w:r>
        <w:rPr>
          <w:noProof/>
        </w:rPr>
        <w:tab/>
        <w:t>Commencement</w:t>
      </w:r>
      <w:r w:rsidRPr="00CE3AC6">
        <w:rPr>
          <w:noProof/>
        </w:rPr>
        <w:tab/>
      </w:r>
      <w:r w:rsidRPr="00CE3AC6">
        <w:rPr>
          <w:noProof/>
        </w:rPr>
        <w:fldChar w:fldCharType="begin"/>
      </w:r>
      <w:r w:rsidRPr="00CE3AC6">
        <w:rPr>
          <w:noProof/>
        </w:rPr>
        <w:instrText xml:space="preserve"> PAGEREF _Toc38951877 \h </w:instrText>
      </w:r>
      <w:r w:rsidRPr="00CE3AC6">
        <w:rPr>
          <w:noProof/>
        </w:rPr>
      </w:r>
      <w:r w:rsidRPr="00CE3AC6">
        <w:rPr>
          <w:noProof/>
        </w:rPr>
        <w:fldChar w:fldCharType="separate"/>
      </w:r>
      <w:r w:rsidR="00557C26">
        <w:rPr>
          <w:noProof/>
        </w:rPr>
        <w:t>1</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3</w:t>
      </w:r>
      <w:r>
        <w:rPr>
          <w:noProof/>
        </w:rPr>
        <w:tab/>
        <w:t>Authority</w:t>
      </w:r>
      <w:r w:rsidRPr="00CE3AC6">
        <w:rPr>
          <w:noProof/>
        </w:rPr>
        <w:tab/>
      </w:r>
      <w:r w:rsidRPr="00CE3AC6">
        <w:rPr>
          <w:noProof/>
        </w:rPr>
        <w:fldChar w:fldCharType="begin"/>
      </w:r>
      <w:r w:rsidRPr="00CE3AC6">
        <w:rPr>
          <w:noProof/>
        </w:rPr>
        <w:instrText xml:space="preserve"> PAGEREF _Toc38951878 \h </w:instrText>
      </w:r>
      <w:r w:rsidRPr="00CE3AC6">
        <w:rPr>
          <w:noProof/>
        </w:rPr>
      </w:r>
      <w:r w:rsidRPr="00CE3AC6">
        <w:rPr>
          <w:noProof/>
        </w:rPr>
        <w:fldChar w:fldCharType="separate"/>
      </w:r>
      <w:r w:rsidR="00557C26">
        <w:rPr>
          <w:noProof/>
        </w:rPr>
        <w:t>1</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CE3AC6">
        <w:rPr>
          <w:noProof/>
        </w:rPr>
        <w:tab/>
      </w:r>
      <w:r w:rsidRPr="00CE3AC6">
        <w:rPr>
          <w:noProof/>
        </w:rPr>
        <w:fldChar w:fldCharType="begin"/>
      </w:r>
      <w:r w:rsidRPr="00CE3AC6">
        <w:rPr>
          <w:noProof/>
        </w:rPr>
        <w:instrText xml:space="preserve"> PAGEREF _Toc38951879 \h </w:instrText>
      </w:r>
      <w:r w:rsidRPr="00CE3AC6">
        <w:rPr>
          <w:noProof/>
        </w:rPr>
      </w:r>
      <w:r w:rsidRPr="00CE3AC6">
        <w:rPr>
          <w:noProof/>
        </w:rPr>
        <w:fldChar w:fldCharType="separate"/>
      </w:r>
      <w:r w:rsidR="00557C26">
        <w:rPr>
          <w:noProof/>
        </w:rPr>
        <w:t>1</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5</w:t>
      </w:r>
      <w:r>
        <w:rPr>
          <w:noProof/>
        </w:rPr>
        <w:tab/>
        <w:t>Definitions</w:t>
      </w:r>
      <w:r w:rsidRPr="00CE3AC6">
        <w:rPr>
          <w:noProof/>
        </w:rPr>
        <w:tab/>
      </w:r>
      <w:r w:rsidRPr="00CE3AC6">
        <w:rPr>
          <w:noProof/>
        </w:rPr>
        <w:fldChar w:fldCharType="begin"/>
      </w:r>
      <w:r w:rsidRPr="00CE3AC6">
        <w:rPr>
          <w:noProof/>
        </w:rPr>
        <w:instrText xml:space="preserve"> PAGEREF _Toc38951880 \h </w:instrText>
      </w:r>
      <w:r w:rsidRPr="00CE3AC6">
        <w:rPr>
          <w:noProof/>
        </w:rPr>
      </w:r>
      <w:r w:rsidRPr="00CE3AC6">
        <w:rPr>
          <w:noProof/>
        </w:rPr>
        <w:fldChar w:fldCharType="separate"/>
      </w:r>
      <w:r w:rsidR="00557C26">
        <w:rPr>
          <w:noProof/>
        </w:rPr>
        <w:t>2</w:t>
      </w:r>
      <w:r w:rsidRPr="00CE3AC6">
        <w:rPr>
          <w:noProof/>
        </w:rPr>
        <w:fldChar w:fldCharType="end"/>
      </w:r>
    </w:p>
    <w:p w:rsidR="00CE3AC6" w:rsidRDefault="00CE3AC6">
      <w:pPr>
        <w:pStyle w:val="TOC2"/>
        <w:rPr>
          <w:rFonts w:asciiTheme="minorHAnsi" w:eastAsiaTheme="minorEastAsia" w:hAnsiTheme="minorHAnsi" w:cstheme="minorBidi"/>
          <w:b w:val="0"/>
          <w:noProof/>
          <w:kern w:val="0"/>
          <w:sz w:val="22"/>
          <w:szCs w:val="22"/>
        </w:rPr>
      </w:pPr>
      <w:r>
        <w:rPr>
          <w:noProof/>
        </w:rPr>
        <w:t>Part 2—Exemption from financial services licensing requirements for testing in the FinTech sandbox</w:t>
      </w:r>
      <w:r w:rsidRPr="00CE3AC6">
        <w:rPr>
          <w:b w:val="0"/>
          <w:noProof/>
          <w:sz w:val="18"/>
        </w:rPr>
        <w:tab/>
      </w:r>
      <w:r w:rsidRPr="00CE3AC6">
        <w:rPr>
          <w:b w:val="0"/>
          <w:noProof/>
          <w:sz w:val="18"/>
        </w:rPr>
        <w:fldChar w:fldCharType="begin"/>
      </w:r>
      <w:r w:rsidRPr="00CE3AC6">
        <w:rPr>
          <w:b w:val="0"/>
          <w:noProof/>
          <w:sz w:val="18"/>
        </w:rPr>
        <w:instrText xml:space="preserve"> PAGEREF _Toc38951881 \h </w:instrText>
      </w:r>
      <w:r w:rsidRPr="00CE3AC6">
        <w:rPr>
          <w:b w:val="0"/>
          <w:noProof/>
          <w:sz w:val="18"/>
        </w:rPr>
      </w:r>
      <w:r w:rsidRPr="00CE3AC6">
        <w:rPr>
          <w:b w:val="0"/>
          <w:noProof/>
          <w:sz w:val="18"/>
        </w:rPr>
        <w:fldChar w:fldCharType="separate"/>
      </w:r>
      <w:r w:rsidR="00557C26">
        <w:rPr>
          <w:b w:val="0"/>
          <w:noProof/>
          <w:sz w:val="18"/>
        </w:rPr>
        <w:t>4</w:t>
      </w:r>
      <w:r w:rsidRPr="00CE3AC6">
        <w:rPr>
          <w:b w:val="0"/>
          <w:noProof/>
          <w:sz w:val="18"/>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6</w:t>
      </w:r>
      <w:r>
        <w:rPr>
          <w:noProof/>
        </w:rPr>
        <w:tab/>
        <w:t>Exemption for testing eligible financial services in the FinTech sandbox</w:t>
      </w:r>
      <w:r w:rsidRPr="00CE3AC6">
        <w:rPr>
          <w:noProof/>
        </w:rPr>
        <w:tab/>
      </w:r>
      <w:r w:rsidRPr="00CE3AC6">
        <w:rPr>
          <w:noProof/>
        </w:rPr>
        <w:fldChar w:fldCharType="begin"/>
      </w:r>
      <w:r w:rsidRPr="00CE3AC6">
        <w:rPr>
          <w:noProof/>
        </w:rPr>
        <w:instrText xml:space="preserve"> PAGEREF _Toc38951882 \h </w:instrText>
      </w:r>
      <w:r w:rsidRPr="00CE3AC6">
        <w:rPr>
          <w:noProof/>
        </w:rPr>
      </w:r>
      <w:r w:rsidRPr="00CE3AC6">
        <w:rPr>
          <w:noProof/>
        </w:rPr>
        <w:fldChar w:fldCharType="separate"/>
      </w:r>
      <w:r w:rsidR="00557C26">
        <w:rPr>
          <w:noProof/>
        </w:rPr>
        <w:t>4</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7</w:t>
      </w:r>
      <w:r>
        <w:rPr>
          <w:noProof/>
        </w:rPr>
        <w:tab/>
        <w:t>Duration of the exemption</w:t>
      </w:r>
      <w:r w:rsidRPr="00CE3AC6">
        <w:rPr>
          <w:noProof/>
        </w:rPr>
        <w:tab/>
      </w:r>
      <w:r w:rsidRPr="00CE3AC6">
        <w:rPr>
          <w:noProof/>
        </w:rPr>
        <w:fldChar w:fldCharType="begin"/>
      </w:r>
      <w:r w:rsidRPr="00CE3AC6">
        <w:rPr>
          <w:noProof/>
        </w:rPr>
        <w:instrText xml:space="preserve"> PAGEREF _Toc38951883 \h </w:instrText>
      </w:r>
      <w:r w:rsidRPr="00CE3AC6">
        <w:rPr>
          <w:noProof/>
        </w:rPr>
      </w:r>
      <w:r w:rsidRPr="00CE3AC6">
        <w:rPr>
          <w:noProof/>
        </w:rPr>
        <w:fldChar w:fldCharType="separate"/>
      </w:r>
      <w:r w:rsidR="00557C26">
        <w:rPr>
          <w:noProof/>
        </w:rPr>
        <w:t>4</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8</w:t>
      </w:r>
      <w:r>
        <w:rPr>
          <w:noProof/>
        </w:rPr>
        <w:tab/>
        <w:t>Grounds for ASIC deciding that the exemption is not available</w:t>
      </w:r>
      <w:r w:rsidRPr="00CE3AC6">
        <w:rPr>
          <w:noProof/>
        </w:rPr>
        <w:tab/>
      </w:r>
      <w:r w:rsidRPr="00CE3AC6">
        <w:rPr>
          <w:noProof/>
        </w:rPr>
        <w:fldChar w:fldCharType="begin"/>
      </w:r>
      <w:r w:rsidRPr="00CE3AC6">
        <w:rPr>
          <w:noProof/>
        </w:rPr>
        <w:instrText xml:space="preserve"> PAGEREF _Toc38951884 \h </w:instrText>
      </w:r>
      <w:r w:rsidRPr="00CE3AC6">
        <w:rPr>
          <w:noProof/>
        </w:rPr>
      </w:r>
      <w:r w:rsidRPr="00CE3AC6">
        <w:rPr>
          <w:noProof/>
        </w:rPr>
        <w:fldChar w:fldCharType="separate"/>
      </w:r>
      <w:r w:rsidR="00557C26">
        <w:rPr>
          <w:noProof/>
        </w:rPr>
        <w:t>4</w:t>
      </w:r>
      <w:r w:rsidRPr="00CE3AC6">
        <w:rPr>
          <w:noProof/>
        </w:rPr>
        <w:fldChar w:fldCharType="end"/>
      </w:r>
    </w:p>
    <w:p w:rsidR="00CE3AC6" w:rsidRDefault="00CE3AC6">
      <w:pPr>
        <w:pStyle w:val="TOC2"/>
        <w:rPr>
          <w:rFonts w:asciiTheme="minorHAnsi" w:eastAsiaTheme="minorEastAsia" w:hAnsiTheme="minorHAnsi" w:cstheme="minorBidi"/>
          <w:b w:val="0"/>
          <w:noProof/>
          <w:kern w:val="0"/>
          <w:sz w:val="22"/>
          <w:szCs w:val="22"/>
        </w:rPr>
      </w:pPr>
      <w:r>
        <w:rPr>
          <w:noProof/>
        </w:rPr>
        <w:t>Part 3—When exemption ceases before the end of the testing period</w:t>
      </w:r>
      <w:r w:rsidRPr="00CE3AC6">
        <w:rPr>
          <w:b w:val="0"/>
          <w:noProof/>
          <w:sz w:val="18"/>
        </w:rPr>
        <w:tab/>
      </w:r>
      <w:r w:rsidRPr="00CE3AC6">
        <w:rPr>
          <w:b w:val="0"/>
          <w:noProof/>
          <w:sz w:val="18"/>
        </w:rPr>
        <w:fldChar w:fldCharType="begin"/>
      </w:r>
      <w:r w:rsidRPr="00CE3AC6">
        <w:rPr>
          <w:b w:val="0"/>
          <w:noProof/>
          <w:sz w:val="18"/>
        </w:rPr>
        <w:instrText xml:space="preserve"> PAGEREF _Toc38951885 \h </w:instrText>
      </w:r>
      <w:r w:rsidRPr="00CE3AC6">
        <w:rPr>
          <w:b w:val="0"/>
          <w:noProof/>
          <w:sz w:val="18"/>
        </w:rPr>
      </w:r>
      <w:r w:rsidRPr="00CE3AC6">
        <w:rPr>
          <w:b w:val="0"/>
          <w:noProof/>
          <w:sz w:val="18"/>
        </w:rPr>
        <w:fldChar w:fldCharType="separate"/>
      </w:r>
      <w:r w:rsidR="00557C26">
        <w:rPr>
          <w:b w:val="0"/>
          <w:noProof/>
          <w:sz w:val="18"/>
        </w:rPr>
        <w:t>6</w:t>
      </w:r>
      <w:r w:rsidRPr="00CE3AC6">
        <w:rPr>
          <w:b w:val="0"/>
          <w:noProof/>
          <w:sz w:val="18"/>
        </w:rPr>
        <w:fldChar w:fldCharType="end"/>
      </w:r>
    </w:p>
    <w:p w:rsidR="00CE3AC6" w:rsidRDefault="00CE3AC6">
      <w:pPr>
        <w:pStyle w:val="TOC3"/>
        <w:rPr>
          <w:rFonts w:asciiTheme="minorHAnsi" w:eastAsiaTheme="minorEastAsia" w:hAnsiTheme="minorHAnsi" w:cstheme="minorBidi"/>
          <w:b w:val="0"/>
          <w:noProof/>
          <w:kern w:val="0"/>
          <w:szCs w:val="22"/>
        </w:rPr>
      </w:pPr>
      <w:r>
        <w:rPr>
          <w:noProof/>
        </w:rPr>
        <w:t>Division 1—When exemption ceases automatically</w:t>
      </w:r>
      <w:r w:rsidRPr="00CE3AC6">
        <w:rPr>
          <w:b w:val="0"/>
          <w:noProof/>
          <w:sz w:val="18"/>
        </w:rPr>
        <w:tab/>
      </w:r>
      <w:r w:rsidRPr="00CE3AC6">
        <w:rPr>
          <w:b w:val="0"/>
          <w:noProof/>
          <w:sz w:val="18"/>
        </w:rPr>
        <w:fldChar w:fldCharType="begin"/>
      </w:r>
      <w:r w:rsidRPr="00CE3AC6">
        <w:rPr>
          <w:b w:val="0"/>
          <w:noProof/>
          <w:sz w:val="18"/>
        </w:rPr>
        <w:instrText xml:space="preserve"> PAGEREF _Toc38951886 \h </w:instrText>
      </w:r>
      <w:r w:rsidRPr="00CE3AC6">
        <w:rPr>
          <w:b w:val="0"/>
          <w:noProof/>
          <w:sz w:val="18"/>
        </w:rPr>
      </w:r>
      <w:r w:rsidRPr="00CE3AC6">
        <w:rPr>
          <w:b w:val="0"/>
          <w:noProof/>
          <w:sz w:val="18"/>
        </w:rPr>
        <w:fldChar w:fldCharType="separate"/>
      </w:r>
      <w:r w:rsidR="00557C26">
        <w:rPr>
          <w:b w:val="0"/>
          <w:noProof/>
          <w:sz w:val="18"/>
        </w:rPr>
        <w:t>6</w:t>
      </w:r>
      <w:r w:rsidRPr="00CE3AC6">
        <w:rPr>
          <w:b w:val="0"/>
          <w:noProof/>
          <w:sz w:val="18"/>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9</w:t>
      </w:r>
      <w:r>
        <w:rPr>
          <w:noProof/>
        </w:rPr>
        <w:tab/>
        <w:t>Not meeting certain limits will cause the exemption to cease automatically</w:t>
      </w:r>
      <w:r w:rsidRPr="00CE3AC6">
        <w:rPr>
          <w:noProof/>
        </w:rPr>
        <w:tab/>
      </w:r>
      <w:r w:rsidRPr="00CE3AC6">
        <w:rPr>
          <w:noProof/>
        </w:rPr>
        <w:fldChar w:fldCharType="begin"/>
      </w:r>
      <w:r w:rsidRPr="00CE3AC6">
        <w:rPr>
          <w:noProof/>
        </w:rPr>
        <w:instrText xml:space="preserve"> PAGEREF _Toc38951887 \h </w:instrText>
      </w:r>
      <w:r w:rsidRPr="00CE3AC6">
        <w:rPr>
          <w:noProof/>
        </w:rPr>
      </w:r>
      <w:r w:rsidRPr="00CE3AC6">
        <w:rPr>
          <w:noProof/>
        </w:rPr>
        <w:fldChar w:fldCharType="separate"/>
      </w:r>
      <w:r w:rsidR="00557C26">
        <w:rPr>
          <w:noProof/>
        </w:rPr>
        <w:t>6</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10</w:t>
      </w:r>
      <w:r>
        <w:rPr>
          <w:noProof/>
        </w:rPr>
        <w:tab/>
        <w:t>Exempt financial services that can be provided to wholesale clients</w:t>
      </w:r>
      <w:r w:rsidRPr="00CE3AC6">
        <w:rPr>
          <w:noProof/>
        </w:rPr>
        <w:tab/>
      </w:r>
      <w:r w:rsidRPr="00CE3AC6">
        <w:rPr>
          <w:noProof/>
        </w:rPr>
        <w:fldChar w:fldCharType="begin"/>
      </w:r>
      <w:r w:rsidRPr="00CE3AC6">
        <w:rPr>
          <w:noProof/>
        </w:rPr>
        <w:instrText xml:space="preserve"> PAGEREF _Toc38951888 \h </w:instrText>
      </w:r>
      <w:r w:rsidRPr="00CE3AC6">
        <w:rPr>
          <w:noProof/>
        </w:rPr>
      </w:r>
      <w:r w:rsidRPr="00CE3AC6">
        <w:rPr>
          <w:noProof/>
        </w:rPr>
        <w:fldChar w:fldCharType="separate"/>
      </w:r>
      <w:r w:rsidR="00557C26">
        <w:rPr>
          <w:noProof/>
        </w:rPr>
        <w:t>6</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11</w:t>
      </w:r>
      <w:r>
        <w:rPr>
          <w:noProof/>
        </w:rPr>
        <w:tab/>
        <w:t>Exempt financial services that can be provided to retail clients</w:t>
      </w:r>
      <w:r w:rsidRPr="00CE3AC6">
        <w:rPr>
          <w:noProof/>
        </w:rPr>
        <w:tab/>
      </w:r>
      <w:r w:rsidRPr="00CE3AC6">
        <w:rPr>
          <w:noProof/>
        </w:rPr>
        <w:fldChar w:fldCharType="begin"/>
      </w:r>
      <w:r w:rsidRPr="00CE3AC6">
        <w:rPr>
          <w:noProof/>
        </w:rPr>
        <w:instrText xml:space="preserve"> PAGEREF _Toc38951889 \h </w:instrText>
      </w:r>
      <w:r w:rsidRPr="00CE3AC6">
        <w:rPr>
          <w:noProof/>
        </w:rPr>
      </w:r>
      <w:r w:rsidRPr="00CE3AC6">
        <w:rPr>
          <w:noProof/>
        </w:rPr>
        <w:fldChar w:fldCharType="separate"/>
      </w:r>
      <w:r w:rsidR="00557C26">
        <w:rPr>
          <w:noProof/>
        </w:rPr>
        <w:t>6</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12</w:t>
      </w:r>
      <w:r>
        <w:rPr>
          <w:noProof/>
        </w:rPr>
        <w:tab/>
        <w:t>Exposure limits for exempt financial services—total limit for products for each retail client</w:t>
      </w:r>
      <w:r w:rsidRPr="00CE3AC6">
        <w:rPr>
          <w:noProof/>
        </w:rPr>
        <w:tab/>
      </w:r>
      <w:r w:rsidRPr="00CE3AC6">
        <w:rPr>
          <w:noProof/>
        </w:rPr>
        <w:fldChar w:fldCharType="begin"/>
      </w:r>
      <w:r w:rsidRPr="00CE3AC6">
        <w:rPr>
          <w:noProof/>
        </w:rPr>
        <w:instrText xml:space="preserve"> PAGEREF _Toc38951890 \h </w:instrText>
      </w:r>
      <w:r w:rsidRPr="00CE3AC6">
        <w:rPr>
          <w:noProof/>
        </w:rPr>
      </w:r>
      <w:r w:rsidRPr="00CE3AC6">
        <w:rPr>
          <w:noProof/>
        </w:rPr>
        <w:fldChar w:fldCharType="separate"/>
      </w:r>
      <w:r w:rsidR="00557C26">
        <w:rPr>
          <w:noProof/>
        </w:rPr>
        <w:t>7</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13</w:t>
      </w:r>
      <w:r>
        <w:rPr>
          <w:noProof/>
        </w:rPr>
        <w:tab/>
        <w:t>Exposure limits for exempt financial services—total limit for all services etc.</w:t>
      </w:r>
      <w:r w:rsidRPr="00CE3AC6">
        <w:rPr>
          <w:noProof/>
        </w:rPr>
        <w:tab/>
      </w:r>
      <w:r w:rsidRPr="00CE3AC6">
        <w:rPr>
          <w:noProof/>
        </w:rPr>
        <w:fldChar w:fldCharType="begin"/>
      </w:r>
      <w:r w:rsidRPr="00CE3AC6">
        <w:rPr>
          <w:noProof/>
        </w:rPr>
        <w:instrText xml:space="preserve"> PAGEREF _Toc38951891 \h </w:instrText>
      </w:r>
      <w:r w:rsidRPr="00CE3AC6">
        <w:rPr>
          <w:noProof/>
        </w:rPr>
      </w:r>
      <w:r w:rsidRPr="00CE3AC6">
        <w:rPr>
          <w:noProof/>
        </w:rPr>
        <w:fldChar w:fldCharType="separate"/>
      </w:r>
      <w:r w:rsidR="00557C26">
        <w:rPr>
          <w:noProof/>
        </w:rPr>
        <w:t>7</w:t>
      </w:r>
      <w:r w:rsidRPr="00CE3AC6">
        <w:rPr>
          <w:noProof/>
        </w:rPr>
        <w:fldChar w:fldCharType="end"/>
      </w:r>
    </w:p>
    <w:p w:rsidR="00CE3AC6" w:rsidRDefault="00CE3AC6">
      <w:pPr>
        <w:pStyle w:val="TOC3"/>
        <w:rPr>
          <w:rFonts w:asciiTheme="minorHAnsi" w:eastAsiaTheme="minorEastAsia" w:hAnsiTheme="minorHAnsi" w:cstheme="minorBidi"/>
          <w:b w:val="0"/>
          <w:noProof/>
          <w:kern w:val="0"/>
          <w:szCs w:val="22"/>
        </w:rPr>
      </w:pPr>
      <w:r>
        <w:rPr>
          <w:noProof/>
        </w:rPr>
        <w:t>Division 2—Other ways exemption can cease</w:t>
      </w:r>
      <w:r w:rsidRPr="00CE3AC6">
        <w:rPr>
          <w:b w:val="0"/>
          <w:noProof/>
          <w:sz w:val="18"/>
        </w:rPr>
        <w:tab/>
      </w:r>
      <w:r w:rsidRPr="00CE3AC6">
        <w:rPr>
          <w:b w:val="0"/>
          <w:noProof/>
          <w:sz w:val="18"/>
        </w:rPr>
        <w:fldChar w:fldCharType="begin"/>
      </w:r>
      <w:r w:rsidRPr="00CE3AC6">
        <w:rPr>
          <w:b w:val="0"/>
          <w:noProof/>
          <w:sz w:val="18"/>
        </w:rPr>
        <w:instrText xml:space="preserve"> PAGEREF _Toc38951892 \h </w:instrText>
      </w:r>
      <w:r w:rsidRPr="00CE3AC6">
        <w:rPr>
          <w:b w:val="0"/>
          <w:noProof/>
          <w:sz w:val="18"/>
        </w:rPr>
      </w:r>
      <w:r w:rsidRPr="00CE3AC6">
        <w:rPr>
          <w:b w:val="0"/>
          <w:noProof/>
          <w:sz w:val="18"/>
        </w:rPr>
        <w:fldChar w:fldCharType="separate"/>
      </w:r>
      <w:r w:rsidR="00557C26">
        <w:rPr>
          <w:b w:val="0"/>
          <w:noProof/>
          <w:sz w:val="18"/>
        </w:rPr>
        <w:t>9</w:t>
      </w:r>
      <w:r w:rsidRPr="00CE3AC6">
        <w:rPr>
          <w:b w:val="0"/>
          <w:noProof/>
          <w:sz w:val="18"/>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14</w:t>
      </w:r>
      <w:r>
        <w:rPr>
          <w:noProof/>
        </w:rPr>
        <w:tab/>
        <w:t>Exemption ceases because of ASIC decision</w:t>
      </w:r>
      <w:r w:rsidRPr="00CE3AC6">
        <w:rPr>
          <w:noProof/>
        </w:rPr>
        <w:tab/>
      </w:r>
      <w:r w:rsidRPr="00CE3AC6">
        <w:rPr>
          <w:noProof/>
        </w:rPr>
        <w:fldChar w:fldCharType="begin"/>
      </w:r>
      <w:r w:rsidRPr="00CE3AC6">
        <w:rPr>
          <w:noProof/>
        </w:rPr>
        <w:instrText xml:space="preserve"> PAGEREF _Toc38951893 \h </w:instrText>
      </w:r>
      <w:r w:rsidRPr="00CE3AC6">
        <w:rPr>
          <w:noProof/>
        </w:rPr>
      </w:r>
      <w:r w:rsidRPr="00CE3AC6">
        <w:rPr>
          <w:noProof/>
        </w:rPr>
        <w:fldChar w:fldCharType="separate"/>
      </w:r>
      <w:r w:rsidR="00557C26">
        <w:rPr>
          <w:noProof/>
        </w:rPr>
        <w:t>9</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15</w:t>
      </w:r>
      <w:r>
        <w:rPr>
          <w:noProof/>
        </w:rPr>
        <w:tab/>
        <w:t>Exemption ceases if provider notifies ASIC</w:t>
      </w:r>
      <w:r w:rsidRPr="00CE3AC6">
        <w:rPr>
          <w:noProof/>
        </w:rPr>
        <w:tab/>
      </w:r>
      <w:r w:rsidRPr="00CE3AC6">
        <w:rPr>
          <w:noProof/>
        </w:rPr>
        <w:fldChar w:fldCharType="begin"/>
      </w:r>
      <w:r w:rsidRPr="00CE3AC6">
        <w:rPr>
          <w:noProof/>
        </w:rPr>
        <w:instrText xml:space="preserve"> PAGEREF _Toc38951894 \h </w:instrText>
      </w:r>
      <w:r w:rsidRPr="00CE3AC6">
        <w:rPr>
          <w:noProof/>
        </w:rPr>
      </w:r>
      <w:r w:rsidRPr="00CE3AC6">
        <w:rPr>
          <w:noProof/>
        </w:rPr>
        <w:fldChar w:fldCharType="separate"/>
      </w:r>
      <w:r w:rsidR="00557C26">
        <w:rPr>
          <w:noProof/>
        </w:rPr>
        <w:t>9</w:t>
      </w:r>
      <w:r w:rsidRPr="00CE3AC6">
        <w:rPr>
          <w:noProof/>
        </w:rPr>
        <w:fldChar w:fldCharType="end"/>
      </w:r>
    </w:p>
    <w:p w:rsidR="00CE3AC6" w:rsidRDefault="00CE3AC6">
      <w:pPr>
        <w:pStyle w:val="TOC2"/>
        <w:rPr>
          <w:rFonts w:asciiTheme="minorHAnsi" w:eastAsiaTheme="minorEastAsia" w:hAnsiTheme="minorHAnsi" w:cstheme="minorBidi"/>
          <w:b w:val="0"/>
          <w:noProof/>
          <w:kern w:val="0"/>
          <w:sz w:val="22"/>
          <w:szCs w:val="22"/>
        </w:rPr>
      </w:pPr>
      <w:r>
        <w:rPr>
          <w:noProof/>
        </w:rPr>
        <w:t>Part 4—Requirements for the exemption to exist</w:t>
      </w:r>
      <w:r w:rsidRPr="00CE3AC6">
        <w:rPr>
          <w:b w:val="0"/>
          <w:noProof/>
          <w:sz w:val="18"/>
        </w:rPr>
        <w:tab/>
      </w:r>
      <w:r w:rsidRPr="00CE3AC6">
        <w:rPr>
          <w:b w:val="0"/>
          <w:noProof/>
          <w:sz w:val="18"/>
        </w:rPr>
        <w:fldChar w:fldCharType="begin"/>
      </w:r>
      <w:r w:rsidRPr="00CE3AC6">
        <w:rPr>
          <w:b w:val="0"/>
          <w:noProof/>
          <w:sz w:val="18"/>
        </w:rPr>
        <w:instrText xml:space="preserve"> PAGEREF _Toc38951895 \h </w:instrText>
      </w:r>
      <w:r w:rsidRPr="00CE3AC6">
        <w:rPr>
          <w:b w:val="0"/>
          <w:noProof/>
          <w:sz w:val="18"/>
        </w:rPr>
      </w:r>
      <w:r w:rsidRPr="00CE3AC6">
        <w:rPr>
          <w:b w:val="0"/>
          <w:noProof/>
          <w:sz w:val="18"/>
        </w:rPr>
        <w:fldChar w:fldCharType="separate"/>
      </w:r>
      <w:r w:rsidR="00557C26">
        <w:rPr>
          <w:b w:val="0"/>
          <w:noProof/>
          <w:sz w:val="18"/>
        </w:rPr>
        <w:t>10</w:t>
      </w:r>
      <w:r w:rsidRPr="00CE3AC6">
        <w:rPr>
          <w:b w:val="0"/>
          <w:noProof/>
          <w:sz w:val="18"/>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16</w:t>
      </w:r>
      <w:r>
        <w:rPr>
          <w:noProof/>
        </w:rPr>
        <w:tab/>
        <w:t>Lodging a valid notification for eligible financial services</w:t>
      </w:r>
      <w:r w:rsidRPr="00CE3AC6">
        <w:rPr>
          <w:noProof/>
        </w:rPr>
        <w:tab/>
      </w:r>
      <w:r w:rsidRPr="00CE3AC6">
        <w:rPr>
          <w:noProof/>
        </w:rPr>
        <w:fldChar w:fldCharType="begin"/>
      </w:r>
      <w:r w:rsidRPr="00CE3AC6">
        <w:rPr>
          <w:noProof/>
        </w:rPr>
        <w:instrText xml:space="preserve"> PAGEREF _Toc38951896 \h </w:instrText>
      </w:r>
      <w:r w:rsidRPr="00CE3AC6">
        <w:rPr>
          <w:noProof/>
        </w:rPr>
      </w:r>
      <w:r w:rsidRPr="00CE3AC6">
        <w:rPr>
          <w:noProof/>
        </w:rPr>
        <w:fldChar w:fldCharType="separate"/>
      </w:r>
      <w:r w:rsidR="00557C26">
        <w:rPr>
          <w:noProof/>
        </w:rPr>
        <w:t>10</w:t>
      </w:r>
      <w:r w:rsidRPr="00CE3AC6">
        <w:rPr>
          <w:noProof/>
        </w:rPr>
        <w:fldChar w:fldCharType="end"/>
      </w:r>
    </w:p>
    <w:p w:rsidR="00CE3AC6" w:rsidRDefault="00CE3AC6">
      <w:pPr>
        <w:pStyle w:val="TOC2"/>
        <w:rPr>
          <w:rFonts w:asciiTheme="minorHAnsi" w:eastAsiaTheme="minorEastAsia" w:hAnsiTheme="minorHAnsi" w:cstheme="minorBidi"/>
          <w:b w:val="0"/>
          <w:noProof/>
          <w:kern w:val="0"/>
          <w:sz w:val="22"/>
          <w:szCs w:val="22"/>
        </w:rPr>
      </w:pPr>
      <w:r>
        <w:rPr>
          <w:noProof/>
        </w:rPr>
        <w:t>Part 5—Conditions for the exemption</w:t>
      </w:r>
      <w:r w:rsidRPr="00CE3AC6">
        <w:rPr>
          <w:b w:val="0"/>
          <w:noProof/>
          <w:sz w:val="18"/>
        </w:rPr>
        <w:tab/>
      </w:r>
      <w:r w:rsidRPr="00CE3AC6">
        <w:rPr>
          <w:b w:val="0"/>
          <w:noProof/>
          <w:sz w:val="18"/>
        </w:rPr>
        <w:fldChar w:fldCharType="begin"/>
      </w:r>
      <w:r w:rsidRPr="00CE3AC6">
        <w:rPr>
          <w:b w:val="0"/>
          <w:noProof/>
          <w:sz w:val="18"/>
        </w:rPr>
        <w:instrText xml:space="preserve"> PAGEREF _Toc38951897 \h </w:instrText>
      </w:r>
      <w:r w:rsidRPr="00CE3AC6">
        <w:rPr>
          <w:b w:val="0"/>
          <w:noProof/>
          <w:sz w:val="18"/>
        </w:rPr>
      </w:r>
      <w:r w:rsidRPr="00CE3AC6">
        <w:rPr>
          <w:b w:val="0"/>
          <w:noProof/>
          <w:sz w:val="18"/>
        </w:rPr>
        <w:fldChar w:fldCharType="separate"/>
      </w:r>
      <w:r w:rsidR="00557C26">
        <w:rPr>
          <w:b w:val="0"/>
          <w:noProof/>
          <w:sz w:val="18"/>
        </w:rPr>
        <w:t>12</w:t>
      </w:r>
      <w:r w:rsidRPr="00CE3AC6">
        <w:rPr>
          <w:b w:val="0"/>
          <w:noProof/>
          <w:sz w:val="18"/>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17</w:t>
      </w:r>
      <w:r>
        <w:rPr>
          <w:noProof/>
        </w:rPr>
        <w:tab/>
        <w:t>Condition—notifying all clients before providing an exempt financial service</w:t>
      </w:r>
      <w:r w:rsidRPr="00CE3AC6">
        <w:rPr>
          <w:noProof/>
        </w:rPr>
        <w:tab/>
      </w:r>
      <w:r w:rsidRPr="00CE3AC6">
        <w:rPr>
          <w:noProof/>
        </w:rPr>
        <w:fldChar w:fldCharType="begin"/>
      </w:r>
      <w:r w:rsidRPr="00CE3AC6">
        <w:rPr>
          <w:noProof/>
        </w:rPr>
        <w:instrText xml:space="preserve"> PAGEREF _Toc38951898 \h </w:instrText>
      </w:r>
      <w:r w:rsidRPr="00CE3AC6">
        <w:rPr>
          <w:noProof/>
        </w:rPr>
      </w:r>
      <w:r w:rsidRPr="00CE3AC6">
        <w:rPr>
          <w:noProof/>
        </w:rPr>
        <w:fldChar w:fldCharType="separate"/>
      </w:r>
      <w:r w:rsidR="00557C26">
        <w:rPr>
          <w:noProof/>
        </w:rPr>
        <w:t>12</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18</w:t>
      </w:r>
      <w:r>
        <w:rPr>
          <w:noProof/>
        </w:rPr>
        <w:tab/>
        <w:t>Condition—notifying retail clients before providing an exempt financial service</w:t>
      </w:r>
      <w:r w:rsidRPr="00CE3AC6">
        <w:rPr>
          <w:noProof/>
        </w:rPr>
        <w:tab/>
      </w:r>
      <w:r w:rsidRPr="00CE3AC6">
        <w:rPr>
          <w:noProof/>
        </w:rPr>
        <w:fldChar w:fldCharType="begin"/>
      </w:r>
      <w:r w:rsidRPr="00CE3AC6">
        <w:rPr>
          <w:noProof/>
        </w:rPr>
        <w:instrText xml:space="preserve"> PAGEREF _Toc38951899 \h </w:instrText>
      </w:r>
      <w:r w:rsidRPr="00CE3AC6">
        <w:rPr>
          <w:noProof/>
        </w:rPr>
      </w:r>
      <w:r w:rsidRPr="00CE3AC6">
        <w:rPr>
          <w:noProof/>
        </w:rPr>
        <w:fldChar w:fldCharType="separate"/>
      </w:r>
      <w:r w:rsidR="00557C26">
        <w:rPr>
          <w:noProof/>
        </w:rPr>
        <w:t>12</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19</w:t>
      </w:r>
      <w:r>
        <w:rPr>
          <w:noProof/>
        </w:rPr>
        <w:tab/>
        <w:t>Condition—notifying clients while providing an exempt financial service</w:t>
      </w:r>
      <w:r w:rsidRPr="00CE3AC6">
        <w:rPr>
          <w:noProof/>
        </w:rPr>
        <w:tab/>
      </w:r>
      <w:r w:rsidRPr="00CE3AC6">
        <w:rPr>
          <w:noProof/>
        </w:rPr>
        <w:fldChar w:fldCharType="begin"/>
      </w:r>
      <w:r w:rsidRPr="00CE3AC6">
        <w:rPr>
          <w:noProof/>
        </w:rPr>
        <w:instrText xml:space="preserve"> PAGEREF _Toc38951900 \h </w:instrText>
      </w:r>
      <w:r w:rsidRPr="00CE3AC6">
        <w:rPr>
          <w:noProof/>
        </w:rPr>
      </w:r>
      <w:r w:rsidRPr="00CE3AC6">
        <w:rPr>
          <w:noProof/>
        </w:rPr>
        <w:fldChar w:fldCharType="separate"/>
      </w:r>
      <w:r w:rsidR="00557C26">
        <w:rPr>
          <w:noProof/>
        </w:rPr>
        <w:t>12</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20</w:t>
      </w:r>
      <w:r>
        <w:rPr>
          <w:noProof/>
        </w:rPr>
        <w:tab/>
        <w:t>Condition—maintaining certain procedures, memberships and arrangements</w:t>
      </w:r>
      <w:r w:rsidRPr="00CE3AC6">
        <w:rPr>
          <w:noProof/>
        </w:rPr>
        <w:tab/>
      </w:r>
      <w:r w:rsidRPr="00CE3AC6">
        <w:rPr>
          <w:noProof/>
        </w:rPr>
        <w:fldChar w:fldCharType="begin"/>
      </w:r>
      <w:r w:rsidRPr="00CE3AC6">
        <w:rPr>
          <w:noProof/>
        </w:rPr>
        <w:instrText xml:space="preserve"> PAGEREF _Toc38951901 \h </w:instrText>
      </w:r>
      <w:r w:rsidRPr="00CE3AC6">
        <w:rPr>
          <w:noProof/>
        </w:rPr>
      </w:r>
      <w:r w:rsidRPr="00CE3AC6">
        <w:rPr>
          <w:noProof/>
        </w:rPr>
        <w:fldChar w:fldCharType="separate"/>
      </w:r>
      <w:r w:rsidR="00557C26">
        <w:rPr>
          <w:noProof/>
        </w:rPr>
        <w:t>13</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21</w:t>
      </w:r>
      <w:r>
        <w:rPr>
          <w:noProof/>
        </w:rPr>
        <w:tab/>
        <w:t>Condition—statements of advice</w:t>
      </w:r>
      <w:r w:rsidRPr="00CE3AC6">
        <w:rPr>
          <w:noProof/>
        </w:rPr>
        <w:tab/>
      </w:r>
      <w:r w:rsidRPr="00CE3AC6">
        <w:rPr>
          <w:noProof/>
        </w:rPr>
        <w:fldChar w:fldCharType="begin"/>
      </w:r>
      <w:r w:rsidRPr="00CE3AC6">
        <w:rPr>
          <w:noProof/>
        </w:rPr>
        <w:instrText xml:space="preserve"> PAGEREF _Toc38951902 \h </w:instrText>
      </w:r>
      <w:r w:rsidRPr="00CE3AC6">
        <w:rPr>
          <w:noProof/>
        </w:rPr>
      </w:r>
      <w:r w:rsidRPr="00CE3AC6">
        <w:rPr>
          <w:noProof/>
        </w:rPr>
        <w:fldChar w:fldCharType="separate"/>
      </w:r>
      <w:r w:rsidR="00557C26">
        <w:rPr>
          <w:noProof/>
        </w:rPr>
        <w:t>14</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22</w:t>
      </w:r>
      <w:r>
        <w:rPr>
          <w:noProof/>
        </w:rPr>
        <w:tab/>
        <w:t>Condition—client money obligations</w:t>
      </w:r>
      <w:r w:rsidRPr="00CE3AC6">
        <w:rPr>
          <w:noProof/>
        </w:rPr>
        <w:tab/>
      </w:r>
      <w:r w:rsidRPr="00CE3AC6">
        <w:rPr>
          <w:noProof/>
        </w:rPr>
        <w:fldChar w:fldCharType="begin"/>
      </w:r>
      <w:r w:rsidRPr="00CE3AC6">
        <w:rPr>
          <w:noProof/>
        </w:rPr>
        <w:instrText xml:space="preserve"> PAGEREF _Toc38951903 \h </w:instrText>
      </w:r>
      <w:r w:rsidRPr="00CE3AC6">
        <w:rPr>
          <w:noProof/>
        </w:rPr>
      </w:r>
      <w:r w:rsidRPr="00CE3AC6">
        <w:rPr>
          <w:noProof/>
        </w:rPr>
        <w:fldChar w:fldCharType="separate"/>
      </w:r>
      <w:r w:rsidR="00557C26">
        <w:rPr>
          <w:noProof/>
        </w:rPr>
        <w:t>14</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23</w:t>
      </w:r>
      <w:r>
        <w:rPr>
          <w:noProof/>
        </w:rPr>
        <w:tab/>
        <w:t>Condition—financial product disclosure</w:t>
      </w:r>
      <w:r w:rsidRPr="00CE3AC6">
        <w:rPr>
          <w:noProof/>
        </w:rPr>
        <w:tab/>
      </w:r>
      <w:r w:rsidRPr="00CE3AC6">
        <w:rPr>
          <w:noProof/>
        </w:rPr>
        <w:fldChar w:fldCharType="begin"/>
      </w:r>
      <w:r w:rsidRPr="00CE3AC6">
        <w:rPr>
          <w:noProof/>
        </w:rPr>
        <w:instrText xml:space="preserve"> PAGEREF _Toc38951904 \h </w:instrText>
      </w:r>
      <w:r w:rsidRPr="00CE3AC6">
        <w:rPr>
          <w:noProof/>
        </w:rPr>
      </w:r>
      <w:r w:rsidRPr="00CE3AC6">
        <w:rPr>
          <w:noProof/>
        </w:rPr>
        <w:fldChar w:fldCharType="separate"/>
      </w:r>
      <w:r w:rsidR="00557C26">
        <w:rPr>
          <w:noProof/>
        </w:rPr>
        <w:t>14</w:t>
      </w:r>
      <w:r w:rsidRPr="00CE3AC6">
        <w:rPr>
          <w:noProof/>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24</w:t>
      </w:r>
      <w:r>
        <w:rPr>
          <w:noProof/>
        </w:rPr>
        <w:tab/>
        <w:t>Condition—make</w:t>
      </w:r>
      <w:r>
        <w:rPr>
          <w:noProof/>
        </w:rPr>
        <w:noBreakHyphen/>
        <w:t>good orders</w:t>
      </w:r>
      <w:r w:rsidRPr="00CE3AC6">
        <w:rPr>
          <w:noProof/>
        </w:rPr>
        <w:tab/>
      </w:r>
      <w:r w:rsidRPr="00CE3AC6">
        <w:rPr>
          <w:noProof/>
        </w:rPr>
        <w:fldChar w:fldCharType="begin"/>
      </w:r>
      <w:r w:rsidRPr="00CE3AC6">
        <w:rPr>
          <w:noProof/>
        </w:rPr>
        <w:instrText xml:space="preserve"> PAGEREF _Toc38951905 \h </w:instrText>
      </w:r>
      <w:r w:rsidRPr="00CE3AC6">
        <w:rPr>
          <w:noProof/>
        </w:rPr>
      </w:r>
      <w:r w:rsidRPr="00CE3AC6">
        <w:rPr>
          <w:noProof/>
        </w:rPr>
        <w:fldChar w:fldCharType="separate"/>
      </w:r>
      <w:r w:rsidR="00557C26">
        <w:rPr>
          <w:noProof/>
        </w:rPr>
        <w:t>14</w:t>
      </w:r>
      <w:r w:rsidRPr="00CE3AC6">
        <w:rPr>
          <w:noProof/>
        </w:rPr>
        <w:fldChar w:fldCharType="end"/>
      </w:r>
    </w:p>
    <w:p w:rsidR="00CE3AC6" w:rsidRDefault="00CE3AC6">
      <w:pPr>
        <w:pStyle w:val="TOC2"/>
        <w:rPr>
          <w:rFonts w:asciiTheme="minorHAnsi" w:eastAsiaTheme="minorEastAsia" w:hAnsiTheme="minorHAnsi" w:cstheme="minorBidi"/>
          <w:b w:val="0"/>
          <w:noProof/>
          <w:kern w:val="0"/>
          <w:sz w:val="22"/>
          <w:szCs w:val="22"/>
        </w:rPr>
      </w:pPr>
      <w:r>
        <w:rPr>
          <w:noProof/>
        </w:rPr>
        <w:t>Part 6—Related matters</w:t>
      </w:r>
      <w:r w:rsidRPr="00CE3AC6">
        <w:rPr>
          <w:b w:val="0"/>
          <w:noProof/>
          <w:sz w:val="18"/>
        </w:rPr>
        <w:tab/>
      </w:r>
      <w:r w:rsidRPr="00CE3AC6">
        <w:rPr>
          <w:b w:val="0"/>
          <w:noProof/>
          <w:sz w:val="18"/>
        </w:rPr>
        <w:fldChar w:fldCharType="begin"/>
      </w:r>
      <w:r w:rsidRPr="00CE3AC6">
        <w:rPr>
          <w:b w:val="0"/>
          <w:noProof/>
          <w:sz w:val="18"/>
        </w:rPr>
        <w:instrText xml:space="preserve"> PAGEREF _Toc38951906 \h </w:instrText>
      </w:r>
      <w:r w:rsidRPr="00CE3AC6">
        <w:rPr>
          <w:b w:val="0"/>
          <w:noProof/>
          <w:sz w:val="18"/>
        </w:rPr>
      </w:r>
      <w:r w:rsidRPr="00CE3AC6">
        <w:rPr>
          <w:b w:val="0"/>
          <w:noProof/>
          <w:sz w:val="18"/>
        </w:rPr>
        <w:fldChar w:fldCharType="separate"/>
      </w:r>
      <w:r w:rsidR="00557C26">
        <w:rPr>
          <w:b w:val="0"/>
          <w:noProof/>
          <w:sz w:val="18"/>
        </w:rPr>
        <w:t>16</w:t>
      </w:r>
      <w:r w:rsidRPr="00CE3AC6">
        <w:rPr>
          <w:b w:val="0"/>
          <w:noProof/>
          <w:sz w:val="18"/>
        </w:rPr>
        <w:fldChar w:fldCharType="end"/>
      </w:r>
    </w:p>
    <w:p w:rsidR="00CE3AC6" w:rsidRDefault="00CE3AC6">
      <w:pPr>
        <w:pStyle w:val="TOC5"/>
        <w:rPr>
          <w:rFonts w:asciiTheme="minorHAnsi" w:eastAsiaTheme="minorEastAsia" w:hAnsiTheme="minorHAnsi" w:cstheme="minorBidi"/>
          <w:noProof/>
          <w:kern w:val="0"/>
          <w:sz w:val="22"/>
          <w:szCs w:val="22"/>
        </w:rPr>
      </w:pPr>
      <w:r>
        <w:rPr>
          <w:noProof/>
        </w:rPr>
        <w:t>25</w:t>
      </w:r>
      <w:r>
        <w:rPr>
          <w:noProof/>
        </w:rPr>
        <w:tab/>
        <w:t>Exempt intermediaries for CSF offers</w:t>
      </w:r>
      <w:r w:rsidRPr="00CE3AC6">
        <w:rPr>
          <w:noProof/>
        </w:rPr>
        <w:tab/>
      </w:r>
      <w:r w:rsidRPr="00CE3AC6">
        <w:rPr>
          <w:noProof/>
        </w:rPr>
        <w:fldChar w:fldCharType="begin"/>
      </w:r>
      <w:r w:rsidRPr="00CE3AC6">
        <w:rPr>
          <w:noProof/>
        </w:rPr>
        <w:instrText xml:space="preserve"> PAGEREF _Toc38951907 \h </w:instrText>
      </w:r>
      <w:r w:rsidRPr="00CE3AC6">
        <w:rPr>
          <w:noProof/>
        </w:rPr>
      </w:r>
      <w:r w:rsidRPr="00CE3AC6">
        <w:rPr>
          <w:noProof/>
        </w:rPr>
        <w:fldChar w:fldCharType="separate"/>
      </w:r>
      <w:r w:rsidR="00557C26">
        <w:rPr>
          <w:noProof/>
        </w:rPr>
        <w:t>16</w:t>
      </w:r>
      <w:r w:rsidRPr="00CE3AC6">
        <w:rPr>
          <w:noProof/>
        </w:rPr>
        <w:fldChar w:fldCharType="end"/>
      </w:r>
    </w:p>
    <w:p w:rsidR="00670EA1" w:rsidRPr="00CE3AC6" w:rsidRDefault="00CE3AC6" w:rsidP="00715914">
      <w:r>
        <w:fldChar w:fldCharType="end"/>
      </w:r>
    </w:p>
    <w:p w:rsidR="00670EA1" w:rsidRPr="00CE3AC6" w:rsidRDefault="00670EA1" w:rsidP="00715914">
      <w:pPr>
        <w:sectPr w:rsidR="00670EA1" w:rsidRPr="00CE3AC6" w:rsidSect="00CB1E3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E3AC6" w:rsidRDefault="00715914" w:rsidP="00715914">
      <w:pPr>
        <w:pStyle w:val="ActHead2"/>
      </w:pPr>
      <w:bookmarkStart w:id="2" w:name="_Toc38951875"/>
      <w:r w:rsidRPr="00BB596D">
        <w:rPr>
          <w:rStyle w:val="CharPartNo"/>
        </w:rPr>
        <w:lastRenderedPageBreak/>
        <w:t>Part</w:t>
      </w:r>
      <w:r w:rsidR="00CE3AC6" w:rsidRPr="00BB596D">
        <w:rPr>
          <w:rStyle w:val="CharPartNo"/>
        </w:rPr>
        <w:t> </w:t>
      </w:r>
      <w:r w:rsidRPr="00BB596D">
        <w:rPr>
          <w:rStyle w:val="CharPartNo"/>
        </w:rPr>
        <w:t>1</w:t>
      </w:r>
      <w:r w:rsidRPr="00CE3AC6">
        <w:t>—</w:t>
      </w:r>
      <w:r w:rsidRPr="00BB596D">
        <w:rPr>
          <w:rStyle w:val="CharPartText"/>
        </w:rPr>
        <w:t>Preliminary</w:t>
      </w:r>
      <w:bookmarkEnd w:id="2"/>
    </w:p>
    <w:p w:rsidR="00715914" w:rsidRPr="00BB596D" w:rsidRDefault="00715914" w:rsidP="00715914">
      <w:pPr>
        <w:pStyle w:val="Header"/>
      </w:pPr>
      <w:r w:rsidRPr="00BB596D">
        <w:rPr>
          <w:rStyle w:val="CharDivNo"/>
        </w:rPr>
        <w:t xml:space="preserve"> </w:t>
      </w:r>
      <w:r w:rsidRPr="00BB596D">
        <w:rPr>
          <w:rStyle w:val="CharDivText"/>
        </w:rPr>
        <w:t xml:space="preserve"> </w:t>
      </w:r>
    </w:p>
    <w:p w:rsidR="00715914" w:rsidRPr="00CE3AC6" w:rsidRDefault="00D23B3B" w:rsidP="00715914">
      <w:pPr>
        <w:pStyle w:val="ActHead5"/>
      </w:pPr>
      <w:bookmarkStart w:id="3" w:name="_Toc38951876"/>
      <w:r w:rsidRPr="00BB596D">
        <w:rPr>
          <w:rStyle w:val="CharSectno"/>
        </w:rPr>
        <w:t>1</w:t>
      </w:r>
      <w:r w:rsidR="00715914" w:rsidRPr="00CE3AC6">
        <w:t xml:space="preserve">  </w:t>
      </w:r>
      <w:r w:rsidR="00CE493D" w:rsidRPr="00CE3AC6">
        <w:t>Name</w:t>
      </w:r>
      <w:bookmarkEnd w:id="3"/>
    </w:p>
    <w:p w:rsidR="00715914" w:rsidRPr="00CE3AC6" w:rsidRDefault="00715914" w:rsidP="00715914">
      <w:pPr>
        <w:pStyle w:val="subsection"/>
      </w:pPr>
      <w:r w:rsidRPr="00CE3AC6">
        <w:tab/>
      </w:r>
      <w:r w:rsidRPr="00CE3AC6">
        <w:tab/>
      </w:r>
      <w:r w:rsidR="00081123" w:rsidRPr="00CE3AC6">
        <w:t>This instrument is</w:t>
      </w:r>
      <w:r w:rsidR="00CE493D" w:rsidRPr="00CE3AC6">
        <w:t xml:space="preserve"> the </w:t>
      </w:r>
      <w:bookmarkStart w:id="4" w:name="BKCheck15B_3"/>
      <w:bookmarkEnd w:id="4"/>
      <w:r w:rsidR="00BC76AC" w:rsidRPr="00CE3AC6">
        <w:rPr>
          <w:i/>
        </w:rPr>
        <w:fldChar w:fldCharType="begin"/>
      </w:r>
      <w:r w:rsidR="00BC76AC" w:rsidRPr="00CE3AC6">
        <w:rPr>
          <w:i/>
        </w:rPr>
        <w:instrText xml:space="preserve"> STYLEREF  ShortT </w:instrText>
      </w:r>
      <w:r w:rsidR="00BC76AC" w:rsidRPr="00CE3AC6">
        <w:rPr>
          <w:i/>
        </w:rPr>
        <w:fldChar w:fldCharType="separate"/>
      </w:r>
      <w:r w:rsidR="00557C26">
        <w:rPr>
          <w:i/>
          <w:noProof/>
        </w:rPr>
        <w:t>Corporations (FinTech Sandbox Australian Financial Services Licence Exemption) Regulations 2020</w:t>
      </w:r>
      <w:r w:rsidR="00BC76AC" w:rsidRPr="00CE3AC6">
        <w:rPr>
          <w:i/>
        </w:rPr>
        <w:fldChar w:fldCharType="end"/>
      </w:r>
      <w:r w:rsidRPr="00CE3AC6">
        <w:t>.</w:t>
      </w:r>
    </w:p>
    <w:p w:rsidR="00715914" w:rsidRPr="00CE3AC6" w:rsidRDefault="00D23B3B" w:rsidP="00715914">
      <w:pPr>
        <w:pStyle w:val="ActHead5"/>
      </w:pPr>
      <w:bookmarkStart w:id="5" w:name="_Toc38951877"/>
      <w:r w:rsidRPr="00BB596D">
        <w:rPr>
          <w:rStyle w:val="CharSectno"/>
        </w:rPr>
        <w:t>2</w:t>
      </w:r>
      <w:r w:rsidR="00715914" w:rsidRPr="00CE3AC6">
        <w:t xml:space="preserve">  Commencement</w:t>
      </w:r>
      <w:bookmarkEnd w:id="5"/>
    </w:p>
    <w:p w:rsidR="00BA0C87" w:rsidRPr="00CE3AC6" w:rsidRDefault="00BA0C87" w:rsidP="009D1B50">
      <w:pPr>
        <w:pStyle w:val="subsection"/>
      </w:pPr>
      <w:bookmarkStart w:id="6" w:name="_GoBack"/>
      <w:r w:rsidRPr="00CE3AC6">
        <w:tab/>
        <w:t>(1)</w:t>
      </w:r>
      <w:r w:rsidRPr="00CE3AC6">
        <w:tab/>
        <w:t xml:space="preserve">Each provision of </w:t>
      </w:r>
      <w:r w:rsidR="00081123" w:rsidRPr="00CE3AC6">
        <w:t>this instrument</w:t>
      </w:r>
      <w:r w:rsidRPr="00CE3AC6">
        <w:t xml:space="preserve"> specified in column 1 of the table commences, or is taken to have commenced, in accordance with column 2 of the table. Any other statement in column 2 has effect according to its terms.</w:t>
      </w:r>
      <w:bookmarkEnd w:id="6"/>
    </w:p>
    <w:p w:rsidR="00BA0C87" w:rsidRPr="00CE3AC6" w:rsidRDefault="00BA0C87" w:rsidP="009D1B5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A0C87" w:rsidRPr="00CE3AC6" w:rsidTr="00DD3C89">
        <w:trPr>
          <w:tblHeader/>
        </w:trPr>
        <w:tc>
          <w:tcPr>
            <w:tcW w:w="8364" w:type="dxa"/>
            <w:gridSpan w:val="3"/>
            <w:tcBorders>
              <w:top w:val="single" w:sz="12" w:space="0" w:color="auto"/>
              <w:bottom w:val="single" w:sz="6" w:space="0" w:color="auto"/>
            </w:tcBorders>
            <w:shd w:val="clear" w:color="auto" w:fill="auto"/>
            <w:hideMark/>
          </w:tcPr>
          <w:p w:rsidR="00BA0C87" w:rsidRPr="00CE3AC6" w:rsidRDefault="00BA0C87" w:rsidP="009D1B50">
            <w:pPr>
              <w:pStyle w:val="TableHeading"/>
            </w:pPr>
            <w:r w:rsidRPr="00CE3AC6">
              <w:t>Commencement information</w:t>
            </w:r>
          </w:p>
        </w:tc>
      </w:tr>
      <w:tr w:rsidR="00BA0C87" w:rsidRPr="00CE3AC6" w:rsidTr="00DD3C89">
        <w:trPr>
          <w:tblHeader/>
        </w:trPr>
        <w:tc>
          <w:tcPr>
            <w:tcW w:w="2127" w:type="dxa"/>
            <w:tcBorders>
              <w:top w:val="single" w:sz="6" w:space="0" w:color="auto"/>
              <w:bottom w:val="single" w:sz="6" w:space="0" w:color="auto"/>
            </w:tcBorders>
            <w:shd w:val="clear" w:color="auto" w:fill="auto"/>
            <w:hideMark/>
          </w:tcPr>
          <w:p w:rsidR="00BA0C87" w:rsidRPr="00CE3AC6" w:rsidRDefault="00BA0C87" w:rsidP="009D1B50">
            <w:pPr>
              <w:pStyle w:val="TableHeading"/>
            </w:pPr>
            <w:r w:rsidRPr="00CE3AC6">
              <w:t>Column 1</w:t>
            </w:r>
          </w:p>
        </w:tc>
        <w:tc>
          <w:tcPr>
            <w:tcW w:w="4394" w:type="dxa"/>
            <w:tcBorders>
              <w:top w:val="single" w:sz="6" w:space="0" w:color="auto"/>
              <w:bottom w:val="single" w:sz="6" w:space="0" w:color="auto"/>
            </w:tcBorders>
            <w:shd w:val="clear" w:color="auto" w:fill="auto"/>
            <w:hideMark/>
          </w:tcPr>
          <w:p w:rsidR="00BA0C87" w:rsidRPr="00CE3AC6" w:rsidRDefault="00BA0C87" w:rsidP="009D1B50">
            <w:pPr>
              <w:pStyle w:val="TableHeading"/>
            </w:pPr>
            <w:r w:rsidRPr="00CE3AC6">
              <w:t>Column 2</w:t>
            </w:r>
          </w:p>
        </w:tc>
        <w:tc>
          <w:tcPr>
            <w:tcW w:w="1843" w:type="dxa"/>
            <w:tcBorders>
              <w:top w:val="single" w:sz="6" w:space="0" w:color="auto"/>
              <w:bottom w:val="single" w:sz="6" w:space="0" w:color="auto"/>
            </w:tcBorders>
            <w:shd w:val="clear" w:color="auto" w:fill="auto"/>
            <w:hideMark/>
          </w:tcPr>
          <w:p w:rsidR="00BA0C87" w:rsidRPr="00CE3AC6" w:rsidRDefault="00BA0C87" w:rsidP="009D1B50">
            <w:pPr>
              <w:pStyle w:val="TableHeading"/>
            </w:pPr>
            <w:r w:rsidRPr="00CE3AC6">
              <w:t>Column 3</w:t>
            </w:r>
          </w:p>
        </w:tc>
      </w:tr>
      <w:tr w:rsidR="00BA0C87" w:rsidRPr="00CE3AC6" w:rsidTr="00DD3C89">
        <w:trPr>
          <w:tblHeader/>
        </w:trPr>
        <w:tc>
          <w:tcPr>
            <w:tcW w:w="2127" w:type="dxa"/>
            <w:tcBorders>
              <w:top w:val="single" w:sz="6" w:space="0" w:color="auto"/>
              <w:bottom w:val="single" w:sz="12" w:space="0" w:color="auto"/>
            </w:tcBorders>
            <w:shd w:val="clear" w:color="auto" w:fill="auto"/>
            <w:hideMark/>
          </w:tcPr>
          <w:p w:rsidR="00BA0C87" w:rsidRPr="00CE3AC6" w:rsidRDefault="00BA0C87" w:rsidP="009D1B50">
            <w:pPr>
              <w:pStyle w:val="TableHeading"/>
            </w:pPr>
            <w:r w:rsidRPr="00CE3AC6">
              <w:t>Provisions</w:t>
            </w:r>
          </w:p>
        </w:tc>
        <w:tc>
          <w:tcPr>
            <w:tcW w:w="4394" w:type="dxa"/>
            <w:tcBorders>
              <w:top w:val="single" w:sz="6" w:space="0" w:color="auto"/>
              <w:bottom w:val="single" w:sz="12" w:space="0" w:color="auto"/>
            </w:tcBorders>
            <w:shd w:val="clear" w:color="auto" w:fill="auto"/>
            <w:hideMark/>
          </w:tcPr>
          <w:p w:rsidR="00BA0C87" w:rsidRPr="00CE3AC6" w:rsidRDefault="00BA0C87" w:rsidP="009D1B50">
            <w:pPr>
              <w:pStyle w:val="TableHeading"/>
            </w:pPr>
            <w:r w:rsidRPr="00CE3AC6">
              <w:t>Commencement</w:t>
            </w:r>
          </w:p>
        </w:tc>
        <w:tc>
          <w:tcPr>
            <w:tcW w:w="1843" w:type="dxa"/>
            <w:tcBorders>
              <w:top w:val="single" w:sz="6" w:space="0" w:color="auto"/>
              <w:bottom w:val="single" w:sz="12" w:space="0" w:color="auto"/>
            </w:tcBorders>
            <w:shd w:val="clear" w:color="auto" w:fill="auto"/>
            <w:hideMark/>
          </w:tcPr>
          <w:p w:rsidR="00BA0C87" w:rsidRPr="00CE3AC6" w:rsidRDefault="00BA0C87" w:rsidP="009D1B50">
            <w:pPr>
              <w:pStyle w:val="TableHeading"/>
            </w:pPr>
            <w:r w:rsidRPr="00CE3AC6">
              <w:t>Date/Details</w:t>
            </w:r>
          </w:p>
        </w:tc>
      </w:tr>
      <w:tr w:rsidR="00BA0C87" w:rsidRPr="00CE3AC6" w:rsidTr="00DD3C89">
        <w:tc>
          <w:tcPr>
            <w:tcW w:w="2127" w:type="dxa"/>
            <w:tcBorders>
              <w:top w:val="single" w:sz="12" w:space="0" w:color="auto"/>
              <w:bottom w:val="single" w:sz="12" w:space="0" w:color="auto"/>
            </w:tcBorders>
            <w:shd w:val="clear" w:color="auto" w:fill="auto"/>
            <w:hideMark/>
          </w:tcPr>
          <w:p w:rsidR="00BA0C87" w:rsidRPr="00CE3AC6" w:rsidRDefault="00BA0C87" w:rsidP="00BA0C87">
            <w:pPr>
              <w:pStyle w:val="Tabletext"/>
            </w:pPr>
            <w:r w:rsidRPr="00CE3AC6">
              <w:t xml:space="preserve">1.  </w:t>
            </w:r>
            <w:r w:rsidR="00DD3C89" w:rsidRPr="00CE3AC6">
              <w:t>The whole of this instrument</w:t>
            </w:r>
          </w:p>
        </w:tc>
        <w:tc>
          <w:tcPr>
            <w:tcW w:w="4394" w:type="dxa"/>
            <w:tcBorders>
              <w:top w:val="single" w:sz="12" w:space="0" w:color="auto"/>
              <w:bottom w:val="single" w:sz="12" w:space="0" w:color="auto"/>
            </w:tcBorders>
            <w:shd w:val="clear" w:color="auto" w:fill="auto"/>
            <w:hideMark/>
          </w:tcPr>
          <w:p w:rsidR="00BA0C87" w:rsidRPr="00CE3AC6" w:rsidRDefault="00673381" w:rsidP="00BA0C87">
            <w:pPr>
              <w:pStyle w:val="Tabletext"/>
            </w:pPr>
            <w:r w:rsidRPr="00CE3AC6">
              <w:t>1</w:t>
            </w:r>
            <w:r w:rsidR="00CE3AC6" w:rsidRPr="00CE3AC6">
              <w:t> </w:t>
            </w:r>
            <w:r w:rsidRPr="00CE3AC6">
              <w:t>September</w:t>
            </w:r>
            <w:r w:rsidR="00E963FE" w:rsidRPr="00CE3AC6">
              <w:t xml:space="preserve"> 2020</w:t>
            </w:r>
            <w:r w:rsidR="00DD3C89" w:rsidRPr="00CE3AC6">
              <w:t>.</w:t>
            </w:r>
          </w:p>
        </w:tc>
        <w:tc>
          <w:tcPr>
            <w:tcW w:w="1843" w:type="dxa"/>
            <w:tcBorders>
              <w:top w:val="single" w:sz="12" w:space="0" w:color="auto"/>
              <w:bottom w:val="single" w:sz="12" w:space="0" w:color="auto"/>
            </w:tcBorders>
            <w:shd w:val="clear" w:color="auto" w:fill="auto"/>
          </w:tcPr>
          <w:p w:rsidR="00BA0C87" w:rsidRPr="00CE3AC6" w:rsidRDefault="00673381">
            <w:pPr>
              <w:pStyle w:val="Tabletext"/>
            </w:pPr>
            <w:r w:rsidRPr="00CE3AC6">
              <w:t>1</w:t>
            </w:r>
            <w:r w:rsidR="00CE3AC6" w:rsidRPr="00CE3AC6">
              <w:t> </w:t>
            </w:r>
            <w:r w:rsidRPr="00CE3AC6">
              <w:t>September</w:t>
            </w:r>
            <w:r w:rsidR="00E963FE" w:rsidRPr="00CE3AC6">
              <w:t xml:space="preserve"> 2020</w:t>
            </w:r>
          </w:p>
        </w:tc>
      </w:tr>
    </w:tbl>
    <w:p w:rsidR="00BA0C87" w:rsidRPr="00CE3AC6" w:rsidRDefault="00BA0C87" w:rsidP="009D1B50">
      <w:pPr>
        <w:pStyle w:val="notetext"/>
      </w:pPr>
      <w:r w:rsidRPr="00CE3AC6">
        <w:rPr>
          <w:snapToGrid w:val="0"/>
          <w:lang w:eastAsia="en-US"/>
        </w:rPr>
        <w:t>Note:</w:t>
      </w:r>
      <w:r w:rsidRPr="00CE3AC6">
        <w:rPr>
          <w:snapToGrid w:val="0"/>
          <w:lang w:eastAsia="en-US"/>
        </w:rPr>
        <w:tab/>
        <w:t xml:space="preserve">This table relates only to the provisions of </w:t>
      </w:r>
      <w:r w:rsidR="00081123" w:rsidRPr="00CE3AC6">
        <w:rPr>
          <w:snapToGrid w:val="0"/>
          <w:lang w:eastAsia="en-US"/>
        </w:rPr>
        <w:t>this instrument</w:t>
      </w:r>
      <w:r w:rsidRPr="00CE3AC6">
        <w:t xml:space="preserve"> </w:t>
      </w:r>
      <w:r w:rsidRPr="00CE3AC6">
        <w:rPr>
          <w:snapToGrid w:val="0"/>
          <w:lang w:eastAsia="en-US"/>
        </w:rPr>
        <w:t xml:space="preserve">as originally made. It will not be amended to deal with any later amendments of </w:t>
      </w:r>
      <w:r w:rsidR="00081123" w:rsidRPr="00CE3AC6">
        <w:rPr>
          <w:snapToGrid w:val="0"/>
          <w:lang w:eastAsia="en-US"/>
        </w:rPr>
        <w:t>this instrument</w:t>
      </w:r>
      <w:r w:rsidRPr="00CE3AC6">
        <w:rPr>
          <w:snapToGrid w:val="0"/>
          <w:lang w:eastAsia="en-US"/>
        </w:rPr>
        <w:t>.</w:t>
      </w:r>
    </w:p>
    <w:p w:rsidR="00BA0C87" w:rsidRPr="00CE3AC6" w:rsidRDefault="00BA0C87" w:rsidP="009D1B50">
      <w:pPr>
        <w:pStyle w:val="subsection"/>
      </w:pPr>
      <w:r w:rsidRPr="00CE3AC6">
        <w:tab/>
        <w:t>(2)</w:t>
      </w:r>
      <w:r w:rsidRPr="00CE3AC6">
        <w:tab/>
        <w:t xml:space="preserve">Any information in column 3 of the table is not part of </w:t>
      </w:r>
      <w:r w:rsidR="00081123" w:rsidRPr="00CE3AC6">
        <w:t>this instrument</w:t>
      </w:r>
      <w:r w:rsidRPr="00CE3AC6">
        <w:t xml:space="preserve">. Information may be inserted in this column, or information in it may be edited, in any published version of </w:t>
      </w:r>
      <w:r w:rsidR="00081123" w:rsidRPr="00CE3AC6">
        <w:t>this instrument</w:t>
      </w:r>
      <w:r w:rsidRPr="00CE3AC6">
        <w:t>.</w:t>
      </w:r>
    </w:p>
    <w:p w:rsidR="007500C8" w:rsidRPr="00CE3AC6" w:rsidRDefault="00D23B3B" w:rsidP="007500C8">
      <w:pPr>
        <w:pStyle w:val="ActHead5"/>
      </w:pPr>
      <w:bookmarkStart w:id="7" w:name="_Toc38951878"/>
      <w:r w:rsidRPr="00BB596D">
        <w:rPr>
          <w:rStyle w:val="CharSectno"/>
        </w:rPr>
        <w:t>3</w:t>
      </w:r>
      <w:r w:rsidR="007500C8" w:rsidRPr="00CE3AC6">
        <w:t xml:space="preserve">  Authority</w:t>
      </w:r>
      <w:bookmarkEnd w:id="7"/>
    </w:p>
    <w:p w:rsidR="00157B8B" w:rsidRPr="00CE3AC6" w:rsidRDefault="007500C8" w:rsidP="007E667A">
      <w:pPr>
        <w:pStyle w:val="subsection"/>
      </w:pPr>
      <w:r w:rsidRPr="00CE3AC6">
        <w:tab/>
      </w:r>
      <w:r w:rsidRPr="00CE3AC6">
        <w:tab/>
      </w:r>
      <w:r w:rsidR="00081123" w:rsidRPr="00CE3AC6">
        <w:t>This instrument is</w:t>
      </w:r>
      <w:r w:rsidRPr="00CE3AC6">
        <w:t xml:space="preserve"> made under the </w:t>
      </w:r>
      <w:r w:rsidR="00DD3C89" w:rsidRPr="00CE3AC6">
        <w:rPr>
          <w:i/>
        </w:rPr>
        <w:t>Corporations Act 2001</w:t>
      </w:r>
      <w:r w:rsidR="00F4350D" w:rsidRPr="00CE3AC6">
        <w:t>.</w:t>
      </w:r>
    </w:p>
    <w:p w:rsidR="003A5280" w:rsidRPr="00CE3AC6" w:rsidRDefault="00D23B3B" w:rsidP="003A5280">
      <w:pPr>
        <w:pStyle w:val="ActHead5"/>
      </w:pPr>
      <w:bookmarkStart w:id="8" w:name="_Toc38951879"/>
      <w:r w:rsidRPr="00BB596D">
        <w:rPr>
          <w:rStyle w:val="CharSectno"/>
        </w:rPr>
        <w:t>4</w:t>
      </w:r>
      <w:r w:rsidR="003A5280" w:rsidRPr="00CE3AC6">
        <w:t xml:space="preserve">  Simplified outline of this instrument</w:t>
      </w:r>
      <w:bookmarkEnd w:id="8"/>
    </w:p>
    <w:p w:rsidR="0053307D" w:rsidRPr="00CE3AC6" w:rsidRDefault="00CF5426" w:rsidP="00FC02CD">
      <w:pPr>
        <w:pStyle w:val="SOText"/>
      </w:pPr>
      <w:r w:rsidRPr="00CE3AC6">
        <w:t>A person may use an exemption from the licensing requirements in Part</w:t>
      </w:r>
      <w:r w:rsidR="00CE3AC6" w:rsidRPr="00CE3AC6">
        <w:t> </w:t>
      </w:r>
      <w:r w:rsidRPr="00CE3AC6">
        <w:t>7.6 of the Act to test elig</w:t>
      </w:r>
      <w:r w:rsidR="0053307D" w:rsidRPr="00CE3AC6">
        <w:t>ible financial services.</w:t>
      </w:r>
    </w:p>
    <w:p w:rsidR="00CF5426" w:rsidRPr="00CE3AC6" w:rsidRDefault="005004FE" w:rsidP="00FC02CD">
      <w:pPr>
        <w:pStyle w:val="SOText"/>
      </w:pPr>
      <w:r w:rsidRPr="00CE3AC6">
        <w:t xml:space="preserve">The exemption will only </w:t>
      </w:r>
      <w:r w:rsidR="00CF5426" w:rsidRPr="00CE3AC6">
        <w:t>become available</w:t>
      </w:r>
      <w:r w:rsidRPr="00CE3AC6">
        <w:t xml:space="preserve"> if</w:t>
      </w:r>
      <w:r w:rsidR="00CF5426" w:rsidRPr="00CE3AC6">
        <w:t>:</w:t>
      </w:r>
    </w:p>
    <w:p w:rsidR="00CF5426" w:rsidRPr="00CE3AC6" w:rsidRDefault="00CF5426" w:rsidP="00CF5426">
      <w:pPr>
        <w:pStyle w:val="SOPara"/>
      </w:pPr>
      <w:r w:rsidRPr="00CE3AC6">
        <w:tab/>
        <w:t>(a)</w:t>
      </w:r>
      <w:r w:rsidRPr="00CE3AC6">
        <w:tab/>
      </w:r>
      <w:r w:rsidR="005004FE" w:rsidRPr="00CE3AC6">
        <w:t xml:space="preserve">the person </w:t>
      </w:r>
      <w:r w:rsidRPr="00CE3AC6">
        <w:t>is an eligible person; and</w:t>
      </w:r>
    </w:p>
    <w:p w:rsidR="0053307D" w:rsidRPr="00CE3AC6" w:rsidRDefault="00CF5426" w:rsidP="0053307D">
      <w:pPr>
        <w:pStyle w:val="SOPara"/>
      </w:pPr>
      <w:r w:rsidRPr="00CE3AC6">
        <w:tab/>
        <w:t>(b)</w:t>
      </w:r>
      <w:r w:rsidRPr="00CE3AC6">
        <w:tab/>
        <w:t xml:space="preserve">the person lodges a valid </w:t>
      </w:r>
      <w:r w:rsidR="00203F9D" w:rsidRPr="00CE3AC6">
        <w:t>notification</w:t>
      </w:r>
      <w:r w:rsidRPr="00CE3AC6">
        <w:t xml:space="preserve"> and satisfies certain requirements (see Part</w:t>
      </w:r>
      <w:r w:rsidR="00CE3AC6" w:rsidRPr="00CE3AC6">
        <w:t> </w:t>
      </w:r>
      <w:r w:rsidR="00203F9D" w:rsidRPr="00CE3AC6">
        <w:t>4)</w:t>
      </w:r>
      <w:r w:rsidR="0053307D" w:rsidRPr="00CE3AC6">
        <w:t>.</w:t>
      </w:r>
    </w:p>
    <w:p w:rsidR="000E21DF" w:rsidRPr="00CE3AC6" w:rsidRDefault="000E21DF" w:rsidP="000E21DF">
      <w:pPr>
        <w:pStyle w:val="SOText"/>
      </w:pPr>
      <w:r w:rsidRPr="00CE3AC6">
        <w:t>The exemption will also not become available</w:t>
      </w:r>
      <w:r w:rsidR="009132C2" w:rsidRPr="00CE3AC6">
        <w:t xml:space="preserve"> if</w:t>
      </w:r>
      <w:r w:rsidRPr="00CE3AC6">
        <w:t>:</w:t>
      </w:r>
    </w:p>
    <w:p w:rsidR="000E21DF" w:rsidRPr="00CE3AC6" w:rsidRDefault="009132C2" w:rsidP="000E21DF">
      <w:pPr>
        <w:pStyle w:val="SOPara"/>
      </w:pPr>
      <w:r w:rsidRPr="00CE3AC6">
        <w:tab/>
        <w:t>(a)</w:t>
      </w:r>
      <w:r w:rsidRPr="00CE3AC6">
        <w:tab/>
      </w:r>
      <w:r w:rsidR="000E21DF" w:rsidRPr="00CE3AC6">
        <w:t>ASIC is not satisfied that it will result, or be likely to result, in a net benefit to the public; or</w:t>
      </w:r>
    </w:p>
    <w:p w:rsidR="000E21DF" w:rsidRPr="00CE3AC6" w:rsidRDefault="009132C2" w:rsidP="000E21DF">
      <w:pPr>
        <w:pStyle w:val="SOPara"/>
      </w:pPr>
      <w:r w:rsidRPr="00CE3AC6">
        <w:tab/>
        <w:t>(b)</w:t>
      </w:r>
      <w:r w:rsidRPr="00CE3AC6">
        <w:tab/>
      </w:r>
      <w:r w:rsidR="000E21DF" w:rsidRPr="00CE3AC6">
        <w:t>ASIC is not satisfied that the financial service is new, or is a new adaptation or improveme</w:t>
      </w:r>
      <w:r w:rsidR="00FF6A77" w:rsidRPr="00CE3AC6">
        <w:t>nt of another financial service; or</w:t>
      </w:r>
    </w:p>
    <w:p w:rsidR="00FF6A77" w:rsidRPr="00CE3AC6" w:rsidRDefault="00FF6A77" w:rsidP="000E21DF">
      <w:pPr>
        <w:pStyle w:val="SOPara"/>
      </w:pPr>
      <w:r w:rsidRPr="00CE3AC6">
        <w:tab/>
        <w:t>(c)</w:t>
      </w:r>
      <w:r w:rsidRPr="00CE3AC6">
        <w:tab/>
        <w:t>ASIC reasonably believes that certain other circumstances exist.</w:t>
      </w:r>
    </w:p>
    <w:p w:rsidR="003A5280" w:rsidRPr="00CE3AC6" w:rsidRDefault="00F84DBE" w:rsidP="003A5280">
      <w:pPr>
        <w:pStyle w:val="SOText"/>
      </w:pPr>
      <w:r w:rsidRPr="00CE3AC6">
        <w:lastRenderedPageBreak/>
        <w:t>The</w:t>
      </w:r>
      <w:r w:rsidR="004F0DAF" w:rsidRPr="00CE3AC6">
        <w:t xml:space="preserve"> exemption can be</w:t>
      </w:r>
      <w:r w:rsidRPr="00CE3AC6">
        <w:t>come</w:t>
      </w:r>
      <w:r w:rsidR="004F0DAF" w:rsidRPr="00CE3AC6">
        <w:t xml:space="preserve"> </w:t>
      </w:r>
      <w:r w:rsidR="00324406" w:rsidRPr="00CE3AC6">
        <w:t>available</w:t>
      </w:r>
      <w:r w:rsidR="004F0DAF" w:rsidRPr="00CE3AC6">
        <w:t xml:space="preserve"> </w:t>
      </w:r>
      <w:r w:rsidR="000E2DCF" w:rsidRPr="00CE3AC6">
        <w:t>at different</w:t>
      </w:r>
      <w:r w:rsidRPr="00CE3AC6">
        <w:t xml:space="preserve"> times </w:t>
      </w:r>
      <w:r w:rsidR="00324406" w:rsidRPr="00CE3AC6">
        <w:t xml:space="preserve">for different eligible financial services. However, the exemption </w:t>
      </w:r>
      <w:r w:rsidR="000E2DCF" w:rsidRPr="00CE3AC6">
        <w:t>cannot become</w:t>
      </w:r>
      <w:r w:rsidR="00324406" w:rsidRPr="00CE3AC6">
        <w:t xml:space="preserve"> available a second time to test </w:t>
      </w:r>
      <w:r w:rsidR="00F33D79" w:rsidRPr="00CE3AC6">
        <w:t xml:space="preserve">the same </w:t>
      </w:r>
      <w:r w:rsidR="003D6FE3" w:rsidRPr="00CE3AC6">
        <w:t>kind</w:t>
      </w:r>
      <w:r w:rsidR="00F33D79" w:rsidRPr="00CE3AC6">
        <w:t xml:space="preserve"> of </w:t>
      </w:r>
      <w:r w:rsidR="00350FDD" w:rsidRPr="00CE3AC6">
        <w:t>financial service</w:t>
      </w:r>
      <w:r w:rsidR="00324406" w:rsidRPr="00CE3AC6">
        <w:t xml:space="preserve"> for </w:t>
      </w:r>
      <w:r w:rsidRPr="00CE3AC6">
        <w:t>the same</w:t>
      </w:r>
      <w:r w:rsidR="00324406" w:rsidRPr="00CE3AC6">
        <w:t xml:space="preserve"> kind of financial product</w:t>
      </w:r>
      <w:r w:rsidR="001D22D6" w:rsidRPr="00CE3AC6">
        <w:t>.</w:t>
      </w:r>
    </w:p>
    <w:p w:rsidR="00324406" w:rsidRPr="00CE3AC6" w:rsidRDefault="00324406" w:rsidP="003A5280">
      <w:pPr>
        <w:pStyle w:val="SOText"/>
      </w:pPr>
      <w:r w:rsidRPr="00CE3AC6">
        <w:t>Each exemption lasts up to 24 months.</w:t>
      </w:r>
    </w:p>
    <w:p w:rsidR="00E5232E" w:rsidRPr="00CE3AC6" w:rsidRDefault="000E2DCF" w:rsidP="003A5280">
      <w:pPr>
        <w:pStyle w:val="SOText"/>
      </w:pPr>
      <w:r w:rsidRPr="00CE3AC6">
        <w:t>Each</w:t>
      </w:r>
      <w:r w:rsidR="00D7589B" w:rsidRPr="00CE3AC6">
        <w:t xml:space="preserve"> exemption </w:t>
      </w:r>
      <w:r w:rsidR="00E946CF" w:rsidRPr="00CE3AC6">
        <w:t xml:space="preserve">is subject to </w:t>
      </w:r>
      <w:r w:rsidR="003F762C" w:rsidRPr="00CE3AC6">
        <w:t>conditions that limit</w:t>
      </w:r>
      <w:r w:rsidR="00E5232E" w:rsidRPr="00CE3AC6">
        <w:t>:</w:t>
      </w:r>
    </w:p>
    <w:p w:rsidR="00E5232E" w:rsidRPr="00CE3AC6" w:rsidRDefault="00E5232E" w:rsidP="00E5232E">
      <w:pPr>
        <w:pStyle w:val="SOPara"/>
      </w:pPr>
      <w:r w:rsidRPr="00CE3AC6">
        <w:tab/>
        <w:t>(a)</w:t>
      </w:r>
      <w:r w:rsidRPr="00CE3AC6">
        <w:tab/>
      </w:r>
      <w:r w:rsidR="00E946CF" w:rsidRPr="00CE3AC6">
        <w:t xml:space="preserve">the </w:t>
      </w:r>
      <w:r w:rsidR="003D6FE3" w:rsidRPr="00CE3AC6">
        <w:t>kind</w:t>
      </w:r>
      <w:r w:rsidR="00D73BD7" w:rsidRPr="00CE3AC6">
        <w:t>s</w:t>
      </w:r>
      <w:r w:rsidR="00E946CF" w:rsidRPr="00CE3AC6">
        <w:t xml:space="preserve"> of financial services that can be provided </w:t>
      </w:r>
      <w:r w:rsidRPr="00CE3AC6">
        <w:t>to wholesale clients; and</w:t>
      </w:r>
    </w:p>
    <w:p w:rsidR="003F762C" w:rsidRPr="00CE3AC6" w:rsidRDefault="00E5232E" w:rsidP="00E5232E">
      <w:pPr>
        <w:pStyle w:val="SOPara"/>
      </w:pPr>
      <w:r w:rsidRPr="00CE3AC6">
        <w:tab/>
        <w:t>(b)</w:t>
      </w:r>
      <w:r w:rsidRPr="00CE3AC6">
        <w:tab/>
      </w:r>
      <w:r w:rsidR="003F762C" w:rsidRPr="00CE3AC6">
        <w:t xml:space="preserve">the </w:t>
      </w:r>
      <w:r w:rsidR="003D6FE3" w:rsidRPr="00CE3AC6">
        <w:t>kind</w:t>
      </w:r>
      <w:r w:rsidR="00D73BD7" w:rsidRPr="00CE3AC6">
        <w:t>s</w:t>
      </w:r>
      <w:r w:rsidR="000E2DCF" w:rsidRPr="00CE3AC6">
        <w:t xml:space="preserve"> of </w:t>
      </w:r>
      <w:r w:rsidR="003F762C" w:rsidRPr="00CE3AC6">
        <w:t>financial services that can be provided to retail clients; and</w:t>
      </w:r>
    </w:p>
    <w:p w:rsidR="003F762C" w:rsidRPr="00CE3AC6" w:rsidRDefault="003F762C" w:rsidP="00E5232E">
      <w:pPr>
        <w:pStyle w:val="SOPara"/>
      </w:pPr>
      <w:r w:rsidRPr="00CE3AC6">
        <w:tab/>
        <w:t>(c)</w:t>
      </w:r>
      <w:r w:rsidRPr="00CE3AC6">
        <w:tab/>
        <w:t>the exposure of the person’s clients to the financial services</w:t>
      </w:r>
      <w:r w:rsidR="00B21EE7" w:rsidRPr="00CE3AC6">
        <w:t xml:space="preserve">, including </w:t>
      </w:r>
      <w:r w:rsidR="00A061D0" w:rsidRPr="00CE3AC6">
        <w:t>the</w:t>
      </w:r>
      <w:r w:rsidR="00B21EE7" w:rsidRPr="00CE3AC6">
        <w:t xml:space="preserve"> total </w:t>
      </w:r>
      <w:r w:rsidR="00A061D0" w:rsidRPr="00CE3AC6">
        <w:t xml:space="preserve">investment </w:t>
      </w:r>
      <w:r w:rsidR="00B21EE7" w:rsidRPr="00CE3AC6">
        <w:t xml:space="preserve">activity under the </w:t>
      </w:r>
      <w:r w:rsidR="00A061D0" w:rsidRPr="00CE3AC6">
        <w:t xml:space="preserve">exemptions and any exemptions under the </w:t>
      </w:r>
      <w:r w:rsidR="001E5BBF" w:rsidRPr="00CE3AC6">
        <w:rPr>
          <w:i/>
        </w:rPr>
        <w:t>National Consumer Credit Protection (FinTech Sandbox Australian Credit Licence Exemption) Regulations</w:t>
      </w:r>
      <w:r w:rsidR="00CE3AC6" w:rsidRPr="00CE3AC6">
        <w:rPr>
          <w:i/>
        </w:rPr>
        <w:t> </w:t>
      </w:r>
      <w:r w:rsidR="001E5BBF" w:rsidRPr="00CE3AC6">
        <w:rPr>
          <w:i/>
        </w:rPr>
        <w:t>2020</w:t>
      </w:r>
      <w:r w:rsidRPr="00CE3AC6">
        <w:t>.</w:t>
      </w:r>
    </w:p>
    <w:p w:rsidR="00D7589B" w:rsidRPr="00CE3AC6" w:rsidRDefault="00A91438" w:rsidP="003F762C">
      <w:pPr>
        <w:pStyle w:val="SOText"/>
      </w:pPr>
      <w:r w:rsidRPr="00CE3AC6">
        <w:t>Each</w:t>
      </w:r>
      <w:r w:rsidR="00E946CF" w:rsidRPr="00CE3AC6">
        <w:t xml:space="preserve"> exemption will cease automatically if the person fails to meet these </w:t>
      </w:r>
      <w:r w:rsidR="003F762C" w:rsidRPr="00CE3AC6">
        <w:t>limits</w:t>
      </w:r>
      <w:r w:rsidR="00E946CF" w:rsidRPr="00CE3AC6">
        <w:t xml:space="preserve"> </w:t>
      </w:r>
      <w:r w:rsidR="00EE3457" w:rsidRPr="00CE3AC6">
        <w:t>(see Division</w:t>
      </w:r>
      <w:r w:rsidR="00CE3AC6" w:rsidRPr="00CE3AC6">
        <w:t> </w:t>
      </w:r>
      <w:r w:rsidR="00EE3457" w:rsidRPr="00CE3AC6">
        <w:t>1</w:t>
      </w:r>
      <w:r w:rsidR="00BB2261" w:rsidRPr="00CE3AC6">
        <w:t xml:space="preserve"> of Part</w:t>
      </w:r>
      <w:r w:rsidR="00CE3AC6" w:rsidRPr="00CE3AC6">
        <w:t> </w:t>
      </w:r>
      <w:r w:rsidR="00BB2261" w:rsidRPr="00CE3AC6">
        <w:t xml:space="preserve">3), </w:t>
      </w:r>
      <w:r w:rsidR="00E946CF" w:rsidRPr="00CE3AC6">
        <w:t>or if the person ceases to be an eligible person.</w:t>
      </w:r>
    </w:p>
    <w:p w:rsidR="003A5280" w:rsidRPr="00CE3AC6" w:rsidRDefault="00A91438" w:rsidP="003A5280">
      <w:pPr>
        <w:pStyle w:val="SOText"/>
      </w:pPr>
      <w:r w:rsidRPr="00CE3AC6">
        <w:t>Each</w:t>
      </w:r>
      <w:r w:rsidR="003A5280" w:rsidRPr="00CE3AC6">
        <w:t xml:space="preserve"> exemption is </w:t>
      </w:r>
      <w:r w:rsidR="004D6454" w:rsidRPr="00CE3AC6">
        <w:t xml:space="preserve">also </w:t>
      </w:r>
      <w:r w:rsidR="003A5280" w:rsidRPr="00CE3AC6">
        <w:t xml:space="preserve">subject to </w:t>
      </w:r>
      <w:r w:rsidR="004D6454" w:rsidRPr="00CE3AC6">
        <w:t xml:space="preserve">other </w:t>
      </w:r>
      <w:r w:rsidR="003A5280" w:rsidRPr="00CE3AC6">
        <w:t>conditions</w:t>
      </w:r>
      <w:r w:rsidR="0075539A" w:rsidRPr="00CE3AC6">
        <w:t xml:space="preserve"> (see Part</w:t>
      </w:r>
      <w:r w:rsidR="00CE3AC6" w:rsidRPr="00CE3AC6">
        <w:t> </w:t>
      </w:r>
      <w:r w:rsidR="0075539A" w:rsidRPr="00CE3AC6">
        <w:t>5)</w:t>
      </w:r>
      <w:r w:rsidR="003A5280" w:rsidRPr="00CE3AC6">
        <w:t>. Failing to meet the</w:t>
      </w:r>
      <w:r w:rsidR="004D6454" w:rsidRPr="00CE3AC6">
        <w:t>se</w:t>
      </w:r>
      <w:r w:rsidR="003A5280" w:rsidRPr="00CE3AC6">
        <w:t xml:space="preserve"> conditions may result in ASIC cancelling the exemption or applying to the Court for an order that the person comply with the conditions.</w:t>
      </w:r>
    </w:p>
    <w:p w:rsidR="003A5280" w:rsidRPr="00CE3AC6" w:rsidRDefault="000E2DCF" w:rsidP="003A5280">
      <w:pPr>
        <w:pStyle w:val="SOText"/>
      </w:pPr>
      <w:r w:rsidRPr="00CE3AC6">
        <w:t xml:space="preserve">Only one member of a group of related bodies corporate can use </w:t>
      </w:r>
      <w:r w:rsidR="00A91438" w:rsidRPr="00CE3AC6">
        <w:t>an</w:t>
      </w:r>
      <w:r w:rsidRPr="00CE3AC6">
        <w:t xml:space="preserve"> exemption at any one time</w:t>
      </w:r>
      <w:r w:rsidR="003A5280" w:rsidRPr="00CE3AC6">
        <w:t>.</w:t>
      </w:r>
    </w:p>
    <w:p w:rsidR="003A5280" w:rsidRPr="00CE3AC6" w:rsidRDefault="00D23B3B" w:rsidP="003A5280">
      <w:pPr>
        <w:pStyle w:val="ActHead5"/>
      </w:pPr>
      <w:bookmarkStart w:id="9" w:name="_Toc38951880"/>
      <w:r w:rsidRPr="00BB596D">
        <w:rPr>
          <w:rStyle w:val="CharSectno"/>
        </w:rPr>
        <w:t>5</w:t>
      </w:r>
      <w:r w:rsidR="003A5280" w:rsidRPr="00CE3AC6">
        <w:t xml:space="preserve">  Definitions</w:t>
      </w:r>
      <w:bookmarkEnd w:id="9"/>
    </w:p>
    <w:p w:rsidR="003A5280" w:rsidRPr="00CE3AC6" w:rsidRDefault="003A5280" w:rsidP="003A5280">
      <w:pPr>
        <w:pStyle w:val="subsection"/>
      </w:pPr>
      <w:r w:rsidRPr="00CE3AC6">
        <w:tab/>
      </w:r>
      <w:r w:rsidRPr="00CE3AC6">
        <w:tab/>
        <w:t>In this instrument:</w:t>
      </w:r>
    </w:p>
    <w:p w:rsidR="00361EA3" w:rsidRPr="00CE3AC6" w:rsidRDefault="00361EA3" w:rsidP="00361EA3">
      <w:pPr>
        <w:pStyle w:val="Definition"/>
      </w:pPr>
      <w:r w:rsidRPr="00CE3AC6">
        <w:rPr>
          <w:b/>
          <w:i/>
        </w:rPr>
        <w:t>Act</w:t>
      </w:r>
      <w:r w:rsidRPr="00CE3AC6">
        <w:t xml:space="preserve"> means the </w:t>
      </w:r>
      <w:r w:rsidRPr="00CE3AC6">
        <w:rPr>
          <w:i/>
        </w:rPr>
        <w:t>Corporations Act 2001</w:t>
      </w:r>
      <w:r w:rsidRPr="00CE3AC6">
        <w:t>.</w:t>
      </w:r>
    </w:p>
    <w:p w:rsidR="007F6C5D" w:rsidRPr="00CE3AC6" w:rsidRDefault="007F6C5D" w:rsidP="003A5280">
      <w:pPr>
        <w:pStyle w:val="Definition"/>
      </w:pPr>
      <w:r w:rsidRPr="00CE3AC6">
        <w:rPr>
          <w:b/>
          <w:i/>
        </w:rPr>
        <w:t>ADI</w:t>
      </w:r>
      <w:r w:rsidRPr="00CE3AC6">
        <w:t xml:space="preserve"> </w:t>
      </w:r>
      <w:r w:rsidR="00283698" w:rsidRPr="00CE3AC6">
        <w:t>means an authorised deposit</w:t>
      </w:r>
      <w:r w:rsidR="00CE3AC6">
        <w:noBreakHyphen/>
      </w:r>
      <w:r w:rsidR="00283698" w:rsidRPr="00CE3AC6">
        <w:t xml:space="preserve">taking institution within the meaning of the </w:t>
      </w:r>
      <w:r w:rsidR="00283698" w:rsidRPr="00CE3AC6">
        <w:rPr>
          <w:i/>
        </w:rPr>
        <w:t>Banking Act 1959</w:t>
      </w:r>
      <w:r w:rsidR="00283698" w:rsidRPr="00CE3AC6">
        <w:t>.</w:t>
      </w:r>
    </w:p>
    <w:p w:rsidR="007F6C5D" w:rsidRPr="00CE3AC6" w:rsidRDefault="007F6C5D" w:rsidP="003A5280">
      <w:pPr>
        <w:pStyle w:val="Definition"/>
      </w:pPr>
      <w:r w:rsidRPr="00CE3AC6">
        <w:rPr>
          <w:b/>
          <w:i/>
        </w:rPr>
        <w:t>banking business</w:t>
      </w:r>
      <w:r w:rsidRPr="00CE3AC6">
        <w:t xml:space="preserve"> has the same meaning as in the </w:t>
      </w:r>
      <w:r w:rsidRPr="00CE3AC6">
        <w:rPr>
          <w:i/>
        </w:rPr>
        <w:t>Banking Act 1959</w:t>
      </w:r>
      <w:r w:rsidRPr="00CE3AC6">
        <w:t>.</w:t>
      </w:r>
    </w:p>
    <w:p w:rsidR="00395001" w:rsidRPr="00CE3AC6" w:rsidRDefault="00395001" w:rsidP="00395001">
      <w:pPr>
        <w:pStyle w:val="Definition"/>
      </w:pPr>
      <w:r w:rsidRPr="00CE3AC6">
        <w:rPr>
          <w:b/>
          <w:i/>
        </w:rPr>
        <w:t>eligible financial service</w:t>
      </w:r>
      <w:r w:rsidRPr="00CE3AC6">
        <w:t xml:space="preserve"> means:</w:t>
      </w:r>
    </w:p>
    <w:p w:rsidR="00395001" w:rsidRPr="00CE3AC6" w:rsidRDefault="00395001" w:rsidP="00395001">
      <w:pPr>
        <w:pStyle w:val="paragraph"/>
      </w:pPr>
      <w:r w:rsidRPr="00CE3AC6">
        <w:tab/>
        <w:t>(a)</w:t>
      </w:r>
      <w:r w:rsidRPr="00CE3AC6">
        <w:tab/>
        <w:t xml:space="preserve">providing financial product advice in relation to </w:t>
      </w:r>
      <w:r w:rsidR="00D73BD7" w:rsidRPr="00CE3AC6">
        <w:t>a particular kind</w:t>
      </w:r>
      <w:r w:rsidRPr="00CE3AC6">
        <w:t xml:space="preserve"> of fin</w:t>
      </w:r>
      <w:r w:rsidR="00D73BD7" w:rsidRPr="00CE3AC6">
        <w:t>ancial product</w:t>
      </w:r>
      <w:r w:rsidRPr="00CE3AC6">
        <w:t>;</w:t>
      </w:r>
      <w:r w:rsidR="00B21248" w:rsidRPr="00CE3AC6">
        <w:t xml:space="preserve"> or</w:t>
      </w:r>
    </w:p>
    <w:p w:rsidR="00395001" w:rsidRPr="00CE3AC6" w:rsidRDefault="00395001" w:rsidP="00395001">
      <w:pPr>
        <w:pStyle w:val="paragraph"/>
      </w:pPr>
      <w:r w:rsidRPr="00CE3AC6">
        <w:tab/>
        <w:t>(b)</w:t>
      </w:r>
      <w:r w:rsidRPr="00CE3AC6">
        <w:tab/>
        <w:t xml:space="preserve">applying for or acquiring </w:t>
      </w:r>
      <w:r w:rsidR="00D73BD7" w:rsidRPr="00CE3AC6">
        <w:t>a particular kind of financial product</w:t>
      </w:r>
      <w:r w:rsidRPr="00CE3AC6">
        <w:t>;</w:t>
      </w:r>
      <w:r w:rsidR="00B21248" w:rsidRPr="00CE3AC6">
        <w:t xml:space="preserve"> or</w:t>
      </w:r>
    </w:p>
    <w:p w:rsidR="00395001" w:rsidRPr="00CE3AC6" w:rsidRDefault="00395001" w:rsidP="00395001">
      <w:pPr>
        <w:pStyle w:val="paragraph"/>
        <w:rPr>
          <w:szCs w:val="22"/>
        </w:rPr>
      </w:pPr>
      <w:r w:rsidRPr="00CE3AC6">
        <w:rPr>
          <w:szCs w:val="22"/>
        </w:rPr>
        <w:tab/>
        <w:t>(c)</w:t>
      </w:r>
      <w:r w:rsidRPr="00CE3AC6">
        <w:rPr>
          <w:szCs w:val="22"/>
        </w:rPr>
        <w:tab/>
        <w:t>issuing, varying or disposing of a non</w:t>
      </w:r>
      <w:r w:rsidR="00CE3AC6">
        <w:rPr>
          <w:szCs w:val="22"/>
        </w:rPr>
        <w:noBreakHyphen/>
      </w:r>
      <w:r w:rsidRPr="00CE3AC6">
        <w:rPr>
          <w:szCs w:val="22"/>
        </w:rPr>
        <w:t>cash payment facility;</w:t>
      </w:r>
      <w:r w:rsidR="00B21248" w:rsidRPr="00CE3AC6">
        <w:rPr>
          <w:szCs w:val="22"/>
        </w:rPr>
        <w:t xml:space="preserve"> or</w:t>
      </w:r>
    </w:p>
    <w:p w:rsidR="00395001" w:rsidRPr="00CE3AC6" w:rsidRDefault="00395001" w:rsidP="00395001">
      <w:pPr>
        <w:pStyle w:val="paragraph"/>
      </w:pPr>
      <w:r w:rsidRPr="00CE3AC6">
        <w:tab/>
        <w:t>(d)</w:t>
      </w:r>
      <w:r w:rsidRPr="00CE3AC6">
        <w:tab/>
        <w:t xml:space="preserve">arranging for the issuing, varying or disposing of a particular </w:t>
      </w:r>
      <w:r w:rsidR="006659F9" w:rsidRPr="00CE3AC6">
        <w:t>kind</w:t>
      </w:r>
      <w:r w:rsidRPr="00CE3AC6">
        <w:t xml:space="preserve"> of financial product;</w:t>
      </w:r>
      <w:r w:rsidR="00B21248" w:rsidRPr="00CE3AC6">
        <w:t xml:space="preserve"> or</w:t>
      </w:r>
    </w:p>
    <w:p w:rsidR="00395001" w:rsidRPr="00CE3AC6" w:rsidRDefault="00395001" w:rsidP="00395001">
      <w:pPr>
        <w:pStyle w:val="paragraph"/>
      </w:pPr>
      <w:r w:rsidRPr="00CE3AC6">
        <w:tab/>
        <w:t>(e)</w:t>
      </w:r>
      <w:r w:rsidRPr="00CE3AC6">
        <w:tab/>
        <w:t>providing a crowd</w:t>
      </w:r>
      <w:r w:rsidR="00CE3AC6">
        <w:noBreakHyphen/>
      </w:r>
      <w:r w:rsidRPr="00CE3AC6">
        <w:t>funding service.</w:t>
      </w:r>
    </w:p>
    <w:p w:rsidR="00DC6883" w:rsidRPr="00CE3AC6" w:rsidRDefault="00DC6883" w:rsidP="00FE06BD">
      <w:pPr>
        <w:pStyle w:val="Definition"/>
        <w:rPr>
          <w:b/>
          <w:i/>
        </w:rPr>
      </w:pPr>
      <w:r w:rsidRPr="00CE3AC6">
        <w:rPr>
          <w:b/>
          <w:i/>
        </w:rPr>
        <w:t>eligible general insurance product</w:t>
      </w:r>
      <w:r w:rsidRPr="00CE3AC6">
        <w:t xml:space="preserve"> means a general insurance product covered by paragraph </w:t>
      </w:r>
      <w:r w:rsidR="00D23B3B" w:rsidRPr="00CE3AC6">
        <w:t>11</w:t>
      </w:r>
      <w:r w:rsidRPr="00CE3AC6">
        <w:t>(2)(c).</w:t>
      </w:r>
    </w:p>
    <w:p w:rsidR="00DC6883" w:rsidRPr="00CE3AC6" w:rsidRDefault="00DC6883" w:rsidP="00FE06BD">
      <w:pPr>
        <w:pStyle w:val="Definition"/>
      </w:pPr>
      <w:r w:rsidRPr="00CE3AC6">
        <w:rPr>
          <w:b/>
          <w:i/>
        </w:rPr>
        <w:t>eligible life risk insurance product</w:t>
      </w:r>
      <w:r w:rsidRPr="00CE3AC6">
        <w:t xml:space="preserve"> means a life risk insurance product covered by paragraph </w:t>
      </w:r>
      <w:r w:rsidR="00D23B3B" w:rsidRPr="00CE3AC6">
        <w:t>11</w:t>
      </w:r>
      <w:r w:rsidRPr="00CE3AC6">
        <w:t>(2)(d).</w:t>
      </w:r>
    </w:p>
    <w:p w:rsidR="000A54BE" w:rsidRPr="00CE3AC6" w:rsidRDefault="000A54BE" w:rsidP="000A54BE">
      <w:pPr>
        <w:pStyle w:val="Definition"/>
      </w:pPr>
      <w:r w:rsidRPr="00CE3AC6">
        <w:rPr>
          <w:b/>
          <w:i/>
        </w:rPr>
        <w:t>eligible person</w:t>
      </w:r>
      <w:r w:rsidRPr="00CE3AC6">
        <w:t>, for an eligible financial service, means a person who:</w:t>
      </w:r>
    </w:p>
    <w:p w:rsidR="000A54BE" w:rsidRPr="00CE3AC6" w:rsidRDefault="000A54BE" w:rsidP="000A54BE">
      <w:pPr>
        <w:pStyle w:val="paragraph"/>
      </w:pPr>
      <w:r w:rsidRPr="00CE3AC6">
        <w:tab/>
        <w:t>(a)</w:t>
      </w:r>
      <w:r w:rsidRPr="00CE3AC6">
        <w:tab/>
        <w:t>is none of the following:</w:t>
      </w:r>
    </w:p>
    <w:p w:rsidR="000A54BE" w:rsidRPr="00CE3AC6" w:rsidRDefault="000A54BE" w:rsidP="000A54BE">
      <w:pPr>
        <w:pStyle w:val="paragraphsub"/>
      </w:pPr>
      <w:r w:rsidRPr="00CE3AC6">
        <w:tab/>
        <w:t>(i)</w:t>
      </w:r>
      <w:r w:rsidRPr="00CE3AC6">
        <w:tab/>
        <w:t xml:space="preserve">a person authorised by an Australian financial services licence to provide </w:t>
      </w:r>
      <w:r w:rsidR="00395001" w:rsidRPr="00CE3AC6">
        <w:t>the</w:t>
      </w:r>
      <w:r w:rsidR="00575948" w:rsidRPr="00CE3AC6">
        <w:t xml:space="preserve"> eligible</w:t>
      </w:r>
      <w:r w:rsidR="00395001" w:rsidRPr="00CE3AC6">
        <w:t xml:space="preserve"> financial service</w:t>
      </w:r>
      <w:r w:rsidRPr="00CE3AC6">
        <w:t>;</w:t>
      </w:r>
    </w:p>
    <w:p w:rsidR="000A54BE" w:rsidRPr="00CE3AC6" w:rsidRDefault="000A54BE" w:rsidP="000A54BE">
      <w:pPr>
        <w:pStyle w:val="paragraphsub"/>
      </w:pPr>
      <w:r w:rsidRPr="00CE3AC6">
        <w:tab/>
        <w:t>(ii)</w:t>
      </w:r>
      <w:r w:rsidRPr="00CE3AC6">
        <w:tab/>
        <w:t xml:space="preserve">an authorised representative of a financial services licensee for the provision of </w:t>
      </w:r>
      <w:r w:rsidR="00395001" w:rsidRPr="00CE3AC6">
        <w:t>the eligible</w:t>
      </w:r>
      <w:r w:rsidR="00575948" w:rsidRPr="00CE3AC6">
        <w:t xml:space="preserve"> financial service</w:t>
      </w:r>
      <w:r w:rsidRPr="00CE3AC6">
        <w:t>;</w:t>
      </w:r>
    </w:p>
    <w:p w:rsidR="000A54BE" w:rsidRPr="00CE3AC6" w:rsidRDefault="000A54BE" w:rsidP="000A54BE">
      <w:pPr>
        <w:pStyle w:val="paragraphsub"/>
      </w:pPr>
      <w:r w:rsidRPr="00CE3AC6">
        <w:tab/>
        <w:t>(iii)</w:t>
      </w:r>
      <w:r w:rsidRPr="00CE3AC6">
        <w:tab/>
        <w:t xml:space="preserve">a related body corporate of a body corporate </w:t>
      </w:r>
      <w:r w:rsidR="002C70AD" w:rsidRPr="00CE3AC6">
        <w:t>covered by</w:t>
      </w:r>
      <w:r w:rsidRPr="00CE3AC6">
        <w:t xml:space="preserve"> </w:t>
      </w:r>
      <w:r w:rsidR="00CE3AC6" w:rsidRPr="00CE3AC6">
        <w:t>subparagraph (</w:t>
      </w:r>
      <w:r w:rsidRPr="00CE3AC6">
        <w:t>i) or (ii);</w:t>
      </w:r>
    </w:p>
    <w:p w:rsidR="000A54BE" w:rsidRPr="00CE3AC6" w:rsidRDefault="000A54BE" w:rsidP="000A54BE">
      <w:pPr>
        <w:pStyle w:val="paragraphsub"/>
      </w:pPr>
      <w:r w:rsidRPr="00CE3AC6">
        <w:tab/>
        <w:t>(iv)</w:t>
      </w:r>
      <w:r w:rsidRPr="00CE3AC6">
        <w:tab/>
        <w:t>an operator of a financial market or an operator of a clearing and settlement facility;</w:t>
      </w:r>
    </w:p>
    <w:p w:rsidR="000A54BE" w:rsidRPr="00CE3AC6" w:rsidRDefault="000A54BE" w:rsidP="000A54BE">
      <w:pPr>
        <w:pStyle w:val="paragraphsub"/>
      </w:pPr>
      <w:r w:rsidRPr="00CE3AC6">
        <w:tab/>
        <w:t>(v)</w:t>
      </w:r>
      <w:r w:rsidRPr="00CE3AC6">
        <w:tab/>
        <w:t xml:space="preserve">a natural person who is neither an Australian citizen, nor a permanent resident, within the meaning of the </w:t>
      </w:r>
      <w:r w:rsidRPr="00CE3AC6">
        <w:rPr>
          <w:i/>
        </w:rPr>
        <w:t>Australian Citizenship Act 2007</w:t>
      </w:r>
      <w:r w:rsidRPr="00CE3AC6">
        <w:t>; and</w:t>
      </w:r>
    </w:p>
    <w:p w:rsidR="000A54BE" w:rsidRPr="00CE3AC6" w:rsidRDefault="000A54BE" w:rsidP="000A54BE">
      <w:pPr>
        <w:pStyle w:val="paragraph"/>
      </w:pPr>
      <w:r w:rsidRPr="00CE3AC6">
        <w:tab/>
        <w:t>(b)</w:t>
      </w:r>
      <w:r w:rsidRPr="00CE3AC6">
        <w:tab/>
        <w:t>if the person is a foreign company—is registered under Division</w:t>
      </w:r>
      <w:r w:rsidR="00CE3AC6" w:rsidRPr="00CE3AC6">
        <w:t> </w:t>
      </w:r>
      <w:r w:rsidRPr="00CE3AC6">
        <w:t>2 of Part</w:t>
      </w:r>
      <w:r w:rsidR="00CE3AC6" w:rsidRPr="00CE3AC6">
        <w:t> </w:t>
      </w:r>
      <w:r w:rsidRPr="00CE3AC6">
        <w:t>5B.2 of the Act.</w:t>
      </w:r>
    </w:p>
    <w:p w:rsidR="00DC6883" w:rsidRPr="00CE3AC6" w:rsidRDefault="00DC6883" w:rsidP="00DC6883">
      <w:pPr>
        <w:pStyle w:val="Definition"/>
      </w:pPr>
      <w:r w:rsidRPr="00CE3AC6">
        <w:rPr>
          <w:b/>
          <w:i/>
        </w:rPr>
        <w:t>eligible superannuation product</w:t>
      </w:r>
      <w:r w:rsidRPr="00CE3AC6">
        <w:t xml:space="preserve"> means a super</w:t>
      </w:r>
      <w:r w:rsidR="00CD72F8" w:rsidRPr="00CE3AC6">
        <w:t xml:space="preserve">annuation product covered by </w:t>
      </w:r>
      <w:r w:rsidRPr="00CE3AC6">
        <w:t xml:space="preserve">paragraph </w:t>
      </w:r>
      <w:r w:rsidR="00D23B3B" w:rsidRPr="00CE3AC6">
        <w:t>11</w:t>
      </w:r>
      <w:r w:rsidRPr="00CE3AC6">
        <w:t>(2)(e).</w:t>
      </w:r>
    </w:p>
    <w:p w:rsidR="00167D58" w:rsidRPr="00CE3AC6" w:rsidRDefault="00167D58" w:rsidP="00167D58">
      <w:pPr>
        <w:pStyle w:val="Definition"/>
      </w:pPr>
      <w:r w:rsidRPr="00CE3AC6">
        <w:rPr>
          <w:b/>
          <w:i/>
        </w:rPr>
        <w:t>non</w:t>
      </w:r>
      <w:r w:rsidR="00CE3AC6">
        <w:rPr>
          <w:b/>
          <w:i/>
        </w:rPr>
        <w:noBreakHyphen/>
      </w:r>
      <w:r w:rsidRPr="00CE3AC6">
        <w:rPr>
          <w:b/>
          <w:i/>
        </w:rPr>
        <w:t>cash payment facility</w:t>
      </w:r>
      <w:r w:rsidRPr="00CE3AC6">
        <w:t xml:space="preserve"> means a facility through which, or through the acquisition of which, a person makes non</w:t>
      </w:r>
      <w:r w:rsidR="00CE3AC6">
        <w:noBreakHyphen/>
      </w:r>
      <w:r w:rsidRPr="00CE3AC6">
        <w:t>cash payments.</w:t>
      </w:r>
    </w:p>
    <w:p w:rsidR="001165D5" w:rsidRPr="00CE3AC6" w:rsidRDefault="00124ACA" w:rsidP="001165D5">
      <w:pPr>
        <w:pStyle w:val="Definition"/>
      </w:pPr>
      <w:r w:rsidRPr="00CE3AC6">
        <w:rPr>
          <w:b/>
          <w:i/>
        </w:rPr>
        <w:t>product</w:t>
      </w:r>
      <w:r w:rsidR="00CE3AC6">
        <w:rPr>
          <w:b/>
          <w:i/>
        </w:rPr>
        <w:noBreakHyphen/>
      </w:r>
      <w:r w:rsidR="001165D5" w:rsidRPr="00CE3AC6">
        <w:rPr>
          <w:b/>
          <w:i/>
        </w:rPr>
        <w:t>type service</w:t>
      </w:r>
      <w:r w:rsidR="00A159AB" w:rsidRPr="00CE3AC6">
        <w:t xml:space="preserve"> means</w:t>
      </w:r>
      <w:r w:rsidR="00F530EB" w:rsidRPr="00CE3AC6">
        <w:t xml:space="preserve"> a financial service covered by one of the following paragraphs</w:t>
      </w:r>
      <w:r w:rsidR="00A159AB" w:rsidRPr="00CE3AC6">
        <w:t>:</w:t>
      </w:r>
    </w:p>
    <w:p w:rsidR="001165D5" w:rsidRPr="00CE3AC6" w:rsidRDefault="001165D5" w:rsidP="001165D5">
      <w:pPr>
        <w:pStyle w:val="paragraph"/>
      </w:pPr>
      <w:r w:rsidRPr="00CE3AC6">
        <w:tab/>
        <w:t>(a)</w:t>
      </w:r>
      <w:r w:rsidRPr="00CE3AC6">
        <w:tab/>
        <w:t xml:space="preserve">providing financial product advice in relation to </w:t>
      </w:r>
      <w:r w:rsidR="00D73BD7" w:rsidRPr="00CE3AC6">
        <w:t>a particular kind</w:t>
      </w:r>
      <w:r w:rsidRPr="00CE3AC6">
        <w:t xml:space="preserve"> of financial product;</w:t>
      </w:r>
    </w:p>
    <w:p w:rsidR="001165D5" w:rsidRPr="00CE3AC6" w:rsidRDefault="001165D5" w:rsidP="001165D5">
      <w:pPr>
        <w:pStyle w:val="paragraph"/>
      </w:pPr>
      <w:r w:rsidRPr="00CE3AC6">
        <w:tab/>
        <w:t>(b)</w:t>
      </w:r>
      <w:r w:rsidRPr="00CE3AC6">
        <w:tab/>
        <w:t xml:space="preserve">applying for or acquiring </w:t>
      </w:r>
      <w:r w:rsidR="00D73BD7" w:rsidRPr="00CE3AC6">
        <w:t>a particular kind of financial product</w:t>
      </w:r>
      <w:r w:rsidRPr="00CE3AC6">
        <w:t>;</w:t>
      </w:r>
    </w:p>
    <w:p w:rsidR="001165D5" w:rsidRPr="00CE3AC6" w:rsidRDefault="001165D5" w:rsidP="001165D5">
      <w:pPr>
        <w:pStyle w:val="paragraph"/>
      </w:pPr>
      <w:r w:rsidRPr="00CE3AC6">
        <w:tab/>
        <w:t>(c)</w:t>
      </w:r>
      <w:r w:rsidRPr="00CE3AC6">
        <w:tab/>
        <w:t xml:space="preserve">arranging for the issuing, varying or disposing of a particular </w:t>
      </w:r>
      <w:r w:rsidR="006659F9" w:rsidRPr="00CE3AC6">
        <w:t>kind</w:t>
      </w:r>
      <w:r w:rsidR="00D73BD7" w:rsidRPr="00CE3AC6">
        <w:t xml:space="preserve"> of financial product</w:t>
      </w:r>
      <w:r w:rsidR="002C19B0" w:rsidRPr="00CE3AC6">
        <w:t>.</w:t>
      </w:r>
    </w:p>
    <w:p w:rsidR="00B21248" w:rsidRPr="00CE3AC6" w:rsidRDefault="00F530EB" w:rsidP="00B21248">
      <w:pPr>
        <w:pStyle w:val="subsection2"/>
      </w:pPr>
      <w:r w:rsidRPr="00CE3AC6">
        <w:t>E</w:t>
      </w:r>
      <w:r w:rsidR="00B21248" w:rsidRPr="00CE3AC6">
        <w:t xml:space="preserve">ach of the financial services covered by one of </w:t>
      </w:r>
      <w:r w:rsidR="00CE3AC6" w:rsidRPr="00CE3AC6">
        <w:t>paragraphs (</w:t>
      </w:r>
      <w:r w:rsidR="00B21248" w:rsidRPr="00CE3AC6">
        <w:t xml:space="preserve">a) to (c) belongs to the same </w:t>
      </w:r>
      <w:r w:rsidR="003D6FE3" w:rsidRPr="00CE3AC6">
        <w:t>kind</w:t>
      </w:r>
      <w:r w:rsidR="00B21248" w:rsidRPr="00CE3AC6">
        <w:t xml:space="preserve"> of </w:t>
      </w:r>
      <w:r w:rsidR="00B21248" w:rsidRPr="00CE3AC6">
        <w:rPr>
          <w:b/>
          <w:i/>
        </w:rPr>
        <w:t>product</w:t>
      </w:r>
      <w:r w:rsidR="00CE3AC6">
        <w:rPr>
          <w:b/>
          <w:i/>
        </w:rPr>
        <w:noBreakHyphen/>
      </w:r>
      <w:r w:rsidR="00B21248" w:rsidRPr="00CE3AC6">
        <w:rPr>
          <w:b/>
          <w:i/>
        </w:rPr>
        <w:t>type service</w:t>
      </w:r>
      <w:r w:rsidR="00A159AB" w:rsidRPr="00CE3AC6">
        <w:t>.</w:t>
      </w:r>
    </w:p>
    <w:p w:rsidR="003A5280" w:rsidRPr="00CE3AC6" w:rsidRDefault="003A5280" w:rsidP="003A5280">
      <w:pPr>
        <w:pStyle w:val="Definition"/>
      </w:pPr>
      <w:r w:rsidRPr="00CE3AC6">
        <w:rPr>
          <w:b/>
          <w:i/>
        </w:rPr>
        <w:t>provider</w:t>
      </w:r>
      <w:r w:rsidRPr="00CE3AC6">
        <w:t xml:space="preserve"> has the meaning given by section </w:t>
      </w:r>
      <w:r w:rsidR="00D23B3B" w:rsidRPr="00CE3AC6">
        <w:t>6</w:t>
      </w:r>
      <w:r w:rsidRPr="00CE3AC6">
        <w:t>.</w:t>
      </w:r>
    </w:p>
    <w:p w:rsidR="007F6C5D" w:rsidRPr="00CE3AC6" w:rsidRDefault="007F6C5D" w:rsidP="003A5280">
      <w:pPr>
        <w:pStyle w:val="Definition"/>
      </w:pPr>
      <w:r w:rsidRPr="00CE3AC6">
        <w:rPr>
          <w:b/>
          <w:i/>
        </w:rPr>
        <w:t>RSA</w:t>
      </w:r>
      <w:r w:rsidRPr="00CE3AC6">
        <w:t xml:space="preserve"> has the same meaning as in the </w:t>
      </w:r>
      <w:r w:rsidR="009D1B50" w:rsidRPr="00CE3AC6">
        <w:rPr>
          <w:i/>
        </w:rPr>
        <w:t>Retirement Savings Accounts Act 1997</w:t>
      </w:r>
      <w:r w:rsidR="009D1B50" w:rsidRPr="00CE3AC6">
        <w:t>.</w:t>
      </w:r>
    </w:p>
    <w:p w:rsidR="00BB1C7F" w:rsidRPr="00CE3AC6" w:rsidRDefault="00BB1C7F" w:rsidP="003A5280">
      <w:pPr>
        <w:pStyle w:val="Definition"/>
      </w:pPr>
      <w:r w:rsidRPr="00CE3AC6">
        <w:rPr>
          <w:b/>
          <w:i/>
        </w:rPr>
        <w:t>testing period</w:t>
      </w:r>
      <w:r w:rsidRPr="00CE3AC6">
        <w:t xml:space="preserve"> has the meaning given by section </w:t>
      </w:r>
      <w:r w:rsidR="00D23B3B" w:rsidRPr="00CE3AC6">
        <w:t>7</w:t>
      </w:r>
      <w:r w:rsidRPr="00CE3AC6">
        <w:t>.</w:t>
      </w:r>
    </w:p>
    <w:p w:rsidR="003A5280" w:rsidRPr="00CE3AC6" w:rsidRDefault="003A5280" w:rsidP="003A5280">
      <w:pPr>
        <w:pStyle w:val="ActHead2"/>
        <w:pageBreakBefore/>
      </w:pPr>
      <w:bookmarkStart w:id="10" w:name="_Toc38951881"/>
      <w:r w:rsidRPr="00BB596D">
        <w:rPr>
          <w:rStyle w:val="CharPartNo"/>
        </w:rPr>
        <w:t>Part</w:t>
      </w:r>
      <w:r w:rsidR="00CE3AC6" w:rsidRPr="00BB596D">
        <w:rPr>
          <w:rStyle w:val="CharPartNo"/>
        </w:rPr>
        <w:t> </w:t>
      </w:r>
      <w:r w:rsidRPr="00BB596D">
        <w:rPr>
          <w:rStyle w:val="CharPartNo"/>
        </w:rPr>
        <w:t>2</w:t>
      </w:r>
      <w:r w:rsidRPr="00CE3AC6">
        <w:t>—</w:t>
      </w:r>
      <w:r w:rsidRPr="00BB596D">
        <w:rPr>
          <w:rStyle w:val="CharPartText"/>
        </w:rPr>
        <w:t xml:space="preserve">Exemption from </w:t>
      </w:r>
      <w:r w:rsidR="0084114F" w:rsidRPr="00BB596D">
        <w:rPr>
          <w:rStyle w:val="CharPartText"/>
        </w:rPr>
        <w:t xml:space="preserve">financial services </w:t>
      </w:r>
      <w:r w:rsidRPr="00BB596D">
        <w:rPr>
          <w:rStyle w:val="CharPartText"/>
        </w:rPr>
        <w:t>licensing r</w:t>
      </w:r>
      <w:r w:rsidR="000424F9" w:rsidRPr="00BB596D">
        <w:rPr>
          <w:rStyle w:val="CharPartText"/>
        </w:rPr>
        <w:t>equirements for testing in the FinT</w:t>
      </w:r>
      <w:r w:rsidRPr="00BB596D">
        <w:rPr>
          <w:rStyle w:val="CharPartText"/>
        </w:rPr>
        <w:t>ech sandbox</w:t>
      </w:r>
      <w:bookmarkEnd w:id="10"/>
    </w:p>
    <w:p w:rsidR="007F798B" w:rsidRPr="00BB596D" w:rsidRDefault="007F798B" w:rsidP="007F798B">
      <w:pPr>
        <w:pStyle w:val="Header"/>
      </w:pPr>
      <w:r w:rsidRPr="00BB596D">
        <w:rPr>
          <w:rStyle w:val="CharDivNo"/>
        </w:rPr>
        <w:t xml:space="preserve"> </w:t>
      </w:r>
      <w:r w:rsidRPr="00BB596D">
        <w:rPr>
          <w:rStyle w:val="CharDivText"/>
        </w:rPr>
        <w:t xml:space="preserve"> </w:t>
      </w:r>
    </w:p>
    <w:p w:rsidR="003A5280" w:rsidRPr="00CE3AC6" w:rsidRDefault="00D23B3B" w:rsidP="003A5280">
      <w:pPr>
        <w:pStyle w:val="ActHead5"/>
      </w:pPr>
      <w:bookmarkStart w:id="11" w:name="_Toc38951882"/>
      <w:r w:rsidRPr="00BB596D">
        <w:rPr>
          <w:rStyle w:val="CharSectno"/>
        </w:rPr>
        <w:t>6</w:t>
      </w:r>
      <w:r w:rsidR="003A5280" w:rsidRPr="00CE3AC6">
        <w:t xml:space="preserve">  Exemption</w:t>
      </w:r>
      <w:r w:rsidR="0084114F" w:rsidRPr="00CE3AC6">
        <w:t xml:space="preserve"> for testing elig</w:t>
      </w:r>
      <w:r w:rsidR="000424F9" w:rsidRPr="00CE3AC6">
        <w:t>ible financial services in the FinT</w:t>
      </w:r>
      <w:r w:rsidR="0084114F" w:rsidRPr="00CE3AC6">
        <w:t>ech sandbox</w:t>
      </w:r>
      <w:bookmarkEnd w:id="11"/>
    </w:p>
    <w:p w:rsidR="0092490E" w:rsidRPr="00CE3AC6" w:rsidRDefault="0092490E" w:rsidP="0092490E">
      <w:pPr>
        <w:pStyle w:val="subsection"/>
      </w:pPr>
      <w:r w:rsidRPr="00CE3AC6">
        <w:tab/>
        <w:t>(1)</w:t>
      </w:r>
      <w:r w:rsidRPr="00CE3AC6">
        <w:tab/>
        <w:t>For the purposes of paragraph</w:t>
      </w:r>
      <w:r w:rsidR="00CE3AC6" w:rsidRPr="00CE3AC6">
        <w:t> </w:t>
      </w:r>
      <w:r w:rsidRPr="00CE3AC6">
        <w:t xml:space="preserve">926B(1)(a) of the Act, a person (the </w:t>
      </w:r>
      <w:r w:rsidRPr="00CE3AC6">
        <w:rPr>
          <w:b/>
          <w:i/>
        </w:rPr>
        <w:t>provider</w:t>
      </w:r>
      <w:r w:rsidRPr="00CE3AC6">
        <w:t>) is exempt from subsection</w:t>
      </w:r>
      <w:r w:rsidR="00CE3AC6" w:rsidRPr="00CE3AC6">
        <w:t> </w:t>
      </w:r>
      <w:r w:rsidRPr="00CE3AC6">
        <w:t xml:space="preserve">911A(1) of the Act for providing an eligible financial service during the period referred to in section </w:t>
      </w:r>
      <w:r w:rsidR="00D23B3B" w:rsidRPr="00CE3AC6">
        <w:t>7</w:t>
      </w:r>
      <w:r w:rsidRPr="00CE3AC6">
        <w:t xml:space="preserve"> of this instrument if:</w:t>
      </w:r>
    </w:p>
    <w:p w:rsidR="0092490E" w:rsidRPr="00CE3AC6" w:rsidRDefault="0092490E" w:rsidP="0092490E">
      <w:pPr>
        <w:pStyle w:val="paragraph"/>
      </w:pPr>
      <w:r w:rsidRPr="00CE3AC6">
        <w:tab/>
        <w:t>(a)</w:t>
      </w:r>
      <w:r w:rsidRPr="00CE3AC6">
        <w:tab/>
        <w:t>the provider is an eligible person for the eligible financial service; and</w:t>
      </w:r>
    </w:p>
    <w:p w:rsidR="0092490E" w:rsidRPr="00CE3AC6" w:rsidRDefault="0092490E" w:rsidP="0092490E">
      <w:pPr>
        <w:pStyle w:val="paragraph"/>
      </w:pPr>
      <w:r w:rsidRPr="00CE3AC6">
        <w:tab/>
        <w:t>(b)</w:t>
      </w:r>
      <w:r w:rsidRPr="00CE3AC6">
        <w:tab/>
        <w:t xml:space="preserve">the provider has lodged with ASIC </w:t>
      </w:r>
      <w:r w:rsidR="00CA7835" w:rsidRPr="00CE3AC6">
        <w:t xml:space="preserve">in the prescribed form </w:t>
      </w:r>
      <w:r w:rsidRPr="00CE3AC6">
        <w:t xml:space="preserve">a notification that complies with subsection </w:t>
      </w:r>
      <w:r w:rsidR="00D23B3B" w:rsidRPr="00CE3AC6">
        <w:t>16</w:t>
      </w:r>
      <w:r w:rsidRPr="00CE3AC6">
        <w:t>(1) of this instrument for the eligible financial service; and</w:t>
      </w:r>
    </w:p>
    <w:p w:rsidR="0092490E" w:rsidRPr="00CE3AC6" w:rsidRDefault="0092490E" w:rsidP="0092490E">
      <w:pPr>
        <w:pStyle w:val="paragraph"/>
      </w:pPr>
      <w:r w:rsidRPr="00CE3AC6">
        <w:tab/>
        <w:t>(c)</w:t>
      </w:r>
      <w:r w:rsidRPr="00CE3AC6">
        <w:tab/>
        <w:t>the 30</w:t>
      </w:r>
      <w:r w:rsidR="00CE3AC6">
        <w:noBreakHyphen/>
      </w:r>
      <w:r w:rsidRPr="00CE3AC6">
        <w:t xml:space="preserve">day period starting on the day the notification was so lodged has ended without ASIC giving the provider written notice of a decision under </w:t>
      </w:r>
      <w:r w:rsidR="001E174A" w:rsidRPr="00CE3AC6">
        <w:t>section</w:t>
      </w:r>
      <w:r w:rsidR="003C040B" w:rsidRPr="00CE3AC6">
        <w:t xml:space="preserve"> </w:t>
      </w:r>
      <w:r w:rsidR="00D23B3B" w:rsidRPr="00CE3AC6">
        <w:t>8</w:t>
      </w:r>
      <w:r w:rsidRPr="00CE3AC6">
        <w:t xml:space="preserve"> </w:t>
      </w:r>
      <w:r w:rsidR="008415F3" w:rsidRPr="00CE3AC6">
        <w:t xml:space="preserve">of this instrument </w:t>
      </w:r>
      <w:r w:rsidR="00F175B6" w:rsidRPr="00CE3AC6">
        <w:t xml:space="preserve">(about the exemption not being available) </w:t>
      </w:r>
      <w:r w:rsidRPr="00CE3AC6">
        <w:t>relating to the notification.</w:t>
      </w:r>
    </w:p>
    <w:p w:rsidR="0092490E" w:rsidRPr="00CE3AC6" w:rsidRDefault="0092490E" w:rsidP="0092490E">
      <w:pPr>
        <w:pStyle w:val="notetext"/>
      </w:pPr>
      <w:r w:rsidRPr="00CE3AC6">
        <w:t>Note 1:</w:t>
      </w:r>
      <w:r w:rsidRPr="00CE3AC6">
        <w:tab/>
        <w:t xml:space="preserve">The exemption will </w:t>
      </w:r>
      <w:r w:rsidR="00F175B6" w:rsidRPr="00CE3AC6">
        <w:t xml:space="preserve">also </w:t>
      </w:r>
      <w:r w:rsidRPr="00CE3AC6">
        <w:t xml:space="preserve">not be available if the provider has already been exempt for providing that </w:t>
      </w:r>
      <w:r w:rsidR="003D6FE3" w:rsidRPr="00CE3AC6">
        <w:t>kind</w:t>
      </w:r>
      <w:r w:rsidRPr="00CE3AC6">
        <w:t xml:space="preserve"> of financial service for the same kind of financial product (see </w:t>
      </w:r>
      <w:r w:rsidR="00CE3AC6" w:rsidRPr="00CE3AC6">
        <w:t>paragraph (</w:t>
      </w:r>
      <w:r w:rsidRPr="00CE3AC6">
        <w:t xml:space="preserve">b) and paragraph </w:t>
      </w:r>
      <w:r w:rsidR="00D23B3B" w:rsidRPr="00CE3AC6">
        <w:t>16</w:t>
      </w:r>
      <w:r w:rsidRPr="00CE3AC6">
        <w:t>(1)(c)).</w:t>
      </w:r>
    </w:p>
    <w:p w:rsidR="0092490E" w:rsidRPr="00CE3AC6" w:rsidRDefault="0092490E" w:rsidP="0092490E">
      <w:pPr>
        <w:pStyle w:val="notetext"/>
      </w:pPr>
      <w:r w:rsidRPr="00CE3AC6">
        <w:t>Note 2:</w:t>
      </w:r>
      <w:r w:rsidRPr="00CE3AC6">
        <w:tab/>
        <w:t xml:space="preserve">The provider will automatically cease to be exempt if the provider becomes licensed to provide the eligible financial service, or otherwise ceases to be an eligible person for the eligible financial service (see the definition of </w:t>
      </w:r>
      <w:r w:rsidRPr="00CE3AC6">
        <w:rPr>
          <w:b/>
          <w:i/>
        </w:rPr>
        <w:t>eligible person</w:t>
      </w:r>
      <w:r w:rsidRPr="00CE3AC6">
        <w:t xml:space="preserve"> in section </w:t>
      </w:r>
      <w:r w:rsidR="00D23B3B" w:rsidRPr="00CE3AC6">
        <w:t>5</w:t>
      </w:r>
      <w:r w:rsidRPr="00CE3AC6">
        <w:t>).</w:t>
      </w:r>
    </w:p>
    <w:p w:rsidR="0092490E" w:rsidRPr="00CE3AC6" w:rsidRDefault="00F175B6" w:rsidP="0092490E">
      <w:pPr>
        <w:pStyle w:val="subsection"/>
      </w:pPr>
      <w:r w:rsidRPr="00CE3AC6">
        <w:tab/>
        <w:t>(2</w:t>
      </w:r>
      <w:r w:rsidR="0092490E" w:rsidRPr="00CE3AC6">
        <w:t>)</w:t>
      </w:r>
      <w:r w:rsidR="0092490E" w:rsidRPr="00CE3AC6">
        <w:tab/>
        <w:t xml:space="preserve">For an eligible financial service relating to an insurance product, </w:t>
      </w:r>
      <w:r w:rsidR="00CE3AC6" w:rsidRPr="00CE3AC6">
        <w:t>subsection (</w:t>
      </w:r>
      <w:r w:rsidR="0092490E" w:rsidRPr="00CE3AC6">
        <w:t xml:space="preserve">1) applies to the provision of the service whether as principal or agent. Otherwise, </w:t>
      </w:r>
      <w:r w:rsidR="00CE3AC6" w:rsidRPr="00CE3AC6">
        <w:t>subsection (</w:t>
      </w:r>
      <w:r w:rsidR="0092490E" w:rsidRPr="00CE3AC6">
        <w:t>1) applies only to the provision of an eligible financial service as principal.</w:t>
      </w:r>
    </w:p>
    <w:p w:rsidR="003A5280" w:rsidRPr="00CE3AC6" w:rsidRDefault="00D23B3B" w:rsidP="003A5280">
      <w:pPr>
        <w:pStyle w:val="ActHead5"/>
      </w:pPr>
      <w:bookmarkStart w:id="12" w:name="_Toc38951883"/>
      <w:r w:rsidRPr="00BB596D">
        <w:rPr>
          <w:rStyle w:val="CharSectno"/>
        </w:rPr>
        <w:t>7</w:t>
      </w:r>
      <w:r w:rsidR="003A5280" w:rsidRPr="00CE3AC6">
        <w:t xml:space="preserve">  Duration of the exemption</w:t>
      </w:r>
      <w:bookmarkEnd w:id="12"/>
    </w:p>
    <w:p w:rsidR="005D69F4" w:rsidRPr="00CE3AC6" w:rsidRDefault="005D69F4" w:rsidP="00ED5F97">
      <w:pPr>
        <w:pStyle w:val="subsection"/>
      </w:pPr>
      <w:r w:rsidRPr="00CE3AC6">
        <w:tab/>
      </w:r>
      <w:r w:rsidRPr="00CE3AC6">
        <w:tab/>
        <w:t xml:space="preserve">The period (the </w:t>
      </w:r>
      <w:r w:rsidRPr="00CE3AC6">
        <w:rPr>
          <w:b/>
          <w:i/>
        </w:rPr>
        <w:t>testing period</w:t>
      </w:r>
      <w:r w:rsidRPr="00CE3AC6">
        <w:t xml:space="preserve">), of the provider’s exemption under section </w:t>
      </w:r>
      <w:r w:rsidR="00D23B3B" w:rsidRPr="00CE3AC6">
        <w:t>6</w:t>
      </w:r>
      <w:r w:rsidRPr="00CE3AC6">
        <w:t xml:space="preserve"> for the eligible financial service, is the 24 m</w:t>
      </w:r>
      <w:r w:rsidR="00ED5F97" w:rsidRPr="00CE3AC6">
        <w:t xml:space="preserve">onths starting on the day after </w:t>
      </w:r>
      <w:r w:rsidRPr="00CE3AC6">
        <w:t>the last day of the 30</w:t>
      </w:r>
      <w:r w:rsidR="00CE3AC6">
        <w:noBreakHyphen/>
      </w:r>
      <w:r w:rsidR="00ED5F97" w:rsidRPr="00CE3AC6">
        <w:t xml:space="preserve">day period referred to in </w:t>
      </w:r>
      <w:r w:rsidRPr="00CE3AC6">
        <w:t xml:space="preserve">paragraph </w:t>
      </w:r>
      <w:r w:rsidR="00D23B3B" w:rsidRPr="00CE3AC6">
        <w:t>6</w:t>
      </w:r>
      <w:r w:rsidRPr="00CE3AC6">
        <w:t>(1)(c).</w:t>
      </w:r>
    </w:p>
    <w:p w:rsidR="003A5280" w:rsidRPr="00CE3AC6" w:rsidRDefault="002C471E" w:rsidP="003A5280">
      <w:pPr>
        <w:pStyle w:val="notetext"/>
      </w:pPr>
      <w:r w:rsidRPr="00CE3AC6">
        <w:t>Note</w:t>
      </w:r>
      <w:r w:rsidR="003A5280" w:rsidRPr="00CE3AC6">
        <w:t>:</w:t>
      </w:r>
      <w:r w:rsidR="003A5280" w:rsidRPr="00CE3AC6">
        <w:tab/>
        <w:t>The exemption may end earlier (see Part</w:t>
      </w:r>
      <w:r w:rsidR="00CE3AC6" w:rsidRPr="00CE3AC6">
        <w:t> </w:t>
      </w:r>
      <w:r w:rsidR="003A5280" w:rsidRPr="00CE3AC6">
        <w:t>3).</w:t>
      </w:r>
    </w:p>
    <w:p w:rsidR="00F175B6" w:rsidRPr="00CE3AC6" w:rsidRDefault="00D23B3B" w:rsidP="00F175B6">
      <w:pPr>
        <w:pStyle w:val="ActHead5"/>
      </w:pPr>
      <w:bookmarkStart w:id="13" w:name="_Toc38951884"/>
      <w:r w:rsidRPr="00BB596D">
        <w:rPr>
          <w:rStyle w:val="CharSectno"/>
        </w:rPr>
        <w:t>8</w:t>
      </w:r>
      <w:r w:rsidR="00F175B6" w:rsidRPr="00CE3AC6">
        <w:t xml:space="preserve">  Grounds for ASIC deciding that the exemption is not available</w:t>
      </w:r>
      <w:bookmarkEnd w:id="13"/>
    </w:p>
    <w:p w:rsidR="00F175B6" w:rsidRPr="00CE3AC6" w:rsidRDefault="00F175B6" w:rsidP="00F175B6">
      <w:pPr>
        <w:pStyle w:val="subsection"/>
      </w:pPr>
      <w:r w:rsidRPr="00CE3AC6">
        <w:tab/>
      </w:r>
      <w:r w:rsidRPr="00CE3AC6">
        <w:tab/>
        <w:t xml:space="preserve">ASIC may, after considering </w:t>
      </w:r>
      <w:r w:rsidR="0065261D" w:rsidRPr="00CE3AC6">
        <w:t>the</w:t>
      </w:r>
      <w:r w:rsidRPr="00CE3AC6">
        <w:t xml:space="preserve"> notification </w:t>
      </w:r>
      <w:r w:rsidR="0065261D" w:rsidRPr="00CE3AC6">
        <w:t>lodged under</w:t>
      </w:r>
      <w:r w:rsidRPr="00CE3AC6">
        <w:t xml:space="preserve"> paragraph</w:t>
      </w:r>
      <w:r w:rsidR="003C040B" w:rsidRPr="00CE3AC6">
        <w:t xml:space="preserve"> </w:t>
      </w:r>
      <w:r w:rsidR="00D23B3B" w:rsidRPr="00CE3AC6">
        <w:t>6</w:t>
      </w:r>
      <w:r w:rsidRPr="00CE3AC6">
        <w:t>(1)(b)</w:t>
      </w:r>
      <w:r w:rsidR="0065261D" w:rsidRPr="00CE3AC6">
        <w:t xml:space="preserve"> by the provider for the eligible financial service</w:t>
      </w:r>
      <w:r w:rsidRPr="00CE3AC6">
        <w:t>, decide that:</w:t>
      </w:r>
    </w:p>
    <w:p w:rsidR="00F175B6" w:rsidRPr="00CE3AC6" w:rsidRDefault="00F175B6" w:rsidP="00F175B6">
      <w:pPr>
        <w:pStyle w:val="paragraph"/>
      </w:pPr>
      <w:r w:rsidRPr="00CE3AC6">
        <w:rPr>
          <w:szCs w:val="22"/>
        </w:rPr>
        <w:tab/>
        <w:t>(a)</w:t>
      </w:r>
      <w:r w:rsidRPr="00CE3AC6">
        <w:rPr>
          <w:szCs w:val="22"/>
        </w:rPr>
        <w:tab/>
        <w:t>it is not satisfied that both paragraphs</w:t>
      </w:r>
      <w:r w:rsidR="003C040B" w:rsidRPr="00CE3AC6">
        <w:rPr>
          <w:szCs w:val="22"/>
        </w:rPr>
        <w:t xml:space="preserve"> </w:t>
      </w:r>
      <w:r w:rsidR="00D23B3B" w:rsidRPr="00CE3AC6">
        <w:rPr>
          <w:szCs w:val="22"/>
        </w:rPr>
        <w:t>6</w:t>
      </w:r>
      <w:r w:rsidRPr="00CE3AC6">
        <w:rPr>
          <w:szCs w:val="22"/>
        </w:rPr>
        <w:t>(1)(a) and (b) are met for the provider and the financial service; or</w:t>
      </w:r>
    </w:p>
    <w:p w:rsidR="00F175B6" w:rsidRPr="00CE3AC6" w:rsidRDefault="00F175B6" w:rsidP="00F175B6">
      <w:pPr>
        <w:pStyle w:val="paragraph"/>
      </w:pPr>
      <w:r w:rsidRPr="00CE3AC6">
        <w:rPr>
          <w:szCs w:val="22"/>
        </w:rPr>
        <w:tab/>
        <w:t>(b)</w:t>
      </w:r>
      <w:r w:rsidRPr="00CE3AC6">
        <w:rPr>
          <w:szCs w:val="22"/>
        </w:rPr>
        <w:tab/>
        <w:t>it is not satisfied that exempting the financial service will result, or be likely to result, in a benefit to the public that will outweigh the detriment to the public that will result, or be likely to result, from exempting that service; or</w:t>
      </w:r>
    </w:p>
    <w:p w:rsidR="00F175B6" w:rsidRPr="00CE3AC6" w:rsidRDefault="00F175B6" w:rsidP="00F175B6">
      <w:pPr>
        <w:pStyle w:val="paragraph"/>
      </w:pPr>
      <w:r w:rsidRPr="00CE3AC6">
        <w:rPr>
          <w:szCs w:val="22"/>
        </w:rPr>
        <w:tab/>
        <w:t>(c)</w:t>
      </w:r>
      <w:r w:rsidRPr="00CE3AC6">
        <w:rPr>
          <w:szCs w:val="22"/>
        </w:rPr>
        <w:tab/>
        <w:t>it is not satisfied that the financial service:</w:t>
      </w:r>
    </w:p>
    <w:p w:rsidR="00F175B6" w:rsidRPr="00CE3AC6" w:rsidRDefault="00F175B6" w:rsidP="00F175B6">
      <w:pPr>
        <w:pStyle w:val="paragraphsub"/>
      </w:pPr>
      <w:r w:rsidRPr="00CE3AC6">
        <w:rPr>
          <w:szCs w:val="22"/>
        </w:rPr>
        <w:tab/>
        <w:t>(i)</w:t>
      </w:r>
      <w:r w:rsidRPr="00CE3AC6">
        <w:rPr>
          <w:szCs w:val="22"/>
        </w:rPr>
        <w:tab/>
        <w:t>is new; or</w:t>
      </w:r>
    </w:p>
    <w:p w:rsidR="00F175B6" w:rsidRPr="00CE3AC6" w:rsidRDefault="00F175B6" w:rsidP="00F175B6">
      <w:pPr>
        <w:pStyle w:val="paragraphsub"/>
        <w:rPr>
          <w:szCs w:val="22"/>
        </w:rPr>
      </w:pPr>
      <w:r w:rsidRPr="00CE3AC6">
        <w:rPr>
          <w:szCs w:val="22"/>
        </w:rPr>
        <w:tab/>
        <w:t>(ii)</w:t>
      </w:r>
      <w:r w:rsidRPr="00CE3AC6">
        <w:rPr>
          <w:szCs w:val="22"/>
        </w:rPr>
        <w:tab/>
        <w:t>is a new adaptation, or new improvement, of another financial service; or</w:t>
      </w:r>
    </w:p>
    <w:p w:rsidR="00F175B6" w:rsidRPr="00CE3AC6" w:rsidRDefault="00F175B6" w:rsidP="00F175B6">
      <w:pPr>
        <w:pStyle w:val="paragraph"/>
      </w:pPr>
      <w:r w:rsidRPr="00CE3AC6">
        <w:tab/>
        <w:t>(d)</w:t>
      </w:r>
      <w:r w:rsidRPr="00CE3AC6">
        <w:tab/>
        <w:t xml:space="preserve">it reasonably believes that a condition in section </w:t>
      </w:r>
      <w:r w:rsidR="00D23B3B" w:rsidRPr="00CE3AC6">
        <w:t>17</w:t>
      </w:r>
      <w:r w:rsidRPr="00CE3AC6">
        <w:t xml:space="preserve">, </w:t>
      </w:r>
      <w:r w:rsidR="00D23B3B" w:rsidRPr="00CE3AC6">
        <w:t>18</w:t>
      </w:r>
      <w:r w:rsidRPr="00CE3AC6">
        <w:t xml:space="preserve">, </w:t>
      </w:r>
      <w:r w:rsidR="00D23B3B" w:rsidRPr="00CE3AC6">
        <w:t>19</w:t>
      </w:r>
      <w:r w:rsidRPr="00CE3AC6">
        <w:t xml:space="preserve">, </w:t>
      </w:r>
      <w:r w:rsidR="00D23B3B" w:rsidRPr="00CE3AC6">
        <w:t>20</w:t>
      </w:r>
      <w:r w:rsidRPr="00CE3AC6">
        <w:t xml:space="preserve">, </w:t>
      </w:r>
      <w:r w:rsidR="00D23B3B" w:rsidRPr="00CE3AC6">
        <w:t>21</w:t>
      </w:r>
      <w:r w:rsidRPr="00CE3AC6">
        <w:t xml:space="preserve">, </w:t>
      </w:r>
      <w:r w:rsidR="00D23B3B" w:rsidRPr="00CE3AC6">
        <w:t>22</w:t>
      </w:r>
      <w:r w:rsidRPr="00CE3AC6">
        <w:t xml:space="preserve">, </w:t>
      </w:r>
      <w:r w:rsidR="00D23B3B" w:rsidRPr="00CE3AC6">
        <w:t>23</w:t>
      </w:r>
      <w:r w:rsidRPr="00CE3AC6">
        <w:t xml:space="preserve"> or </w:t>
      </w:r>
      <w:r w:rsidR="00D23B3B" w:rsidRPr="00CE3AC6">
        <w:t>24</w:t>
      </w:r>
      <w:r w:rsidRPr="00CE3AC6">
        <w:t xml:space="preserve"> is not met for another eligible financial service for which the provider has or has had an exemption under section </w:t>
      </w:r>
      <w:r w:rsidR="00D23B3B" w:rsidRPr="00CE3AC6">
        <w:t>6</w:t>
      </w:r>
      <w:r w:rsidRPr="00CE3AC6">
        <w:t>; or</w:t>
      </w:r>
    </w:p>
    <w:p w:rsidR="008340DC" w:rsidRPr="00CE3AC6" w:rsidRDefault="008340DC" w:rsidP="008340DC">
      <w:pPr>
        <w:pStyle w:val="paragraph"/>
      </w:pPr>
      <w:r w:rsidRPr="00CE3AC6">
        <w:tab/>
        <w:t>(e)</w:t>
      </w:r>
      <w:r w:rsidRPr="00CE3AC6">
        <w:tab/>
        <w:t>if the assumption were made that the financial service is covered by a licence—it reasonably believes that the requirement in section</w:t>
      </w:r>
      <w:r w:rsidR="00CE3AC6" w:rsidRPr="00CE3AC6">
        <w:t> </w:t>
      </w:r>
      <w:r w:rsidRPr="00CE3AC6">
        <w:t>913BA of the Act (about the fit and proper person test) would not be satisfied in relation to the provider and the licence; or</w:t>
      </w:r>
    </w:p>
    <w:p w:rsidR="00F175B6" w:rsidRPr="00CE3AC6" w:rsidRDefault="00F175B6" w:rsidP="00F175B6">
      <w:pPr>
        <w:pStyle w:val="paragraph"/>
      </w:pPr>
      <w:r w:rsidRPr="00CE3AC6">
        <w:tab/>
        <w:t>(f)</w:t>
      </w:r>
      <w:r w:rsidRPr="00CE3AC6">
        <w:tab/>
        <w:t xml:space="preserve">it reasonably believes </w:t>
      </w:r>
      <w:r w:rsidR="00453343" w:rsidRPr="00CE3AC6">
        <w:t xml:space="preserve">that </w:t>
      </w:r>
      <w:r w:rsidRPr="00CE3AC6">
        <w:t xml:space="preserve">the provider has failed to act fairly, efficiently or honestly in providing financial services or in engaging in credit activities (within the meaning of the </w:t>
      </w:r>
      <w:r w:rsidRPr="00CE3AC6">
        <w:rPr>
          <w:i/>
        </w:rPr>
        <w:t>National Consumer Credit Protection Act 2009</w:t>
      </w:r>
      <w:r w:rsidRPr="00CE3AC6">
        <w:t>); or</w:t>
      </w:r>
    </w:p>
    <w:p w:rsidR="00F175B6" w:rsidRPr="00CE3AC6" w:rsidRDefault="00F175B6" w:rsidP="00F175B6">
      <w:pPr>
        <w:pStyle w:val="paragraph"/>
      </w:pPr>
      <w:r w:rsidRPr="00CE3AC6">
        <w:tab/>
        <w:t>(g)</w:t>
      </w:r>
      <w:r w:rsidRPr="00CE3AC6">
        <w:tab/>
        <w:t xml:space="preserve">it reasonably believes that a purpose for seeking the exemption under section </w:t>
      </w:r>
      <w:r w:rsidR="00D23B3B" w:rsidRPr="00CE3AC6">
        <w:t>6</w:t>
      </w:r>
      <w:r w:rsidRPr="00CE3AC6">
        <w:t xml:space="preserve"> for the financial service was to continue or recommence an exemption under section </w:t>
      </w:r>
      <w:r w:rsidR="00D23B3B" w:rsidRPr="00CE3AC6">
        <w:t>6</w:t>
      </w:r>
      <w:r w:rsidRPr="00CE3AC6">
        <w:t xml:space="preserve"> that was earlier obtained by another person; or</w:t>
      </w:r>
    </w:p>
    <w:p w:rsidR="00F175B6" w:rsidRPr="00CE3AC6" w:rsidRDefault="00F175B6" w:rsidP="00F175B6">
      <w:pPr>
        <w:pStyle w:val="paragraph"/>
      </w:pPr>
      <w:r w:rsidRPr="00CE3AC6">
        <w:tab/>
        <w:t>(h)</w:t>
      </w:r>
      <w:r w:rsidRPr="00CE3AC6">
        <w:tab/>
        <w:t>the provider has failed to comply with Division</w:t>
      </w:r>
      <w:r w:rsidR="00CE3AC6" w:rsidRPr="00CE3AC6">
        <w:t> </w:t>
      </w:r>
      <w:r w:rsidRPr="00CE3AC6">
        <w:t>2 of Part</w:t>
      </w:r>
      <w:r w:rsidR="00CE3AC6" w:rsidRPr="00CE3AC6">
        <w:t> </w:t>
      </w:r>
      <w:r w:rsidRPr="00CE3AC6">
        <w:t>7.7A of the Act (about best interests obligations) in relation to the provision of another eligible financial service; or</w:t>
      </w:r>
    </w:p>
    <w:p w:rsidR="00F175B6" w:rsidRPr="00CE3AC6" w:rsidRDefault="00F175B6" w:rsidP="00F175B6">
      <w:pPr>
        <w:pStyle w:val="paragraph"/>
      </w:pPr>
      <w:r w:rsidRPr="00CE3AC6">
        <w:tab/>
        <w:t>(i)</w:t>
      </w:r>
      <w:r w:rsidRPr="00CE3AC6">
        <w:tab/>
        <w:t>it reasonably believes that the provision of the financial service is likely to result in significant detriment to one or more persons as retail clients, or wholesale clients, for the service or a related financial product; or</w:t>
      </w:r>
    </w:p>
    <w:p w:rsidR="00F175B6" w:rsidRPr="00CE3AC6" w:rsidRDefault="00F175B6" w:rsidP="00F175B6">
      <w:pPr>
        <w:pStyle w:val="paragraph"/>
        <w:rPr>
          <w:rFonts w:eastAsiaTheme="minorHAnsi"/>
        </w:rPr>
      </w:pPr>
      <w:r w:rsidRPr="00CE3AC6">
        <w:tab/>
        <w:t>(j)</w:t>
      </w:r>
      <w:r w:rsidRPr="00CE3AC6">
        <w:tab/>
        <w:t xml:space="preserve">any exemption of the provider under the </w:t>
      </w:r>
      <w:r w:rsidR="001E5BBF" w:rsidRPr="00CE3AC6">
        <w:rPr>
          <w:rFonts w:eastAsiaTheme="minorHAnsi"/>
          <w:i/>
        </w:rPr>
        <w:t>National Consumer Credit Protection (FinTech Sandbox Australian Credit Licence Exemption) Regulations</w:t>
      </w:r>
      <w:r w:rsidR="00CE3AC6" w:rsidRPr="00CE3AC6">
        <w:rPr>
          <w:rFonts w:eastAsiaTheme="minorHAnsi"/>
          <w:i/>
        </w:rPr>
        <w:t> </w:t>
      </w:r>
      <w:r w:rsidR="001E5BBF" w:rsidRPr="00CE3AC6">
        <w:rPr>
          <w:rFonts w:eastAsiaTheme="minorHAnsi"/>
          <w:i/>
        </w:rPr>
        <w:t>2020</w:t>
      </w:r>
      <w:r w:rsidR="001E5BBF" w:rsidRPr="00CE3AC6">
        <w:rPr>
          <w:rFonts w:eastAsiaTheme="minorHAnsi"/>
        </w:rPr>
        <w:t xml:space="preserve"> </w:t>
      </w:r>
      <w:r w:rsidRPr="00CE3AC6">
        <w:rPr>
          <w:rFonts w:eastAsiaTheme="minorHAnsi"/>
        </w:rPr>
        <w:t>is or has been cancelled under section</w:t>
      </w:r>
      <w:r w:rsidR="00CE3AC6" w:rsidRPr="00CE3AC6">
        <w:rPr>
          <w:rFonts w:eastAsiaTheme="minorHAnsi"/>
        </w:rPr>
        <w:t> </w:t>
      </w:r>
      <w:r w:rsidRPr="00CE3AC6">
        <w:rPr>
          <w:rFonts w:eastAsiaTheme="minorHAnsi"/>
        </w:rPr>
        <w:t>11 of those Regulations.</w:t>
      </w:r>
    </w:p>
    <w:p w:rsidR="00F175B6" w:rsidRPr="00CE3AC6" w:rsidRDefault="00F175B6" w:rsidP="00F175B6">
      <w:pPr>
        <w:pStyle w:val="notetext"/>
      </w:pPr>
      <w:r w:rsidRPr="00CE3AC6">
        <w:t>Note:</w:t>
      </w:r>
      <w:r w:rsidRPr="00CE3AC6">
        <w:tab/>
        <w:t>A</w:t>
      </w:r>
      <w:r w:rsidR="0065261D" w:rsidRPr="00CE3AC6">
        <w:t xml:space="preserve"> decision by ASIC under this </w:t>
      </w:r>
      <w:r w:rsidRPr="00CE3AC6">
        <w:t>section is a reviewable decision under section</w:t>
      </w:r>
      <w:r w:rsidR="00CE3AC6" w:rsidRPr="00CE3AC6">
        <w:t> </w:t>
      </w:r>
      <w:r w:rsidRPr="00CE3AC6">
        <w:t>1317B of the Act.</w:t>
      </w:r>
    </w:p>
    <w:p w:rsidR="003A5280" w:rsidRPr="00CE3AC6" w:rsidRDefault="003A5280" w:rsidP="003A5280">
      <w:pPr>
        <w:pStyle w:val="ActHead2"/>
        <w:pageBreakBefore/>
      </w:pPr>
      <w:bookmarkStart w:id="14" w:name="_Toc38951885"/>
      <w:r w:rsidRPr="00BB596D">
        <w:rPr>
          <w:rStyle w:val="CharPartNo"/>
        </w:rPr>
        <w:t>Part</w:t>
      </w:r>
      <w:r w:rsidR="00CE3AC6" w:rsidRPr="00BB596D">
        <w:rPr>
          <w:rStyle w:val="CharPartNo"/>
        </w:rPr>
        <w:t> </w:t>
      </w:r>
      <w:r w:rsidRPr="00BB596D">
        <w:rPr>
          <w:rStyle w:val="CharPartNo"/>
        </w:rPr>
        <w:t>3</w:t>
      </w:r>
      <w:r w:rsidRPr="00CE3AC6">
        <w:t>—</w:t>
      </w:r>
      <w:r w:rsidR="00B47F20" w:rsidRPr="00BB596D">
        <w:rPr>
          <w:rStyle w:val="CharPartText"/>
        </w:rPr>
        <w:t>When e</w:t>
      </w:r>
      <w:r w:rsidRPr="00BB596D">
        <w:rPr>
          <w:rStyle w:val="CharPartText"/>
        </w:rPr>
        <w:t>xemption ceas</w:t>
      </w:r>
      <w:r w:rsidR="00B47F20" w:rsidRPr="00BB596D">
        <w:rPr>
          <w:rStyle w:val="CharPartText"/>
        </w:rPr>
        <w:t>e</w:t>
      </w:r>
      <w:r w:rsidR="00CA29F3" w:rsidRPr="00BB596D">
        <w:rPr>
          <w:rStyle w:val="CharPartText"/>
        </w:rPr>
        <w:t>s</w:t>
      </w:r>
      <w:r w:rsidRPr="00BB596D">
        <w:rPr>
          <w:rStyle w:val="CharPartText"/>
        </w:rPr>
        <w:t xml:space="preserve"> before</w:t>
      </w:r>
      <w:r w:rsidR="00B47F20" w:rsidRPr="00BB596D">
        <w:rPr>
          <w:rStyle w:val="CharPartText"/>
        </w:rPr>
        <w:t xml:space="preserve"> </w:t>
      </w:r>
      <w:r w:rsidR="00FA40D3" w:rsidRPr="00BB596D">
        <w:rPr>
          <w:rStyle w:val="CharPartText"/>
        </w:rPr>
        <w:t xml:space="preserve">the </w:t>
      </w:r>
      <w:r w:rsidRPr="00BB596D">
        <w:rPr>
          <w:rStyle w:val="CharPartText"/>
        </w:rPr>
        <w:t>end of</w:t>
      </w:r>
      <w:r w:rsidR="00B47F20" w:rsidRPr="00BB596D">
        <w:rPr>
          <w:rStyle w:val="CharPartText"/>
        </w:rPr>
        <w:t xml:space="preserve"> </w:t>
      </w:r>
      <w:r w:rsidR="00FA40D3" w:rsidRPr="00BB596D">
        <w:rPr>
          <w:rStyle w:val="CharPartText"/>
        </w:rPr>
        <w:t xml:space="preserve">the </w:t>
      </w:r>
      <w:r w:rsidRPr="00BB596D">
        <w:rPr>
          <w:rStyle w:val="CharPartText"/>
        </w:rPr>
        <w:t>testing period</w:t>
      </w:r>
      <w:bookmarkEnd w:id="14"/>
    </w:p>
    <w:p w:rsidR="007F798B" w:rsidRPr="00CE3AC6" w:rsidRDefault="009D1B50" w:rsidP="009D1B50">
      <w:pPr>
        <w:pStyle w:val="ActHead3"/>
      </w:pPr>
      <w:bookmarkStart w:id="15" w:name="_Toc38951886"/>
      <w:r w:rsidRPr="00BB596D">
        <w:rPr>
          <w:rStyle w:val="CharDivNo"/>
        </w:rPr>
        <w:t>Division</w:t>
      </w:r>
      <w:r w:rsidR="00CE3AC6" w:rsidRPr="00BB596D">
        <w:rPr>
          <w:rStyle w:val="CharDivNo"/>
        </w:rPr>
        <w:t> </w:t>
      </w:r>
      <w:r w:rsidRPr="00BB596D">
        <w:rPr>
          <w:rStyle w:val="CharDivNo"/>
        </w:rPr>
        <w:t>1</w:t>
      </w:r>
      <w:r w:rsidRPr="00CE3AC6">
        <w:t>—</w:t>
      </w:r>
      <w:r w:rsidR="00044185" w:rsidRPr="00BB596D">
        <w:rPr>
          <w:rStyle w:val="CharDivText"/>
        </w:rPr>
        <w:t>When exemption</w:t>
      </w:r>
      <w:r w:rsidR="00592BD8" w:rsidRPr="00BB596D">
        <w:rPr>
          <w:rStyle w:val="CharDivText"/>
        </w:rPr>
        <w:t xml:space="preserve"> cease</w:t>
      </w:r>
      <w:r w:rsidR="00044185" w:rsidRPr="00BB596D">
        <w:rPr>
          <w:rStyle w:val="CharDivText"/>
        </w:rPr>
        <w:t>s</w:t>
      </w:r>
      <w:r w:rsidRPr="00BB596D">
        <w:rPr>
          <w:rStyle w:val="CharDivText"/>
        </w:rPr>
        <w:t xml:space="preserve"> automatically</w:t>
      </w:r>
      <w:bookmarkEnd w:id="15"/>
    </w:p>
    <w:p w:rsidR="009D1B50" w:rsidRPr="00CE3AC6" w:rsidRDefault="00D23B3B" w:rsidP="00C52A61">
      <w:pPr>
        <w:pStyle w:val="ActHead5"/>
      </w:pPr>
      <w:bookmarkStart w:id="16" w:name="_Toc38951887"/>
      <w:r w:rsidRPr="00BB596D">
        <w:rPr>
          <w:rStyle w:val="CharSectno"/>
        </w:rPr>
        <w:t>9</w:t>
      </w:r>
      <w:r w:rsidR="009D1B50" w:rsidRPr="00CE3AC6">
        <w:t xml:space="preserve">  </w:t>
      </w:r>
      <w:r w:rsidR="00592BD8" w:rsidRPr="00CE3AC6">
        <w:t xml:space="preserve">Not meeting certain limits </w:t>
      </w:r>
      <w:r w:rsidR="00BC0E85" w:rsidRPr="00CE3AC6">
        <w:t>will</w:t>
      </w:r>
      <w:r w:rsidR="00592BD8" w:rsidRPr="00CE3AC6">
        <w:t xml:space="preserve"> cause the exemption to</w:t>
      </w:r>
      <w:r w:rsidR="009D1B50" w:rsidRPr="00CE3AC6">
        <w:t xml:space="preserve"> cease automatically</w:t>
      </w:r>
      <w:bookmarkEnd w:id="16"/>
    </w:p>
    <w:p w:rsidR="00834CD7" w:rsidRPr="00CE3AC6" w:rsidRDefault="009D1B50" w:rsidP="009D1B50">
      <w:pPr>
        <w:pStyle w:val="subsection"/>
      </w:pPr>
      <w:r w:rsidRPr="00CE3AC6">
        <w:tab/>
      </w:r>
      <w:r w:rsidRPr="00CE3AC6">
        <w:tab/>
      </w:r>
      <w:r w:rsidR="00834CD7" w:rsidRPr="00CE3AC6">
        <w:t>Each of t</w:t>
      </w:r>
      <w:r w:rsidR="00F51497" w:rsidRPr="00CE3AC6">
        <w:t>he provider’s exemption</w:t>
      </w:r>
      <w:r w:rsidR="00834CD7" w:rsidRPr="00CE3AC6">
        <w:t>s</w:t>
      </w:r>
      <w:r w:rsidR="00F51497" w:rsidRPr="00CE3AC6">
        <w:t xml:space="preserve"> under section </w:t>
      </w:r>
      <w:r w:rsidR="00D23B3B" w:rsidRPr="00CE3AC6">
        <w:t>6</w:t>
      </w:r>
      <w:r w:rsidR="00F51497" w:rsidRPr="00CE3AC6">
        <w:t xml:space="preserve"> </w:t>
      </w:r>
      <w:r w:rsidR="00834CD7" w:rsidRPr="00CE3AC6">
        <w:t>for eligible financial service</w:t>
      </w:r>
      <w:r w:rsidR="00BF4C7C" w:rsidRPr="00CE3AC6">
        <w:t>s</w:t>
      </w:r>
      <w:r w:rsidR="00834CD7" w:rsidRPr="00CE3AC6">
        <w:t xml:space="preserve"> </w:t>
      </w:r>
      <w:r w:rsidR="00F51497" w:rsidRPr="00CE3AC6">
        <w:t>ceases to apply if (and when) the provider fails to meet</w:t>
      </w:r>
      <w:r w:rsidR="00834CD7" w:rsidRPr="00CE3AC6">
        <w:t>:</w:t>
      </w:r>
    </w:p>
    <w:p w:rsidR="00F51497" w:rsidRPr="00CE3AC6" w:rsidRDefault="00834CD7" w:rsidP="00834CD7">
      <w:pPr>
        <w:pStyle w:val="paragraph"/>
      </w:pPr>
      <w:r w:rsidRPr="00CE3AC6">
        <w:tab/>
        <w:t>(a)</w:t>
      </w:r>
      <w:r w:rsidRPr="00CE3AC6">
        <w:tab/>
      </w:r>
      <w:r w:rsidR="00F51497" w:rsidRPr="00CE3AC6">
        <w:t>a condition in a section of this Division</w:t>
      </w:r>
      <w:r w:rsidR="00BF4C7C" w:rsidRPr="00CE3AC6">
        <w:t xml:space="preserve"> </w:t>
      </w:r>
      <w:r w:rsidRPr="00CE3AC6">
        <w:t xml:space="preserve">for any of those </w:t>
      </w:r>
      <w:r w:rsidR="00BF4C7C" w:rsidRPr="00CE3AC6">
        <w:t>eligible financial services</w:t>
      </w:r>
      <w:r w:rsidRPr="00CE3AC6">
        <w:t>; or</w:t>
      </w:r>
    </w:p>
    <w:p w:rsidR="00834CD7" w:rsidRPr="00CE3AC6" w:rsidRDefault="00834CD7" w:rsidP="00834CD7">
      <w:pPr>
        <w:pStyle w:val="paragraph"/>
      </w:pPr>
      <w:r w:rsidRPr="00CE3AC6">
        <w:tab/>
        <w:t>(b)</w:t>
      </w:r>
      <w:r w:rsidRPr="00CE3AC6">
        <w:tab/>
        <w:t>a condition in a section of Division</w:t>
      </w:r>
      <w:r w:rsidR="00CE3AC6" w:rsidRPr="00CE3AC6">
        <w:t> </w:t>
      </w:r>
      <w:r w:rsidRPr="00CE3AC6">
        <w:t>1 of Part</w:t>
      </w:r>
      <w:r w:rsidR="00CE3AC6" w:rsidRPr="00CE3AC6">
        <w:t> </w:t>
      </w:r>
      <w:r w:rsidRPr="00CE3AC6">
        <w:t xml:space="preserve">3 of the </w:t>
      </w:r>
      <w:r w:rsidR="001E5BBF" w:rsidRPr="00CE3AC6">
        <w:rPr>
          <w:rFonts w:eastAsiaTheme="minorHAnsi"/>
          <w:i/>
        </w:rPr>
        <w:t>National Consumer Credit Protection (FinTech Sandbox Australian Credit Licence Exemption) Regulations</w:t>
      </w:r>
      <w:r w:rsidR="00CE3AC6" w:rsidRPr="00CE3AC6">
        <w:rPr>
          <w:rFonts w:eastAsiaTheme="minorHAnsi"/>
          <w:i/>
        </w:rPr>
        <w:t> </w:t>
      </w:r>
      <w:r w:rsidR="001E5BBF" w:rsidRPr="00CE3AC6">
        <w:rPr>
          <w:rFonts w:eastAsiaTheme="minorHAnsi"/>
          <w:i/>
        </w:rPr>
        <w:t>2020</w:t>
      </w:r>
      <w:r w:rsidR="001E5BBF" w:rsidRPr="00CE3AC6">
        <w:rPr>
          <w:rFonts w:eastAsiaTheme="minorHAnsi"/>
        </w:rPr>
        <w:t xml:space="preserve"> </w:t>
      </w:r>
      <w:r w:rsidR="00F626C2" w:rsidRPr="00CE3AC6">
        <w:t xml:space="preserve">for an </w:t>
      </w:r>
      <w:r w:rsidR="00BF4C7C" w:rsidRPr="00CE3AC6">
        <w:t xml:space="preserve">eligible </w:t>
      </w:r>
      <w:r w:rsidRPr="00CE3AC6">
        <w:t>credit activity (within the mea</w:t>
      </w:r>
      <w:r w:rsidR="00F626C2" w:rsidRPr="00CE3AC6">
        <w:t>ning of those Regulations) for which the provider has an exemption under those Regulations</w:t>
      </w:r>
      <w:r w:rsidRPr="00CE3AC6">
        <w:t>.</w:t>
      </w:r>
    </w:p>
    <w:p w:rsidR="003A5280" w:rsidRPr="00CE3AC6" w:rsidRDefault="00D23B3B" w:rsidP="009D1B50">
      <w:pPr>
        <w:pStyle w:val="ActHead5"/>
      </w:pPr>
      <w:bookmarkStart w:id="17" w:name="_Toc38951888"/>
      <w:r w:rsidRPr="00BB596D">
        <w:rPr>
          <w:rStyle w:val="CharSectno"/>
        </w:rPr>
        <w:t>10</w:t>
      </w:r>
      <w:r w:rsidR="003A5280" w:rsidRPr="00CE3AC6">
        <w:t xml:space="preserve">  </w:t>
      </w:r>
      <w:r w:rsidR="00853A80" w:rsidRPr="00CE3AC6">
        <w:t>Exempt f</w:t>
      </w:r>
      <w:r w:rsidR="003A5280" w:rsidRPr="00CE3AC6">
        <w:t>inancial services that can be provided to wholesale clients</w:t>
      </w:r>
      <w:bookmarkEnd w:id="17"/>
    </w:p>
    <w:p w:rsidR="00C646AD" w:rsidRPr="00CE3AC6" w:rsidRDefault="00C646AD" w:rsidP="00940C04">
      <w:pPr>
        <w:pStyle w:val="subsection"/>
      </w:pPr>
      <w:r w:rsidRPr="00CE3AC6">
        <w:tab/>
      </w:r>
      <w:r w:rsidRPr="00CE3AC6">
        <w:tab/>
        <w:t xml:space="preserve">The provider meets the condition in this section for an eligible financial service if, when providing the financial service to </w:t>
      </w:r>
      <w:r w:rsidR="00940C04" w:rsidRPr="00CE3AC6">
        <w:t>an</w:t>
      </w:r>
      <w:r w:rsidRPr="00CE3AC6">
        <w:t xml:space="preserve">other person as </w:t>
      </w:r>
      <w:r w:rsidR="00940C04" w:rsidRPr="00CE3AC6">
        <w:t xml:space="preserve">a </w:t>
      </w:r>
      <w:r w:rsidRPr="00CE3AC6">
        <w:t>wholesale client during the financial service’s testing period</w:t>
      </w:r>
      <w:r w:rsidR="00940C04" w:rsidRPr="00CE3AC6">
        <w:t xml:space="preserve">, the financial service </w:t>
      </w:r>
      <w:r w:rsidR="00B95C82" w:rsidRPr="00CE3AC6">
        <w:t xml:space="preserve">relates to </w:t>
      </w:r>
      <w:r w:rsidR="00940C04" w:rsidRPr="00CE3AC6">
        <w:t>neither a</w:t>
      </w:r>
      <w:r w:rsidRPr="00CE3AC6">
        <w:t xml:space="preserve"> d</w:t>
      </w:r>
      <w:r w:rsidR="00940C04" w:rsidRPr="00CE3AC6">
        <w:t xml:space="preserve">erivative nor </w:t>
      </w:r>
      <w:r w:rsidRPr="00CE3AC6">
        <w:t>a margin lending facility.</w:t>
      </w:r>
    </w:p>
    <w:p w:rsidR="003A5280" w:rsidRPr="00CE3AC6" w:rsidRDefault="00D23B3B" w:rsidP="009D1B50">
      <w:pPr>
        <w:pStyle w:val="ActHead5"/>
      </w:pPr>
      <w:bookmarkStart w:id="18" w:name="_Toc38951889"/>
      <w:r w:rsidRPr="00BB596D">
        <w:rPr>
          <w:rStyle w:val="CharSectno"/>
        </w:rPr>
        <w:t>11</w:t>
      </w:r>
      <w:r w:rsidR="009D1B50" w:rsidRPr="00CE3AC6">
        <w:t xml:space="preserve">  </w:t>
      </w:r>
      <w:r w:rsidR="00853A80" w:rsidRPr="00CE3AC6">
        <w:t>Exempt f</w:t>
      </w:r>
      <w:r w:rsidR="003A5280" w:rsidRPr="00CE3AC6">
        <w:t>inancial services that can be provided to retail clients</w:t>
      </w:r>
      <w:bookmarkEnd w:id="18"/>
    </w:p>
    <w:p w:rsidR="00C67CDB" w:rsidRPr="00CE3AC6" w:rsidRDefault="00C67CDB" w:rsidP="00C67CDB">
      <w:pPr>
        <w:pStyle w:val="subsection"/>
      </w:pPr>
      <w:r w:rsidRPr="00CE3AC6">
        <w:tab/>
        <w:t>(1)</w:t>
      </w:r>
      <w:r w:rsidRPr="00CE3AC6">
        <w:tab/>
        <w:t>The provider meets the condition in this section for an eligible financial service if, when providing the financial service to another person as a retail client during the financial service’s testing period, the financial service is:</w:t>
      </w:r>
    </w:p>
    <w:p w:rsidR="00C67CDB" w:rsidRPr="00CE3AC6" w:rsidRDefault="00C67CDB" w:rsidP="00C67CDB">
      <w:pPr>
        <w:pStyle w:val="paragraph"/>
      </w:pPr>
      <w:r w:rsidRPr="00CE3AC6">
        <w:tab/>
        <w:t>(a)</w:t>
      </w:r>
      <w:r w:rsidRPr="00CE3AC6">
        <w:tab/>
        <w:t>the issuing, varying or disposing of a non</w:t>
      </w:r>
      <w:r w:rsidR="00CE3AC6">
        <w:noBreakHyphen/>
      </w:r>
      <w:r w:rsidRPr="00CE3AC6">
        <w:t>cash payment facility; or</w:t>
      </w:r>
    </w:p>
    <w:p w:rsidR="00C67CDB" w:rsidRPr="00CE3AC6" w:rsidRDefault="00C67CDB" w:rsidP="00C67CDB">
      <w:pPr>
        <w:pStyle w:val="paragraph"/>
      </w:pPr>
      <w:r w:rsidRPr="00CE3AC6">
        <w:tab/>
        <w:t>(b)</w:t>
      </w:r>
      <w:r w:rsidRPr="00CE3AC6">
        <w:tab/>
        <w:t xml:space="preserve">a financial service that </w:t>
      </w:r>
      <w:r w:rsidR="00B95C82" w:rsidRPr="00CE3AC6">
        <w:t xml:space="preserve">relates to </w:t>
      </w:r>
      <w:r w:rsidRPr="00CE3AC6">
        <w:t xml:space="preserve">only one or more financial products referred to in </w:t>
      </w:r>
      <w:r w:rsidR="00CE3AC6" w:rsidRPr="00CE3AC6">
        <w:t>subsection (</w:t>
      </w:r>
      <w:r w:rsidRPr="00CE3AC6">
        <w:t>2).</w:t>
      </w:r>
    </w:p>
    <w:p w:rsidR="00531301" w:rsidRPr="00CE3AC6" w:rsidRDefault="00531301" w:rsidP="00531301">
      <w:pPr>
        <w:pStyle w:val="subsection"/>
      </w:pPr>
      <w:r w:rsidRPr="00CE3AC6">
        <w:tab/>
        <w:t>(2)</w:t>
      </w:r>
      <w:r w:rsidRPr="00CE3AC6">
        <w:tab/>
      </w:r>
      <w:r w:rsidR="00297A01" w:rsidRPr="00CE3AC6">
        <w:t xml:space="preserve">For the purposes of </w:t>
      </w:r>
      <w:r w:rsidR="00CE3AC6" w:rsidRPr="00CE3AC6">
        <w:t>paragraph (</w:t>
      </w:r>
      <w:r w:rsidR="00297A01" w:rsidRPr="00CE3AC6">
        <w:t>1)(b), t</w:t>
      </w:r>
      <w:r w:rsidRPr="00CE3AC6">
        <w:t xml:space="preserve">he </w:t>
      </w:r>
      <w:r w:rsidR="00297A01" w:rsidRPr="00CE3AC6">
        <w:t xml:space="preserve">financial products are as </w:t>
      </w:r>
      <w:r w:rsidRPr="00CE3AC6">
        <w:t>follows:</w:t>
      </w:r>
    </w:p>
    <w:p w:rsidR="00531301" w:rsidRPr="00CE3AC6" w:rsidRDefault="00531301" w:rsidP="00531301">
      <w:pPr>
        <w:pStyle w:val="paragraph"/>
      </w:pPr>
      <w:r w:rsidRPr="00CE3AC6">
        <w:tab/>
        <w:t>(a)</w:t>
      </w:r>
      <w:r w:rsidRPr="00CE3AC6">
        <w:tab/>
        <w:t>a deposit</w:t>
      </w:r>
      <w:r w:rsidR="00CE3AC6">
        <w:noBreakHyphen/>
      </w:r>
      <w:r w:rsidRPr="00CE3AC6">
        <w:t>taking facility made available by an ADI in the course of its banking business, other than an R</w:t>
      </w:r>
      <w:bookmarkStart w:id="19" w:name="BK_S3P6L28C26"/>
      <w:bookmarkEnd w:id="19"/>
      <w:r w:rsidRPr="00CE3AC6">
        <w:t>SA;</w:t>
      </w:r>
    </w:p>
    <w:p w:rsidR="00531301" w:rsidRPr="00CE3AC6" w:rsidRDefault="00531301" w:rsidP="00531301">
      <w:pPr>
        <w:pStyle w:val="paragraph"/>
      </w:pPr>
      <w:r w:rsidRPr="00CE3AC6">
        <w:tab/>
        <w:t>(b)</w:t>
      </w:r>
      <w:r w:rsidRPr="00CE3AC6">
        <w:tab/>
        <w:t>a non</w:t>
      </w:r>
      <w:r w:rsidR="00CE3AC6">
        <w:noBreakHyphen/>
      </w:r>
      <w:r w:rsidRPr="00CE3AC6">
        <w:t>cash payment facility made available by an ADI in the course of its banking business;</w:t>
      </w:r>
    </w:p>
    <w:p w:rsidR="00531301" w:rsidRPr="00CE3AC6" w:rsidRDefault="00531301" w:rsidP="001009DE">
      <w:pPr>
        <w:pStyle w:val="paragraph"/>
      </w:pPr>
      <w:r w:rsidRPr="00CE3AC6">
        <w:tab/>
        <w:t>(c)</w:t>
      </w:r>
      <w:r w:rsidRPr="00CE3AC6">
        <w:tab/>
        <w:t xml:space="preserve">a general insurance product provided by a general insurer (within the meaning of the </w:t>
      </w:r>
      <w:r w:rsidRPr="00CE3AC6">
        <w:rPr>
          <w:i/>
        </w:rPr>
        <w:t>Insurance Act 1973</w:t>
      </w:r>
      <w:r w:rsidRPr="00CE3AC6">
        <w:t>)</w:t>
      </w:r>
      <w:r w:rsidR="001009DE" w:rsidRPr="00CE3AC6">
        <w:t xml:space="preserve">, other than </w:t>
      </w:r>
      <w:r w:rsidR="00BF3815" w:rsidRPr="00CE3AC6">
        <w:t>a consumer credit insurance product (within the meaning of subparagraph</w:t>
      </w:r>
      <w:r w:rsidR="00CE3AC6" w:rsidRPr="00CE3AC6">
        <w:t> </w:t>
      </w:r>
      <w:r w:rsidR="00BF3815" w:rsidRPr="00CE3AC6">
        <w:t>761G(5)(b)(v) of the Act)</w:t>
      </w:r>
      <w:r w:rsidRPr="00CE3AC6">
        <w:t>;</w:t>
      </w:r>
    </w:p>
    <w:p w:rsidR="00531301" w:rsidRPr="00CE3AC6" w:rsidRDefault="00531301" w:rsidP="00531301">
      <w:pPr>
        <w:pStyle w:val="paragraph"/>
      </w:pPr>
      <w:r w:rsidRPr="00CE3AC6">
        <w:tab/>
        <w:t>(d)</w:t>
      </w:r>
      <w:r w:rsidRPr="00CE3AC6">
        <w:tab/>
        <w:t xml:space="preserve">a life risk insurance product that is a life policy (within the meaning of the </w:t>
      </w:r>
      <w:r w:rsidRPr="00CE3AC6">
        <w:rPr>
          <w:i/>
        </w:rPr>
        <w:t>Life Insurance Act 1995</w:t>
      </w:r>
      <w:r w:rsidRPr="00CE3AC6">
        <w:t>);</w:t>
      </w:r>
    </w:p>
    <w:p w:rsidR="00531301" w:rsidRPr="00CE3AC6" w:rsidRDefault="00531301" w:rsidP="00531301">
      <w:pPr>
        <w:pStyle w:val="paragraph"/>
      </w:pPr>
      <w:r w:rsidRPr="00CE3AC6">
        <w:tab/>
        <w:t>(e)</w:t>
      </w:r>
      <w:r w:rsidRPr="00CE3AC6">
        <w:tab/>
        <w:t xml:space="preserve">a superannuation product in a regulated superannuation fund (within the meaning of the </w:t>
      </w:r>
      <w:r w:rsidRPr="00CE3AC6">
        <w:rPr>
          <w:i/>
        </w:rPr>
        <w:t>Superannuation Industry (Supervision) Act 1993</w:t>
      </w:r>
      <w:r w:rsidRPr="00CE3AC6">
        <w:t>);</w:t>
      </w:r>
    </w:p>
    <w:p w:rsidR="00531301" w:rsidRPr="00CE3AC6" w:rsidRDefault="00531301" w:rsidP="00531301">
      <w:pPr>
        <w:pStyle w:val="paragraph"/>
      </w:pPr>
      <w:r w:rsidRPr="00CE3AC6">
        <w:tab/>
        <w:t>(f)</w:t>
      </w:r>
      <w:r w:rsidRPr="00CE3AC6">
        <w:tab/>
        <w:t>an interest in a simple managed investment scheme;</w:t>
      </w:r>
    </w:p>
    <w:p w:rsidR="00531301" w:rsidRPr="00CE3AC6" w:rsidRDefault="00531301" w:rsidP="00531301">
      <w:pPr>
        <w:pStyle w:val="paragraph"/>
      </w:pPr>
      <w:r w:rsidRPr="00CE3AC6">
        <w:tab/>
        <w:t>(g)</w:t>
      </w:r>
      <w:r w:rsidRPr="00CE3AC6">
        <w:tab/>
        <w:t>a debenture, stock or bond issued or proposed to be issued by the Commonwealth;</w:t>
      </w:r>
    </w:p>
    <w:p w:rsidR="00531301" w:rsidRPr="00CE3AC6" w:rsidRDefault="00531301" w:rsidP="00531301">
      <w:pPr>
        <w:pStyle w:val="paragraph"/>
      </w:pPr>
      <w:r w:rsidRPr="00CE3AC6">
        <w:tab/>
        <w:t>(h)</w:t>
      </w:r>
      <w:r w:rsidRPr="00CE3AC6">
        <w:tab/>
        <w:t>a security included in an official list of a prescribed financial market;</w:t>
      </w:r>
    </w:p>
    <w:p w:rsidR="00BA5434" w:rsidRPr="00CE3AC6" w:rsidRDefault="00905A18" w:rsidP="00BA5434">
      <w:pPr>
        <w:pStyle w:val="paragraph"/>
        <w:rPr>
          <w:szCs w:val="22"/>
        </w:rPr>
      </w:pPr>
      <w:r w:rsidRPr="00CE3AC6">
        <w:rPr>
          <w:szCs w:val="22"/>
        </w:rPr>
        <w:tab/>
        <w:t>(i)</w:t>
      </w:r>
      <w:r w:rsidRPr="00CE3AC6">
        <w:rPr>
          <w:szCs w:val="22"/>
        </w:rPr>
        <w:tab/>
        <w:t>a security included in an official list of a financial market</w:t>
      </w:r>
      <w:r w:rsidR="00BA5434" w:rsidRPr="00CE3AC6">
        <w:rPr>
          <w:szCs w:val="22"/>
        </w:rPr>
        <w:t>:</w:t>
      </w:r>
    </w:p>
    <w:p w:rsidR="00BA5434" w:rsidRPr="00CE3AC6" w:rsidRDefault="00BA5434" w:rsidP="00BA5434">
      <w:pPr>
        <w:pStyle w:val="paragraphsub"/>
      </w:pPr>
      <w:r w:rsidRPr="00CE3AC6">
        <w:tab/>
        <w:t>(i)</w:t>
      </w:r>
      <w:r w:rsidRPr="00CE3AC6">
        <w:tab/>
      </w:r>
      <w:r w:rsidR="00905A18" w:rsidRPr="00CE3AC6">
        <w:t>operated outside this jurisdiction</w:t>
      </w:r>
      <w:r w:rsidRPr="00CE3AC6">
        <w:t>; and</w:t>
      </w:r>
    </w:p>
    <w:p w:rsidR="00905A18" w:rsidRPr="00CE3AC6" w:rsidRDefault="00C300D2" w:rsidP="00BA5434">
      <w:pPr>
        <w:pStyle w:val="paragraphsub"/>
      </w:pPr>
      <w:r w:rsidRPr="00CE3AC6">
        <w:tab/>
      </w:r>
      <w:r w:rsidR="00BA5434" w:rsidRPr="00CE3AC6">
        <w:t>(ii)</w:t>
      </w:r>
      <w:r w:rsidR="00BA5434" w:rsidRPr="00CE3AC6">
        <w:tab/>
        <w:t>approved in a disallowable legislative instrument made by ASIC under one or more of subsections</w:t>
      </w:r>
      <w:r w:rsidR="00CE3AC6" w:rsidRPr="00CE3AC6">
        <w:t> </w:t>
      </w:r>
      <w:r w:rsidR="00BA5434" w:rsidRPr="00CE3AC6">
        <w:t>283GA(1), 601QA(1), 655A(1), 741(1), 926A(2), 992B(1) and 1020F(1) of the Act;</w:t>
      </w:r>
    </w:p>
    <w:p w:rsidR="00BA5434" w:rsidRPr="00CE3AC6" w:rsidRDefault="00C46DEC" w:rsidP="00BA5434">
      <w:pPr>
        <w:pStyle w:val="noteToPara"/>
        <w:rPr>
          <w:szCs w:val="18"/>
        </w:rPr>
      </w:pPr>
      <w:r w:rsidRPr="00CE3AC6">
        <w:rPr>
          <w:szCs w:val="18"/>
        </w:rPr>
        <w:t>Note:</w:t>
      </w:r>
      <w:r w:rsidRPr="00CE3AC6">
        <w:rPr>
          <w:szCs w:val="18"/>
        </w:rPr>
        <w:tab/>
        <w:t xml:space="preserve">In </w:t>
      </w:r>
      <w:r w:rsidR="005F70C3" w:rsidRPr="00CE3AC6">
        <w:rPr>
          <w:szCs w:val="18"/>
        </w:rPr>
        <w:t>2020</w:t>
      </w:r>
      <w:r w:rsidR="00BA5434" w:rsidRPr="00CE3AC6">
        <w:rPr>
          <w:szCs w:val="18"/>
        </w:rPr>
        <w:t xml:space="preserve">, the instrument was the </w:t>
      </w:r>
      <w:r w:rsidR="00BA5434" w:rsidRPr="00CE3AC6">
        <w:rPr>
          <w:i/>
          <w:iCs/>
          <w:szCs w:val="18"/>
        </w:rPr>
        <w:t>ASIC Corporations (Definition of Approved Foreign Market) Instrument</w:t>
      </w:r>
      <w:r w:rsidR="00E5362B" w:rsidRPr="00CE3AC6">
        <w:rPr>
          <w:i/>
          <w:iCs/>
          <w:szCs w:val="18"/>
        </w:rPr>
        <w:t xml:space="preserve"> </w:t>
      </w:r>
      <w:r w:rsidR="00BA5434" w:rsidRPr="00CE3AC6">
        <w:rPr>
          <w:i/>
          <w:iCs/>
          <w:szCs w:val="18"/>
        </w:rPr>
        <w:t>2017/669</w:t>
      </w:r>
      <w:r w:rsidR="00BA5434" w:rsidRPr="00CE3AC6">
        <w:rPr>
          <w:iCs/>
          <w:szCs w:val="18"/>
        </w:rPr>
        <w:t>.</w:t>
      </w:r>
    </w:p>
    <w:p w:rsidR="00531301" w:rsidRPr="00CE3AC6" w:rsidRDefault="00905A18" w:rsidP="00531301">
      <w:pPr>
        <w:pStyle w:val="paragraph"/>
      </w:pPr>
      <w:r w:rsidRPr="00CE3AC6">
        <w:tab/>
        <w:t>(j</w:t>
      </w:r>
      <w:r w:rsidR="00531301" w:rsidRPr="00CE3AC6">
        <w:t>)</w:t>
      </w:r>
      <w:r w:rsidR="00531301" w:rsidRPr="00CE3AC6">
        <w:tab/>
        <w:t>for a</w:t>
      </w:r>
      <w:r w:rsidR="00E10BD7" w:rsidRPr="00CE3AC6">
        <w:t>n eligible</w:t>
      </w:r>
      <w:r w:rsidR="00531301" w:rsidRPr="00CE3AC6">
        <w:t xml:space="preserve"> financial service that is the provision of a crowd</w:t>
      </w:r>
      <w:r w:rsidR="00CE3AC6">
        <w:noBreakHyphen/>
      </w:r>
      <w:r w:rsidR="00531301" w:rsidRPr="00CE3AC6">
        <w:t>funding service—a security in a class specified in regulations made for the purposes of paragraph</w:t>
      </w:r>
      <w:r w:rsidR="00CE3AC6" w:rsidRPr="00CE3AC6">
        <w:t> </w:t>
      </w:r>
      <w:r w:rsidR="00531301" w:rsidRPr="00CE3AC6">
        <w:t>738G(1)(c) of the Act.</w:t>
      </w:r>
    </w:p>
    <w:p w:rsidR="00511B17" w:rsidRPr="00CE3AC6" w:rsidRDefault="00D23B3B" w:rsidP="00511B17">
      <w:pPr>
        <w:pStyle w:val="ActHead5"/>
      </w:pPr>
      <w:bookmarkStart w:id="20" w:name="_Toc38951890"/>
      <w:r w:rsidRPr="00BB596D">
        <w:rPr>
          <w:rStyle w:val="CharSectno"/>
        </w:rPr>
        <w:t>12</w:t>
      </w:r>
      <w:r w:rsidR="00511B17" w:rsidRPr="00CE3AC6">
        <w:t xml:space="preserve">  Exposure limits for exempt financial services—</w:t>
      </w:r>
      <w:r w:rsidR="008B07AB" w:rsidRPr="00CE3AC6">
        <w:t xml:space="preserve">total </w:t>
      </w:r>
      <w:r w:rsidR="00832FC5" w:rsidRPr="00CE3AC6">
        <w:t>limit</w:t>
      </w:r>
      <w:r w:rsidR="008B07AB" w:rsidRPr="00CE3AC6">
        <w:t xml:space="preserve"> for </w:t>
      </w:r>
      <w:r w:rsidR="00A76F69" w:rsidRPr="00CE3AC6">
        <w:t xml:space="preserve">products for </w:t>
      </w:r>
      <w:r w:rsidR="008B07AB" w:rsidRPr="00CE3AC6">
        <w:t>each retail client</w:t>
      </w:r>
      <w:bookmarkEnd w:id="20"/>
    </w:p>
    <w:p w:rsidR="004E4F69" w:rsidRPr="00CE3AC6" w:rsidRDefault="004E4F69" w:rsidP="004E4F69">
      <w:pPr>
        <w:pStyle w:val="subsection"/>
      </w:pPr>
      <w:r w:rsidRPr="00CE3AC6">
        <w:tab/>
        <w:t>(1)</w:t>
      </w:r>
      <w:r w:rsidRPr="00CE3AC6">
        <w:tab/>
        <w:t>The provider meets the condition in this section for an eligible financial service if the provider ensures that each of the provider’s retail clients may commit a total of no more than $10,000 to financial products as the result of:</w:t>
      </w:r>
    </w:p>
    <w:p w:rsidR="004E4F69" w:rsidRPr="00CE3AC6" w:rsidRDefault="004E4F69" w:rsidP="004E4F69">
      <w:pPr>
        <w:pStyle w:val="paragraph"/>
      </w:pPr>
      <w:r w:rsidRPr="00CE3AC6">
        <w:tab/>
        <w:t>(a)</w:t>
      </w:r>
      <w:r w:rsidRPr="00CE3AC6">
        <w:tab/>
        <w:t>the provision of the eligible financial service during that service’s testing period; and</w:t>
      </w:r>
    </w:p>
    <w:p w:rsidR="004E4F69" w:rsidRPr="00CE3AC6" w:rsidRDefault="004E4F69" w:rsidP="004E4F69">
      <w:pPr>
        <w:pStyle w:val="paragraph"/>
      </w:pPr>
      <w:r w:rsidRPr="00CE3AC6">
        <w:tab/>
        <w:t>(b)</w:t>
      </w:r>
      <w:r w:rsidRPr="00CE3AC6">
        <w:tab/>
        <w:t xml:space="preserve">the provision of any other eligible financial service, for which the provider has or has had an exemption under section </w:t>
      </w:r>
      <w:r w:rsidR="00D23B3B" w:rsidRPr="00CE3AC6">
        <w:t>6</w:t>
      </w:r>
      <w:r w:rsidRPr="00CE3AC6">
        <w:t>, during that other service’s testing period.</w:t>
      </w:r>
    </w:p>
    <w:p w:rsidR="00C941D3" w:rsidRPr="00CE3AC6" w:rsidRDefault="00C941D3" w:rsidP="00C941D3">
      <w:pPr>
        <w:pStyle w:val="subsection"/>
      </w:pPr>
      <w:r w:rsidRPr="00CE3AC6">
        <w:tab/>
        <w:t>(2)</w:t>
      </w:r>
      <w:r w:rsidRPr="00CE3AC6">
        <w:tab/>
        <w:t xml:space="preserve">However, </w:t>
      </w:r>
      <w:r w:rsidR="00CE3AC6" w:rsidRPr="00CE3AC6">
        <w:t>subsection (</w:t>
      </w:r>
      <w:r w:rsidRPr="00CE3AC6">
        <w:t>1) does not apply to any of the following financial products:</w:t>
      </w:r>
    </w:p>
    <w:p w:rsidR="00C941D3" w:rsidRPr="00CE3AC6" w:rsidRDefault="00C941D3" w:rsidP="00C941D3">
      <w:pPr>
        <w:pStyle w:val="paragraph"/>
      </w:pPr>
      <w:r w:rsidRPr="00CE3AC6">
        <w:tab/>
        <w:t>(a)</w:t>
      </w:r>
      <w:r w:rsidRPr="00CE3AC6">
        <w:tab/>
        <w:t>an eligible general insurance product;</w:t>
      </w:r>
    </w:p>
    <w:p w:rsidR="00C941D3" w:rsidRPr="00CE3AC6" w:rsidRDefault="00C941D3" w:rsidP="00C941D3">
      <w:pPr>
        <w:pStyle w:val="paragraph"/>
      </w:pPr>
      <w:r w:rsidRPr="00CE3AC6">
        <w:tab/>
        <w:t>(b)</w:t>
      </w:r>
      <w:r w:rsidRPr="00CE3AC6">
        <w:tab/>
        <w:t>an eligible life risk insurance product;</w:t>
      </w:r>
    </w:p>
    <w:p w:rsidR="00C941D3" w:rsidRPr="00CE3AC6" w:rsidRDefault="00C941D3" w:rsidP="00C941D3">
      <w:pPr>
        <w:pStyle w:val="paragraph"/>
      </w:pPr>
      <w:r w:rsidRPr="00CE3AC6">
        <w:tab/>
        <w:t>(c)</w:t>
      </w:r>
      <w:r w:rsidRPr="00CE3AC6">
        <w:tab/>
        <w:t>an eligible superannuation product;</w:t>
      </w:r>
    </w:p>
    <w:p w:rsidR="00C941D3" w:rsidRPr="00CE3AC6" w:rsidRDefault="00C941D3" w:rsidP="00C941D3">
      <w:pPr>
        <w:pStyle w:val="paragraph"/>
      </w:pPr>
      <w:r w:rsidRPr="00CE3AC6">
        <w:tab/>
        <w:t>(d)</w:t>
      </w:r>
      <w:r w:rsidRPr="00CE3AC6">
        <w:tab/>
        <w:t>a deposit</w:t>
      </w:r>
      <w:r w:rsidR="00CE3AC6">
        <w:noBreakHyphen/>
      </w:r>
      <w:r w:rsidRPr="00CE3AC6">
        <w:t>taking facility made available by an ADI in the course of its banking business, other than an R</w:t>
      </w:r>
      <w:bookmarkStart w:id="21" w:name="BK_S3P7L31C26"/>
      <w:bookmarkEnd w:id="21"/>
      <w:r w:rsidRPr="00CE3AC6">
        <w:t>SA;</w:t>
      </w:r>
    </w:p>
    <w:p w:rsidR="00C941D3" w:rsidRPr="00CE3AC6" w:rsidRDefault="00C941D3" w:rsidP="00C941D3">
      <w:pPr>
        <w:pStyle w:val="paragraph"/>
      </w:pPr>
      <w:r w:rsidRPr="00CE3AC6">
        <w:tab/>
        <w:t>(e)</w:t>
      </w:r>
      <w:r w:rsidRPr="00CE3AC6">
        <w:tab/>
        <w:t>a non</w:t>
      </w:r>
      <w:r w:rsidR="00CE3AC6">
        <w:noBreakHyphen/>
      </w:r>
      <w:r w:rsidRPr="00CE3AC6">
        <w:t>cash payment facility made available by an ADI in the course of its banking business.</w:t>
      </w:r>
    </w:p>
    <w:p w:rsidR="00511B17" w:rsidRPr="00CE3AC6" w:rsidRDefault="00D23B3B" w:rsidP="00511B17">
      <w:pPr>
        <w:pStyle w:val="ActHead5"/>
      </w:pPr>
      <w:bookmarkStart w:id="22" w:name="_Toc38951891"/>
      <w:r w:rsidRPr="00BB596D">
        <w:rPr>
          <w:rStyle w:val="CharSectno"/>
        </w:rPr>
        <w:t>13</w:t>
      </w:r>
      <w:r w:rsidR="00511B17" w:rsidRPr="00CE3AC6">
        <w:t xml:space="preserve">  Exposure limits for exempt financial services—total limit</w:t>
      </w:r>
      <w:r w:rsidR="0083337A" w:rsidRPr="00CE3AC6">
        <w:t xml:space="preserve"> for all services etc.</w:t>
      </w:r>
      <w:bookmarkEnd w:id="22"/>
    </w:p>
    <w:p w:rsidR="004C103D" w:rsidRPr="00CE3AC6" w:rsidRDefault="00035023" w:rsidP="00035023">
      <w:pPr>
        <w:pStyle w:val="subsection"/>
      </w:pPr>
      <w:r w:rsidRPr="00CE3AC6">
        <w:tab/>
      </w:r>
      <w:r w:rsidR="00607F45" w:rsidRPr="00CE3AC6">
        <w:t>(1)</w:t>
      </w:r>
      <w:r w:rsidRPr="00CE3AC6">
        <w:tab/>
        <w:t>The provider meets the condition in this section for an eligible fina</w:t>
      </w:r>
      <w:r w:rsidR="00DC6883" w:rsidRPr="00CE3AC6">
        <w:t>ncial service</w:t>
      </w:r>
      <w:r w:rsidRPr="00CE3AC6">
        <w:t xml:space="preserve"> if the provider ensures that no</w:t>
      </w:r>
      <w:r w:rsidR="004C103D" w:rsidRPr="00CE3AC6">
        <w:t xml:space="preserve"> more than a total of $5 million made up </w:t>
      </w:r>
      <w:r w:rsidR="001F06EC" w:rsidRPr="00CE3AC6">
        <w:t>of</w:t>
      </w:r>
      <w:r w:rsidR="004C103D" w:rsidRPr="00CE3AC6">
        <w:t xml:space="preserve"> the following:</w:t>
      </w:r>
    </w:p>
    <w:p w:rsidR="00990D49" w:rsidRPr="00CE3AC6" w:rsidRDefault="00990D49" w:rsidP="00990D49">
      <w:pPr>
        <w:pStyle w:val="paragraph"/>
      </w:pPr>
      <w:r w:rsidRPr="00CE3AC6">
        <w:tab/>
        <w:t>(a)</w:t>
      </w:r>
      <w:r w:rsidRPr="00CE3AC6">
        <w:tab/>
        <w:t>gross</w:t>
      </w:r>
      <w:r w:rsidR="00347D2B" w:rsidRPr="00CE3AC6">
        <w:t xml:space="preserve"> written pre</w:t>
      </w:r>
      <w:r w:rsidRPr="00CE3AC6">
        <w:t>miums for eligible general insurance products;</w:t>
      </w:r>
    </w:p>
    <w:p w:rsidR="00990D49" w:rsidRPr="00CE3AC6" w:rsidRDefault="00990D49" w:rsidP="00990D49">
      <w:pPr>
        <w:pStyle w:val="paragraph"/>
      </w:pPr>
      <w:r w:rsidRPr="00CE3AC6">
        <w:tab/>
        <w:t>(b)</w:t>
      </w:r>
      <w:r w:rsidRPr="00CE3AC6">
        <w:tab/>
      </w:r>
      <w:r w:rsidR="00347D2B" w:rsidRPr="00CE3AC6">
        <w:t>gross written premiums</w:t>
      </w:r>
      <w:r w:rsidRPr="00CE3AC6">
        <w:t xml:space="preserve"> for eligible life risk insurance products;</w:t>
      </w:r>
    </w:p>
    <w:p w:rsidR="004C103D" w:rsidRPr="00CE3AC6" w:rsidRDefault="00DC6883" w:rsidP="004C103D">
      <w:pPr>
        <w:pStyle w:val="paragraph"/>
      </w:pPr>
      <w:r w:rsidRPr="00CE3AC6">
        <w:tab/>
        <w:t>(c</w:t>
      </w:r>
      <w:r w:rsidR="004C103D" w:rsidRPr="00CE3AC6">
        <w:t>)</w:t>
      </w:r>
      <w:r w:rsidR="004C103D" w:rsidRPr="00CE3AC6">
        <w:tab/>
        <w:t>contribut</w:t>
      </w:r>
      <w:r w:rsidR="00C84F04" w:rsidRPr="00CE3AC6">
        <w:t>ions</w:t>
      </w:r>
      <w:r w:rsidR="00B5727E" w:rsidRPr="00CE3AC6">
        <w:t xml:space="preserve"> in</w:t>
      </w:r>
      <w:r w:rsidR="004C103D" w:rsidRPr="00CE3AC6">
        <w:t xml:space="preserve"> </w:t>
      </w:r>
      <w:r w:rsidRPr="00CE3AC6">
        <w:t>eligible superannuation products</w:t>
      </w:r>
      <w:r w:rsidR="004C103D" w:rsidRPr="00CE3AC6">
        <w:t>;</w:t>
      </w:r>
    </w:p>
    <w:p w:rsidR="004C103D" w:rsidRPr="00CE3AC6" w:rsidRDefault="00DC6883" w:rsidP="004C103D">
      <w:pPr>
        <w:pStyle w:val="paragraph"/>
      </w:pPr>
      <w:r w:rsidRPr="00CE3AC6">
        <w:tab/>
        <w:t>(d</w:t>
      </w:r>
      <w:r w:rsidR="004C103D" w:rsidRPr="00CE3AC6">
        <w:t>)</w:t>
      </w:r>
      <w:r w:rsidR="004C103D" w:rsidRPr="00CE3AC6">
        <w:tab/>
      </w:r>
      <w:r w:rsidR="004E4F69" w:rsidRPr="00CE3AC6">
        <w:t>commitments to</w:t>
      </w:r>
      <w:r w:rsidR="004C103D" w:rsidRPr="00CE3AC6">
        <w:t xml:space="preserve"> o</w:t>
      </w:r>
      <w:r w:rsidR="00AA4349" w:rsidRPr="00CE3AC6">
        <w:t>ther kinds of financial product</w:t>
      </w:r>
      <w:r w:rsidR="004C103D" w:rsidRPr="00CE3AC6">
        <w:t>;</w:t>
      </w:r>
    </w:p>
    <w:p w:rsidR="00905DD2" w:rsidRPr="00CE3AC6" w:rsidRDefault="00DC6883" w:rsidP="004C103D">
      <w:pPr>
        <w:pStyle w:val="paragraph"/>
      </w:pPr>
      <w:r w:rsidRPr="00CE3AC6">
        <w:tab/>
        <w:t>(e</w:t>
      </w:r>
      <w:r w:rsidR="00F275E9" w:rsidRPr="00CE3AC6">
        <w:t>)</w:t>
      </w:r>
      <w:r w:rsidR="00F275E9" w:rsidRPr="00CE3AC6">
        <w:tab/>
      </w:r>
      <w:r w:rsidR="003D0AD7" w:rsidRPr="00CE3AC6">
        <w:t xml:space="preserve">the value of credit contracts </w:t>
      </w:r>
      <w:r w:rsidR="00B5727E" w:rsidRPr="00CE3AC6">
        <w:t xml:space="preserve">entered into in </w:t>
      </w:r>
      <w:r w:rsidR="003D0AD7" w:rsidRPr="00CE3AC6">
        <w:t>relat</w:t>
      </w:r>
      <w:r w:rsidR="00B5727E" w:rsidRPr="00CE3AC6">
        <w:t>ion</w:t>
      </w:r>
      <w:r w:rsidR="003D0AD7" w:rsidRPr="00CE3AC6">
        <w:t xml:space="preserve"> to </w:t>
      </w:r>
      <w:r w:rsidR="00EA7E13" w:rsidRPr="00CE3AC6">
        <w:t xml:space="preserve">eligible </w:t>
      </w:r>
      <w:r w:rsidR="00F275E9" w:rsidRPr="00CE3AC6">
        <w:t>credit activities;</w:t>
      </w:r>
    </w:p>
    <w:p w:rsidR="00607F45" w:rsidRPr="00CE3AC6" w:rsidRDefault="00B5727E" w:rsidP="004C103D">
      <w:pPr>
        <w:pStyle w:val="subsection2"/>
      </w:pPr>
      <w:r w:rsidRPr="00CE3AC6">
        <w:t>arises</w:t>
      </w:r>
      <w:r w:rsidR="004C103D" w:rsidRPr="00CE3AC6">
        <w:t xml:space="preserve"> </w:t>
      </w:r>
      <w:r w:rsidR="00FC70BF" w:rsidRPr="00CE3AC6">
        <w:t>for retail clients</w:t>
      </w:r>
      <w:r w:rsidR="007E5F1F" w:rsidRPr="00CE3AC6">
        <w:t>, wholesale clients</w:t>
      </w:r>
      <w:r w:rsidR="00FC70BF" w:rsidRPr="00CE3AC6">
        <w:t xml:space="preserve"> and consumers </w:t>
      </w:r>
      <w:r w:rsidR="004C103D" w:rsidRPr="00CE3AC6">
        <w:t xml:space="preserve">as </w:t>
      </w:r>
      <w:r w:rsidR="00607F45" w:rsidRPr="00CE3AC6">
        <w:t xml:space="preserve">the result of </w:t>
      </w:r>
      <w:r w:rsidR="00FC70BF" w:rsidRPr="00CE3AC6">
        <w:t>the matters</w:t>
      </w:r>
      <w:r w:rsidR="00607F45" w:rsidRPr="00CE3AC6">
        <w:t xml:space="preserve"> referred to in </w:t>
      </w:r>
      <w:r w:rsidR="00CE3AC6" w:rsidRPr="00CE3AC6">
        <w:t>subsections (</w:t>
      </w:r>
      <w:r w:rsidR="00607F45" w:rsidRPr="00CE3AC6">
        <w:t xml:space="preserve">2) </w:t>
      </w:r>
      <w:r w:rsidR="00FC70BF" w:rsidRPr="00CE3AC6">
        <w:t>and</w:t>
      </w:r>
      <w:r w:rsidR="00607F45" w:rsidRPr="00CE3AC6">
        <w:t xml:space="preserve"> (3).</w:t>
      </w:r>
    </w:p>
    <w:p w:rsidR="001637FA" w:rsidRPr="00CE3AC6" w:rsidRDefault="004E4F69" w:rsidP="001637FA">
      <w:pPr>
        <w:pStyle w:val="subsection"/>
      </w:pPr>
      <w:r w:rsidRPr="00CE3AC6">
        <w:tab/>
        <w:t>(2)</w:t>
      </w:r>
      <w:r w:rsidRPr="00CE3AC6">
        <w:tab/>
        <w:t xml:space="preserve">For the purposes of </w:t>
      </w:r>
      <w:r w:rsidR="00CE3AC6" w:rsidRPr="00CE3AC6">
        <w:t>paragraphs (</w:t>
      </w:r>
      <w:r w:rsidRPr="00CE3AC6">
        <w:t xml:space="preserve">1)(a) to (d), the </w:t>
      </w:r>
      <w:r w:rsidR="00FC70BF" w:rsidRPr="00CE3AC6">
        <w:t>matters are</w:t>
      </w:r>
      <w:r w:rsidRPr="00CE3AC6">
        <w:t xml:space="preserve"> the provision</w:t>
      </w:r>
      <w:r w:rsidR="00B720E2" w:rsidRPr="00CE3AC6">
        <w:t xml:space="preserve"> of eligible financial services</w:t>
      </w:r>
      <w:r w:rsidR="001637FA" w:rsidRPr="00CE3AC6">
        <w:t xml:space="preserve"> if:</w:t>
      </w:r>
    </w:p>
    <w:p w:rsidR="001637FA" w:rsidRPr="00CE3AC6" w:rsidRDefault="001637FA" w:rsidP="001637FA">
      <w:pPr>
        <w:pStyle w:val="paragraph"/>
      </w:pPr>
      <w:r w:rsidRPr="00CE3AC6">
        <w:tab/>
        <w:t>(a)</w:t>
      </w:r>
      <w:r w:rsidRPr="00CE3AC6">
        <w:tab/>
        <w:t xml:space="preserve">either the provider, or a related body corporate of the provider, has or has had an exemption under section </w:t>
      </w:r>
      <w:r w:rsidR="00D23B3B" w:rsidRPr="00CE3AC6">
        <w:t>6</w:t>
      </w:r>
      <w:r w:rsidRPr="00CE3AC6">
        <w:t xml:space="preserve"> for each of the eligible financial services; and</w:t>
      </w:r>
    </w:p>
    <w:p w:rsidR="001637FA" w:rsidRPr="00CE3AC6" w:rsidRDefault="001637FA" w:rsidP="001637FA">
      <w:pPr>
        <w:pStyle w:val="paragraph"/>
      </w:pPr>
      <w:r w:rsidRPr="00CE3AC6">
        <w:tab/>
        <w:t>(b)</w:t>
      </w:r>
      <w:r w:rsidRPr="00CE3AC6">
        <w:tab/>
        <w:t>the provision of each of the eligible financial services</w:t>
      </w:r>
      <w:r w:rsidR="00BD0E2C" w:rsidRPr="00CE3AC6">
        <w:t>, by the person with that</w:t>
      </w:r>
      <w:r w:rsidRPr="00CE3AC6">
        <w:t xml:space="preserve"> exemption for that service, happened durin</w:t>
      </w:r>
      <w:r w:rsidR="00BD0E2C" w:rsidRPr="00CE3AC6">
        <w:t>g the testing period of that person’s exemption for that service</w:t>
      </w:r>
      <w:r w:rsidRPr="00CE3AC6">
        <w:t>.</w:t>
      </w:r>
    </w:p>
    <w:p w:rsidR="00BD0E2C" w:rsidRPr="00CE3AC6" w:rsidRDefault="00BD0E2C" w:rsidP="00BD0E2C">
      <w:pPr>
        <w:pStyle w:val="subsection"/>
      </w:pPr>
      <w:r w:rsidRPr="00CE3AC6">
        <w:tab/>
        <w:t>(3)</w:t>
      </w:r>
      <w:r w:rsidRPr="00CE3AC6">
        <w:tab/>
        <w:t xml:space="preserve">For the purposes of </w:t>
      </w:r>
      <w:r w:rsidR="00CE3AC6" w:rsidRPr="00CE3AC6">
        <w:t>paragraph (</w:t>
      </w:r>
      <w:r w:rsidRPr="00CE3AC6">
        <w:t xml:space="preserve">1)(e), the </w:t>
      </w:r>
      <w:r w:rsidR="000038B2" w:rsidRPr="00CE3AC6">
        <w:t>matters</w:t>
      </w:r>
      <w:r w:rsidRPr="00CE3AC6">
        <w:t xml:space="preserve"> are the engaging in of eligible credit activities if:</w:t>
      </w:r>
    </w:p>
    <w:p w:rsidR="00BD0E2C" w:rsidRPr="00CE3AC6" w:rsidRDefault="00BD0E2C" w:rsidP="00BD0E2C">
      <w:pPr>
        <w:pStyle w:val="paragraph"/>
      </w:pPr>
      <w:r w:rsidRPr="00CE3AC6">
        <w:tab/>
        <w:t>(a)</w:t>
      </w:r>
      <w:r w:rsidRPr="00CE3AC6">
        <w:tab/>
        <w:t>either the provider, or a related body corporate of the provider, has or has had an exemption under section</w:t>
      </w:r>
      <w:r w:rsidR="00CE3AC6" w:rsidRPr="00CE3AC6">
        <w:t> </w:t>
      </w:r>
      <w:r w:rsidRPr="00CE3AC6">
        <w:t xml:space="preserve">6 of the </w:t>
      </w:r>
      <w:r w:rsidR="001E5BBF" w:rsidRPr="00CE3AC6">
        <w:rPr>
          <w:rFonts w:eastAsiaTheme="minorHAnsi"/>
          <w:i/>
        </w:rPr>
        <w:t>National Consumer Credit Protection (FinTech Sandbox Australian Credit Licence Exemption) Regulations</w:t>
      </w:r>
      <w:r w:rsidR="00CE3AC6" w:rsidRPr="00CE3AC6">
        <w:rPr>
          <w:rFonts w:eastAsiaTheme="minorHAnsi"/>
          <w:i/>
        </w:rPr>
        <w:t> </w:t>
      </w:r>
      <w:r w:rsidR="001E5BBF" w:rsidRPr="00CE3AC6">
        <w:rPr>
          <w:rFonts w:eastAsiaTheme="minorHAnsi"/>
          <w:i/>
        </w:rPr>
        <w:t>2020</w:t>
      </w:r>
      <w:r w:rsidR="001E5BBF" w:rsidRPr="00CE3AC6">
        <w:rPr>
          <w:rFonts w:eastAsiaTheme="minorHAnsi"/>
        </w:rPr>
        <w:t xml:space="preserve"> </w:t>
      </w:r>
      <w:r w:rsidRPr="00CE3AC6">
        <w:rPr>
          <w:rFonts w:eastAsiaTheme="minorHAnsi"/>
        </w:rPr>
        <w:t>for each of the eligible credit activities</w:t>
      </w:r>
      <w:r w:rsidRPr="00CE3AC6">
        <w:t>; and</w:t>
      </w:r>
    </w:p>
    <w:p w:rsidR="00BD0E2C" w:rsidRPr="00CE3AC6" w:rsidRDefault="00BD0E2C" w:rsidP="00BD0E2C">
      <w:pPr>
        <w:pStyle w:val="paragraph"/>
      </w:pPr>
      <w:r w:rsidRPr="00CE3AC6">
        <w:tab/>
        <w:t>(b)</w:t>
      </w:r>
      <w:r w:rsidRPr="00CE3AC6">
        <w:tab/>
        <w:t>each eligible credit activity was engaged in, by the person with that exemption for that credit activity, during the testing period (within the meaning of those Regulations) of that person’s exemption for that credit activity.</w:t>
      </w:r>
    </w:p>
    <w:p w:rsidR="00FC70BF" w:rsidRPr="00CE3AC6" w:rsidRDefault="00FC70BF" w:rsidP="00FC70BF">
      <w:pPr>
        <w:pStyle w:val="subsection"/>
      </w:pPr>
      <w:r w:rsidRPr="00CE3AC6">
        <w:tab/>
        <w:t>(4)</w:t>
      </w:r>
      <w:r w:rsidRPr="00CE3AC6">
        <w:tab/>
        <w:t>In this section:</w:t>
      </w:r>
    </w:p>
    <w:p w:rsidR="00FC70BF" w:rsidRPr="00CE3AC6" w:rsidRDefault="00FC70BF" w:rsidP="00FC70BF">
      <w:pPr>
        <w:pStyle w:val="Definition"/>
      </w:pPr>
      <w:r w:rsidRPr="00CE3AC6">
        <w:rPr>
          <w:b/>
          <w:i/>
        </w:rPr>
        <w:t>consumer</w:t>
      </w:r>
      <w:r w:rsidRPr="00CE3AC6">
        <w:t xml:space="preserve"> has the same meaning as in the </w:t>
      </w:r>
      <w:r w:rsidRPr="00CE3AC6">
        <w:rPr>
          <w:i/>
        </w:rPr>
        <w:t>National Consumer Credit Protection Act 2009</w:t>
      </w:r>
      <w:r w:rsidRPr="00CE3AC6">
        <w:t>.</w:t>
      </w:r>
    </w:p>
    <w:p w:rsidR="00FC70BF" w:rsidRPr="00CE3AC6" w:rsidRDefault="00FC70BF" w:rsidP="00FC70BF">
      <w:pPr>
        <w:pStyle w:val="Definition"/>
      </w:pPr>
      <w:r w:rsidRPr="00CE3AC6">
        <w:rPr>
          <w:b/>
          <w:i/>
        </w:rPr>
        <w:t>credit contract</w:t>
      </w:r>
      <w:r w:rsidRPr="00CE3AC6">
        <w:t xml:space="preserve"> has the same meaning as in the </w:t>
      </w:r>
      <w:r w:rsidRPr="00CE3AC6">
        <w:rPr>
          <w:i/>
        </w:rPr>
        <w:t>National Consumer Credit Protection Act 2009</w:t>
      </w:r>
      <w:r w:rsidRPr="00CE3AC6">
        <w:t>.</w:t>
      </w:r>
    </w:p>
    <w:p w:rsidR="00FC70BF" w:rsidRPr="00CE3AC6" w:rsidRDefault="00FC70BF" w:rsidP="00FC70BF">
      <w:pPr>
        <w:pStyle w:val="Definition"/>
        <w:rPr>
          <w:b/>
          <w:i/>
        </w:rPr>
      </w:pPr>
      <w:r w:rsidRPr="00CE3AC6">
        <w:rPr>
          <w:b/>
          <w:i/>
        </w:rPr>
        <w:t>eligible credit activity</w:t>
      </w:r>
      <w:r w:rsidRPr="00CE3AC6">
        <w:t xml:space="preserve"> has the same meaning as in the </w:t>
      </w:r>
      <w:r w:rsidR="001E5BBF" w:rsidRPr="00CE3AC6">
        <w:rPr>
          <w:rFonts w:eastAsiaTheme="minorHAnsi"/>
          <w:i/>
        </w:rPr>
        <w:t>National Consumer Credit Protection (FinTech Sandbox Australian Credit Licence Exemption) Regulations</w:t>
      </w:r>
      <w:r w:rsidR="00CE3AC6" w:rsidRPr="00CE3AC6">
        <w:rPr>
          <w:rFonts w:eastAsiaTheme="minorHAnsi"/>
          <w:i/>
        </w:rPr>
        <w:t> </w:t>
      </w:r>
      <w:r w:rsidR="001E5BBF" w:rsidRPr="00CE3AC6">
        <w:rPr>
          <w:rFonts w:eastAsiaTheme="minorHAnsi"/>
          <w:i/>
        </w:rPr>
        <w:t>2020</w:t>
      </w:r>
      <w:r w:rsidR="001E5BBF" w:rsidRPr="00CE3AC6">
        <w:rPr>
          <w:rFonts w:eastAsiaTheme="minorHAnsi"/>
        </w:rPr>
        <w:t>.</w:t>
      </w:r>
    </w:p>
    <w:p w:rsidR="00FC70BF" w:rsidRPr="00CE3AC6" w:rsidRDefault="00FC70BF" w:rsidP="00FC70BF">
      <w:pPr>
        <w:pStyle w:val="Definition"/>
      </w:pPr>
      <w:r w:rsidRPr="00CE3AC6">
        <w:rPr>
          <w:b/>
          <w:i/>
        </w:rPr>
        <w:t>value</w:t>
      </w:r>
      <w:r w:rsidRPr="00CE3AC6">
        <w:t xml:space="preserve"> has the same meaning as in the </w:t>
      </w:r>
      <w:r w:rsidRPr="00CE3AC6">
        <w:rPr>
          <w:i/>
        </w:rPr>
        <w:t>National Consumer Credit Protection Act 2009</w:t>
      </w:r>
      <w:r w:rsidRPr="00CE3AC6">
        <w:t>.</w:t>
      </w:r>
    </w:p>
    <w:p w:rsidR="009D1B50" w:rsidRPr="00CE3AC6" w:rsidRDefault="009D1B50" w:rsidP="003518AE">
      <w:pPr>
        <w:pStyle w:val="ActHead3"/>
        <w:pageBreakBefore/>
      </w:pPr>
      <w:bookmarkStart w:id="23" w:name="_Toc38951892"/>
      <w:r w:rsidRPr="00BB596D">
        <w:rPr>
          <w:rStyle w:val="CharDivNo"/>
        </w:rPr>
        <w:t>Division</w:t>
      </w:r>
      <w:r w:rsidR="00CE3AC6" w:rsidRPr="00BB596D">
        <w:rPr>
          <w:rStyle w:val="CharDivNo"/>
        </w:rPr>
        <w:t> </w:t>
      </w:r>
      <w:r w:rsidRPr="00BB596D">
        <w:rPr>
          <w:rStyle w:val="CharDivNo"/>
        </w:rPr>
        <w:t>2</w:t>
      </w:r>
      <w:r w:rsidRPr="00CE3AC6">
        <w:t>—</w:t>
      </w:r>
      <w:r w:rsidRPr="00BB596D">
        <w:rPr>
          <w:rStyle w:val="CharDivText"/>
        </w:rPr>
        <w:t>Other ways exemption can cease</w:t>
      </w:r>
      <w:bookmarkEnd w:id="23"/>
    </w:p>
    <w:p w:rsidR="003A5280" w:rsidRPr="00CE3AC6" w:rsidRDefault="00D23B3B" w:rsidP="003A5280">
      <w:pPr>
        <w:pStyle w:val="ActHead5"/>
      </w:pPr>
      <w:bookmarkStart w:id="24" w:name="_Toc38951893"/>
      <w:r w:rsidRPr="00BB596D">
        <w:rPr>
          <w:rStyle w:val="CharSectno"/>
        </w:rPr>
        <w:t>14</w:t>
      </w:r>
      <w:r w:rsidR="003A5280" w:rsidRPr="00CE3AC6">
        <w:t xml:space="preserve">  Exemption ceases because of ASIC decision</w:t>
      </w:r>
      <w:bookmarkEnd w:id="24"/>
    </w:p>
    <w:p w:rsidR="003A5280" w:rsidRPr="00CE3AC6" w:rsidRDefault="003A5280" w:rsidP="003A5280">
      <w:pPr>
        <w:pStyle w:val="subsection"/>
      </w:pPr>
      <w:r w:rsidRPr="00CE3AC6">
        <w:tab/>
      </w:r>
      <w:r w:rsidR="008A1406" w:rsidRPr="00CE3AC6">
        <w:t>(1)</w:t>
      </w:r>
      <w:r w:rsidRPr="00CE3AC6">
        <w:tab/>
        <w:t xml:space="preserve">ASIC may, by written notice given to the provider, cancel the provider’s exemption under </w:t>
      </w:r>
      <w:r w:rsidR="009E2443" w:rsidRPr="00CE3AC6">
        <w:t xml:space="preserve">section </w:t>
      </w:r>
      <w:r w:rsidR="00D23B3B" w:rsidRPr="00CE3AC6">
        <w:t>6</w:t>
      </w:r>
      <w:r w:rsidRPr="00CE3AC6">
        <w:t xml:space="preserve"> for </w:t>
      </w:r>
      <w:r w:rsidR="00353F51" w:rsidRPr="00CE3AC6">
        <w:t>an eligible</w:t>
      </w:r>
      <w:r w:rsidR="00BC371E" w:rsidRPr="00CE3AC6">
        <w:t xml:space="preserve"> </w:t>
      </w:r>
      <w:r w:rsidRPr="00CE3AC6">
        <w:t>financial service if:</w:t>
      </w:r>
    </w:p>
    <w:p w:rsidR="00FF6A77" w:rsidRPr="00CE3AC6" w:rsidRDefault="00FF6A77" w:rsidP="003A5280">
      <w:pPr>
        <w:pStyle w:val="paragraph"/>
      </w:pPr>
      <w:r w:rsidRPr="00CE3AC6">
        <w:tab/>
        <w:t>(a)</w:t>
      </w:r>
      <w:r w:rsidRPr="00CE3AC6">
        <w:tab/>
      </w:r>
      <w:r w:rsidR="005577DE" w:rsidRPr="00CE3AC6">
        <w:t xml:space="preserve">one or more of paragraphs </w:t>
      </w:r>
      <w:r w:rsidR="00D23B3B" w:rsidRPr="00CE3AC6">
        <w:t>8</w:t>
      </w:r>
      <w:r w:rsidR="005577DE" w:rsidRPr="00CE3AC6">
        <w:t xml:space="preserve">(c) to (j) now apply </w:t>
      </w:r>
      <w:r w:rsidRPr="00CE3AC6">
        <w:t>for the provider and the financial service; or</w:t>
      </w:r>
    </w:p>
    <w:p w:rsidR="00F71E3F" w:rsidRPr="00CE3AC6" w:rsidRDefault="00FF6A77" w:rsidP="00FF6A77">
      <w:pPr>
        <w:pStyle w:val="paragraph"/>
      </w:pPr>
      <w:r w:rsidRPr="00CE3AC6">
        <w:tab/>
        <w:t>(b</w:t>
      </w:r>
      <w:r w:rsidR="009D1035" w:rsidRPr="00CE3AC6">
        <w:t>)</w:t>
      </w:r>
      <w:r w:rsidR="009D1035" w:rsidRPr="00CE3AC6">
        <w:tab/>
      </w:r>
      <w:r w:rsidR="003A5280" w:rsidRPr="00CE3AC6">
        <w:t xml:space="preserve">a condition in </w:t>
      </w:r>
      <w:r w:rsidR="00697B41" w:rsidRPr="00CE3AC6">
        <w:t xml:space="preserve">section </w:t>
      </w:r>
      <w:r w:rsidR="00D23B3B" w:rsidRPr="00CE3AC6">
        <w:t>17</w:t>
      </w:r>
      <w:r w:rsidR="00697B41" w:rsidRPr="00CE3AC6">
        <w:t xml:space="preserve">, </w:t>
      </w:r>
      <w:r w:rsidR="00D23B3B" w:rsidRPr="00CE3AC6">
        <w:t>18</w:t>
      </w:r>
      <w:r w:rsidR="003A5280" w:rsidRPr="00CE3AC6">
        <w:t xml:space="preserve">, </w:t>
      </w:r>
      <w:r w:rsidR="00D23B3B" w:rsidRPr="00CE3AC6">
        <w:t>19</w:t>
      </w:r>
      <w:r w:rsidR="003A5280" w:rsidRPr="00CE3AC6">
        <w:t xml:space="preserve">, </w:t>
      </w:r>
      <w:r w:rsidR="00D23B3B" w:rsidRPr="00CE3AC6">
        <w:t>20</w:t>
      </w:r>
      <w:r w:rsidR="003A5280" w:rsidRPr="00CE3AC6">
        <w:t xml:space="preserve">, </w:t>
      </w:r>
      <w:r w:rsidR="00D23B3B" w:rsidRPr="00CE3AC6">
        <w:t>21</w:t>
      </w:r>
      <w:r w:rsidR="00566A6E" w:rsidRPr="00CE3AC6">
        <w:t xml:space="preserve">, </w:t>
      </w:r>
      <w:r w:rsidR="00D23B3B" w:rsidRPr="00CE3AC6">
        <w:t>22</w:t>
      </w:r>
      <w:r w:rsidR="0073258A" w:rsidRPr="00CE3AC6">
        <w:t xml:space="preserve">, </w:t>
      </w:r>
      <w:r w:rsidR="00D23B3B" w:rsidRPr="00CE3AC6">
        <w:t>23</w:t>
      </w:r>
      <w:r w:rsidR="003A5280" w:rsidRPr="00CE3AC6">
        <w:t xml:space="preserve"> or </w:t>
      </w:r>
      <w:r w:rsidR="00D23B3B" w:rsidRPr="00CE3AC6">
        <w:t>24</w:t>
      </w:r>
      <w:r w:rsidR="003A5280" w:rsidRPr="00CE3AC6">
        <w:t xml:space="preserve"> is not met for</w:t>
      </w:r>
      <w:r w:rsidRPr="00CE3AC6">
        <w:t xml:space="preserve"> </w:t>
      </w:r>
      <w:r w:rsidR="00F71E3F" w:rsidRPr="00CE3AC6">
        <w:t>the financial service; or</w:t>
      </w:r>
    </w:p>
    <w:p w:rsidR="00B94535" w:rsidRPr="00CE3AC6" w:rsidRDefault="00FF6A77" w:rsidP="003A5280">
      <w:pPr>
        <w:pStyle w:val="paragraph"/>
      </w:pPr>
      <w:r w:rsidRPr="00CE3AC6">
        <w:tab/>
        <w:t>(c</w:t>
      </w:r>
      <w:r w:rsidR="009D1035" w:rsidRPr="00CE3AC6">
        <w:t>)</w:t>
      </w:r>
      <w:r w:rsidR="009D1035" w:rsidRPr="00CE3AC6">
        <w:tab/>
      </w:r>
      <w:r w:rsidR="00B94535" w:rsidRPr="00CE3AC6">
        <w:t>the provider has failed to comply with Division</w:t>
      </w:r>
      <w:r w:rsidR="00CE3AC6" w:rsidRPr="00CE3AC6">
        <w:t> </w:t>
      </w:r>
      <w:r w:rsidR="00B94535" w:rsidRPr="00CE3AC6">
        <w:t>2 of Part</w:t>
      </w:r>
      <w:r w:rsidR="00CE3AC6" w:rsidRPr="00CE3AC6">
        <w:t> </w:t>
      </w:r>
      <w:r w:rsidR="00B94535" w:rsidRPr="00CE3AC6">
        <w:t>7.7A of the Act (about best interests obligations) in relation to the provision of the financial service; or</w:t>
      </w:r>
    </w:p>
    <w:p w:rsidR="006015DB" w:rsidRPr="00CE3AC6" w:rsidRDefault="00FF6A77" w:rsidP="006015DB">
      <w:pPr>
        <w:pStyle w:val="paragraph"/>
      </w:pPr>
      <w:r w:rsidRPr="00CE3AC6">
        <w:tab/>
        <w:t>(d</w:t>
      </w:r>
      <w:r w:rsidR="009D1035" w:rsidRPr="00CE3AC6">
        <w:t>)</w:t>
      </w:r>
      <w:r w:rsidR="009D1035" w:rsidRPr="00CE3AC6">
        <w:tab/>
      </w:r>
      <w:r w:rsidR="006015DB" w:rsidRPr="00CE3AC6">
        <w:t xml:space="preserve">ASIC reasonably believes that </w:t>
      </w:r>
      <w:r w:rsidR="003B017D" w:rsidRPr="00CE3AC6">
        <w:t>the provision of</w:t>
      </w:r>
      <w:r w:rsidR="006015DB" w:rsidRPr="00CE3AC6">
        <w:t xml:space="preserve"> the financial service has </w:t>
      </w:r>
      <w:r w:rsidRPr="00CE3AC6">
        <w:t xml:space="preserve">resulted </w:t>
      </w:r>
      <w:r w:rsidR="006015DB" w:rsidRPr="00CE3AC6">
        <w:t>in significant detriment to one or more persons as retail clients, or wholesale clients, for the service or</w:t>
      </w:r>
      <w:r w:rsidRPr="00CE3AC6">
        <w:t xml:space="preserve"> a related financial product.</w:t>
      </w:r>
    </w:p>
    <w:p w:rsidR="003A5280" w:rsidRPr="00CE3AC6" w:rsidRDefault="003A5280" w:rsidP="003A5280">
      <w:pPr>
        <w:pStyle w:val="notetext"/>
      </w:pPr>
      <w:r w:rsidRPr="00CE3AC6">
        <w:t>Note 1:</w:t>
      </w:r>
      <w:r w:rsidRPr="00CE3AC6">
        <w:tab/>
      </w:r>
      <w:r w:rsidR="00B86252" w:rsidRPr="00CE3AC6">
        <w:t xml:space="preserve">A decision by ASIC under this section </w:t>
      </w:r>
      <w:r w:rsidRPr="00CE3AC6">
        <w:t>is a reviewable decision under section</w:t>
      </w:r>
      <w:r w:rsidR="00CE3AC6" w:rsidRPr="00CE3AC6">
        <w:t> </w:t>
      </w:r>
      <w:r w:rsidRPr="00CE3AC6">
        <w:t>1317B of the Act.</w:t>
      </w:r>
    </w:p>
    <w:p w:rsidR="003A5280" w:rsidRPr="00CE3AC6" w:rsidRDefault="003A5280" w:rsidP="003A5280">
      <w:pPr>
        <w:pStyle w:val="notetext"/>
      </w:pPr>
      <w:r w:rsidRPr="00CE3AC6">
        <w:t>Note 2:</w:t>
      </w:r>
      <w:r w:rsidRPr="00CE3AC6">
        <w:tab/>
        <w:t xml:space="preserve">Before, or instead of, acting under this section for a failure to meet a condition in </w:t>
      </w:r>
      <w:r w:rsidR="00CE3AC6" w:rsidRPr="00CE3AC6">
        <w:t>paragraph (</w:t>
      </w:r>
      <w:r w:rsidR="001C7DFE" w:rsidRPr="00CE3AC6">
        <w:t>b</w:t>
      </w:r>
      <w:r w:rsidRPr="00CE3AC6">
        <w:t>), ASIC could seek an order for the provider to comply with the condition (see subsection</w:t>
      </w:r>
      <w:r w:rsidR="00CE3AC6" w:rsidRPr="00CE3AC6">
        <w:t> </w:t>
      </w:r>
      <w:r w:rsidRPr="00CE3AC6">
        <w:t>926B(4) of the Act</w:t>
      </w:r>
      <w:r w:rsidR="00A348B7" w:rsidRPr="00CE3AC6">
        <w:t>)</w:t>
      </w:r>
      <w:r w:rsidRPr="00CE3AC6">
        <w:t>.</w:t>
      </w:r>
    </w:p>
    <w:p w:rsidR="00C70F2A" w:rsidRPr="00CE3AC6" w:rsidRDefault="00C70F2A" w:rsidP="00C70F2A">
      <w:pPr>
        <w:pStyle w:val="notetext"/>
      </w:pPr>
      <w:r w:rsidRPr="00CE3AC6">
        <w:t>Note 3:</w:t>
      </w:r>
      <w:r w:rsidRPr="00CE3AC6">
        <w:tab/>
        <w:t xml:space="preserve">Before, or instead of, acting under this section </w:t>
      </w:r>
      <w:r w:rsidR="00940176" w:rsidRPr="00CE3AC6">
        <w:t>because of</w:t>
      </w:r>
      <w:r w:rsidRPr="00CE3AC6">
        <w:t xml:space="preserve"> </w:t>
      </w:r>
      <w:r w:rsidR="00CE3AC6" w:rsidRPr="00CE3AC6">
        <w:t>paragraph (</w:t>
      </w:r>
      <w:r w:rsidR="00FF6A77" w:rsidRPr="00CE3AC6">
        <w:t>d</w:t>
      </w:r>
      <w:r w:rsidRPr="00CE3AC6">
        <w:t>), ASIC could consider making a make</w:t>
      </w:r>
      <w:r w:rsidR="00CE3AC6">
        <w:noBreakHyphen/>
      </w:r>
      <w:r w:rsidRPr="00CE3AC6">
        <w:t xml:space="preserve">good order (see section </w:t>
      </w:r>
      <w:r w:rsidR="00D23B3B" w:rsidRPr="00CE3AC6">
        <w:t>24</w:t>
      </w:r>
      <w:r w:rsidRPr="00CE3AC6">
        <w:t>).</w:t>
      </w:r>
    </w:p>
    <w:p w:rsidR="008A1406" w:rsidRPr="00CE3AC6" w:rsidRDefault="00B26ED7" w:rsidP="00B26ED7">
      <w:pPr>
        <w:pStyle w:val="subsection"/>
      </w:pPr>
      <w:r w:rsidRPr="00CE3AC6">
        <w:tab/>
        <w:t>(2)</w:t>
      </w:r>
      <w:r w:rsidRPr="00CE3AC6">
        <w:tab/>
        <w:t>The cancellation takes effect on the day specified in the notice, which must not be a day before the notice is given to the provider.</w:t>
      </w:r>
    </w:p>
    <w:p w:rsidR="003A5280" w:rsidRPr="00CE3AC6" w:rsidRDefault="00D23B3B" w:rsidP="003A5280">
      <w:pPr>
        <w:pStyle w:val="ActHead5"/>
      </w:pPr>
      <w:bookmarkStart w:id="25" w:name="_Toc38951894"/>
      <w:r w:rsidRPr="00BB596D">
        <w:rPr>
          <w:rStyle w:val="CharSectno"/>
        </w:rPr>
        <w:t>15</w:t>
      </w:r>
      <w:r w:rsidR="003A5280" w:rsidRPr="00CE3AC6">
        <w:t xml:space="preserve">  Exemption ceases if provider notifies ASIC</w:t>
      </w:r>
      <w:bookmarkEnd w:id="25"/>
    </w:p>
    <w:p w:rsidR="003A5280" w:rsidRPr="00CE3AC6" w:rsidRDefault="003A5280" w:rsidP="003A5280">
      <w:pPr>
        <w:pStyle w:val="subsection"/>
      </w:pPr>
      <w:r w:rsidRPr="00CE3AC6">
        <w:tab/>
      </w:r>
      <w:r w:rsidR="00D0616A" w:rsidRPr="00CE3AC6">
        <w:t>(1)</w:t>
      </w:r>
      <w:r w:rsidRPr="00CE3AC6">
        <w:tab/>
      </w:r>
      <w:r w:rsidR="00F51497" w:rsidRPr="00CE3AC6">
        <w:t xml:space="preserve">The provider’s exemption under section </w:t>
      </w:r>
      <w:r w:rsidR="00D23B3B" w:rsidRPr="00CE3AC6">
        <w:t>6</w:t>
      </w:r>
      <w:r w:rsidR="00F51497" w:rsidRPr="00CE3AC6">
        <w:t xml:space="preserve"> </w:t>
      </w:r>
      <w:r w:rsidRPr="00CE3AC6">
        <w:t xml:space="preserve">ceases to apply </w:t>
      </w:r>
      <w:r w:rsidR="00F51497" w:rsidRPr="00CE3AC6">
        <w:t>for</w:t>
      </w:r>
      <w:r w:rsidRPr="00CE3AC6">
        <w:t xml:space="preserve"> </w:t>
      </w:r>
      <w:r w:rsidR="003C188E" w:rsidRPr="00CE3AC6">
        <w:t xml:space="preserve">an eligible financial service </w:t>
      </w:r>
      <w:r w:rsidRPr="00CE3AC6">
        <w:t xml:space="preserve">if the provider </w:t>
      </w:r>
      <w:r w:rsidR="00D0616A" w:rsidRPr="00CE3AC6">
        <w:t>lodges</w:t>
      </w:r>
      <w:r w:rsidRPr="00CE3AC6">
        <w:t xml:space="preserve"> </w:t>
      </w:r>
      <w:r w:rsidR="00A643A4" w:rsidRPr="00CE3AC6">
        <w:t xml:space="preserve">with ASIC </w:t>
      </w:r>
      <w:r w:rsidRPr="00CE3AC6">
        <w:t>a written notice to that effect.</w:t>
      </w:r>
    </w:p>
    <w:p w:rsidR="00D0616A" w:rsidRPr="00CE3AC6" w:rsidRDefault="00D0616A" w:rsidP="00D0616A">
      <w:pPr>
        <w:pStyle w:val="subsection"/>
      </w:pPr>
      <w:r w:rsidRPr="00CE3AC6">
        <w:tab/>
        <w:t>(2)</w:t>
      </w:r>
      <w:r w:rsidRPr="00CE3AC6">
        <w:tab/>
        <w:t>The cancellation takes effect on the day specified in the notice, which must not be a day before the notice is lodged</w:t>
      </w:r>
      <w:r w:rsidR="00A643A4" w:rsidRPr="00CE3AC6">
        <w:t xml:space="preserve"> with ASIC</w:t>
      </w:r>
      <w:r w:rsidRPr="00CE3AC6">
        <w:t>.</w:t>
      </w:r>
    </w:p>
    <w:p w:rsidR="003A5280" w:rsidRPr="00CE3AC6" w:rsidRDefault="003A5280" w:rsidP="003A5280">
      <w:pPr>
        <w:pStyle w:val="ActHead2"/>
        <w:pageBreakBefore/>
      </w:pPr>
      <w:bookmarkStart w:id="26" w:name="_Toc38951895"/>
      <w:r w:rsidRPr="00BB596D">
        <w:rPr>
          <w:rStyle w:val="CharPartNo"/>
        </w:rPr>
        <w:t>Part</w:t>
      </w:r>
      <w:r w:rsidR="00CE3AC6" w:rsidRPr="00BB596D">
        <w:rPr>
          <w:rStyle w:val="CharPartNo"/>
        </w:rPr>
        <w:t> </w:t>
      </w:r>
      <w:r w:rsidRPr="00BB596D">
        <w:rPr>
          <w:rStyle w:val="CharPartNo"/>
        </w:rPr>
        <w:t>4</w:t>
      </w:r>
      <w:r w:rsidRPr="00CE3AC6">
        <w:t>—</w:t>
      </w:r>
      <w:r w:rsidRPr="00BB596D">
        <w:rPr>
          <w:rStyle w:val="CharPartText"/>
        </w:rPr>
        <w:t>Requirements for the exemption to exist</w:t>
      </w:r>
      <w:bookmarkEnd w:id="26"/>
    </w:p>
    <w:p w:rsidR="007F798B" w:rsidRPr="00BB596D" w:rsidRDefault="007F798B" w:rsidP="007F798B">
      <w:pPr>
        <w:pStyle w:val="Header"/>
      </w:pPr>
      <w:r w:rsidRPr="00BB596D">
        <w:rPr>
          <w:rStyle w:val="CharDivNo"/>
        </w:rPr>
        <w:t xml:space="preserve"> </w:t>
      </w:r>
      <w:r w:rsidRPr="00BB596D">
        <w:rPr>
          <w:rStyle w:val="CharDivText"/>
        </w:rPr>
        <w:t xml:space="preserve"> </w:t>
      </w:r>
    </w:p>
    <w:p w:rsidR="003A5280" w:rsidRPr="00CE3AC6" w:rsidRDefault="00D23B3B" w:rsidP="003A5280">
      <w:pPr>
        <w:pStyle w:val="ActHead5"/>
      </w:pPr>
      <w:bookmarkStart w:id="27" w:name="_Toc38951896"/>
      <w:r w:rsidRPr="00BB596D">
        <w:rPr>
          <w:rStyle w:val="CharSectno"/>
        </w:rPr>
        <w:t>16</w:t>
      </w:r>
      <w:r w:rsidR="003A5280" w:rsidRPr="00CE3AC6">
        <w:t xml:space="preserve">  </w:t>
      </w:r>
      <w:r w:rsidR="00FC02CD" w:rsidRPr="00CE3AC6">
        <w:t xml:space="preserve">Lodging a </w:t>
      </w:r>
      <w:r w:rsidR="0070118B" w:rsidRPr="00CE3AC6">
        <w:t>valid</w:t>
      </w:r>
      <w:r w:rsidR="00FC02CD" w:rsidRPr="00CE3AC6">
        <w:t xml:space="preserve"> </w:t>
      </w:r>
      <w:r w:rsidR="00203F9D" w:rsidRPr="00CE3AC6">
        <w:t>notification</w:t>
      </w:r>
      <w:r w:rsidR="00FC02CD" w:rsidRPr="00CE3AC6">
        <w:t xml:space="preserve"> for</w:t>
      </w:r>
      <w:r w:rsidR="003A5280" w:rsidRPr="00CE3AC6">
        <w:t xml:space="preserve"> </w:t>
      </w:r>
      <w:r w:rsidR="00841435" w:rsidRPr="00CE3AC6">
        <w:t xml:space="preserve">eligible </w:t>
      </w:r>
      <w:r w:rsidR="003A5280" w:rsidRPr="00CE3AC6">
        <w:t>financial services</w:t>
      </w:r>
      <w:bookmarkEnd w:id="27"/>
    </w:p>
    <w:p w:rsidR="00913540" w:rsidRPr="00CE3AC6" w:rsidRDefault="00913540" w:rsidP="00913540">
      <w:pPr>
        <w:pStyle w:val="subsection"/>
      </w:pPr>
      <w:r w:rsidRPr="00CE3AC6">
        <w:tab/>
        <w:t>(1)</w:t>
      </w:r>
      <w:r w:rsidRPr="00CE3AC6">
        <w:tab/>
        <w:t xml:space="preserve">The provider’s </w:t>
      </w:r>
      <w:r w:rsidR="00203F9D" w:rsidRPr="00CE3AC6">
        <w:t xml:space="preserve">notification </w:t>
      </w:r>
      <w:r w:rsidRPr="00CE3AC6">
        <w:t>complies with this subsection for an eligible financial service if:</w:t>
      </w:r>
    </w:p>
    <w:p w:rsidR="00913540" w:rsidRPr="00CE3AC6" w:rsidRDefault="006C6C7B" w:rsidP="00913540">
      <w:pPr>
        <w:pStyle w:val="paragraph"/>
      </w:pPr>
      <w:r w:rsidRPr="00CE3AC6">
        <w:tab/>
        <w:t>(a)</w:t>
      </w:r>
      <w:r w:rsidRPr="00CE3AC6">
        <w:tab/>
      </w:r>
      <w:r w:rsidR="00913540" w:rsidRPr="00CE3AC6">
        <w:t xml:space="preserve">the </w:t>
      </w:r>
      <w:r w:rsidR="00203F9D" w:rsidRPr="00CE3AC6">
        <w:t xml:space="preserve">notification </w:t>
      </w:r>
      <w:r w:rsidR="00913540" w:rsidRPr="00CE3AC6">
        <w:t xml:space="preserve">includes the matters in </w:t>
      </w:r>
      <w:r w:rsidR="00CE3AC6" w:rsidRPr="00CE3AC6">
        <w:t>subsection (</w:t>
      </w:r>
      <w:r w:rsidR="00913540" w:rsidRPr="00CE3AC6">
        <w:t>2); and</w:t>
      </w:r>
    </w:p>
    <w:p w:rsidR="00913540" w:rsidRPr="00CE3AC6" w:rsidRDefault="006C6C7B" w:rsidP="00913540">
      <w:pPr>
        <w:pStyle w:val="paragraph"/>
      </w:pPr>
      <w:r w:rsidRPr="00CE3AC6">
        <w:tab/>
        <w:t>(b)</w:t>
      </w:r>
      <w:r w:rsidRPr="00CE3AC6">
        <w:tab/>
      </w:r>
      <w:r w:rsidR="00913540" w:rsidRPr="00CE3AC6">
        <w:t xml:space="preserve">the </w:t>
      </w:r>
      <w:r w:rsidR="00203F9D" w:rsidRPr="00CE3AC6">
        <w:t xml:space="preserve">notification </w:t>
      </w:r>
      <w:r w:rsidR="00913540" w:rsidRPr="00CE3AC6">
        <w:t xml:space="preserve">states that the provider is proposing to use the exemption under section </w:t>
      </w:r>
      <w:r w:rsidR="00D23B3B" w:rsidRPr="00CE3AC6">
        <w:t>6</w:t>
      </w:r>
      <w:r w:rsidR="00913540" w:rsidRPr="00CE3AC6">
        <w:t xml:space="preserve"> for the eligible financial service; and</w:t>
      </w:r>
    </w:p>
    <w:p w:rsidR="00913540" w:rsidRPr="00CE3AC6" w:rsidRDefault="006C6C7B" w:rsidP="00913540">
      <w:pPr>
        <w:pStyle w:val="paragraph"/>
      </w:pPr>
      <w:r w:rsidRPr="00CE3AC6">
        <w:tab/>
        <w:t>(c)</w:t>
      </w:r>
      <w:r w:rsidRPr="00CE3AC6">
        <w:tab/>
      </w:r>
      <w:r w:rsidR="00913540" w:rsidRPr="00CE3AC6">
        <w:t xml:space="preserve">if the eligible financial service (the </w:t>
      </w:r>
      <w:r w:rsidR="00913540" w:rsidRPr="00CE3AC6">
        <w:rPr>
          <w:b/>
          <w:i/>
        </w:rPr>
        <w:t>current service</w:t>
      </w:r>
      <w:r w:rsidR="00913540" w:rsidRPr="00CE3AC6">
        <w:t>) is a product</w:t>
      </w:r>
      <w:r w:rsidR="00CE3AC6">
        <w:noBreakHyphen/>
      </w:r>
      <w:r w:rsidR="00913540" w:rsidRPr="00CE3AC6">
        <w:t xml:space="preserve">type service—no earlier exemption under section </w:t>
      </w:r>
      <w:r w:rsidR="00D23B3B" w:rsidRPr="00CE3AC6">
        <w:t>6</w:t>
      </w:r>
      <w:r w:rsidR="00913540" w:rsidRPr="00CE3AC6">
        <w:t xml:space="preserve"> has been obtained:</w:t>
      </w:r>
    </w:p>
    <w:p w:rsidR="00913540" w:rsidRPr="00CE3AC6" w:rsidRDefault="00913540" w:rsidP="00913540">
      <w:pPr>
        <w:pStyle w:val="paragraphsub"/>
      </w:pPr>
      <w:r w:rsidRPr="00CE3AC6">
        <w:tab/>
        <w:t>(i)</w:t>
      </w:r>
      <w:r w:rsidRPr="00CE3AC6">
        <w:tab/>
        <w:t xml:space="preserve">for a financial service of the same </w:t>
      </w:r>
      <w:r w:rsidR="003D6FE3" w:rsidRPr="00CE3AC6">
        <w:t>kind</w:t>
      </w:r>
      <w:r w:rsidRPr="00CE3AC6">
        <w:t xml:space="preserve"> that </w:t>
      </w:r>
      <w:r w:rsidR="00AC7F2A" w:rsidRPr="00CE3AC6">
        <w:t xml:space="preserve">is </w:t>
      </w:r>
      <w:r w:rsidRPr="00CE3AC6">
        <w:t>wholly or partly related to the kind of financial product that the current service relates to; and</w:t>
      </w:r>
    </w:p>
    <w:p w:rsidR="00913540" w:rsidRPr="00CE3AC6" w:rsidRDefault="00913540" w:rsidP="00913540">
      <w:pPr>
        <w:pStyle w:val="paragraphsub"/>
      </w:pPr>
      <w:r w:rsidRPr="00CE3AC6">
        <w:tab/>
        <w:t>(ii)</w:t>
      </w:r>
      <w:r w:rsidRPr="00CE3AC6">
        <w:tab/>
        <w:t>by the provider or by a related body corporate of the provider; and</w:t>
      </w:r>
    </w:p>
    <w:p w:rsidR="00913540" w:rsidRPr="00CE3AC6" w:rsidRDefault="006C6C7B" w:rsidP="00913540">
      <w:pPr>
        <w:pStyle w:val="paragraph"/>
      </w:pPr>
      <w:r w:rsidRPr="00CE3AC6">
        <w:tab/>
        <w:t>(d)</w:t>
      </w:r>
      <w:r w:rsidRPr="00CE3AC6">
        <w:tab/>
      </w:r>
      <w:r w:rsidR="00913540" w:rsidRPr="00CE3AC6">
        <w:t>no related body corporate of the provider currently has:</w:t>
      </w:r>
    </w:p>
    <w:p w:rsidR="00913540" w:rsidRPr="00CE3AC6" w:rsidRDefault="00913540" w:rsidP="00913540">
      <w:pPr>
        <w:pStyle w:val="paragraphsub"/>
      </w:pPr>
      <w:r w:rsidRPr="00CE3AC6">
        <w:tab/>
        <w:t>(i)</w:t>
      </w:r>
      <w:r w:rsidRPr="00CE3AC6">
        <w:tab/>
        <w:t xml:space="preserve">an exemption under section </w:t>
      </w:r>
      <w:r w:rsidR="00D23B3B" w:rsidRPr="00CE3AC6">
        <w:t>6</w:t>
      </w:r>
      <w:r w:rsidRPr="00CE3AC6">
        <w:t xml:space="preserve"> for an eligible financial service; or</w:t>
      </w:r>
    </w:p>
    <w:p w:rsidR="00913540" w:rsidRPr="00CE3AC6" w:rsidRDefault="00913540" w:rsidP="00913540">
      <w:pPr>
        <w:pStyle w:val="paragraphsub"/>
      </w:pPr>
      <w:r w:rsidRPr="00CE3AC6">
        <w:tab/>
        <w:t>(ii)</w:t>
      </w:r>
      <w:r w:rsidRPr="00CE3AC6">
        <w:tab/>
        <w:t>an exemption under section</w:t>
      </w:r>
      <w:r w:rsidR="00CE3AC6" w:rsidRPr="00CE3AC6">
        <w:t> </w:t>
      </w:r>
      <w:r w:rsidRPr="00CE3AC6">
        <w:t xml:space="preserve">6 of the </w:t>
      </w:r>
      <w:r w:rsidR="00DB2358" w:rsidRPr="00CE3AC6">
        <w:rPr>
          <w:rFonts w:eastAsiaTheme="minorHAnsi"/>
          <w:i/>
        </w:rPr>
        <w:t>National Consumer Credit Protection (FinTech Sandbox Australian Credit Licence Exemption) Regulations</w:t>
      </w:r>
      <w:r w:rsidR="00CE3AC6" w:rsidRPr="00CE3AC6">
        <w:rPr>
          <w:rFonts w:eastAsiaTheme="minorHAnsi"/>
          <w:i/>
        </w:rPr>
        <w:t> </w:t>
      </w:r>
      <w:r w:rsidR="00DB2358" w:rsidRPr="00CE3AC6">
        <w:rPr>
          <w:rFonts w:eastAsiaTheme="minorHAnsi"/>
          <w:i/>
        </w:rPr>
        <w:t>2020</w:t>
      </w:r>
      <w:r w:rsidRPr="00CE3AC6">
        <w:t>; and</w:t>
      </w:r>
    </w:p>
    <w:p w:rsidR="00913540" w:rsidRPr="00CE3AC6" w:rsidRDefault="006C6C7B" w:rsidP="00913540">
      <w:pPr>
        <w:pStyle w:val="paragraph"/>
      </w:pPr>
      <w:r w:rsidRPr="00CE3AC6">
        <w:tab/>
        <w:t>(e)</w:t>
      </w:r>
      <w:r w:rsidRPr="00CE3AC6">
        <w:tab/>
      </w:r>
      <w:r w:rsidR="00913540" w:rsidRPr="00CE3AC6">
        <w:t>no related body corporate of the provider has lodged with ASIC:</w:t>
      </w:r>
    </w:p>
    <w:p w:rsidR="00913540" w:rsidRPr="00CE3AC6" w:rsidRDefault="00913540" w:rsidP="00913540">
      <w:pPr>
        <w:pStyle w:val="paragraphsub"/>
      </w:pPr>
      <w:r w:rsidRPr="00CE3AC6">
        <w:tab/>
        <w:t>(i)</w:t>
      </w:r>
      <w:r w:rsidRPr="00CE3AC6">
        <w:tab/>
        <w:t xml:space="preserve">a </w:t>
      </w:r>
      <w:r w:rsidR="00203F9D" w:rsidRPr="00CE3AC6">
        <w:t xml:space="preserve">notification </w:t>
      </w:r>
      <w:r w:rsidRPr="00CE3AC6">
        <w:t xml:space="preserve">under this instrument that includes the matters in </w:t>
      </w:r>
      <w:r w:rsidR="00CE3AC6" w:rsidRPr="00CE3AC6">
        <w:t>subsection (</w:t>
      </w:r>
      <w:r w:rsidRPr="00CE3AC6">
        <w:t>2); or</w:t>
      </w:r>
    </w:p>
    <w:p w:rsidR="00913540" w:rsidRPr="00CE3AC6" w:rsidRDefault="00913540" w:rsidP="00913540">
      <w:pPr>
        <w:pStyle w:val="paragraphsub"/>
        <w:rPr>
          <w:rFonts w:eastAsiaTheme="minorHAnsi"/>
        </w:rPr>
      </w:pPr>
      <w:r w:rsidRPr="00CE3AC6">
        <w:tab/>
        <w:t>(ii)</w:t>
      </w:r>
      <w:r w:rsidRPr="00CE3AC6">
        <w:tab/>
        <w:t xml:space="preserve">a </w:t>
      </w:r>
      <w:r w:rsidR="00203F9D" w:rsidRPr="00CE3AC6">
        <w:t xml:space="preserve">notification </w:t>
      </w:r>
      <w:r w:rsidRPr="00CE3AC6">
        <w:t xml:space="preserve">under the </w:t>
      </w:r>
      <w:r w:rsidR="00DB2358" w:rsidRPr="00CE3AC6">
        <w:rPr>
          <w:rFonts w:eastAsiaTheme="minorHAnsi"/>
          <w:i/>
        </w:rPr>
        <w:t>National Consumer Credit Protection (FinTech Sandbox Australian Credit Licence Exemption) Regulations</w:t>
      </w:r>
      <w:r w:rsidR="00CE3AC6" w:rsidRPr="00CE3AC6">
        <w:rPr>
          <w:rFonts w:eastAsiaTheme="minorHAnsi"/>
          <w:i/>
        </w:rPr>
        <w:t> </w:t>
      </w:r>
      <w:r w:rsidR="00DB2358" w:rsidRPr="00CE3AC6">
        <w:rPr>
          <w:rFonts w:eastAsiaTheme="minorHAnsi"/>
          <w:i/>
        </w:rPr>
        <w:t>2020</w:t>
      </w:r>
      <w:r w:rsidR="00DB2358" w:rsidRPr="00CE3AC6">
        <w:rPr>
          <w:rFonts w:eastAsiaTheme="minorHAnsi"/>
        </w:rPr>
        <w:t xml:space="preserve"> </w:t>
      </w:r>
      <w:r w:rsidRPr="00CE3AC6">
        <w:rPr>
          <w:rFonts w:eastAsiaTheme="minorHAnsi"/>
        </w:rPr>
        <w:t xml:space="preserve">that includes the matters in </w:t>
      </w:r>
      <w:r w:rsidRPr="00CE3AC6">
        <w:t>subsection</w:t>
      </w:r>
      <w:r w:rsidR="00CE3AC6" w:rsidRPr="00CE3AC6">
        <w:t> </w:t>
      </w:r>
      <w:r w:rsidRPr="00CE3AC6">
        <w:t>13(2) of that instrument</w:t>
      </w:r>
      <w:r w:rsidRPr="00CE3AC6">
        <w:rPr>
          <w:rFonts w:eastAsiaTheme="minorHAnsi"/>
        </w:rPr>
        <w:t>;</w:t>
      </w:r>
    </w:p>
    <w:p w:rsidR="00913540" w:rsidRPr="00CE3AC6" w:rsidRDefault="00913540" w:rsidP="00913540">
      <w:pPr>
        <w:pStyle w:val="paragraph"/>
      </w:pPr>
      <w:r w:rsidRPr="00CE3AC6">
        <w:tab/>
      </w:r>
      <w:r w:rsidRPr="00CE3AC6">
        <w:tab/>
      </w:r>
      <w:r w:rsidR="007C37DF" w:rsidRPr="00CE3AC6">
        <w:t>during the 30</w:t>
      </w:r>
      <w:r w:rsidR="00CE3AC6">
        <w:noBreakHyphen/>
      </w:r>
      <w:r w:rsidRPr="00CE3AC6">
        <w:t xml:space="preserve">day period ending </w:t>
      </w:r>
      <w:r w:rsidR="007C37DF" w:rsidRPr="00CE3AC6">
        <w:t>on the day</w:t>
      </w:r>
      <w:r w:rsidRPr="00CE3AC6">
        <w:t xml:space="preserve"> the </w:t>
      </w:r>
      <w:r w:rsidR="00203F9D" w:rsidRPr="00CE3AC6">
        <w:t>notification</w:t>
      </w:r>
      <w:r w:rsidRPr="00CE3AC6">
        <w:t xml:space="preserve"> referred to in </w:t>
      </w:r>
      <w:r w:rsidR="00CE3AC6" w:rsidRPr="00CE3AC6">
        <w:t>paragraph (</w:t>
      </w:r>
      <w:r w:rsidRPr="00CE3AC6">
        <w:t xml:space="preserve">a) </w:t>
      </w:r>
      <w:r w:rsidR="00FD728F" w:rsidRPr="00CE3AC6">
        <w:t xml:space="preserve">of this subsection </w:t>
      </w:r>
      <w:r w:rsidRPr="00CE3AC6">
        <w:t>is lodged with ASIC.</w:t>
      </w:r>
    </w:p>
    <w:p w:rsidR="00913540" w:rsidRPr="00CE3AC6" w:rsidRDefault="00913540" w:rsidP="00913540">
      <w:pPr>
        <w:pStyle w:val="notetext"/>
      </w:pPr>
      <w:r w:rsidRPr="00CE3AC6">
        <w:t>Note:</w:t>
      </w:r>
      <w:r w:rsidRPr="00CE3AC6">
        <w:tab/>
        <w:t>A consequence of this subsection is that only one member of a group of related bodies corporate can ever use the exemption to test financial services at any one time.</w:t>
      </w:r>
    </w:p>
    <w:p w:rsidR="003A5280" w:rsidRPr="00CE3AC6" w:rsidRDefault="003A5280" w:rsidP="003A5280">
      <w:pPr>
        <w:pStyle w:val="subsection"/>
      </w:pPr>
      <w:r w:rsidRPr="00CE3AC6">
        <w:tab/>
      </w:r>
      <w:r w:rsidR="001A0E19" w:rsidRPr="00CE3AC6">
        <w:t>(2</w:t>
      </w:r>
      <w:r w:rsidR="0053330D" w:rsidRPr="00CE3AC6">
        <w:t>)</w:t>
      </w:r>
      <w:r w:rsidR="0053330D" w:rsidRPr="00CE3AC6">
        <w:tab/>
        <w:t xml:space="preserve">The matters to include in the </w:t>
      </w:r>
      <w:r w:rsidR="00203F9D" w:rsidRPr="00CE3AC6">
        <w:t>notification</w:t>
      </w:r>
      <w:r w:rsidR="0053330D" w:rsidRPr="00CE3AC6">
        <w:t xml:space="preserve"> are as follows:</w:t>
      </w:r>
    </w:p>
    <w:p w:rsidR="003A5280" w:rsidRPr="00CE3AC6" w:rsidRDefault="00C66A18" w:rsidP="003A5280">
      <w:pPr>
        <w:pStyle w:val="paragraph"/>
      </w:pPr>
      <w:r w:rsidRPr="00CE3AC6">
        <w:tab/>
        <w:t>(a)</w:t>
      </w:r>
      <w:r w:rsidRPr="00CE3AC6">
        <w:tab/>
      </w:r>
      <w:r w:rsidR="003A5280" w:rsidRPr="00CE3AC6">
        <w:t>the provider’s name, address and contact details;</w:t>
      </w:r>
    </w:p>
    <w:p w:rsidR="003A5280" w:rsidRPr="00CE3AC6" w:rsidRDefault="00C66A18" w:rsidP="003A5280">
      <w:pPr>
        <w:pStyle w:val="paragraph"/>
      </w:pPr>
      <w:r w:rsidRPr="00CE3AC6">
        <w:tab/>
        <w:t>(b)</w:t>
      </w:r>
      <w:r w:rsidRPr="00CE3AC6">
        <w:tab/>
      </w:r>
      <w:r w:rsidR="003A5280" w:rsidRPr="00CE3AC6">
        <w:t>the address of the provider’s website (if any);</w:t>
      </w:r>
    </w:p>
    <w:p w:rsidR="003A5280" w:rsidRPr="00CE3AC6" w:rsidRDefault="00C66A18" w:rsidP="0084300E">
      <w:pPr>
        <w:pStyle w:val="paragraph"/>
      </w:pPr>
      <w:r w:rsidRPr="00CE3AC6">
        <w:tab/>
        <w:t>(c)</w:t>
      </w:r>
      <w:r w:rsidRPr="00CE3AC6">
        <w:tab/>
      </w:r>
      <w:r w:rsidR="003A5280" w:rsidRPr="00CE3AC6">
        <w:t>if th</w:t>
      </w:r>
      <w:r w:rsidR="0084300E" w:rsidRPr="00CE3AC6">
        <w:t>e provider is a natural person—</w:t>
      </w:r>
      <w:r w:rsidR="00980D71" w:rsidRPr="00CE3AC6">
        <w:t>the person’s date of birth;</w:t>
      </w:r>
    </w:p>
    <w:p w:rsidR="003A5280" w:rsidRPr="00CE3AC6" w:rsidRDefault="00C66A18" w:rsidP="003A5280">
      <w:pPr>
        <w:pStyle w:val="paragraph"/>
      </w:pPr>
      <w:r w:rsidRPr="00CE3AC6">
        <w:tab/>
        <w:t>(d)</w:t>
      </w:r>
      <w:r w:rsidRPr="00CE3AC6">
        <w:tab/>
      </w:r>
      <w:r w:rsidR="003A5280" w:rsidRPr="00CE3AC6">
        <w:t>if the provider is a body corporate:</w:t>
      </w:r>
    </w:p>
    <w:p w:rsidR="003A5280" w:rsidRPr="00CE3AC6" w:rsidRDefault="003A5280" w:rsidP="003A5280">
      <w:pPr>
        <w:pStyle w:val="paragraphsub"/>
      </w:pPr>
      <w:r w:rsidRPr="00CE3AC6">
        <w:tab/>
        <w:t>(i)</w:t>
      </w:r>
      <w:r w:rsidRPr="00CE3AC6">
        <w:tab/>
        <w:t>the provider’s ABN, ACN and ARBN, if any; and</w:t>
      </w:r>
    </w:p>
    <w:p w:rsidR="003A5280" w:rsidRPr="00CE3AC6" w:rsidRDefault="0084300E" w:rsidP="003A5280">
      <w:pPr>
        <w:pStyle w:val="paragraphsub"/>
      </w:pPr>
      <w:r w:rsidRPr="00CE3AC6">
        <w:tab/>
        <w:t>(ii</w:t>
      </w:r>
      <w:r w:rsidR="003A5280" w:rsidRPr="00CE3AC6">
        <w:t>)</w:t>
      </w:r>
      <w:r w:rsidR="003A5280" w:rsidRPr="00CE3AC6">
        <w:tab/>
        <w:t xml:space="preserve">the name and contact details of a contact person who is a natural person </w:t>
      </w:r>
      <w:r w:rsidR="00A61D8E" w:rsidRPr="00CE3AC6">
        <w:t>who</w:t>
      </w:r>
      <w:r w:rsidR="003A5280" w:rsidRPr="00CE3AC6">
        <w:t xml:space="preserve"> can be contacted in relation to the notice;</w:t>
      </w:r>
    </w:p>
    <w:p w:rsidR="003A5280" w:rsidRPr="00CE3AC6" w:rsidRDefault="00C66A18" w:rsidP="003A5280">
      <w:pPr>
        <w:pStyle w:val="paragraph"/>
      </w:pPr>
      <w:r w:rsidRPr="00CE3AC6">
        <w:tab/>
        <w:t>(e)</w:t>
      </w:r>
      <w:r w:rsidRPr="00CE3AC6">
        <w:tab/>
      </w:r>
      <w:r w:rsidR="003A5280" w:rsidRPr="00CE3AC6">
        <w:t>if the provider is:</w:t>
      </w:r>
    </w:p>
    <w:p w:rsidR="003A5280" w:rsidRPr="00CE3AC6" w:rsidRDefault="003A5280" w:rsidP="003A5280">
      <w:pPr>
        <w:pStyle w:val="paragraphsub"/>
      </w:pPr>
      <w:r w:rsidRPr="00CE3AC6">
        <w:tab/>
        <w:t>(i)</w:t>
      </w:r>
      <w:r w:rsidRPr="00CE3AC6">
        <w:tab/>
        <w:t>a financial services licensee; or</w:t>
      </w:r>
    </w:p>
    <w:p w:rsidR="003A5280" w:rsidRPr="00CE3AC6" w:rsidRDefault="003A5280" w:rsidP="003A5280">
      <w:pPr>
        <w:pStyle w:val="paragraphsub"/>
      </w:pPr>
      <w:r w:rsidRPr="00CE3AC6">
        <w:tab/>
        <w:t>(ii)</w:t>
      </w:r>
      <w:r w:rsidRPr="00CE3AC6">
        <w:tab/>
        <w:t>an authorised representative of a financial services licensee; or</w:t>
      </w:r>
    </w:p>
    <w:p w:rsidR="003A5280" w:rsidRPr="00CE3AC6" w:rsidRDefault="003A5280" w:rsidP="003A5280">
      <w:pPr>
        <w:pStyle w:val="paragraphsub"/>
      </w:pPr>
      <w:r w:rsidRPr="00CE3AC6">
        <w:tab/>
        <w:t>(iii)</w:t>
      </w:r>
      <w:r w:rsidRPr="00CE3AC6">
        <w:tab/>
        <w:t xml:space="preserve">a related body corporate of a person referred to in </w:t>
      </w:r>
      <w:r w:rsidR="00CE3AC6" w:rsidRPr="00CE3AC6">
        <w:t>subparagraph (</w:t>
      </w:r>
      <w:r w:rsidRPr="00CE3AC6">
        <w:t>i) or (ii);</w:t>
      </w:r>
    </w:p>
    <w:p w:rsidR="003A5280" w:rsidRPr="00CE3AC6" w:rsidRDefault="003A5280" w:rsidP="003A5280">
      <w:pPr>
        <w:pStyle w:val="paragraph"/>
      </w:pPr>
      <w:r w:rsidRPr="00CE3AC6">
        <w:tab/>
      </w:r>
      <w:r w:rsidRPr="00CE3AC6">
        <w:tab/>
        <w:t>the licence number, given under section</w:t>
      </w:r>
      <w:r w:rsidR="00CE3AC6" w:rsidRPr="00CE3AC6">
        <w:t> </w:t>
      </w:r>
      <w:r w:rsidRPr="00CE3AC6">
        <w:t>913C of the Act, to that licensee;</w:t>
      </w:r>
    </w:p>
    <w:p w:rsidR="003A5280" w:rsidRPr="00CE3AC6" w:rsidRDefault="00C66A18" w:rsidP="003A5280">
      <w:pPr>
        <w:pStyle w:val="paragraph"/>
      </w:pPr>
      <w:r w:rsidRPr="00CE3AC6">
        <w:tab/>
        <w:t>(f)</w:t>
      </w:r>
      <w:r w:rsidRPr="00CE3AC6">
        <w:tab/>
      </w:r>
      <w:r w:rsidR="003A5280" w:rsidRPr="00CE3AC6">
        <w:t xml:space="preserve">a description of </w:t>
      </w:r>
      <w:r w:rsidR="00373BCB" w:rsidRPr="00CE3AC6">
        <w:t>each</w:t>
      </w:r>
      <w:r w:rsidR="00A311EA" w:rsidRPr="00CE3AC6">
        <w:t xml:space="preserve"> eligible </w:t>
      </w:r>
      <w:r w:rsidR="00124ACA" w:rsidRPr="00CE3AC6">
        <w:t>financial service</w:t>
      </w:r>
      <w:r w:rsidR="00AA4349" w:rsidRPr="00CE3AC6">
        <w:t xml:space="preserve"> (including of any related kind</w:t>
      </w:r>
      <w:r w:rsidR="00A311EA" w:rsidRPr="00CE3AC6">
        <w:t xml:space="preserve"> of financial product) </w:t>
      </w:r>
      <w:r w:rsidR="00124ACA" w:rsidRPr="00CE3AC6">
        <w:t xml:space="preserve">for which the provider is proposing to use the </w:t>
      </w:r>
      <w:r w:rsidR="003A5280" w:rsidRPr="00CE3AC6">
        <w:t xml:space="preserve">exemption under </w:t>
      </w:r>
      <w:r w:rsidR="009E2443" w:rsidRPr="00CE3AC6">
        <w:t xml:space="preserve">section </w:t>
      </w:r>
      <w:r w:rsidR="00D23B3B" w:rsidRPr="00CE3AC6">
        <w:t>6</w:t>
      </w:r>
      <w:r w:rsidR="003A5280" w:rsidRPr="00CE3AC6">
        <w:t>;</w:t>
      </w:r>
    </w:p>
    <w:p w:rsidR="00086962" w:rsidRPr="00CE3AC6" w:rsidRDefault="00C66A18" w:rsidP="003A5280">
      <w:pPr>
        <w:pStyle w:val="paragraph"/>
      </w:pPr>
      <w:r w:rsidRPr="00CE3AC6">
        <w:tab/>
        <w:t>(g)</w:t>
      </w:r>
      <w:r w:rsidRPr="00CE3AC6">
        <w:tab/>
      </w:r>
      <w:r w:rsidR="00086962" w:rsidRPr="00CE3AC6">
        <w:t xml:space="preserve">a justification of why exempting each eligible financial service covered by </w:t>
      </w:r>
      <w:r w:rsidR="00CE3AC6" w:rsidRPr="00CE3AC6">
        <w:t>paragraph (</w:t>
      </w:r>
      <w:r w:rsidR="00086962" w:rsidRPr="00CE3AC6">
        <w:t>f) will result, or be likely to result, in a benefit to the public that will outweigh the detriment to the public that will result, or be likely to result, from exempting that service;</w:t>
      </w:r>
    </w:p>
    <w:p w:rsidR="00465469" w:rsidRPr="00CE3AC6" w:rsidRDefault="00C66A18" w:rsidP="003A5280">
      <w:pPr>
        <w:pStyle w:val="paragraph"/>
      </w:pPr>
      <w:r w:rsidRPr="00CE3AC6">
        <w:tab/>
        <w:t>(h)</w:t>
      </w:r>
      <w:r w:rsidRPr="00CE3AC6">
        <w:tab/>
      </w:r>
      <w:r w:rsidR="00465469" w:rsidRPr="00CE3AC6">
        <w:t xml:space="preserve">a justification of why each eligible financial service covered by </w:t>
      </w:r>
      <w:r w:rsidR="00CE3AC6" w:rsidRPr="00CE3AC6">
        <w:t>paragraph (</w:t>
      </w:r>
      <w:r w:rsidR="00465469" w:rsidRPr="00CE3AC6">
        <w:t>f):</w:t>
      </w:r>
    </w:p>
    <w:p w:rsidR="00465469" w:rsidRPr="00CE3AC6" w:rsidRDefault="00465469" w:rsidP="00465469">
      <w:pPr>
        <w:pStyle w:val="paragraphsub"/>
      </w:pPr>
      <w:r w:rsidRPr="00CE3AC6">
        <w:rPr>
          <w:szCs w:val="22"/>
        </w:rPr>
        <w:tab/>
        <w:t>(i)</w:t>
      </w:r>
      <w:r w:rsidRPr="00CE3AC6">
        <w:rPr>
          <w:szCs w:val="22"/>
        </w:rPr>
        <w:tab/>
        <w:t>is new; or</w:t>
      </w:r>
    </w:p>
    <w:p w:rsidR="00465469" w:rsidRPr="00CE3AC6" w:rsidRDefault="00465469" w:rsidP="00465469">
      <w:pPr>
        <w:pStyle w:val="paragraphsub"/>
      </w:pPr>
      <w:r w:rsidRPr="00CE3AC6">
        <w:rPr>
          <w:szCs w:val="22"/>
        </w:rPr>
        <w:tab/>
        <w:t>(ii)</w:t>
      </w:r>
      <w:r w:rsidRPr="00CE3AC6">
        <w:rPr>
          <w:szCs w:val="22"/>
        </w:rPr>
        <w:tab/>
        <w:t>is a new adaptation, or new improvement, of another financial service;</w:t>
      </w:r>
    </w:p>
    <w:p w:rsidR="003A5280" w:rsidRPr="00CE3AC6" w:rsidRDefault="00C66A18" w:rsidP="003A5280">
      <w:pPr>
        <w:pStyle w:val="paragraph"/>
      </w:pPr>
      <w:r w:rsidRPr="00CE3AC6">
        <w:tab/>
        <w:t>(i)</w:t>
      </w:r>
      <w:r w:rsidRPr="00CE3AC6">
        <w:tab/>
      </w:r>
      <w:r w:rsidR="003A5280" w:rsidRPr="00CE3AC6">
        <w:t>the name of any person (including any related body corporate of the provider), other than an employee or director:</w:t>
      </w:r>
    </w:p>
    <w:p w:rsidR="003A5280" w:rsidRPr="00CE3AC6" w:rsidRDefault="003A5280" w:rsidP="003A5280">
      <w:pPr>
        <w:pStyle w:val="paragraphsub"/>
      </w:pPr>
      <w:r w:rsidRPr="00CE3AC6">
        <w:tab/>
        <w:t>(i)</w:t>
      </w:r>
      <w:r w:rsidRPr="00CE3AC6">
        <w:tab/>
        <w:t>of the provider; or</w:t>
      </w:r>
    </w:p>
    <w:p w:rsidR="003A5280" w:rsidRPr="00CE3AC6" w:rsidRDefault="003A5280" w:rsidP="003A5280">
      <w:pPr>
        <w:pStyle w:val="paragraphsub"/>
      </w:pPr>
      <w:r w:rsidRPr="00CE3AC6">
        <w:tab/>
        <w:t>(ii)</w:t>
      </w:r>
      <w:r w:rsidRPr="00CE3AC6">
        <w:tab/>
        <w:t>of any related body corporate of the provider;</w:t>
      </w:r>
    </w:p>
    <w:p w:rsidR="003A5280" w:rsidRPr="00CE3AC6" w:rsidRDefault="003A5280" w:rsidP="003A5280">
      <w:pPr>
        <w:pStyle w:val="paragraph"/>
      </w:pPr>
      <w:r w:rsidRPr="00CE3AC6">
        <w:tab/>
      </w:r>
      <w:r w:rsidRPr="00CE3AC6">
        <w:tab/>
        <w:t xml:space="preserve">whose role includes being responsible for making significant decisions about the ongoing provision of </w:t>
      </w:r>
      <w:r w:rsidR="0062646D" w:rsidRPr="00CE3AC6">
        <w:t>each</w:t>
      </w:r>
      <w:r w:rsidRPr="00CE3AC6">
        <w:t xml:space="preserve"> </w:t>
      </w:r>
      <w:r w:rsidR="00A311EA" w:rsidRPr="00CE3AC6">
        <w:t xml:space="preserve">eligible </w:t>
      </w:r>
      <w:r w:rsidRPr="00CE3AC6">
        <w:t xml:space="preserve">financial service covered by </w:t>
      </w:r>
      <w:r w:rsidR="00CE3AC6" w:rsidRPr="00CE3AC6">
        <w:t>paragraph (</w:t>
      </w:r>
      <w:r w:rsidRPr="00CE3AC6">
        <w:t>f), and a description of that role;</w:t>
      </w:r>
    </w:p>
    <w:p w:rsidR="00C66A18" w:rsidRPr="00CE3AC6" w:rsidRDefault="00C66A18" w:rsidP="00C66A18">
      <w:pPr>
        <w:pStyle w:val="paragraph"/>
      </w:pPr>
      <w:r w:rsidRPr="00CE3AC6">
        <w:tab/>
        <w:t>(j)</w:t>
      </w:r>
      <w:r w:rsidRPr="00CE3AC6">
        <w:tab/>
        <w:t xml:space="preserve">if </w:t>
      </w:r>
      <w:r w:rsidR="008672C2" w:rsidRPr="00CE3AC6">
        <w:t>the assumption were made</w:t>
      </w:r>
      <w:r w:rsidRPr="00CE3AC6">
        <w:t xml:space="preserve"> that each eligible financial service covered by </w:t>
      </w:r>
      <w:r w:rsidR="00CE3AC6" w:rsidRPr="00CE3AC6">
        <w:t>paragraph (</w:t>
      </w:r>
      <w:r w:rsidRPr="00CE3AC6">
        <w:t xml:space="preserve">f) </w:t>
      </w:r>
      <w:r w:rsidR="008672C2" w:rsidRPr="00CE3AC6">
        <w:t>is</w:t>
      </w:r>
      <w:r w:rsidRPr="00CE3AC6">
        <w:t xml:space="preserve"> covered by a licence—information for the purposes of ASIC making a decision about whether the requirement in section</w:t>
      </w:r>
      <w:r w:rsidR="00CE3AC6" w:rsidRPr="00CE3AC6">
        <w:t> </w:t>
      </w:r>
      <w:r w:rsidRPr="00CE3AC6">
        <w:t xml:space="preserve">913BA of the Act </w:t>
      </w:r>
      <w:r w:rsidR="009B78F5" w:rsidRPr="00CE3AC6">
        <w:t xml:space="preserve">(about the fit and proper person test) </w:t>
      </w:r>
      <w:r w:rsidRPr="00CE3AC6">
        <w:t>would be satisfied in relation to the provider and the licence;</w:t>
      </w:r>
    </w:p>
    <w:p w:rsidR="003A5280" w:rsidRPr="00CE3AC6" w:rsidRDefault="00C66A18" w:rsidP="003A5280">
      <w:pPr>
        <w:pStyle w:val="paragraph"/>
      </w:pPr>
      <w:r w:rsidRPr="00CE3AC6">
        <w:tab/>
        <w:t>(k)</w:t>
      </w:r>
      <w:r w:rsidRPr="00CE3AC6">
        <w:tab/>
      </w:r>
      <w:r w:rsidR="003A5280" w:rsidRPr="00CE3AC6">
        <w:t>a description of the procedures, memberships and arrangements by which the provider will meet the condition in s</w:t>
      </w:r>
      <w:r w:rsidR="00027A83" w:rsidRPr="00CE3AC6">
        <w:t xml:space="preserve">ection </w:t>
      </w:r>
      <w:r w:rsidR="00D23B3B" w:rsidRPr="00CE3AC6">
        <w:t>20</w:t>
      </w:r>
      <w:r w:rsidR="003A5280" w:rsidRPr="00CE3AC6">
        <w:t xml:space="preserve"> (about dispute reso</w:t>
      </w:r>
      <w:r w:rsidR="0062646D" w:rsidRPr="00CE3AC6">
        <w:t>lution and compensation) for each</w:t>
      </w:r>
      <w:r w:rsidR="003A5280" w:rsidRPr="00CE3AC6">
        <w:t xml:space="preserve"> </w:t>
      </w:r>
      <w:r w:rsidR="00A311EA" w:rsidRPr="00CE3AC6">
        <w:t xml:space="preserve">eligible </w:t>
      </w:r>
      <w:r w:rsidR="003A5280" w:rsidRPr="00CE3AC6">
        <w:t xml:space="preserve">financial service covered by </w:t>
      </w:r>
      <w:r w:rsidR="00CE3AC6" w:rsidRPr="00CE3AC6">
        <w:t>paragraph (</w:t>
      </w:r>
      <w:r w:rsidR="00EA4982" w:rsidRPr="00CE3AC6">
        <w:t>f).</w:t>
      </w:r>
    </w:p>
    <w:p w:rsidR="00373BCB" w:rsidRPr="00CE3AC6" w:rsidRDefault="00373BCB" w:rsidP="00373BCB">
      <w:pPr>
        <w:pStyle w:val="notetext"/>
      </w:pPr>
      <w:r w:rsidRPr="00CE3AC6">
        <w:t>Note</w:t>
      </w:r>
      <w:r w:rsidR="009E08E3" w:rsidRPr="00CE3AC6">
        <w:t xml:space="preserve"> 1</w:t>
      </w:r>
      <w:r w:rsidRPr="00CE3AC6">
        <w:t>:</w:t>
      </w:r>
      <w:r w:rsidRPr="00CE3AC6">
        <w:tab/>
      </w:r>
      <w:r w:rsidR="0062646D" w:rsidRPr="00CE3AC6">
        <w:t xml:space="preserve">The same </w:t>
      </w:r>
      <w:r w:rsidR="00203F9D" w:rsidRPr="00CE3AC6">
        <w:t>notification</w:t>
      </w:r>
      <w:r w:rsidR="0062646D" w:rsidRPr="00CE3AC6">
        <w:t xml:space="preserve"> may specify multiple eligible financial services. If it does, each of them will be the subject of a separate exemption under section </w:t>
      </w:r>
      <w:r w:rsidR="00D23B3B" w:rsidRPr="00CE3AC6">
        <w:t>6</w:t>
      </w:r>
      <w:r w:rsidR="0062646D" w:rsidRPr="00CE3AC6">
        <w:t xml:space="preserve"> (assuming the other eligibility criteria </w:t>
      </w:r>
      <w:r w:rsidR="00FC719D" w:rsidRPr="00CE3AC6">
        <w:t>are</w:t>
      </w:r>
      <w:r w:rsidR="0062646D" w:rsidRPr="00CE3AC6">
        <w:t xml:space="preserve"> satisfied).</w:t>
      </w:r>
    </w:p>
    <w:p w:rsidR="00390E44" w:rsidRPr="00CE3AC6" w:rsidRDefault="00390E44" w:rsidP="00390E44">
      <w:pPr>
        <w:pStyle w:val="notetext"/>
      </w:pPr>
      <w:r w:rsidRPr="00CE3AC6">
        <w:t>Note 2:</w:t>
      </w:r>
      <w:r w:rsidRPr="00CE3AC6">
        <w:tab/>
      </w:r>
      <w:r w:rsidR="00CE3AC6" w:rsidRPr="00CE3AC6">
        <w:t>Paragraph (</w:t>
      </w:r>
      <w:r w:rsidRPr="00CE3AC6">
        <w:t xml:space="preserve">j) is relevant for decisions by ASIC under paragraph </w:t>
      </w:r>
      <w:r w:rsidR="00D23B3B" w:rsidRPr="00CE3AC6">
        <w:t>8</w:t>
      </w:r>
      <w:r w:rsidRPr="00CE3AC6">
        <w:t>(e).</w:t>
      </w:r>
    </w:p>
    <w:p w:rsidR="009E08E3" w:rsidRPr="00CE3AC6" w:rsidRDefault="00390E44" w:rsidP="00373BCB">
      <w:pPr>
        <w:pStyle w:val="notetext"/>
      </w:pPr>
      <w:r w:rsidRPr="00CE3AC6">
        <w:t>Note 3</w:t>
      </w:r>
      <w:r w:rsidR="009E08E3" w:rsidRPr="00CE3AC6">
        <w:t>:</w:t>
      </w:r>
      <w:r w:rsidR="009E08E3" w:rsidRPr="00CE3AC6">
        <w:tab/>
        <w:t xml:space="preserve">Since paragraph </w:t>
      </w:r>
      <w:r w:rsidR="00D23B3B" w:rsidRPr="00CE3AC6">
        <w:t>6</w:t>
      </w:r>
      <w:r w:rsidR="009E08E3" w:rsidRPr="00CE3AC6">
        <w:t xml:space="preserve">(1)(b) requires the notification to be lodged with ASIC in the approved form, the notification must include any information, statements, explanations or other matters required by the form (see </w:t>
      </w:r>
      <w:r w:rsidR="00D04146" w:rsidRPr="00CE3AC6">
        <w:t>section</w:t>
      </w:r>
      <w:r w:rsidR="00CE3AC6" w:rsidRPr="00CE3AC6">
        <w:t> </w:t>
      </w:r>
      <w:r w:rsidR="00D04146" w:rsidRPr="00CE3AC6">
        <w:t>3</w:t>
      </w:r>
      <w:r w:rsidR="009E08E3" w:rsidRPr="00CE3AC6">
        <w:t>50 of the Act).</w:t>
      </w:r>
    </w:p>
    <w:p w:rsidR="003A5280" w:rsidRPr="00CE3AC6" w:rsidRDefault="003A5280" w:rsidP="003A5280">
      <w:pPr>
        <w:pStyle w:val="ActHead2"/>
        <w:pageBreakBefore/>
      </w:pPr>
      <w:bookmarkStart w:id="28" w:name="f_Check_Lines_above"/>
      <w:bookmarkStart w:id="29" w:name="_Toc38951897"/>
      <w:bookmarkEnd w:id="28"/>
      <w:r w:rsidRPr="00BB596D">
        <w:rPr>
          <w:rStyle w:val="CharPartNo"/>
        </w:rPr>
        <w:t>Part</w:t>
      </w:r>
      <w:r w:rsidR="00CE3AC6" w:rsidRPr="00BB596D">
        <w:rPr>
          <w:rStyle w:val="CharPartNo"/>
        </w:rPr>
        <w:t> </w:t>
      </w:r>
      <w:r w:rsidRPr="00BB596D">
        <w:rPr>
          <w:rStyle w:val="CharPartNo"/>
        </w:rPr>
        <w:t>5</w:t>
      </w:r>
      <w:r w:rsidRPr="00CE3AC6">
        <w:t>—</w:t>
      </w:r>
      <w:r w:rsidR="00631590" w:rsidRPr="00BB596D">
        <w:rPr>
          <w:rStyle w:val="CharPartText"/>
        </w:rPr>
        <w:t>C</w:t>
      </w:r>
      <w:r w:rsidRPr="00BB596D">
        <w:rPr>
          <w:rStyle w:val="CharPartText"/>
        </w:rPr>
        <w:t>onditions for the exemption</w:t>
      </w:r>
      <w:bookmarkEnd w:id="29"/>
    </w:p>
    <w:p w:rsidR="007F798B" w:rsidRPr="00BB596D" w:rsidRDefault="007F798B" w:rsidP="007F798B">
      <w:pPr>
        <w:pStyle w:val="Header"/>
      </w:pPr>
      <w:r w:rsidRPr="00BB596D">
        <w:rPr>
          <w:rStyle w:val="CharDivNo"/>
        </w:rPr>
        <w:t xml:space="preserve"> </w:t>
      </w:r>
      <w:r w:rsidRPr="00BB596D">
        <w:rPr>
          <w:rStyle w:val="CharDivText"/>
        </w:rPr>
        <w:t xml:space="preserve"> </w:t>
      </w:r>
    </w:p>
    <w:p w:rsidR="003A5280" w:rsidRPr="00CE3AC6" w:rsidRDefault="00D23B3B" w:rsidP="003A5280">
      <w:pPr>
        <w:pStyle w:val="ActHead5"/>
      </w:pPr>
      <w:bookmarkStart w:id="30" w:name="_Toc38951898"/>
      <w:r w:rsidRPr="00BB596D">
        <w:rPr>
          <w:rStyle w:val="CharSectno"/>
        </w:rPr>
        <w:t>17</w:t>
      </w:r>
      <w:r w:rsidR="003A5280" w:rsidRPr="00CE3AC6">
        <w:t xml:space="preserve">  Condition—notifying all clients before providing </w:t>
      </w:r>
      <w:r w:rsidR="00C67F76" w:rsidRPr="00CE3AC6">
        <w:t>an exempt</w:t>
      </w:r>
      <w:r w:rsidR="003A5280" w:rsidRPr="00CE3AC6">
        <w:t xml:space="preserve"> financial service</w:t>
      </w:r>
      <w:bookmarkEnd w:id="30"/>
    </w:p>
    <w:p w:rsidR="003A5280" w:rsidRPr="00CE3AC6" w:rsidRDefault="003A5280" w:rsidP="003A5280">
      <w:pPr>
        <w:pStyle w:val="subsection"/>
      </w:pPr>
      <w:r w:rsidRPr="00CE3AC6">
        <w:tab/>
      </w:r>
      <w:r w:rsidRPr="00CE3AC6">
        <w:tab/>
        <w:t>The condition in this s</w:t>
      </w:r>
      <w:r w:rsidR="00776D8D" w:rsidRPr="00CE3AC6">
        <w:t xml:space="preserve">ection </w:t>
      </w:r>
      <w:r w:rsidRPr="00CE3AC6">
        <w:t>is met for a</w:t>
      </w:r>
      <w:r w:rsidR="00124ACA" w:rsidRPr="00CE3AC6">
        <w:t>n eligible</w:t>
      </w:r>
      <w:r w:rsidRPr="00CE3AC6">
        <w:t xml:space="preserve"> financial service if, before providing the financial service to a person as a retail client or wholesale client, the provider clearly and prominently discloses to the client that:</w:t>
      </w:r>
    </w:p>
    <w:p w:rsidR="003A5280" w:rsidRPr="00CE3AC6" w:rsidRDefault="003A5280" w:rsidP="003A5280">
      <w:pPr>
        <w:pStyle w:val="paragraph"/>
      </w:pPr>
      <w:r w:rsidRPr="00CE3AC6">
        <w:tab/>
        <w:t>(a)</w:t>
      </w:r>
      <w:r w:rsidRPr="00CE3AC6">
        <w:tab/>
        <w:t>the provider is not authorised by an Australian financial services licence to provide the financial service; and</w:t>
      </w:r>
    </w:p>
    <w:p w:rsidR="003A5280" w:rsidRPr="00CE3AC6" w:rsidRDefault="003A5280" w:rsidP="003A5280">
      <w:pPr>
        <w:pStyle w:val="paragraph"/>
      </w:pPr>
      <w:r w:rsidRPr="00CE3AC6">
        <w:tab/>
        <w:t>(b)</w:t>
      </w:r>
      <w:r w:rsidRPr="00CE3AC6">
        <w:tab/>
        <w:t>the provider is not an authorised representative of a financial services licensee for the provision of the financial service; and</w:t>
      </w:r>
    </w:p>
    <w:p w:rsidR="003A5280" w:rsidRPr="00CE3AC6" w:rsidRDefault="003A5280" w:rsidP="003A5280">
      <w:pPr>
        <w:pStyle w:val="paragraph"/>
      </w:pPr>
      <w:r w:rsidRPr="00CE3AC6">
        <w:tab/>
        <w:t>(c)</w:t>
      </w:r>
      <w:r w:rsidRPr="00CE3AC6">
        <w:tab/>
        <w:t xml:space="preserve">the financial service is being provided under an exemption provided under the </w:t>
      </w:r>
      <w:r w:rsidR="0054153F" w:rsidRPr="00CE3AC6">
        <w:rPr>
          <w:rFonts w:eastAsiaTheme="minorHAnsi"/>
          <w:i/>
        </w:rPr>
        <w:t>Corporations (FinTech Sandbox Australian Financial Services Licence Exemption) Regulations</w:t>
      </w:r>
      <w:r w:rsidR="00CE3AC6" w:rsidRPr="00CE3AC6">
        <w:rPr>
          <w:rFonts w:eastAsiaTheme="minorHAnsi"/>
          <w:i/>
        </w:rPr>
        <w:t> </w:t>
      </w:r>
      <w:r w:rsidR="0054153F" w:rsidRPr="00CE3AC6">
        <w:rPr>
          <w:rFonts w:eastAsiaTheme="minorHAnsi"/>
          <w:i/>
        </w:rPr>
        <w:t>2020</w:t>
      </w:r>
      <w:r w:rsidRPr="00CE3AC6">
        <w:t>; and</w:t>
      </w:r>
    </w:p>
    <w:p w:rsidR="003A5280" w:rsidRPr="00CE3AC6" w:rsidRDefault="003A5280" w:rsidP="003A5280">
      <w:pPr>
        <w:pStyle w:val="paragraph"/>
      </w:pPr>
      <w:r w:rsidRPr="00CE3AC6">
        <w:tab/>
        <w:t>(d)</w:t>
      </w:r>
      <w:r w:rsidRPr="00CE3AC6">
        <w:tab/>
        <w:t>some of the normal protections associated with receiving financial services from a financial services licensee will not apply; and</w:t>
      </w:r>
    </w:p>
    <w:p w:rsidR="00DD1A34" w:rsidRPr="00CE3AC6" w:rsidRDefault="003A5280" w:rsidP="003A5280">
      <w:pPr>
        <w:pStyle w:val="paragraph"/>
      </w:pPr>
      <w:r w:rsidRPr="00CE3AC6">
        <w:tab/>
        <w:t>(e)</w:t>
      </w:r>
      <w:r w:rsidRPr="00CE3AC6">
        <w:tab/>
        <w:t xml:space="preserve">the provider will notify the client in writing if any of the </w:t>
      </w:r>
      <w:r w:rsidR="00DD1A34" w:rsidRPr="00CE3AC6">
        <w:t xml:space="preserve">events referred to in paragraph </w:t>
      </w:r>
      <w:r w:rsidR="00D23B3B" w:rsidRPr="00CE3AC6">
        <w:t>19</w:t>
      </w:r>
      <w:r w:rsidR="00836B10" w:rsidRPr="00CE3AC6">
        <w:t>(a</w:t>
      </w:r>
      <w:r w:rsidR="00DD1A34" w:rsidRPr="00CE3AC6">
        <w:t>) (which the provider must list) happens.</w:t>
      </w:r>
    </w:p>
    <w:p w:rsidR="003A5280" w:rsidRPr="00CE3AC6" w:rsidRDefault="00D23B3B" w:rsidP="003A5280">
      <w:pPr>
        <w:pStyle w:val="ActHead5"/>
      </w:pPr>
      <w:bookmarkStart w:id="31" w:name="_Toc38951899"/>
      <w:r w:rsidRPr="00BB596D">
        <w:rPr>
          <w:rStyle w:val="CharSectno"/>
        </w:rPr>
        <w:t>18</w:t>
      </w:r>
      <w:r w:rsidR="003A5280" w:rsidRPr="00CE3AC6">
        <w:t xml:space="preserve">  Condition—notifying retail clients before providing </w:t>
      </w:r>
      <w:r w:rsidR="00C67F76" w:rsidRPr="00CE3AC6">
        <w:t>an exempt</w:t>
      </w:r>
      <w:r w:rsidR="003A5280" w:rsidRPr="00CE3AC6">
        <w:t xml:space="preserve"> financial service</w:t>
      </w:r>
      <w:bookmarkEnd w:id="31"/>
    </w:p>
    <w:p w:rsidR="003A5280" w:rsidRPr="00CE3AC6" w:rsidRDefault="003A5280" w:rsidP="003A5280">
      <w:pPr>
        <w:pStyle w:val="subsection"/>
      </w:pPr>
      <w:r w:rsidRPr="00CE3AC6">
        <w:tab/>
      </w:r>
      <w:r w:rsidRPr="00CE3AC6">
        <w:tab/>
        <w:t>The condition in this s</w:t>
      </w:r>
      <w:r w:rsidR="00776D8D" w:rsidRPr="00CE3AC6">
        <w:t xml:space="preserve">ection </w:t>
      </w:r>
      <w:r w:rsidRPr="00CE3AC6">
        <w:t>is met for a</w:t>
      </w:r>
      <w:r w:rsidR="00124ACA" w:rsidRPr="00CE3AC6">
        <w:t>n eligible</w:t>
      </w:r>
      <w:r w:rsidRPr="00CE3AC6">
        <w:t xml:space="preserve"> financial service if, before providing the financial service to a person as a retail client, the provider clearly and prominently discloses to the client:</w:t>
      </w:r>
    </w:p>
    <w:p w:rsidR="003A5280" w:rsidRPr="00CE3AC6" w:rsidRDefault="003A5280" w:rsidP="003A5280">
      <w:pPr>
        <w:pStyle w:val="paragraph"/>
      </w:pPr>
      <w:r w:rsidRPr="00CE3AC6">
        <w:tab/>
        <w:t>(a)</w:t>
      </w:r>
      <w:r w:rsidRPr="00CE3AC6">
        <w:tab/>
        <w:t>the provider’s name and contact details; and</w:t>
      </w:r>
    </w:p>
    <w:p w:rsidR="003A5280" w:rsidRPr="00CE3AC6" w:rsidRDefault="00124ACA" w:rsidP="003A5280">
      <w:pPr>
        <w:pStyle w:val="paragraph"/>
      </w:pPr>
      <w:r w:rsidRPr="00CE3AC6">
        <w:tab/>
        <w:t>(b</w:t>
      </w:r>
      <w:r w:rsidR="003A5280" w:rsidRPr="00CE3AC6">
        <w:t>)</w:t>
      </w:r>
      <w:r w:rsidR="003A5280" w:rsidRPr="00CE3AC6">
        <w:tab/>
        <w:t xml:space="preserve">information about any remuneration (including commissions) to which the provider can become entitled in relation to the </w:t>
      </w:r>
      <w:r w:rsidRPr="00CE3AC6">
        <w:t>financial</w:t>
      </w:r>
      <w:r w:rsidR="00E10BF1" w:rsidRPr="00CE3AC6">
        <w:t xml:space="preserve"> service</w:t>
      </w:r>
      <w:r w:rsidR="003A5280" w:rsidRPr="00CE3AC6">
        <w:t>; and</w:t>
      </w:r>
    </w:p>
    <w:p w:rsidR="003A5280" w:rsidRPr="00CE3AC6" w:rsidRDefault="00124ACA" w:rsidP="003A5280">
      <w:pPr>
        <w:pStyle w:val="paragraph"/>
      </w:pPr>
      <w:r w:rsidRPr="00CE3AC6">
        <w:tab/>
        <w:t>(c</w:t>
      </w:r>
      <w:r w:rsidR="003A5280" w:rsidRPr="00CE3AC6">
        <w:t>)</w:t>
      </w:r>
      <w:r w:rsidR="003A5280" w:rsidRPr="00CE3AC6">
        <w:tab/>
        <w:t>information about any associations or relationships between:</w:t>
      </w:r>
    </w:p>
    <w:p w:rsidR="003A5280" w:rsidRPr="00CE3AC6" w:rsidRDefault="003A5280" w:rsidP="003A5280">
      <w:pPr>
        <w:pStyle w:val="paragraphsub"/>
      </w:pPr>
      <w:r w:rsidRPr="00CE3AC6">
        <w:tab/>
        <w:t>(i)</w:t>
      </w:r>
      <w:r w:rsidRPr="00CE3AC6">
        <w:tab/>
        <w:t>the provider or any of the provider’s related bodies corporate; and</w:t>
      </w:r>
    </w:p>
    <w:p w:rsidR="003A5280" w:rsidRPr="00CE3AC6" w:rsidRDefault="003A5280" w:rsidP="003A5280">
      <w:pPr>
        <w:pStyle w:val="paragraphsub"/>
      </w:pPr>
      <w:r w:rsidRPr="00CE3AC6">
        <w:tab/>
        <w:t>(ii)</w:t>
      </w:r>
      <w:r w:rsidRPr="00CE3AC6">
        <w:tab/>
        <w:t>the issuers of any financial products;</w:t>
      </w:r>
    </w:p>
    <w:p w:rsidR="003A5280" w:rsidRPr="00CE3AC6" w:rsidRDefault="003A5280" w:rsidP="003A5280">
      <w:pPr>
        <w:pStyle w:val="paragraph"/>
      </w:pPr>
      <w:r w:rsidRPr="00CE3AC6">
        <w:tab/>
      </w:r>
      <w:r w:rsidRPr="00CE3AC6">
        <w:tab/>
        <w:t xml:space="preserve">that might reasonably be capable of influencing the client in relation to the provision of the </w:t>
      </w:r>
      <w:r w:rsidR="00124ACA" w:rsidRPr="00CE3AC6">
        <w:t>financial</w:t>
      </w:r>
      <w:r w:rsidR="00E10BF1" w:rsidRPr="00CE3AC6">
        <w:t xml:space="preserve"> service</w:t>
      </w:r>
      <w:r w:rsidRPr="00CE3AC6">
        <w:t>; and</w:t>
      </w:r>
    </w:p>
    <w:p w:rsidR="003A5280" w:rsidRPr="00CE3AC6" w:rsidRDefault="00124ACA" w:rsidP="003A5280">
      <w:pPr>
        <w:pStyle w:val="paragraph"/>
      </w:pPr>
      <w:r w:rsidRPr="00CE3AC6">
        <w:tab/>
        <w:t>(d</w:t>
      </w:r>
      <w:r w:rsidR="003A5280" w:rsidRPr="00CE3AC6">
        <w:t>)</w:t>
      </w:r>
      <w:r w:rsidR="003A5280" w:rsidRPr="00CE3AC6">
        <w:tab/>
        <w:t xml:space="preserve">information about the dispute resolution systems available to the client, </w:t>
      </w:r>
      <w:r w:rsidR="009B04DE" w:rsidRPr="00CE3AC6">
        <w:t>including about how to access those systems</w:t>
      </w:r>
      <w:r w:rsidR="003A5280" w:rsidRPr="00CE3AC6">
        <w:t xml:space="preserve"> and how </w:t>
      </w:r>
      <w:r w:rsidR="00BA6863" w:rsidRPr="00CE3AC6">
        <w:t xml:space="preserve">long </w:t>
      </w:r>
      <w:r w:rsidR="007E5AED" w:rsidRPr="00CE3AC6">
        <w:t>those systems</w:t>
      </w:r>
      <w:r w:rsidR="00BA6863" w:rsidRPr="00CE3AC6">
        <w:t xml:space="preserve"> will be available.</w:t>
      </w:r>
    </w:p>
    <w:p w:rsidR="003A5280" w:rsidRPr="00CE3AC6" w:rsidRDefault="00D23B3B" w:rsidP="003A5280">
      <w:pPr>
        <w:pStyle w:val="ActHead5"/>
      </w:pPr>
      <w:bookmarkStart w:id="32" w:name="_Toc38951900"/>
      <w:r w:rsidRPr="00BB596D">
        <w:rPr>
          <w:rStyle w:val="CharSectno"/>
        </w:rPr>
        <w:t>19</w:t>
      </w:r>
      <w:r w:rsidR="003A5280" w:rsidRPr="00CE3AC6">
        <w:t xml:space="preserve">  Condition—notifying clients while providing </w:t>
      </w:r>
      <w:r w:rsidR="00C67F76" w:rsidRPr="00CE3AC6">
        <w:t>an exempt</w:t>
      </w:r>
      <w:r w:rsidR="003A5280" w:rsidRPr="00CE3AC6">
        <w:t xml:space="preserve"> financial service</w:t>
      </w:r>
      <w:bookmarkEnd w:id="32"/>
    </w:p>
    <w:p w:rsidR="00836B10" w:rsidRPr="00CE3AC6" w:rsidRDefault="00836B10" w:rsidP="00836B10">
      <w:pPr>
        <w:pStyle w:val="subsection"/>
      </w:pPr>
      <w:r w:rsidRPr="00CE3AC6">
        <w:tab/>
      </w:r>
      <w:r w:rsidRPr="00CE3AC6">
        <w:tab/>
        <w:t>The condition in this section is met for an eligible financial service if, when providing the financial service to one or more persons as retail clients or wholesale clients, the provider:</w:t>
      </w:r>
    </w:p>
    <w:p w:rsidR="00836B10" w:rsidRPr="00CE3AC6" w:rsidRDefault="00836B10" w:rsidP="00836B10">
      <w:pPr>
        <w:pStyle w:val="paragraph"/>
      </w:pPr>
      <w:r w:rsidRPr="00CE3AC6">
        <w:tab/>
        <w:t>(a)</w:t>
      </w:r>
      <w:r w:rsidRPr="00CE3AC6">
        <w:tab/>
        <w:t>notifies each of those clients in writing, within 10 business days after the happening of any of the following events:</w:t>
      </w:r>
    </w:p>
    <w:p w:rsidR="00836B10" w:rsidRPr="00CE3AC6" w:rsidRDefault="00836B10" w:rsidP="00836B10">
      <w:pPr>
        <w:pStyle w:val="paragraphsub"/>
      </w:pPr>
      <w:r w:rsidRPr="00CE3AC6">
        <w:tab/>
        <w:t>(i)</w:t>
      </w:r>
      <w:r w:rsidRPr="00CE3AC6">
        <w:tab/>
        <w:t>the provider has ceased to carry on a financial services business;</w:t>
      </w:r>
    </w:p>
    <w:p w:rsidR="00836B10" w:rsidRPr="00CE3AC6" w:rsidRDefault="00836B10" w:rsidP="00836B10">
      <w:pPr>
        <w:pStyle w:val="paragraphsub"/>
      </w:pPr>
      <w:r w:rsidRPr="00CE3AC6">
        <w:tab/>
        <w:t>(ii)</w:t>
      </w:r>
      <w:r w:rsidRPr="00CE3AC6">
        <w:tab/>
        <w:t>the provider has become a Chapter</w:t>
      </w:r>
      <w:r w:rsidR="00CE3AC6" w:rsidRPr="00CE3AC6">
        <w:t> </w:t>
      </w:r>
      <w:r w:rsidRPr="00CE3AC6">
        <w:t>5 body corporate, or under a foreign law has started to be in a similar position to a Chapter</w:t>
      </w:r>
      <w:r w:rsidR="00CE3AC6" w:rsidRPr="00CE3AC6">
        <w:t> </w:t>
      </w:r>
      <w:r w:rsidRPr="00CE3AC6">
        <w:t>5 body corporate;</w:t>
      </w:r>
    </w:p>
    <w:p w:rsidR="00836B10" w:rsidRPr="00CE3AC6" w:rsidRDefault="00836B10" w:rsidP="00836B10">
      <w:pPr>
        <w:pStyle w:val="paragraphsub"/>
      </w:pPr>
      <w:r w:rsidRPr="00CE3AC6">
        <w:tab/>
        <w:t>(iii)</w:t>
      </w:r>
      <w:r w:rsidRPr="00CE3AC6">
        <w:tab/>
        <w:t>the provider has become bankrupt, or has applied to take the benefit of any law for the relief of bankrupt or insolvent debtors;</w:t>
      </w:r>
    </w:p>
    <w:p w:rsidR="00836B10" w:rsidRPr="00CE3AC6" w:rsidRDefault="00836B10" w:rsidP="00836B10">
      <w:pPr>
        <w:pStyle w:val="paragraphsub"/>
      </w:pPr>
      <w:r w:rsidRPr="00CE3AC6">
        <w:tab/>
        <w:t>(iv)</w:t>
      </w:r>
      <w:r w:rsidRPr="00CE3AC6">
        <w:tab/>
        <w:t xml:space="preserve">the provider has compounded with </w:t>
      </w:r>
      <w:r w:rsidR="00F346CC" w:rsidRPr="00CE3AC6">
        <w:t>the provider’s</w:t>
      </w:r>
      <w:r w:rsidRPr="00CE3AC6">
        <w:t xml:space="preserve"> creditors, or has made an assignment of </w:t>
      </w:r>
      <w:r w:rsidR="00F346CC" w:rsidRPr="00CE3AC6">
        <w:t>the provider’s</w:t>
      </w:r>
      <w:r w:rsidRPr="00CE3AC6">
        <w:t xml:space="preserve"> remuneration for the benefit of </w:t>
      </w:r>
      <w:r w:rsidR="00F346CC" w:rsidRPr="00CE3AC6">
        <w:t>the provider’s</w:t>
      </w:r>
      <w:r w:rsidRPr="00CE3AC6">
        <w:t xml:space="preserve"> creditors;</w:t>
      </w:r>
    </w:p>
    <w:p w:rsidR="00836B10" w:rsidRPr="00CE3AC6" w:rsidRDefault="00836B10" w:rsidP="00836B10">
      <w:pPr>
        <w:pStyle w:val="paragraphsub"/>
      </w:pPr>
      <w:r w:rsidRPr="00CE3AC6">
        <w:tab/>
        <w:t>(v)</w:t>
      </w:r>
      <w:r w:rsidRPr="00CE3AC6">
        <w:tab/>
        <w:t>the provider has become authorised by an Australian financial services licence to provide the financial service;</w:t>
      </w:r>
    </w:p>
    <w:p w:rsidR="00836B10" w:rsidRPr="00CE3AC6" w:rsidRDefault="00836B10" w:rsidP="00836B10">
      <w:pPr>
        <w:pStyle w:val="paragraphsub"/>
      </w:pPr>
      <w:r w:rsidRPr="00CE3AC6">
        <w:tab/>
        <w:t>(vi)</w:t>
      </w:r>
      <w:r w:rsidRPr="00CE3AC6">
        <w:tab/>
        <w:t>the provider has become an authorised representative of a financial services licensee for the provision of the financial service;</w:t>
      </w:r>
    </w:p>
    <w:p w:rsidR="00836B10" w:rsidRPr="00CE3AC6" w:rsidRDefault="00836B10" w:rsidP="00836B10">
      <w:pPr>
        <w:pStyle w:val="paragraphsub"/>
      </w:pPr>
      <w:r w:rsidRPr="00CE3AC6">
        <w:tab/>
        <w:t>(vii)</w:t>
      </w:r>
      <w:r w:rsidRPr="00CE3AC6">
        <w:tab/>
        <w:t xml:space="preserve">the provider has ceased to rely on the exemption provided under the </w:t>
      </w:r>
      <w:r w:rsidR="0054153F" w:rsidRPr="00CE3AC6">
        <w:rPr>
          <w:rFonts w:eastAsiaTheme="minorHAnsi"/>
          <w:i/>
        </w:rPr>
        <w:t>Corporations (FinTech Sandbox Australian Financial Services Licence Exemption) Regulations</w:t>
      </w:r>
      <w:r w:rsidR="00CE3AC6" w:rsidRPr="00CE3AC6">
        <w:rPr>
          <w:rFonts w:eastAsiaTheme="minorHAnsi"/>
          <w:i/>
        </w:rPr>
        <w:t> </w:t>
      </w:r>
      <w:r w:rsidR="0054153F" w:rsidRPr="00CE3AC6">
        <w:rPr>
          <w:rFonts w:eastAsiaTheme="minorHAnsi"/>
          <w:i/>
        </w:rPr>
        <w:t>2020</w:t>
      </w:r>
      <w:r w:rsidRPr="00CE3AC6">
        <w:t>;</w:t>
      </w:r>
    </w:p>
    <w:p w:rsidR="00836B10" w:rsidRPr="00CE3AC6" w:rsidRDefault="00836B10" w:rsidP="00836B10">
      <w:pPr>
        <w:pStyle w:val="paragraphsub"/>
      </w:pPr>
      <w:r w:rsidRPr="00CE3AC6">
        <w:tab/>
        <w:t>(viii)</w:t>
      </w:r>
      <w:r w:rsidRPr="00CE3AC6">
        <w:tab/>
        <w:t>the financial service, or a financial product to which it relates, has materially changed;</w:t>
      </w:r>
    </w:p>
    <w:p w:rsidR="00836B10" w:rsidRPr="00CE3AC6" w:rsidRDefault="00836B10" w:rsidP="00836B10">
      <w:pPr>
        <w:pStyle w:val="paragraphsub"/>
      </w:pPr>
      <w:r w:rsidRPr="00CE3AC6">
        <w:tab/>
        <w:t>(ix)</w:t>
      </w:r>
      <w:r w:rsidRPr="00CE3AC6">
        <w:tab/>
        <w:t>the financial service, or a financial product to which it relates, is no longer being offered to new clients; and</w:t>
      </w:r>
    </w:p>
    <w:p w:rsidR="00836B10" w:rsidRPr="00CE3AC6" w:rsidRDefault="00836B10" w:rsidP="00836B10">
      <w:pPr>
        <w:pStyle w:val="paragraph"/>
      </w:pPr>
      <w:r w:rsidRPr="00CE3AC6">
        <w:tab/>
        <w:t>(b)</w:t>
      </w:r>
      <w:r w:rsidRPr="00CE3AC6">
        <w:tab/>
        <w:t xml:space="preserve">notifies ASIC in writing within 10 business days after the happening of any of the events referred to in </w:t>
      </w:r>
      <w:r w:rsidR="00CE3AC6" w:rsidRPr="00CE3AC6">
        <w:t>paragraph (</w:t>
      </w:r>
      <w:r w:rsidRPr="00CE3AC6">
        <w:t xml:space="preserve">a) (other than the events in </w:t>
      </w:r>
      <w:r w:rsidR="00CE3AC6" w:rsidRPr="00CE3AC6">
        <w:t>subparagraphs (</w:t>
      </w:r>
      <w:r w:rsidRPr="00CE3AC6">
        <w:t>a)(v) and (vi)).</w:t>
      </w:r>
    </w:p>
    <w:p w:rsidR="003A5280" w:rsidRPr="00CE3AC6" w:rsidRDefault="00D23B3B" w:rsidP="003A5280">
      <w:pPr>
        <w:pStyle w:val="ActHead5"/>
      </w:pPr>
      <w:bookmarkStart w:id="33" w:name="_Toc38951901"/>
      <w:r w:rsidRPr="00BB596D">
        <w:rPr>
          <w:rStyle w:val="CharSectno"/>
        </w:rPr>
        <w:t>20</w:t>
      </w:r>
      <w:r w:rsidR="003A5280" w:rsidRPr="00CE3AC6">
        <w:t xml:space="preserve">  Condition—maintaining certain procedures, memberships and arrangements</w:t>
      </w:r>
      <w:bookmarkEnd w:id="33"/>
    </w:p>
    <w:p w:rsidR="003A5280" w:rsidRPr="00CE3AC6" w:rsidRDefault="003A5280" w:rsidP="003A5280">
      <w:pPr>
        <w:pStyle w:val="subsection"/>
      </w:pPr>
      <w:r w:rsidRPr="00CE3AC6">
        <w:tab/>
      </w:r>
      <w:r w:rsidRPr="00CE3AC6">
        <w:tab/>
        <w:t>The condition in this s</w:t>
      </w:r>
      <w:r w:rsidR="00027A83" w:rsidRPr="00CE3AC6">
        <w:t xml:space="preserve">ection </w:t>
      </w:r>
      <w:r w:rsidRPr="00CE3AC6">
        <w:t>is met for a</w:t>
      </w:r>
      <w:r w:rsidR="00ED56C3" w:rsidRPr="00CE3AC6">
        <w:t>n eligible</w:t>
      </w:r>
      <w:r w:rsidR="007649D5" w:rsidRPr="00CE3AC6">
        <w:t xml:space="preserve"> </w:t>
      </w:r>
      <w:r w:rsidRPr="00CE3AC6">
        <w:t>financial service if the provider:</w:t>
      </w:r>
    </w:p>
    <w:p w:rsidR="003A5280" w:rsidRPr="00CE3AC6" w:rsidRDefault="003A5280" w:rsidP="003A5280">
      <w:pPr>
        <w:pStyle w:val="paragraph"/>
      </w:pPr>
      <w:r w:rsidRPr="00CE3AC6">
        <w:tab/>
        <w:t>(a)</w:t>
      </w:r>
      <w:r w:rsidRPr="00CE3AC6">
        <w:tab/>
        <w:t>establishes and maintains an internal dispute resolution procedure that:</w:t>
      </w:r>
    </w:p>
    <w:p w:rsidR="003A5280" w:rsidRPr="00CE3AC6" w:rsidRDefault="003A5280" w:rsidP="003A5280">
      <w:pPr>
        <w:pStyle w:val="paragraphsub"/>
      </w:pPr>
      <w:r w:rsidRPr="00CE3AC6">
        <w:tab/>
        <w:t>(i)</w:t>
      </w:r>
      <w:r w:rsidRPr="00CE3AC6">
        <w:tab/>
        <w:t>complies with the standards, and requirements, made or approved for the purposes of sub</w:t>
      </w:r>
      <w:r w:rsidR="009D7B84" w:rsidRPr="00CE3AC6">
        <w:t>section</w:t>
      </w:r>
      <w:r w:rsidR="00CE3AC6" w:rsidRPr="00CE3AC6">
        <w:t> </w:t>
      </w:r>
      <w:r w:rsidRPr="00CE3AC6">
        <w:t>912A(2) of the Act; and</w:t>
      </w:r>
    </w:p>
    <w:p w:rsidR="003A5280" w:rsidRPr="00CE3AC6" w:rsidRDefault="003A5280" w:rsidP="003A5280">
      <w:pPr>
        <w:pStyle w:val="paragraphsub"/>
      </w:pPr>
      <w:r w:rsidRPr="00CE3AC6">
        <w:tab/>
        <w:t>(ii)</w:t>
      </w:r>
      <w:r w:rsidRPr="00CE3AC6">
        <w:tab/>
        <w:t xml:space="preserve">covers complaints against the provider made by retail clients in connection with the provision of </w:t>
      </w:r>
      <w:r w:rsidR="00ED56C3" w:rsidRPr="00CE3AC6">
        <w:t>the</w:t>
      </w:r>
      <w:r w:rsidRPr="00CE3AC6">
        <w:t xml:space="preserve"> financial se</w:t>
      </w:r>
      <w:r w:rsidR="00ED56C3" w:rsidRPr="00CE3AC6">
        <w:t>rvice</w:t>
      </w:r>
      <w:r w:rsidRPr="00CE3AC6">
        <w:t>; and</w:t>
      </w:r>
    </w:p>
    <w:p w:rsidR="003A5280" w:rsidRPr="00CE3AC6" w:rsidRDefault="003A5280" w:rsidP="003A5280">
      <w:pPr>
        <w:pStyle w:val="paragraph"/>
      </w:pPr>
      <w:r w:rsidRPr="00CE3AC6">
        <w:tab/>
        <w:t>(b)</w:t>
      </w:r>
      <w:r w:rsidRPr="00CE3AC6">
        <w:tab/>
        <w:t xml:space="preserve">is a member of </w:t>
      </w:r>
      <w:r w:rsidR="00D61464" w:rsidRPr="00CE3AC6">
        <w:t>the AFCA scheme for the purposes of dealing with</w:t>
      </w:r>
      <w:r w:rsidR="00AA26B5" w:rsidRPr="00CE3AC6">
        <w:t xml:space="preserve"> </w:t>
      </w:r>
      <w:r w:rsidRPr="00CE3AC6">
        <w:t xml:space="preserve">complaints against the provider made by retail clients in connection with the provision of </w:t>
      </w:r>
      <w:r w:rsidR="00ED56C3" w:rsidRPr="00CE3AC6">
        <w:t>the financial service</w:t>
      </w:r>
      <w:r w:rsidRPr="00CE3AC6">
        <w:t>; and</w:t>
      </w:r>
    </w:p>
    <w:p w:rsidR="003A5280" w:rsidRPr="00CE3AC6" w:rsidRDefault="003A5280" w:rsidP="003A5280">
      <w:pPr>
        <w:pStyle w:val="paragraph"/>
      </w:pPr>
      <w:r w:rsidRPr="00CE3AC6">
        <w:tab/>
        <w:t>(c)</w:t>
      </w:r>
      <w:r w:rsidRPr="00CE3AC6">
        <w:tab/>
        <w:t>establishes and maintains arrangements that:</w:t>
      </w:r>
    </w:p>
    <w:p w:rsidR="003A5280" w:rsidRPr="00CE3AC6" w:rsidRDefault="003A5280" w:rsidP="003A5280">
      <w:pPr>
        <w:pStyle w:val="paragraphsub"/>
      </w:pPr>
      <w:r w:rsidRPr="00CE3AC6">
        <w:tab/>
        <w:t>(i)</w:t>
      </w:r>
      <w:r w:rsidRPr="00CE3AC6">
        <w:tab/>
        <w:t xml:space="preserve">include holding </w:t>
      </w:r>
      <w:r w:rsidR="0018797F" w:rsidRPr="00CE3AC6">
        <w:t xml:space="preserve">adequate </w:t>
      </w:r>
      <w:r w:rsidRPr="00CE3AC6">
        <w:t xml:space="preserve">professional indemnity insurance; </w:t>
      </w:r>
      <w:r w:rsidR="0018797F" w:rsidRPr="00CE3AC6">
        <w:t>or</w:t>
      </w:r>
    </w:p>
    <w:p w:rsidR="003A5280" w:rsidRPr="00CE3AC6" w:rsidRDefault="003A5280" w:rsidP="003A5280">
      <w:pPr>
        <w:pStyle w:val="paragraphsub"/>
      </w:pPr>
      <w:r w:rsidRPr="00CE3AC6">
        <w:tab/>
        <w:t>(ii)</w:t>
      </w:r>
      <w:r w:rsidRPr="00CE3AC6">
        <w:tab/>
        <w:t>are approved by ASIC in writing as adequate;</w:t>
      </w:r>
    </w:p>
    <w:p w:rsidR="003A5280" w:rsidRPr="00CE3AC6" w:rsidRDefault="003A5280" w:rsidP="003A5280">
      <w:pPr>
        <w:pStyle w:val="paragraph"/>
      </w:pPr>
      <w:r w:rsidRPr="00CE3AC6">
        <w:tab/>
      </w:r>
      <w:r w:rsidRPr="00CE3AC6">
        <w:tab/>
        <w:t xml:space="preserve">for compensating the provider’s retail clients for loss or damage suffered because of breaches of the Act, or of the conditions in </w:t>
      </w:r>
      <w:r w:rsidR="00781046" w:rsidRPr="00CE3AC6">
        <w:t xml:space="preserve">this instrument, </w:t>
      </w:r>
      <w:r w:rsidRPr="00CE3AC6">
        <w:t>by the provider or its representatives; and</w:t>
      </w:r>
    </w:p>
    <w:p w:rsidR="00EE71AC" w:rsidRPr="00CE3AC6" w:rsidRDefault="00EE71AC" w:rsidP="00EE71AC">
      <w:pPr>
        <w:pStyle w:val="paragraph"/>
      </w:pPr>
      <w:r w:rsidRPr="00CE3AC6">
        <w:tab/>
        <w:t>(d)</w:t>
      </w:r>
      <w:r w:rsidRPr="00CE3AC6">
        <w:tab/>
        <w:t xml:space="preserve">continues the memberships referred to in </w:t>
      </w:r>
      <w:r w:rsidR="00CE3AC6" w:rsidRPr="00CE3AC6">
        <w:t>paragraph (</w:t>
      </w:r>
      <w:r w:rsidRPr="00CE3AC6">
        <w:t xml:space="preserve">b), and the arrangements referred to in </w:t>
      </w:r>
      <w:r w:rsidR="00CE3AC6" w:rsidRPr="00CE3AC6">
        <w:t>paragraph (</w:t>
      </w:r>
      <w:r w:rsidRPr="00CE3AC6">
        <w:t>c), for at least 12 months after the end of the</w:t>
      </w:r>
      <w:r w:rsidR="00092E76" w:rsidRPr="00CE3AC6">
        <w:t xml:space="preserve"> financial service’s</w:t>
      </w:r>
      <w:r w:rsidRPr="00CE3AC6">
        <w:t xml:space="preserve"> testing period</w:t>
      </w:r>
      <w:r w:rsidR="00ED56C3" w:rsidRPr="00CE3AC6">
        <w:t>.</w:t>
      </w:r>
    </w:p>
    <w:p w:rsidR="00FB21B1" w:rsidRPr="00CE3AC6" w:rsidRDefault="00D23B3B" w:rsidP="00FB21B1">
      <w:pPr>
        <w:pStyle w:val="ActHead5"/>
      </w:pPr>
      <w:bookmarkStart w:id="34" w:name="_Toc38951902"/>
      <w:r w:rsidRPr="00BB596D">
        <w:rPr>
          <w:rStyle w:val="CharSectno"/>
        </w:rPr>
        <w:t>21</w:t>
      </w:r>
      <w:r w:rsidR="00FB21B1" w:rsidRPr="00CE3AC6">
        <w:t xml:space="preserve">  Condition—statements of advice</w:t>
      </w:r>
      <w:bookmarkEnd w:id="34"/>
    </w:p>
    <w:p w:rsidR="00FB21B1" w:rsidRPr="00CE3AC6" w:rsidRDefault="00FB21B1" w:rsidP="00FB21B1">
      <w:pPr>
        <w:pStyle w:val="subsection"/>
      </w:pPr>
      <w:r w:rsidRPr="00CE3AC6">
        <w:tab/>
      </w:r>
      <w:r w:rsidRPr="00CE3AC6">
        <w:tab/>
        <w:t>The condition in this section is met for an eligible financial service if, when the financial service includes providing personal advice to a person as a retail client of the provider, the provider gives each of those clients a Statement of Advice</w:t>
      </w:r>
      <w:r w:rsidR="00774ADC" w:rsidRPr="00CE3AC6">
        <w:t xml:space="preserve"> in accordance with Subdivisions C and D of Division</w:t>
      </w:r>
      <w:r w:rsidR="00CE3AC6" w:rsidRPr="00CE3AC6">
        <w:t> </w:t>
      </w:r>
      <w:r w:rsidR="00774ADC" w:rsidRPr="00CE3AC6">
        <w:t>3 of Part</w:t>
      </w:r>
      <w:r w:rsidR="00CE3AC6" w:rsidRPr="00CE3AC6">
        <w:t> </w:t>
      </w:r>
      <w:r w:rsidR="00774ADC" w:rsidRPr="00CE3AC6">
        <w:t>7.7 of the Act</w:t>
      </w:r>
      <w:r w:rsidRPr="00CE3AC6">
        <w:t>:</w:t>
      </w:r>
    </w:p>
    <w:p w:rsidR="00FB21B1" w:rsidRPr="00CE3AC6" w:rsidRDefault="00FB21B1" w:rsidP="00FB21B1">
      <w:pPr>
        <w:pStyle w:val="paragraph"/>
      </w:pPr>
      <w:r w:rsidRPr="00CE3AC6">
        <w:tab/>
        <w:t>(a)</w:t>
      </w:r>
      <w:r w:rsidRPr="00CE3AC6">
        <w:tab/>
      </w:r>
      <w:r w:rsidR="00774ADC" w:rsidRPr="00CE3AC6">
        <w:t xml:space="preserve">in </w:t>
      </w:r>
      <w:r w:rsidRPr="00CE3AC6">
        <w:t>relat</w:t>
      </w:r>
      <w:r w:rsidR="00774ADC" w:rsidRPr="00CE3AC6">
        <w:t>ion</w:t>
      </w:r>
      <w:r w:rsidRPr="00CE3AC6">
        <w:t xml:space="preserve"> to that personal advice; and</w:t>
      </w:r>
    </w:p>
    <w:p w:rsidR="00FB21B1" w:rsidRPr="00CE3AC6" w:rsidRDefault="00FB21B1" w:rsidP="00FB21B1">
      <w:pPr>
        <w:pStyle w:val="paragraph"/>
      </w:pPr>
      <w:r w:rsidRPr="00CE3AC6">
        <w:tab/>
        <w:t>(b)</w:t>
      </w:r>
      <w:r w:rsidRPr="00CE3AC6">
        <w:tab/>
      </w:r>
      <w:r w:rsidR="00774ADC" w:rsidRPr="00CE3AC6">
        <w:t>as if the provider were a financial services licensee for the purposes of those Subdivisions</w:t>
      </w:r>
      <w:r w:rsidRPr="00CE3AC6">
        <w:t>.</w:t>
      </w:r>
    </w:p>
    <w:p w:rsidR="00FB21B1" w:rsidRPr="00CE3AC6" w:rsidRDefault="00FB21B1" w:rsidP="00FB21B1">
      <w:pPr>
        <w:pStyle w:val="notetext"/>
      </w:pPr>
      <w:r w:rsidRPr="00CE3AC6">
        <w:t>Note:</w:t>
      </w:r>
      <w:r w:rsidRPr="00CE3AC6">
        <w:tab/>
        <w:t>Complying with those Subdivisions includes complying with any instruments made for the purposes of those Subdivisions.</w:t>
      </w:r>
    </w:p>
    <w:p w:rsidR="003A5280" w:rsidRPr="00CE3AC6" w:rsidRDefault="00D23B3B" w:rsidP="003A5280">
      <w:pPr>
        <w:pStyle w:val="ActHead5"/>
      </w:pPr>
      <w:bookmarkStart w:id="35" w:name="_Toc38951903"/>
      <w:r w:rsidRPr="00BB596D">
        <w:rPr>
          <w:rStyle w:val="CharSectno"/>
        </w:rPr>
        <w:t>22</w:t>
      </w:r>
      <w:r w:rsidR="003A5280" w:rsidRPr="00CE3AC6">
        <w:t xml:space="preserve">  Condition—client money obligations</w:t>
      </w:r>
      <w:bookmarkEnd w:id="35"/>
    </w:p>
    <w:p w:rsidR="003A5280" w:rsidRPr="00CE3AC6" w:rsidRDefault="00286923" w:rsidP="00014032">
      <w:pPr>
        <w:pStyle w:val="subsection"/>
      </w:pPr>
      <w:r w:rsidRPr="00CE3AC6">
        <w:tab/>
      </w:r>
      <w:r w:rsidR="003A5280" w:rsidRPr="00CE3AC6">
        <w:tab/>
        <w:t>The condition in this s</w:t>
      </w:r>
      <w:r w:rsidRPr="00CE3AC6">
        <w:t xml:space="preserve">ection </w:t>
      </w:r>
      <w:r w:rsidR="003A5280" w:rsidRPr="00CE3AC6">
        <w:t>is met for a</w:t>
      </w:r>
      <w:r w:rsidR="00ED56C3" w:rsidRPr="00CE3AC6">
        <w:t>n eligible</w:t>
      </w:r>
      <w:r w:rsidR="003A5280" w:rsidRPr="00CE3AC6">
        <w:t xml:space="preserve"> financial servic</w:t>
      </w:r>
      <w:r w:rsidR="00014032" w:rsidRPr="00CE3AC6">
        <w:t xml:space="preserve">e if the provider complies with </w:t>
      </w:r>
      <w:r w:rsidR="003A5280" w:rsidRPr="00CE3AC6">
        <w:t>Divisions</w:t>
      </w:r>
      <w:r w:rsidR="00CE3AC6" w:rsidRPr="00CE3AC6">
        <w:t> </w:t>
      </w:r>
      <w:r w:rsidR="003A5280" w:rsidRPr="00CE3AC6">
        <w:t>2 and 3 of Part</w:t>
      </w:r>
      <w:r w:rsidR="00CE3AC6" w:rsidRPr="00CE3AC6">
        <w:t> </w:t>
      </w:r>
      <w:r w:rsidR="003A5280" w:rsidRPr="00CE3AC6">
        <w:t xml:space="preserve">7.8 of the Act as if the provider were a financial services licensee for the </w:t>
      </w:r>
      <w:r w:rsidR="00014032" w:rsidRPr="00CE3AC6">
        <w:t>purposes of those Divisions.</w:t>
      </w:r>
    </w:p>
    <w:p w:rsidR="003A5280" w:rsidRPr="00CE3AC6" w:rsidRDefault="00C07CAE" w:rsidP="003A5280">
      <w:pPr>
        <w:pStyle w:val="notetext"/>
      </w:pPr>
      <w:r w:rsidRPr="00CE3AC6">
        <w:t>Note:</w:t>
      </w:r>
      <w:r w:rsidRPr="00CE3AC6">
        <w:tab/>
        <w:t>Complying with tho</w:t>
      </w:r>
      <w:r w:rsidR="003A5280" w:rsidRPr="00CE3AC6">
        <w:t>se Divisions includes compl</w:t>
      </w:r>
      <w:r w:rsidR="00014032" w:rsidRPr="00CE3AC6">
        <w:t>ying</w:t>
      </w:r>
      <w:r w:rsidR="003A5280" w:rsidRPr="00CE3AC6">
        <w:t xml:space="preserve"> with any </w:t>
      </w:r>
      <w:r w:rsidR="00D212B4" w:rsidRPr="00CE3AC6">
        <w:t>instruments</w:t>
      </w:r>
      <w:r w:rsidR="003A5280" w:rsidRPr="00CE3AC6">
        <w:t xml:space="preserve"> made for the purposes of those Divisions.</w:t>
      </w:r>
    </w:p>
    <w:p w:rsidR="0073258A" w:rsidRPr="00CE3AC6" w:rsidRDefault="00D23B3B" w:rsidP="00566A6E">
      <w:pPr>
        <w:pStyle w:val="ActHead5"/>
      </w:pPr>
      <w:bookmarkStart w:id="36" w:name="_Toc38951904"/>
      <w:r w:rsidRPr="00BB596D">
        <w:rPr>
          <w:rStyle w:val="CharSectno"/>
        </w:rPr>
        <w:t>23</w:t>
      </w:r>
      <w:r w:rsidR="0073258A" w:rsidRPr="00CE3AC6">
        <w:t xml:space="preserve">  Condition—financial product disclosure</w:t>
      </w:r>
      <w:bookmarkEnd w:id="36"/>
    </w:p>
    <w:p w:rsidR="009E3C52" w:rsidRPr="00CE3AC6" w:rsidRDefault="009E3C52" w:rsidP="009E3C52">
      <w:pPr>
        <w:pStyle w:val="subsection"/>
      </w:pPr>
      <w:r w:rsidRPr="00CE3AC6">
        <w:tab/>
      </w:r>
      <w:r w:rsidRPr="00CE3AC6">
        <w:tab/>
        <w:t>The condition in this section is met for an eligible financial service if the provider complies with Division</w:t>
      </w:r>
      <w:r w:rsidR="00CE3AC6" w:rsidRPr="00CE3AC6">
        <w:t> </w:t>
      </w:r>
      <w:r w:rsidRPr="00CE3AC6">
        <w:t>2 of Part</w:t>
      </w:r>
      <w:r w:rsidR="00CE3AC6" w:rsidRPr="00CE3AC6">
        <w:t> </w:t>
      </w:r>
      <w:r w:rsidRPr="00CE3AC6">
        <w:t>7.9 of the Act:</w:t>
      </w:r>
    </w:p>
    <w:p w:rsidR="009E3C52" w:rsidRPr="00CE3AC6" w:rsidRDefault="009E3C52" w:rsidP="009E3C52">
      <w:pPr>
        <w:pStyle w:val="paragraph"/>
      </w:pPr>
      <w:r w:rsidRPr="00CE3AC6">
        <w:tab/>
        <w:t>(a)</w:t>
      </w:r>
      <w:r w:rsidRPr="00CE3AC6">
        <w:tab/>
        <w:t>in relation to the financial service; and</w:t>
      </w:r>
    </w:p>
    <w:p w:rsidR="009E3C52" w:rsidRPr="00CE3AC6" w:rsidRDefault="009E3C52" w:rsidP="009E3C52">
      <w:pPr>
        <w:pStyle w:val="paragraph"/>
      </w:pPr>
      <w:r w:rsidRPr="00CE3AC6">
        <w:tab/>
        <w:t>(b)</w:t>
      </w:r>
      <w:r w:rsidRPr="00CE3AC6">
        <w:tab/>
        <w:t xml:space="preserve">as if the provider were a financial services licensee (for any financial products related to the financial service) for the purposes of that </w:t>
      </w:r>
      <w:r w:rsidR="00B4189A" w:rsidRPr="00CE3AC6">
        <w:t>Division</w:t>
      </w:r>
      <w:r w:rsidRPr="00CE3AC6">
        <w:t>.</w:t>
      </w:r>
    </w:p>
    <w:p w:rsidR="00BB742B" w:rsidRPr="00CE3AC6" w:rsidRDefault="00BB742B" w:rsidP="00BB742B">
      <w:pPr>
        <w:pStyle w:val="notetext"/>
      </w:pPr>
      <w:r w:rsidRPr="00CE3AC6">
        <w:t>Note:</w:t>
      </w:r>
      <w:r w:rsidRPr="00CE3AC6">
        <w:tab/>
      </w:r>
      <w:r w:rsidR="00CE3AC6" w:rsidRPr="00CE3AC6">
        <w:t>Paragraph (</w:t>
      </w:r>
      <w:r w:rsidRPr="00CE3AC6">
        <w:t xml:space="preserve">b) will ensure the provider is a regulated person for the purposes of that Division (see the definition of </w:t>
      </w:r>
      <w:r w:rsidRPr="00CE3AC6">
        <w:rPr>
          <w:b/>
          <w:i/>
        </w:rPr>
        <w:t>regulated person</w:t>
      </w:r>
      <w:r w:rsidRPr="00CE3AC6">
        <w:t xml:space="preserve"> in section</w:t>
      </w:r>
      <w:r w:rsidR="00CE3AC6" w:rsidRPr="00CE3AC6">
        <w:t> </w:t>
      </w:r>
      <w:r w:rsidRPr="00CE3AC6">
        <w:t>1011B of the Act).</w:t>
      </w:r>
    </w:p>
    <w:p w:rsidR="00566A6E" w:rsidRPr="00CE3AC6" w:rsidRDefault="00D23B3B" w:rsidP="00566A6E">
      <w:pPr>
        <w:pStyle w:val="ActHead5"/>
      </w:pPr>
      <w:bookmarkStart w:id="37" w:name="_Toc38951905"/>
      <w:r w:rsidRPr="00BB596D">
        <w:rPr>
          <w:rStyle w:val="CharSectno"/>
        </w:rPr>
        <w:t>24</w:t>
      </w:r>
      <w:r w:rsidR="00C70F2A" w:rsidRPr="00CE3AC6">
        <w:t xml:space="preserve">  Condition—make</w:t>
      </w:r>
      <w:r w:rsidR="00CE3AC6">
        <w:noBreakHyphen/>
      </w:r>
      <w:r w:rsidR="00566A6E" w:rsidRPr="00CE3AC6">
        <w:t>good orders</w:t>
      </w:r>
      <w:bookmarkEnd w:id="37"/>
    </w:p>
    <w:p w:rsidR="00CC1219" w:rsidRPr="00CE3AC6" w:rsidRDefault="00566A6E" w:rsidP="00627831">
      <w:pPr>
        <w:pStyle w:val="subsection"/>
      </w:pPr>
      <w:r w:rsidRPr="00CE3AC6">
        <w:tab/>
        <w:t>(1)</w:t>
      </w:r>
      <w:r w:rsidRPr="00CE3AC6">
        <w:tab/>
        <w:t>The condition in this section is met for a</w:t>
      </w:r>
      <w:r w:rsidR="00A7446F" w:rsidRPr="00CE3AC6">
        <w:t xml:space="preserve">n eligible financial service </w:t>
      </w:r>
      <w:r w:rsidR="00627831" w:rsidRPr="00CE3AC6">
        <w:t xml:space="preserve">if, when </w:t>
      </w:r>
      <w:r w:rsidR="00CB2AEC" w:rsidRPr="00CE3AC6">
        <w:t xml:space="preserve">an order under </w:t>
      </w:r>
      <w:r w:rsidR="00CE3AC6" w:rsidRPr="00CE3AC6">
        <w:t>subsection (</w:t>
      </w:r>
      <w:r w:rsidR="00CB2AEC" w:rsidRPr="00CE3AC6">
        <w:t xml:space="preserve">2) </w:t>
      </w:r>
      <w:r w:rsidR="00CF3E9C" w:rsidRPr="00CE3AC6">
        <w:t>has been given to</w:t>
      </w:r>
      <w:r w:rsidR="00CB2AEC" w:rsidRPr="00CE3AC6">
        <w:t xml:space="preserve"> the </w:t>
      </w:r>
      <w:r w:rsidR="00BC5FE6" w:rsidRPr="00CE3AC6">
        <w:t xml:space="preserve">provider </w:t>
      </w:r>
      <w:r w:rsidR="00CF3E9C" w:rsidRPr="00CE3AC6">
        <w:t>for</w:t>
      </w:r>
      <w:r w:rsidR="00BC5FE6" w:rsidRPr="00CE3AC6">
        <w:t xml:space="preserve"> the </w:t>
      </w:r>
      <w:r w:rsidR="00CC1219" w:rsidRPr="00CE3AC6">
        <w:t xml:space="preserve">financial </w:t>
      </w:r>
      <w:r w:rsidR="00627831" w:rsidRPr="00CE3AC6">
        <w:t xml:space="preserve">service, </w:t>
      </w:r>
      <w:r w:rsidR="00CC1219" w:rsidRPr="00CE3AC6">
        <w:t>the provider:</w:t>
      </w:r>
    </w:p>
    <w:p w:rsidR="00CC1219" w:rsidRPr="00CE3AC6" w:rsidRDefault="00627831" w:rsidP="00627831">
      <w:pPr>
        <w:pStyle w:val="paragraph"/>
      </w:pPr>
      <w:r w:rsidRPr="00CE3AC6">
        <w:tab/>
        <w:t>(a</w:t>
      </w:r>
      <w:r w:rsidR="00CC1219" w:rsidRPr="00CE3AC6">
        <w:t>)</w:t>
      </w:r>
      <w:r w:rsidR="00CC1219" w:rsidRPr="00CE3AC6">
        <w:tab/>
        <w:t>comp</w:t>
      </w:r>
      <w:r w:rsidRPr="00CE3AC6">
        <w:t>lies</w:t>
      </w:r>
      <w:r w:rsidR="00CC1219" w:rsidRPr="00CE3AC6">
        <w:t xml:space="preserve"> with the order within the 30</w:t>
      </w:r>
      <w:r w:rsidR="00CE3AC6">
        <w:noBreakHyphen/>
      </w:r>
      <w:r w:rsidR="00CC1219" w:rsidRPr="00CE3AC6">
        <w:t xml:space="preserve">day period starting on the day after </w:t>
      </w:r>
      <w:r w:rsidRPr="00CE3AC6">
        <w:t>the provider</w:t>
      </w:r>
      <w:r w:rsidR="00CF3E9C" w:rsidRPr="00CE3AC6">
        <w:t xml:space="preserve"> wa</w:t>
      </w:r>
      <w:r w:rsidR="00CC1219" w:rsidRPr="00CE3AC6">
        <w:t xml:space="preserve">s given the order; </w:t>
      </w:r>
      <w:r w:rsidRPr="00CE3AC6">
        <w:t>and</w:t>
      </w:r>
    </w:p>
    <w:p w:rsidR="00CC1219" w:rsidRPr="00CE3AC6" w:rsidRDefault="00627831" w:rsidP="00627831">
      <w:pPr>
        <w:pStyle w:val="paragraph"/>
      </w:pPr>
      <w:r w:rsidRPr="00CE3AC6">
        <w:tab/>
        <w:t>(b</w:t>
      </w:r>
      <w:r w:rsidR="00CC1219" w:rsidRPr="00CE3AC6">
        <w:t>)</w:t>
      </w:r>
      <w:r w:rsidR="00CC1219" w:rsidRPr="00CE3AC6">
        <w:tab/>
      </w:r>
      <w:r w:rsidRPr="00CE3AC6">
        <w:t>lodges</w:t>
      </w:r>
      <w:r w:rsidR="00CC1219" w:rsidRPr="00CE3AC6">
        <w:t xml:space="preserve"> with ASIC</w:t>
      </w:r>
      <w:r w:rsidRPr="00CE3AC6">
        <w:t>,</w:t>
      </w:r>
      <w:r w:rsidR="00CC1219" w:rsidRPr="00CE3AC6">
        <w:t xml:space="preserve"> during that </w:t>
      </w:r>
      <w:r w:rsidRPr="00CE3AC6">
        <w:t>30</w:t>
      </w:r>
      <w:r w:rsidR="00CE3AC6">
        <w:noBreakHyphen/>
      </w:r>
      <w:r w:rsidRPr="00CE3AC6">
        <w:t xml:space="preserve">day </w:t>
      </w:r>
      <w:r w:rsidR="00CC1219" w:rsidRPr="00CE3AC6">
        <w:t>period</w:t>
      </w:r>
      <w:r w:rsidRPr="00CE3AC6">
        <w:t>,</w:t>
      </w:r>
      <w:r w:rsidR="00CC1219" w:rsidRPr="00CE3AC6">
        <w:t xml:space="preserve"> a notice in a prescribed form stating </w:t>
      </w:r>
      <w:r w:rsidRPr="00CE3AC6">
        <w:t>that</w:t>
      </w:r>
      <w:r w:rsidR="00CC1219" w:rsidRPr="00CE3AC6">
        <w:t xml:space="preserve"> the provider has complied with the order.</w:t>
      </w:r>
    </w:p>
    <w:p w:rsidR="00DC023B" w:rsidRPr="00CE3AC6" w:rsidRDefault="00DC023B" w:rsidP="00566A6E">
      <w:pPr>
        <w:pStyle w:val="subsection"/>
      </w:pPr>
      <w:r w:rsidRPr="00CE3AC6">
        <w:tab/>
        <w:t>(2)</w:t>
      </w:r>
      <w:r w:rsidRPr="00CE3AC6">
        <w:tab/>
        <w:t>ASIC may, by written notice given to the provider, order that the provider</w:t>
      </w:r>
      <w:r w:rsidR="00670DFD" w:rsidRPr="00CE3AC6">
        <w:t xml:space="preserve"> ensures that specified conduct</w:t>
      </w:r>
      <w:r w:rsidRPr="00CE3AC6">
        <w:t>:</w:t>
      </w:r>
    </w:p>
    <w:p w:rsidR="00DC023B" w:rsidRPr="00CE3AC6" w:rsidRDefault="00DC023B" w:rsidP="00DC023B">
      <w:pPr>
        <w:pStyle w:val="paragraph"/>
      </w:pPr>
      <w:r w:rsidRPr="00CE3AC6">
        <w:tab/>
        <w:t>(a)</w:t>
      </w:r>
      <w:r w:rsidRPr="00CE3AC6">
        <w:tab/>
        <w:t>is engaged in</w:t>
      </w:r>
      <w:r w:rsidR="00627831" w:rsidRPr="00CE3AC6">
        <w:t xml:space="preserve"> </w:t>
      </w:r>
      <w:r w:rsidR="00362110" w:rsidRPr="00CE3AC6">
        <w:t>in relation t</w:t>
      </w:r>
      <w:r w:rsidR="006015DB" w:rsidRPr="00CE3AC6">
        <w:t>o an eligible financial service</w:t>
      </w:r>
      <w:r w:rsidRPr="00CE3AC6">
        <w:t>; or</w:t>
      </w:r>
    </w:p>
    <w:p w:rsidR="00DC023B" w:rsidRPr="00CE3AC6" w:rsidRDefault="00DC023B" w:rsidP="00DC023B">
      <w:pPr>
        <w:pStyle w:val="paragraph"/>
      </w:pPr>
      <w:r w:rsidRPr="00CE3AC6">
        <w:tab/>
        <w:t>(b)</w:t>
      </w:r>
      <w:r w:rsidRPr="00CE3AC6">
        <w:tab/>
      </w:r>
      <w:r w:rsidR="00627831" w:rsidRPr="00CE3AC6">
        <w:t xml:space="preserve">is not engaged in </w:t>
      </w:r>
      <w:r w:rsidRPr="00CE3AC6">
        <w:t>in relation t</w:t>
      </w:r>
      <w:r w:rsidR="006015DB" w:rsidRPr="00CE3AC6">
        <w:t>o an eligible financial service</w:t>
      </w:r>
      <w:r w:rsidR="00B52DD5" w:rsidRPr="00CE3AC6">
        <w:t>;</w:t>
      </w:r>
    </w:p>
    <w:p w:rsidR="00BC5FE6" w:rsidRPr="00CE3AC6" w:rsidRDefault="00BC5FE6" w:rsidP="00B52DD5">
      <w:pPr>
        <w:pStyle w:val="subsection2"/>
      </w:pPr>
      <w:r w:rsidRPr="00CE3AC6">
        <w:t>if:</w:t>
      </w:r>
    </w:p>
    <w:p w:rsidR="00BC5FE6" w:rsidRPr="00CE3AC6" w:rsidRDefault="00BC5FE6" w:rsidP="00BC5FE6">
      <w:pPr>
        <w:pStyle w:val="paragraph"/>
      </w:pPr>
      <w:r w:rsidRPr="00CE3AC6">
        <w:tab/>
        <w:t>(c)</w:t>
      </w:r>
      <w:r w:rsidRPr="00CE3AC6">
        <w:tab/>
        <w:t xml:space="preserve">the provider has an exemption under section </w:t>
      </w:r>
      <w:r w:rsidR="00D23B3B" w:rsidRPr="00CE3AC6">
        <w:t>6</w:t>
      </w:r>
      <w:r w:rsidRPr="00CE3AC6">
        <w:t xml:space="preserve"> for the financial service; and</w:t>
      </w:r>
    </w:p>
    <w:p w:rsidR="00B52DD5" w:rsidRPr="00CE3AC6" w:rsidRDefault="00BC5FE6" w:rsidP="00BC5FE6">
      <w:pPr>
        <w:pStyle w:val="paragraph"/>
      </w:pPr>
      <w:r w:rsidRPr="00CE3AC6">
        <w:tab/>
        <w:t>(d)</w:t>
      </w:r>
      <w:r w:rsidRPr="00CE3AC6">
        <w:tab/>
      </w:r>
      <w:r w:rsidR="00B52DD5" w:rsidRPr="00CE3AC6">
        <w:t xml:space="preserve">ASIC is satisfied </w:t>
      </w:r>
      <w:r w:rsidR="00627831" w:rsidRPr="00CE3AC6">
        <w:t xml:space="preserve">that </w:t>
      </w:r>
      <w:r w:rsidR="003B017D" w:rsidRPr="00CE3AC6">
        <w:t xml:space="preserve">the </w:t>
      </w:r>
      <w:r w:rsidR="00627831" w:rsidRPr="00CE3AC6">
        <w:t>provi</w:t>
      </w:r>
      <w:r w:rsidR="003B017D" w:rsidRPr="00CE3AC6">
        <w:t>sion of</w:t>
      </w:r>
      <w:r w:rsidR="00627831" w:rsidRPr="00CE3AC6">
        <w:t xml:space="preserve"> the financial service has resulted, or is likely to result, in significant detriment to one or more persons as retail clients, or wholesale clients, for the service or a related financial product</w:t>
      </w:r>
      <w:r w:rsidR="00584701" w:rsidRPr="00CE3AC6">
        <w:t>.</w:t>
      </w:r>
    </w:p>
    <w:p w:rsidR="001E1744" w:rsidRPr="00CE3AC6" w:rsidRDefault="001E1744" w:rsidP="001E1744">
      <w:pPr>
        <w:pStyle w:val="notetext"/>
      </w:pPr>
      <w:r w:rsidRPr="00CE3AC6">
        <w:t>Note:</w:t>
      </w:r>
      <w:r w:rsidRPr="00CE3AC6">
        <w:tab/>
        <w:t xml:space="preserve">A decision by ASIC under this </w:t>
      </w:r>
      <w:r w:rsidR="00627831" w:rsidRPr="00CE3AC6">
        <w:t>sub</w:t>
      </w:r>
      <w:r w:rsidRPr="00CE3AC6">
        <w:t>section is a reviewable decision under section</w:t>
      </w:r>
      <w:r w:rsidR="00CE3AC6" w:rsidRPr="00CE3AC6">
        <w:t> </w:t>
      </w:r>
      <w:r w:rsidRPr="00CE3AC6">
        <w:t>1317B of the Act.</w:t>
      </w:r>
    </w:p>
    <w:p w:rsidR="00873262" w:rsidRPr="00CE3AC6" w:rsidRDefault="00873262" w:rsidP="00873262">
      <w:pPr>
        <w:pStyle w:val="ActHead2"/>
        <w:pageBreakBefore/>
      </w:pPr>
      <w:bookmarkStart w:id="38" w:name="_Toc38951906"/>
      <w:r w:rsidRPr="00BB596D">
        <w:rPr>
          <w:rStyle w:val="CharPartNo"/>
        </w:rPr>
        <w:t>Part</w:t>
      </w:r>
      <w:r w:rsidR="00CE3AC6" w:rsidRPr="00BB596D">
        <w:rPr>
          <w:rStyle w:val="CharPartNo"/>
        </w:rPr>
        <w:t> </w:t>
      </w:r>
      <w:r w:rsidRPr="00BB596D">
        <w:rPr>
          <w:rStyle w:val="CharPartNo"/>
        </w:rPr>
        <w:t>6</w:t>
      </w:r>
      <w:r w:rsidRPr="00CE3AC6">
        <w:t>—</w:t>
      </w:r>
      <w:r w:rsidRPr="00BB596D">
        <w:rPr>
          <w:rStyle w:val="CharPartText"/>
        </w:rPr>
        <w:t>Related matters</w:t>
      </w:r>
      <w:bookmarkEnd w:id="38"/>
    </w:p>
    <w:p w:rsidR="00873262" w:rsidRPr="00BB596D" w:rsidRDefault="00873262" w:rsidP="00873262">
      <w:pPr>
        <w:pStyle w:val="Header"/>
      </w:pPr>
      <w:r w:rsidRPr="00BB596D">
        <w:rPr>
          <w:rStyle w:val="CharDivNo"/>
        </w:rPr>
        <w:t xml:space="preserve"> </w:t>
      </w:r>
      <w:r w:rsidRPr="00BB596D">
        <w:rPr>
          <w:rStyle w:val="CharDivText"/>
        </w:rPr>
        <w:t xml:space="preserve"> </w:t>
      </w:r>
    </w:p>
    <w:p w:rsidR="00873262" w:rsidRPr="00CE3AC6" w:rsidRDefault="00D23B3B" w:rsidP="00873262">
      <w:pPr>
        <w:pStyle w:val="ActHead5"/>
      </w:pPr>
      <w:bookmarkStart w:id="39" w:name="_Toc38951907"/>
      <w:r w:rsidRPr="00BB596D">
        <w:rPr>
          <w:rStyle w:val="CharSectno"/>
        </w:rPr>
        <w:t>25</w:t>
      </w:r>
      <w:r w:rsidR="00873262" w:rsidRPr="00CE3AC6">
        <w:t xml:space="preserve">  Exempt intermediaries for CSF offers</w:t>
      </w:r>
      <w:bookmarkEnd w:id="39"/>
    </w:p>
    <w:p w:rsidR="0059712C" w:rsidRPr="00CE3AC6" w:rsidRDefault="00873262" w:rsidP="00873262">
      <w:pPr>
        <w:pStyle w:val="subsection"/>
      </w:pPr>
      <w:r w:rsidRPr="00CE3AC6">
        <w:tab/>
      </w:r>
      <w:r w:rsidRPr="00CE3AC6">
        <w:tab/>
        <w:t>For the purposes of paragraph</w:t>
      </w:r>
      <w:r w:rsidR="00CE3AC6" w:rsidRPr="00CE3AC6">
        <w:t> </w:t>
      </w:r>
      <w:r w:rsidRPr="00CE3AC6">
        <w:t>742(1)(c) of the Act, if</w:t>
      </w:r>
      <w:r w:rsidR="0059712C" w:rsidRPr="00CE3AC6">
        <w:t>:</w:t>
      </w:r>
    </w:p>
    <w:p w:rsidR="0059712C" w:rsidRPr="00CE3AC6" w:rsidRDefault="0059712C" w:rsidP="0059712C">
      <w:pPr>
        <w:pStyle w:val="paragraph"/>
      </w:pPr>
      <w:r w:rsidRPr="00CE3AC6">
        <w:tab/>
        <w:t>(a)</w:t>
      </w:r>
      <w:r w:rsidRPr="00CE3AC6">
        <w:tab/>
      </w:r>
      <w:r w:rsidR="00873262" w:rsidRPr="00CE3AC6">
        <w:t xml:space="preserve">a person </w:t>
      </w:r>
      <w:r w:rsidR="00ED5969" w:rsidRPr="00CE3AC6">
        <w:t xml:space="preserve">has an exemption under section </w:t>
      </w:r>
      <w:r w:rsidR="00D23B3B" w:rsidRPr="00CE3AC6">
        <w:t>6</w:t>
      </w:r>
      <w:r w:rsidR="00ED5969" w:rsidRPr="00CE3AC6">
        <w:t xml:space="preserve"> </w:t>
      </w:r>
      <w:r w:rsidR="009C3B3B" w:rsidRPr="00CE3AC6">
        <w:t xml:space="preserve">of this instrument </w:t>
      </w:r>
      <w:r w:rsidR="00ED5969" w:rsidRPr="00CE3AC6">
        <w:t xml:space="preserve">for </w:t>
      </w:r>
      <w:r w:rsidR="00873262" w:rsidRPr="00CE3AC6">
        <w:t>an eligible financial service</w:t>
      </w:r>
      <w:r w:rsidRPr="00CE3AC6">
        <w:t>; and</w:t>
      </w:r>
    </w:p>
    <w:p w:rsidR="0059712C" w:rsidRPr="00CE3AC6" w:rsidRDefault="0081654F" w:rsidP="0059712C">
      <w:pPr>
        <w:pStyle w:val="paragraph"/>
      </w:pPr>
      <w:r w:rsidRPr="00CE3AC6">
        <w:tab/>
        <w:t>(b)</w:t>
      </w:r>
      <w:r w:rsidRPr="00CE3AC6">
        <w:tab/>
        <w:t>the</w:t>
      </w:r>
      <w:r w:rsidR="0059712C" w:rsidRPr="00CE3AC6">
        <w:t xml:space="preserve"> </w:t>
      </w:r>
      <w:r w:rsidRPr="00CE3AC6">
        <w:t xml:space="preserve">eligible financial </w:t>
      </w:r>
      <w:r w:rsidR="0059712C" w:rsidRPr="00CE3AC6">
        <w:t>service</w:t>
      </w:r>
      <w:r w:rsidR="00873262" w:rsidRPr="00CE3AC6">
        <w:t xml:space="preserve"> is </w:t>
      </w:r>
      <w:r w:rsidR="00ED5969" w:rsidRPr="00CE3AC6">
        <w:t>providing a crowd</w:t>
      </w:r>
      <w:r w:rsidR="00CE3AC6">
        <w:noBreakHyphen/>
      </w:r>
      <w:r w:rsidR="00ED5969" w:rsidRPr="00CE3AC6">
        <w:t>funding service</w:t>
      </w:r>
      <w:r w:rsidR="0059712C" w:rsidRPr="00CE3AC6">
        <w:t>;</w:t>
      </w:r>
    </w:p>
    <w:p w:rsidR="00873262" w:rsidRPr="00CE3AC6" w:rsidRDefault="00617FF7" w:rsidP="0059712C">
      <w:pPr>
        <w:pStyle w:val="subsection2"/>
      </w:pPr>
      <w:r w:rsidRPr="00CE3AC6">
        <w:t>Chapter</w:t>
      </w:r>
      <w:r w:rsidR="00CE3AC6" w:rsidRPr="00CE3AC6">
        <w:t> </w:t>
      </w:r>
      <w:r w:rsidRPr="00CE3AC6">
        <w:t xml:space="preserve">6D of the Act </w:t>
      </w:r>
      <w:r w:rsidR="00873262" w:rsidRPr="00CE3AC6">
        <w:t xml:space="preserve">applies as if </w:t>
      </w:r>
      <w:r w:rsidRPr="00CE3AC6">
        <w:t>section</w:t>
      </w:r>
      <w:r w:rsidR="00CE3AC6" w:rsidRPr="00CE3AC6">
        <w:t> </w:t>
      </w:r>
      <w:r w:rsidRPr="00CE3AC6">
        <w:t xml:space="preserve">738C of the Act </w:t>
      </w:r>
      <w:r w:rsidR="00873262" w:rsidRPr="00CE3AC6">
        <w:t xml:space="preserve">were modified so that the person is a </w:t>
      </w:r>
      <w:r w:rsidR="00873262" w:rsidRPr="00CE3AC6">
        <w:rPr>
          <w:b/>
          <w:i/>
        </w:rPr>
        <w:t>CSF intermediary</w:t>
      </w:r>
      <w:r w:rsidR="00873262" w:rsidRPr="00CE3AC6">
        <w:t xml:space="preserve"> </w:t>
      </w:r>
      <w:r w:rsidR="0081654F" w:rsidRPr="00CE3AC6">
        <w:t>during the eligible financial service’s testing period</w:t>
      </w:r>
      <w:r w:rsidR="00873262" w:rsidRPr="00CE3AC6">
        <w:t>.</w:t>
      </w:r>
    </w:p>
    <w:sectPr w:rsidR="00873262" w:rsidRPr="00CE3AC6" w:rsidSect="00CB1E35">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E6" w:rsidRDefault="007517E6" w:rsidP="00715914">
      <w:pPr>
        <w:spacing w:line="240" w:lineRule="auto"/>
      </w:pPr>
      <w:r>
        <w:separator/>
      </w:r>
    </w:p>
  </w:endnote>
  <w:endnote w:type="continuationSeparator" w:id="0">
    <w:p w:rsidR="007517E6" w:rsidRDefault="007517E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35" w:rsidRPr="00CB1E35" w:rsidRDefault="00CB1E35" w:rsidP="00CB1E35">
    <w:pPr>
      <w:pStyle w:val="Footer"/>
      <w:rPr>
        <w:i/>
        <w:sz w:val="18"/>
      </w:rPr>
    </w:pPr>
    <w:r w:rsidRPr="00CB1E35">
      <w:rPr>
        <w:i/>
        <w:sz w:val="18"/>
      </w:rPr>
      <w:t>OPC62952 -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Default="007517E6" w:rsidP="007500C8">
    <w:pPr>
      <w:pStyle w:val="Footer"/>
    </w:pPr>
  </w:p>
  <w:p w:rsidR="007517E6" w:rsidRPr="00CB1E35" w:rsidRDefault="00CB1E35" w:rsidP="00CB1E35">
    <w:pPr>
      <w:pStyle w:val="Footer"/>
      <w:rPr>
        <w:i/>
        <w:sz w:val="18"/>
      </w:rPr>
    </w:pPr>
    <w:r w:rsidRPr="00CB1E35">
      <w:rPr>
        <w:i/>
        <w:sz w:val="18"/>
      </w:rPr>
      <w:t>OPC62952 -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CB1E35" w:rsidRDefault="00CB1E35" w:rsidP="00CB1E35">
    <w:pPr>
      <w:pStyle w:val="Footer"/>
      <w:tabs>
        <w:tab w:val="clear" w:pos="4153"/>
        <w:tab w:val="clear" w:pos="8306"/>
        <w:tab w:val="center" w:pos="4150"/>
        <w:tab w:val="right" w:pos="8307"/>
      </w:tabs>
      <w:spacing w:before="120"/>
      <w:rPr>
        <w:i/>
        <w:sz w:val="18"/>
      </w:rPr>
    </w:pPr>
    <w:r w:rsidRPr="00CB1E35">
      <w:rPr>
        <w:i/>
        <w:sz w:val="18"/>
      </w:rPr>
      <w:t>OPC62952 -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E33C1C" w:rsidRDefault="007517E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17E6" w:rsidTr="00BB596D">
      <w:tc>
        <w:tcPr>
          <w:tcW w:w="709" w:type="dxa"/>
          <w:tcBorders>
            <w:top w:val="nil"/>
            <w:left w:val="nil"/>
            <w:bottom w:val="nil"/>
            <w:right w:val="nil"/>
          </w:tcBorders>
        </w:tcPr>
        <w:p w:rsidR="007517E6" w:rsidRDefault="007517E6" w:rsidP="009D1B5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734B">
            <w:rPr>
              <w:i/>
              <w:noProof/>
              <w:sz w:val="18"/>
            </w:rPr>
            <w:t>xvi</w:t>
          </w:r>
          <w:r w:rsidRPr="00ED79B6">
            <w:rPr>
              <w:i/>
              <w:sz w:val="18"/>
            </w:rPr>
            <w:fldChar w:fldCharType="end"/>
          </w:r>
        </w:p>
      </w:tc>
      <w:tc>
        <w:tcPr>
          <w:tcW w:w="6379" w:type="dxa"/>
          <w:tcBorders>
            <w:top w:val="nil"/>
            <w:left w:val="nil"/>
            <w:bottom w:val="nil"/>
            <w:right w:val="nil"/>
          </w:tcBorders>
        </w:tcPr>
        <w:p w:rsidR="007517E6" w:rsidRDefault="007517E6" w:rsidP="009D1B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C26">
            <w:rPr>
              <w:i/>
              <w:sz w:val="18"/>
            </w:rPr>
            <w:t>Corporations (FinTech Sandbox Australian Financial Services Licence Exemption) Regulations 2020</w:t>
          </w:r>
          <w:r w:rsidRPr="007A1328">
            <w:rPr>
              <w:i/>
              <w:sz w:val="18"/>
            </w:rPr>
            <w:fldChar w:fldCharType="end"/>
          </w:r>
        </w:p>
      </w:tc>
      <w:tc>
        <w:tcPr>
          <w:tcW w:w="1384" w:type="dxa"/>
          <w:tcBorders>
            <w:top w:val="nil"/>
            <w:left w:val="nil"/>
            <w:bottom w:val="nil"/>
            <w:right w:val="nil"/>
          </w:tcBorders>
        </w:tcPr>
        <w:p w:rsidR="007517E6" w:rsidRDefault="007517E6" w:rsidP="009D1B50">
          <w:pPr>
            <w:spacing w:line="0" w:lineRule="atLeast"/>
            <w:jc w:val="right"/>
            <w:rPr>
              <w:sz w:val="18"/>
            </w:rPr>
          </w:pPr>
        </w:p>
      </w:tc>
    </w:tr>
  </w:tbl>
  <w:p w:rsidR="007517E6" w:rsidRPr="00CB1E35" w:rsidRDefault="00CB1E35" w:rsidP="00CB1E35">
    <w:pPr>
      <w:rPr>
        <w:rFonts w:cs="Times New Roman"/>
        <w:i/>
        <w:sz w:val="18"/>
      </w:rPr>
    </w:pPr>
    <w:r w:rsidRPr="00CB1E35">
      <w:rPr>
        <w:rFonts w:cs="Times New Roman"/>
        <w:i/>
        <w:sz w:val="18"/>
      </w:rPr>
      <w:t>OPC62952 -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E33C1C" w:rsidRDefault="007517E6"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17E6" w:rsidTr="00B33709">
      <w:tc>
        <w:tcPr>
          <w:tcW w:w="1383" w:type="dxa"/>
          <w:tcBorders>
            <w:top w:val="nil"/>
            <w:left w:val="nil"/>
            <w:bottom w:val="nil"/>
            <w:right w:val="nil"/>
          </w:tcBorders>
        </w:tcPr>
        <w:p w:rsidR="007517E6" w:rsidRDefault="007517E6" w:rsidP="009D1B50">
          <w:pPr>
            <w:spacing w:line="0" w:lineRule="atLeast"/>
            <w:rPr>
              <w:sz w:val="18"/>
            </w:rPr>
          </w:pPr>
        </w:p>
      </w:tc>
      <w:tc>
        <w:tcPr>
          <w:tcW w:w="6380" w:type="dxa"/>
          <w:tcBorders>
            <w:top w:val="nil"/>
            <w:left w:val="nil"/>
            <w:bottom w:val="nil"/>
            <w:right w:val="nil"/>
          </w:tcBorders>
        </w:tcPr>
        <w:p w:rsidR="007517E6" w:rsidRDefault="007517E6" w:rsidP="009D1B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C26">
            <w:rPr>
              <w:i/>
              <w:sz w:val="18"/>
            </w:rPr>
            <w:t>Corporations (FinTech Sandbox Australian Financial Services Licence Exemption) Regulations 2020</w:t>
          </w:r>
          <w:r w:rsidRPr="007A1328">
            <w:rPr>
              <w:i/>
              <w:sz w:val="18"/>
            </w:rPr>
            <w:fldChar w:fldCharType="end"/>
          </w:r>
        </w:p>
      </w:tc>
      <w:tc>
        <w:tcPr>
          <w:tcW w:w="709" w:type="dxa"/>
          <w:tcBorders>
            <w:top w:val="nil"/>
            <w:left w:val="nil"/>
            <w:bottom w:val="nil"/>
            <w:right w:val="nil"/>
          </w:tcBorders>
        </w:tcPr>
        <w:p w:rsidR="007517E6" w:rsidRDefault="007517E6" w:rsidP="009D1B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6206">
            <w:rPr>
              <w:i/>
              <w:noProof/>
              <w:sz w:val="18"/>
            </w:rPr>
            <w:t>i</w:t>
          </w:r>
          <w:r w:rsidRPr="00ED79B6">
            <w:rPr>
              <w:i/>
              <w:sz w:val="18"/>
            </w:rPr>
            <w:fldChar w:fldCharType="end"/>
          </w:r>
        </w:p>
      </w:tc>
    </w:tr>
  </w:tbl>
  <w:p w:rsidR="007517E6" w:rsidRPr="00CB1E35" w:rsidRDefault="00CB1E35" w:rsidP="00CB1E35">
    <w:pPr>
      <w:rPr>
        <w:rFonts w:cs="Times New Roman"/>
        <w:i/>
        <w:sz w:val="18"/>
      </w:rPr>
    </w:pPr>
    <w:r w:rsidRPr="00CB1E35">
      <w:rPr>
        <w:rFonts w:cs="Times New Roman"/>
        <w:i/>
        <w:sz w:val="18"/>
      </w:rPr>
      <w:t>OPC62952 -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E33C1C" w:rsidRDefault="007517E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17E6" w:rsidTr="00BB596D">
      <w:tc>
        <w:tcPr>
          <w:tcW w:w="709" w:type="dxa"/>
          <w:tcBorders>
            <w:top w:val="nil"/>
            <w:left w:val="nil"/>
            <w:bottom w:val="nil"/>
            <w:right w:val="nil"/>
          </w:tcBorders>
        </w:tcPr>
        <w:p w:rsidR="007517E6" w:rsidRDefault="007517E6" w:rsidP="009D1B5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0937">
            <w:rPr>
              <w:i/>
              <w:noProof/>
              <w:sz w:val="18"/>
            </w:rPr>
            <w:t>2</w:t>
          </w:r>
          <w:r w:rsidRPr="00ED79B6">
            <w:rPr>
              <w:i/>
              <w:sz w:val="18"/>
            </w:rPr>
            <w:fldChar w:fldCharType="end"/>
          </w:r>
        </w:p>
      </w:tc>
      <w:tc>
        <w:tcPr>
          <w:tcW w:w="6379" w:type="dxa"/>
          <w:tcBorders>
            <w:top w:val="nil"/>
            <w:left w:val="nil"/>
            <w:bottom w:val="nil"/>
            <w:right w:val="nil"/>
          </w:tcBorders>
        </w:tcPr>
        <w:p w:rsidR="007517E6" w:rsidRDefault="007517E6" w:rsidP="009D1B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C26">
            <w:rPr>
              <w:i/>
              <w:sz w:val="18"/>
            </w:rPr>
            <w:t>Corporations (FinTech Sandbox Australian Financial Services Licence Exemption) Regulations 2020</w:t>
          </w:r>
          <w:r w:rsidRPr="007A1328">
            <w:rPr>
              <w:i/>
              <w:sz w:val="18"/>
            </w:rPr>
            <w:fldChar w:fldCharType="end"/>
          </w:r>
        </w:p>
      </w:tc>
      <w:tc>
        <w:tcPr>
          <w:tcW w:w="1384" w:type="dxa"/>
          <w:tcBorders>
            <w:top w:val="nil"/>
            <w:left w:val="nil"/>
            <w:bottom w:val="nil"/>
            <w:right w:val="nil"/>
          </w:tcBorders>
        </w:tcPr>
        <w:p w:rsidR="007517E6" w:rsidRDefault="007517E6" w:rsidP="009D1B50">
          <w:pPr>
            <w:spacing w:line="0" w:lineRule="atLeast"/>
            <w:jc w:val="right"/>
            <w:rPr>
              <w:sz w:val="18"/>
            </w:rPr>
          </w:pPr>
        </w:p>
      </w:tc>
    </w:tr>
  </w:tbl>
  <w:p w:rsidR="007517E6" w:rsidRPr="00CB1E35" w:rsidRDefault="00CB1E35" w:rsidP="00CB1E35">
    <w:pPr>
      <w:rPr>
        <w:rFonts w:cs="Times New Roman"/>
        <w:i/>
        <w:sz w:val="18"/>
      </w:rPr>
    </w:pPr>
    <w:r w:rsidRPr="00CB1E35">
      <w:rPr>
        <w:rFonts w:cs="Times New Roman"/>
        <w:i/>
        <w:sz w:val="18"/>
      </w:rPr>
      <w:t>OPC62952 -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E33C1C" w:rsidRDefault="007517E6"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17E6" w:rsidTr="009D1B50">
      <w:tc>
        <w:tcPr>
          <w:tcW w:w="1384" w:type="dxa"/>
          <w:tcBorders>
            <w:top w:val="nil"/>
            <w:left w:val="nil"/>
            <w:bottom w:val="nil"/>
            <w:right w:val="nil"/>
          </w:tcBorders>
        </w:tcPr>
        <w:p w:rsidR="007517E6" w:rsidRDefault="007517E6" w:rsidP="009D1B50">
          <w:pPr>
            <w:spacing w:line="0" w:lineRule="atLeast"/>
            <w:rPr>
              <w:sz w:val="18"/>
            </w:rPr>
          </w:pPr>
        </w:p>
      </w:tc>
      <w:tc>
        <w:tcPr>
          <w:tcW w:w="6379" w:type="dxa"/>
          <w:tcBorders>
            <w:top w:val="nil"/>
            <w:left w:val="nil"/>
            <w:bottom w:val="nil"/>
            <w:right w:val="nil"/>
          </w:tcBorders>
        </w:tcPr>
        <w:p w:rsidR="007517E6" w:rsidRDefault="007517E6" w:rsidP="009D1B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C26">
            <w:rPr>
              <w:i/>
              <w:sz w:val="18"/>
            </w:rPr>
            <w:t>Corporations (FinTech Sandbox Australian Financial Services Licence Exemption) Regulations 2020</w:t>
          </w:r>
          <w:r w:rsidRPr="007A1328">
            <w:rPr>
              <w:i/>
              <w:sz w:val="18"/>
            </w:rPr>
            <w:fldChar w:fldCharType="end"/>
          </w:r>
        </w:p>
      </w:tc>
      <w:tc>
        <w:tcPr>
          <w:tcW w:w="709" w:type="dxa"/>
          <w:tcBorders>
            <w:top w:val="nil"/>
            <w:left w:val="nil"/>
            <w:bottom w:val="nil"/>
            <w:right w:val="nil"/>
          </w:tcBorders>
        </w:tcPr>
        <w:p w:rsidR="007517E6" w:rsidRDefault="007517E6" w:rsidP="009D1B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0937">
            <w:rPr>
              <w:i/>
              <w:noProof/>
              <w:sz w:val="18"/>
            </w:rPr>
            <w:t>1</w:t>
          </w:r>
          <w:r w:rsidRPr="00ED79B6">
            <w:rPr>
              <w:i/>
              <w:sz w:val="18"/>
            </w:rPr>
            <w:fldChar w:fldCharType="end"/>
          </w:r>
        </w:p>
      </w:tc>
    </w:tr>
  </w:tbl>
  <w:p w:rsidR="007517E6" w:rsidRPr="00CB1E35" w:rsidRDefault="00CB1E35" w:rsidP="00CB1E35">
    <w:pPr>
      <w:rPr>
        <w:rFonts w:cs="Times New Roman"/>
        <w:i/>
        <w:sz w:val="18"/>
      </w:rPr>
    </w:pPr>
    <w:r w:rsidRPr="00CB1E35">
      <w:rPr>
        <w:rFonts w:cs="Times New Roman"/>
        <w:i/>
        <w:sz w:val="18"/>
      </w:rPr>
      <w:t>OPC62952 -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E33C1C" w:rsidRDefault="007517E6"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17E6" w:rsidTr="00B33709">
      <w:tc>
        <w:tcPr>
          <w:tcW w:w="1384" w:type="dxa"/>
          <w:tcBorders>
            <w:top w:val="nil"/>
            <w:left w:val="nil"/>
            <w:bottom w:val="nil"/>
            <w:right w:val="nil"/>
          </w:tcBorders>
        </w:tcPr>
        <w:p w:rsidR="007517E6" w:rsidRDefault="007517E6" w:rsidP="009D1B50">
          <w:pPr>
            <w:spacing w:line="0" w:lineRule="atLeast"/>
            <w:rPr>
              <w:sz w:val="18"/>
            </w:rPr>
          </w:pPr>
        </w:p>
      </w:tc>
      <w:tc>
        <w:tcPr>
          <w:tcW w:w="6379" w:type="dxa"/>
          <w:tcBorders>
            <w:top w:val="nil"/>
            <w:left w:val="nil"/>
            <w:bottom w:val="nil"/>
            <w:right w:val="nil"/>
          </w:tcBorders>
        </w:tcPr>
        <w:p w:rsidR="007517E6" w:rsidRDefault="007517E6" w:rsidP="009D1B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C26">
            <w:rPr>
              <w:i/>
              <w:sz w:val="18"/>
            </w:rPr>
            <w:t>Corporations (FinTech Sandbox Australian Financial Services Licence Exemption) Regulations 2020</w:t>
          </w:r>
          <w:r w:rsidRPr="007A1328">
            <w:rPr>
              <w:i/>
              <w:sz w:val="18"/>
            </w:rPr>
            <w:fldChar w:fldCharType="end"/>
          </w:r>
        </w:p>
      </w:tc>
      <w:tc>
        <w:tcPr>
          <w:tcW w:w="709" w:type="dxa"/>
          <w:tcBorders>
            <w:top w:val="nil"/>
            <w:left w:val="nil"/>
            <w:bottom w:val="nil"/>
            <w:right w:val="nil"/>
          </w:tcBorders>
        </w:tcPr>
        <w:p w:rsidR="007517E6" w:rsidRDefault="007517E6" w:rsidP="009D1B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734B">
            <w:rPr>
              <w:i/>
              <w:noProof/>
              <w:sz w:val="18"/>
            </w:rPr>
            <w:t>16</w:t>
          </w:r>
          <w:r w:rsidRPr="00ED79B6">
            <w:rPr>
              <w:i/>
              <w:sz w:val="18"/>
            </w:rPr>
            <w:fldChar w:fldCharType="end"/>
          </w:r>
        </w:p>
      </w:tc>
    </w:tr>
  </w:tbl>
  <w:p w:rsidR="007517E6" w:rsidRPr="00CB1E35" w:rsidRDefault="00CB1E35" w:rsidP="00CB1E35">
    <w:pPr>
      <w:rPr>
        <w:rFonts w:cs="Times New Roman"/>
        <w:i/>
        <w:sz w:val="18"/>
      </w:rPr>
    </w:pPr>
    <w:r w:rsidRPr="00CB1E35">
      <w:rPr>
        <w:rFonts w:cs="Times New Roman"/>
        <w:i/>
        <w:sz w:val="18"/>
      </w:rPr>
      <w:t>OPC62952 -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E6" w:rsidRDefault="007517E6" w:rsidP="00715914">
      <w:pPr>
        <w:spacing w:line="240" w:lineRule="auto"/>
      </w:pPr>
      <w:r>
        <w:separator/>
      </w:r>
    </w:p>
  </w:footnote>
  <w:footnote w:type="continuationSeparator" w:id="0">
    <w:p w:rsidR="007517E6" w:rsidRDefault="007517E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5F1388" w:rsidRDefault="007517E6"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5F1388" w:rsidRDefault="007517E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5F1388" w:rsidRDefault="007517E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ED79B6" w:rsidRDefault="007517E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ED79B6" w:rsidRDefault="007517E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ED79B6" w:rsidRDefault="007517E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Default="007517E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517E6" w:rsidRDefault="007517E6" w:rsidP="00715914">
    <w:pPr>
      <w:rPr>
        <w:sz w:val="20"/>
      </w:rPr>
    </w:pPr>
    <w:r w:rsidRPr="007A1328">
      <w:rPr>
        <w:b/>
        <w:sz w:val="20"/>
      </w:rPr>
      <w:fldChar w:fldCharType="begin"/>
    </w:r>
    <w:r w:rsidRPr="007A1328">
      <w:rPr>
        <w:b/>
        <w:sz w:val="20"/>
      </w:rPr>
      <w:instrText xml:space="preserve"> STYLEREF CharPartNo </w:instrText>
    </w:r>
    <w:r w:rsidR="00996206">
      <w:rPr>
        <w:b/>
        <w:sz w:val="20"/>
      </w:rPr>
      <w:fldChar w:fldCharType="separate"/>
    </w:r>
    <w:r w:rsidR="001F093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96206">
      <w:rPr>
        <w:sz w:val="20"/>
      </w:rPr>
      <w:fldChar w:fldCharType="separate"/>
    </w:r>
    <w:r w:rsidR="001F0937">
      <w:rPr>
        <w:noProof/>
        <w:sz w:val="20"/>
      </w:rPr>
      <w:t>Preliminary</w:t>
    </w:r>
    <w:r>
      <w:rPr>
        <w:sz w:val="20"/>
      </w:rPr>
      <w:fldChar w:fldCharType="end"/>
    </w:r>
  </w:p>
  <w:p w:rsidR="007517E6" w:rsidRPr="007A1328" w:rsidRDefault="007517E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517E6" w:rsidRPr="007A1328" w:rsidRDefault="007517E6" w:rsidP="00715914">
    <w:pPr>
      <w:rPr>
        <w:b/>
        <w:sz w:val="24"/>
      </w:rPr>
    </w:pPr>
  </w:p>
  <w:p w:rsidR="007517E6" w:rsidRPr="007A1328" w:rsidRDefault="007517E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57C2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0937">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7A1328" w:rsidRDefault="007517E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517E6" w:rsidRPr="007A1328" w:rsidRDefault="007517E6" w:rsidP="00715914">
    <w:pPr>
      <w:jc w:val="right"/>
      <w:rPr>
        <w:sz w:val="20"/>
      </w:rPr>
    </w:pPr>
    <w:r w:rsidRPr="007A1328">
      <w:rPr>
        <w:sz w:val="20"/>
      </w:rPr>
      <w:fldChar w:fldCharType="begin"/>
    </w:r>
    <w:r w:rsidRPr="007A1328">
      <w:rPr>
        <w:sz w:val="20"/>
      </w:rPr>
      <w:instrText xml:space="preserve"> STYLEREF CharPartText </w:instrText>
    </w:r>
    <w:r w:rsidR="00996206">
      <w:rPr>
        <w:sz w:val="20"/>
      </w:rPr>
      <w:fldChar w:fldCharType="separate"/>
    </w:r>
    <w:r w:rsidR="001F093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96206">
      <w:rPr>
        <w:b/>
        <w:sz w:val="20"/>
      </w:rPr>
      <w:fldChar w:fldCharType="separate"/>
    </w:r>
    <w:r w:rsidR="001F0937">
      <w:rPr>
        <w:b/>
        <w:noProof/>
        <w:sz w:val="20"/>
      </w:rPr>
      <w:t>Part 1</w:t>
    </w:r>
    <w:r>
      <w:rPr>
        <w:b/>
        <w:sz w:val="20"/>
      </w:rPr>
      <w:fldChar w:fldCharType="end"/>
    </w:r>
  </w:p>
  <w:p w:rsidR="007517E6" w:rsidRPr="007A1328" w:rsidRDefault="007517E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517E6" w:rsidRPr="007A1328" w:rsidRDefault="007517E6" w:rsidP="00715914">
    <w:pPr>
      <w:jc w:val="right"/>
      <w:rPr>
        <w:b/>
        <w:sz w:val="24"/>
      </w:rPr>
    </w:pPr>
  </w:p>
  <w:p w:rsidR="007517E6" w:rsidRPr="007A1328" w:rsidRDefault="007517E6"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57C2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093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6" w:rsidRPr="007A1328" w:rsidRDefault="007517E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23"/>
    <w:rsid w:val="00001DEB"/>
    <w:rsid w:val="000038B2"/>
    <w:rsid w:val="00004470"/>
    <w:rsid w:val="000052B6"/>
    <w:rsid w:val="000135BB"/>
    <w:rsid w:val="000136AF"/>
    <w:rsid w:val="00014032"/>
    <w:rsid w:val="00025141"/>
    <w:rsid w:val="00027A83"/>
    <w:rsid w:val="00027CCF"/>
    <w:rsid w:val="00032979"/>
    <w:rsid w:val="00034BEF"/>
    <w:rsid w:val="00035023"/>
    <w:rsid w:val="00035830"/>
    <w:rsid w:val="0004023F"/>
    <w:rsid w:val="000424F9"/>
    <w:rsid w:val="00043777"/>
    <w:rsid w:val="000437C1"/>
    <w:rsid w:val="00044185"/>
    <w:rsid w:val="00047082"/>
    <w:rsid w:val="000472EC"/>
    <w:rsid w:val="00047DBD"/>
    <w:rsid w:val="0005365D"/>
    <w:rsid w:val="000614BF"/>
    <w:rsid w:val="0006153F"/>
    <w:rsid w:val="000616F4"/>
    <w:rsid w:val="0007261C"/>
    <w:rsid w:val="000739B6"/>
    <w:rsid w:val="00075E92"/>
    <w:rsid w:val="0007722A"/>
    <w:rsid w:val="00081123"/>
    <w:rsid w:val="00086962"/>
    <w:rsid w:val="00092E76"/>
    <w:rsid w:val="000A0AF7"/>
    <w:rsid w:val="000A345B"/>
    <w:rsid w:val="000A54BE"/>
    <w:rsid w:val="000A79ED"/>
    <w:rsid w:val="000B58FA"/>
    <w:rsid w:val="000B7A9B"/>
    <w:rsid w:val="000C0B22"/>
    <w:rsid w:val="000C396E"/>
    <w:rsid w:val="000D05EF"/>
    <w:rsid w:val="000E1487"/>
    <w:rsid w:val="000E21DF"/>
    <w:rsid w:val="000E2261"/>
    <w:rsid w:val="000E2DCF"/>
    <w:rsid w:val="000E4385"/>
    <w:rsid w:val="000E4F56"/>
    <w:rsid w:val="000E557B"/>
    <w:rsid w:val="000E5C16"/>
    <w:rsid w:val="000E7223"/>
    <w:rsid w:val="000F1576"/>
    <w:rsid w:val="000F21C1"/>
    <w:rsid w:val="000F6F14"/>
    <w:rsid w:val="001009DE"/>
    <w:rsid w:val="0010460F"/>
    <w:rsid w:val="001071FA"/>
    <w:rsid w:val="0010745C"/>
    <w:rsid w:val="001120AC"/>
    <w:rsid w:val="0011288F"/>
    <w:rsid w:val="00112B03"/>
    <w:rsid w:val="00115D0D"/>
    <w:rsid w:val="001165D5"/>
    <w:rsid w:val="00124ACA"/>
    <w:rsid w:val="001301D6"/>
    <w:rsid w:val="00130F8D"/>
    <w:rsid w:val="00131171"/>
    <w:rsid w:val="00132CEB"/>
    <w:rsid w:val="0013540A"/>
    <w:rsid w:val="001404B1"/>
    <w:rsid w:val="00141A01"/>
    <w:rsid w:val="00142B62"/>
    <w:rsid w:val="001431B0"/>
    <w:rsid w:val="0014539C"/>
    <w:rsid w:val="0015027C"/>
    <w:rsid w:val="00152F76"/>
    <w:rsid w:val="00157B8B"/>
    <w:rsid w:val="00161382"/>
    <w:rsid w:val="001637FA"/>
    <w:rsid w:val="00164D2E"/>
    <w:rsid w:val="00166271"/>
    <w:rsid w:val="00166C2F"/>
    <w:rsid w:val="00167D58"/>
    <w:rsid w:val="00171300"/>
    <w:rsid w:val="001809D7"/>
    <w:rsid w:val="001833C3"/>
    <w:rsid w:val="00185EB0"/>
    <w:rsid w:val="0018797F"/>
    <w:rsid w:val="001939E1"/>
    <w:rsid w:val="00194C3E"/>
    <w:rsid w:val="00195382"/>
    <w:rsid w:val="00196B2B"/>
    <w:rsid w:val="00197684"/>
    <w:rsid w:val="001A08D2"/>
    <w:rsid w:val="001A0E19"/>
    <w:rsid w:val="001A2D68"/>
    <w:rsid w:val="001A4C5B"/>
    <w:rsid w:val="001A61AD"/>
    <w:rsid w:val="001B47C4"/>
    <w:rsid w:val="001B6D8F"/>
    <w:rsid w:val="001B74CA"/>
    <w:rsid w:val="001C3348"/>
    <w:rsid w:val="001C61C5"/>
    <w:rsid w:val="001C6440"/>
    <w:rsid w:val="001C69C4"/>
    <w:rsid w:val="001C7DFE"/>
    <w:rsid w:val="001D22D6"/>
    <w:rsid w:val="001D28B0"/>
    <w:rsid w:val="001D37EF"/>
    <w:rsid w:val="001D7FE0"/>
    <w:rsid w:val="001E1744"/>
    <w:rsid w:val="001E174A"/>
    <w:rsid w:val="001E3590"/>
    <w:rsid w:val="001E5BBF"/>
    <w:rsid w:val="001E7407"/>
    <w:rsid w:val="001F06EC"/>
    <w:rsid w:val="001F0937"/>
    <w:rsid w:val="001F5D5E"/>
    <w:rsid w:val="001F6219"/>
    <w:rsid w:val="001F6CD4"/>
    <w:rsid w:val="00201B7A"/>
    <w:rsid w:val="00203F9D"/>
    <w:rsid w:val="00204D42"/>
    <w:rsid w:val="00206C4D"/>
    <w:rsid w:val="002100A3"/>
    <w:rsid w:val="0021053C"/>
    <w:rsid w:val="00212536"/>
    <w:rsid w:val="00215818"/>
    <w:rsid w:val="00215AF1"/>
    <w:rsid w:val="00227F54"/>
    <w:rsid w:val="002321E8"/>
    <w:rsid w:val="0023453E"/>
    <w:rsid w:val="002357C2"/>
    <w:rsid w:val="00236EEC"/>
    <w:rsid w:val="0024010F"/>
    <w:rsid w:val="00240749"/>
    <w:rsid w:val="00240A53"/>
    <w:rsid w:val="00241C61"/>
    <w:rsid w:val="002425C1"/>
    <w:rsid w:val="00243018"/>
    <w:rsid w:val="002564A4"/>
    <w:rsid w:val="00265E53"/>
    <w:rsid w:val="0026736C"/>
    <w:rsid w:val="002679BE"/>
    <w:rsid w:val="0027222B"/>
    <w:rsid w:val="00281308"/>
    <w:rsid w:val="00283698"/>
    <w:rsid w:val="00283D14"/>
    <w:rsid w:val="00284719"/>
    <w:rsid w:val="00286923"/>
    <w:rsid w:val="002929EA"/>
    <w:rsid w:val="00296CB9"/>
    <w:rsid w:val="00297A01"/>
    <w:rsid w:val="00297C0C"/>
    <w:rsid w:val="00297ECB"/>
    <w:rsid w:val="002A186E"/>
    <w:rsid w:val="002A1C31"/>
    <w:rsid w:val="002A3666"/>
    <w:rsid w:val="002A7BCF"/>
    <w:rsid w:val="002B0B6C"/>
    <w:rsid w:val="002B0C7F"/>
    <w:rsid w:val="002B1797"/>
    <w:rsid w:val="002C19B0"/>
    <w:rsid w:val="002C471E"/>
    <w:rsid w:val="002C70AD"/>
    <w:rsid w:val="002D043A"/>
    <w:rsid w:val="002D1345"/>
    <w:rsid w:val="002D61EB"/>
    <w:rsid w:val="002D6224"/>
    <w:rsid w:val="002D6DE2"/>
    <w:rsid w:val="002E3F4B"/>
    <w:rsid w:val="002E6F13"/>
    <w:rsid w:val="002F3E23"/>
    <w:rsid w:val="002F4274"/>
    <w:rsid w:val="002F637D"/>
    <w:rsid w:val="002F77BC"/>
    <w:rsid w:val="0030118C"/>
    <w:rsid w:val="00302768"/>
    <w:rsid w:val="00302DAE"/>
    <w:rsid w:val="00304F8B"/>
    <w:rsid w:val="00305AEA"/>
    <w:rsid w:val="003105B5"/>
    <w:rsid w:val="0032060B"/>
    <w:rsid w:val="00322E18"/>
    <w:rsid w:val="00324406"/>
    <w:rsid w:val="003320C0"/>
    <w:rsid w:val="003354D2"/>
    <w:rsid w:val="00335BC6"/>
    <w:rsid w:val="00335CEB"/>
    <w:rsid w:val="003415D3"/>
    <w:rsid w:val="003436D1"/>
    <w:rsid w:val="00344464"/>
    <w:rsid w:val="00344701"/>
    <w:rsid w:val="00347D2B"/>
    <w:rsid w:val="00350FDD"/>
    <w:rsid w:val="003518AE"/>
    <w:rsid w:val="00352B0F"/>
    <w:rsid w:val="00353F51"/>
    <w:rsid w:val="00356690"/>
    <w:rsid w:val="00360459"/>
    <w:rsid w:val="00361EA3"/>
    <w:rsid w:val="00362110"/>
    <w:rsid w:val="00373BCB"/>
    <w:rsid w:val="00376549"/>
    <w:rsid w:val="003870B3"/>
    <w:rsid w:val="00390E44"/>
    <w:rsid w:val="00393B07"/>
    <w:rsid w:val="00395001"/>
    <w:rsid w:val="003A5113"/>
    <w:rsid w:val="003A5280"/>
    <w:rsid w:val="003B017D"/>
    <w:rsid w:val="003B2F4D"/>
    <w:rsid w:val="003B5E06"/>
    <w:rsid w:val="003C040B"/>
    <w:rsid w:val="003C188E"/>
    <w:rsid w:val="003C5B46"/>
    <w:rsid w:val="003C6231"/>
    <w:rsid w:val="003D0AD7"/>
    <w:rsid w:val="003D0BFE"/>
    <w:rsid w:val="003D3D25"/>
    <w:rsid w:val="003D55F6"/>
    <w:rsid w:val="003D5700"/>
    <w:rsid w:val="003D6FE3"/>
    <w:rsid w:val="003E341B"/>
    <w:rsid w:val="003E4705"/>
    <w:rsid w:val="003F3582"/>
    <w:rsid w:val="003F762C"/>
    <w:rsid w:val="004050C6"/>
    <w:rsid w:val="004116CD"/>
    <w:rsid w:val="00413BA3"/>
    <w:rsid w:val="004144EC"/>
    <w:rsid w:val="004160A3"/>
    <w:rsid w:val="00417EB9"/>
    <w:rsid w:val="00423C43"/>
    <w:rsid w:val="00424CA9"/>
    <w:rsid w:val="0042669A"/>
    <w:rsid w:val="00426D28"/>
    <w:rsid w:val="004276AB"/>
    <w:rsid w:val="004309A9"/>
    <w:rsid w:val="00431E9B"/>
    <w:rsid w:val="00435E3F"/>
    <w:rsid w:val="004379E3"/>
    <w:rsid w:val="0044015E"/>
    <w:rsid w:val="00442204"/>
    <w:rsid w:val="0044291A"/>
    <w:rsid w:val="00442C4E"/>
    <w:rsid w:val="00444ABD"/>
    <w:rsid w:val="00446EF1"/>
    <w:rsid w:val="004473A1"/>
    <w:rsid w:val="00447E8C"/>
    <w:rsid w:val="004514EB"/>
    <w:rsid w:val="00453343"/>
    <w:rsid w:val="004571E1"/>
    <w:rsid w:val="0045762B"/>
    <w:rsid w:val="00457A58"/>
    <w:rsid w:val="00461C81"/>
    <w:rsid w:val="00461E5E"/>
    <w:rsid w:val="00465469"/>
    <w:rsid w:val="0046616A"/>
    <w:rsid w:val="00467661"/>
    <w:rsid w:val="004705B7"/>
    <w:rsid w:val="00470917"/>
    <w:rsid w:val="00470B6D"/>
    <w:rsid w:val="00470CE2"/>
    <w:rsid w:val="0047256C"/>
    <w:rsid w:val="0047291D"/>
    <w:rsid w:val="00472DBE"/>
    <w:rsid w:val="00473C3A"/>
    <w:rsid w:val="00474A19"/>
    <w:rsid w:val="00483349"/>
    <w:rsid w:val="0048403E"/>
    <w:rsid w:val="00487ADE"/>
    <w:rsid w:val="004901F0"/>
    <w:rsid w:val="0049509C"/>
    <w:rsid w:val="004964F2"/>
    <w:rsid w:val="00496F97"/>
    <w:rsid w:val="004A2715"/>
    <w:rsid w:val="004A3FF5"/>
    <w:rsid w:val="004A5114"/>
    <w:rsid w:val="004B433C"/>
    <w:rsid w:val="004B4405"/>
    <w:rsid w:val="004B75AA"/>
    <w:rsid w:val="004C103D"/>
    <w:rsid w:val="004C43D9"/>
    <w:rsid w:val="004C6AE8"/>
    <w:rsid w:val="004D6454"/>
    <w:rsid w:val="004E063A"/>
    <w:rsid w:val="004E4F69"/>
    <w:rsid w:val="004E7BEC"/>
    <w:rsid w:val="004F0BB6"/>
    <w:rsid w:val="004F0DAF"/>
    <w:rsid w:val="004F2F42"/>
    <w:rsid w:val="004F48FB"/>
    <w:rsid w:val="005004FE"/>
    <w:rsid w:val="00505D3D"/>
    <w:rsid w:val="00506AF6"/>
    <w:rsid w:val="005073C4"/>
    <w:rsid w:val="0050740B"/>
    <w:rsid w:val="00507873"/>
    <w:rsid w:val="00511B17"/>
    <w:rsid w:val="005127CB"/>
    <w:rsid w:val="005168AF"/>
    <w:rsid w:val="00516B8D"/>
    <w:rsid w:val="00522C79"/>
    <w:rsid w:val="00524733"/>
    <w:rsid w:val="00526962"/>
    <w:rsid w:val="00531301"/>
    <w:rsid w:val="0053307D"/>
    <w:rsid w:val="0053330D"/>
    <w:rsid w:val="00537FBC"/>
    <w:rsid w:val="00540529"/>
    <w:rsid w:val="0054153F"/>
    <w:rsid w:val="00542894"/>
    <w:rsid w:val="00547A9C"/>
    <w:rsid w:val="00553B07"/>
    <w:rsid w:val="0055585E"/>
    <w:rsid w:val="00556C11"/>
    <w:rsid w:val="005574D1"/>
    <w:rsid w:val="005577DE"/>
    <w:rsid w:val="00557C26"/>
    <w:rsid w:val="00562CA3"/>
    <w:rsid w:val="00562F0F"/>
    <w:rsid w:val="00564118"/>
    <w:rsid w:val="00566A6E"/>
    <w:rsid w:val="0057234F"/>
    <w:rsid w:val="00575948"/>
    <w:rsid w:val="0057704C"/>
    <w:rsid w:val="00580936"/>
    <w:rsid w:val="00584701"/>
    <w:rsid w:val="00584811"/>
    <w:rsid w:val="00585784"/>
    <w:rsid w:val="00586146"/>
    <w:rsid w:val="005863A9"/>
    <w:rsid w:val="00587B1A"/>
    <w:rsid w:val="00592BD8"/>
    <w:rsid w:val="00593AA6"/>
    <w:rsid w:val="00594161"/>
    <w:rsid w:val="00594749"/>
    <w:rsid w:val="00595CE6"/>
    <w:rsid w:val="0059712C"/>
    <w:rsid w:val="005A1565"/>
    <w:rsid w:val="005A5A80"/>
    <w:rsid w:val="005A6391"/>
    <w:rsid w:val="005A6647"/>
    <w:rsid w:val="005B4067"/>
    <w:rsid w:val="005B4112"/>
    <w:rsid w:val="005C1121"/>
    <w:rsid w:val="005C3411"/>
    <w:rsid w:val="005C3F41"/>
    <w:rsid w:val="005C406C"/>
    <w:rsid w:val="005C7D06"/>
    <w:rsid w:val="005D0C49"/>
    <w:rsid w:val="005D2D09"/>
    <w:rsid w:val="005D41D6"/>
    <w:rsid w:val="005D69F4"/>
    <w:rsid w:val="005D709B"/>
    <w:rsid w:val="005E552B"/>
    <w:rsid w:val="005F262A"/>
    <w:rsid w:val="005F70C3"/>
    <w:rsid w:val="00600219"/>
    <w:rsid w:val="006015DB"/>
    <w:rsid w:val="00602A5C"/>
    <w:rsid w:val="00603B74"/>
    <w:rsid w:val="00603DBA"/>
    <w:rsid w:val="00603DC4"/>
    <w:rsid w:val="00607F45"/>
    <w:rsid w:val="00610C46"/>
    <w:rsid w:val="006145C3"/>
    <w:rsid w:val="00616995"/>
    <w:rsid w:val="00617FF7"/>
    <w:rsid w:val="00620076"/>
    <w:rsid w:val="006212A0"/>
    <w:rsid w:val="00624DDC"/>
    <w:rsid w:val="0062646D"/>
    <w:rsid w:val="00626D67"/>
    <w:rsid w:val="00627831"/>
    <w:rsid w:val="00631590"/>
    <w:rsid w:val="006330D1"/>
    <w:rsid w:val="006369E5"/>
    <w:rsid w:val="006431EE"/>
    <w:rsid w:val="006475A5"/>
    <w:rsid w:val="006475F1"/>
    <w:rsid w:val="006508BC"/>
    <w:rsid w:val="0065261D"/>
    <w:rsid w:val="006570E7"/>
    <w:rsid w:val="00661B77"/>
    <w:rsid w:val="00665050"/>
    <w:rsid w:val="006659F9"/>
    <w:rsid w:val="00670BBD"/>
    <w:rsid w:val="00670DFD"/>
    <w:rsid w:val="00670EA1"/>
    <w:rsid w:val="00673381"/>
    <w:rsid w:val="00673968"/>
    <w:rsid w:val="00673CC7"/>
    <w:rsid w:val="00674F0A"/>
    <w:rsid w:val="00677CC2"/>
    <w:rsid w:val="006802E1"/>
    <w:rsid w:val="00680378"/>
    <w:rsid w:val="0068291E"/>
    <w:rsid w:val="00687DC8"/>
    <w:rsid w:val="00687FD8"/>
    <w:rsid w:val="006905DE"/>
    <w:rsid w:val="0069207B"/>
    <w:rsid w:val="0069736D"/>
    <w:rsid w:val="00697B41"/>
    <w:rsid w:val="006A1673"/>
    <w:rsid w:val="006A4338"/>
    <w:rsid w:val="006A49E8"/>
    <w:rsid w:val="006B0A15"/>
    <w:rsid w:val="006B5789"/>
    <w:rsid w:val="006C2483"/>
    <w:rsid w:val="006C30C5"/>
    <w:rsid w:val="006C5B49"/>
    <w:rsid w:val="006C6C7B"/>
    <w:rsid w:val="006C766A"/>
    <w:rsid w:val="006C7F8C"/>
    <w:rsid w:val="006D1565"/>
    <w:rsid w:val="006D1CC8"/>
    <w:rsid w:val="006E6246"/>
    <w:rsid w:val="006F0DE7"/>
    <w:rsid w:val="006F16A4"/>
    <w:rsid w:val="006F318F"/>
    <w:rsid w:val="006F4226"/>
    <w:rsid w:val="006F57C2"/>
    <w:rsid w:val="0070017E"/>
    <w:rsid w:val="00700534"/>
    <w:rsid w:val="00700B2C"/>
    <w:rsid w:val="0070118B"/>
    <w:rsid w:val="00703AEF"/>
    <w:rsid w:val="007050A2"/>
    <w:rsid w:val="00713084"/>
    <w:rsid w:val="00714F20"/>
    <w:rsid w:val="0071590F"/>
    <w:rsid w:val="00715914"/>
    <w:rsid w:val="0071654F"/>
    <w:rsid w:val="007228B4"/>
    <w:rsid w:val="00725CC1"/>
    <w:rsid w:val="00726FA3"/>
    <w:rsid w:val="00731E00"/>
    <w:rsid w:val="007320B5"/>
    <w:rsid w:val="0073258A"/>
    <w:rsid w:val="007336D3"/>
    <w:rsid w:val="007440B7"/>
    <w:rsid w:val="00744EBE"/>
    <w:rsid w:val="00746096"/>
    <w:rsid w:val="007500C8"/>
    <w:rsid w:val="007517E6"/>
    <w:rsid w:val="0075539A"/>
    <w:rsid w:val="00756272"/>
    <w:rsid w:val="007649D5"/>
    <w:rsid w:val="0076681A"/>
    <w:rsid w:val="00767BFF"/>
    <w:rsid w:val="007715C9"/>
    <w:rsid w:val="00771613"/>
    <w:rsid w:val="00771915"/>
    <w:rsid w:val="00771D2A"/>
    <w:rsid w:val="00772209"/>
    <w:rsid w:val="00774ADC"/>
    <w:rsid w:val="00774D30"/>
    <w:rsid w:val="00774EDD"/>
    <w:rsid w:val="007757EC"/>
    <w:rsid w:val="00776D8D"/>
    <w:rsid w:val="00780ED1"/>
    <w:rsid w:val="00781046"/>
    <w:rsid w:val="007818E4"/>
    <w:rsid w:val="00783E89"/>
    <w:rsid w:val="0078706F"/>
    <w:rsid w:val="007877E0"/>
    <w:rsid w:val="007917C0"/>
    <w:rsid w:val="00793915"/>
    <w:rsid w:val="00797E19"/>
    <w:rsid w:val="007A6B75"/>
    <w:rsid w:val="007B2599"/>
    <w:rsid w:val="007B6F06"/>
    <w:rsid w:val="007C195A"/>
    <w:rsid w:val="007C2253"/>
    <w:rsid w:val="007C37DF"/>
    <w:rsid w:val="007C45FB"/>
    <w:rsid w:val="007D2788"/>
    <w:rsid w:val="007D4773"/>
    <w:rsid w:val="007D5980"/>
    <w:rsid w:val="007D5A63"/>
    <w:rsid w:val="007D7B81"/>
    <w:rsid w:val="007E163D"/>
    <w:rsid w:val="007E1A96"/>
    <w:rsid w:val="007E1B22"/>
    <w:rsid w:val="007E2147"/>
    <w:rsid w:val="007E5AED"/>
    <w:rsid w:val="007E5F1F"/>
    <w:rsid w:val="007E667A"/>
    <w:rsid w:val="007F28C9"/>
    <w:rsid w:val="007F4A9F"/>
    <w:rsid w:val="007F5C79"/>
    <w:rsid w:val="007F6C5D"/>
    <w:rsid w:val="007F798B"/>
    <w:rsid w:val="00800343"/>
    <w:rsid w:val="00800490"/>
    <w:rsid w:val="00803587"/>
    <w:rsid w:val="00810557"/>
    <w:rsid w:val="008117E9"/>
    <w:rsid w:val="008120E9"/>
    <w:rsid w:val="0081442A"/>
    <w:rsid w:val="0081654F"/>
    <w:rsid w:val="00816573"/>
    <w:rsid w:val="00824498"/>
    <w:rsid w:val="00825417"/>
    <w:rsid w:val="00831D5F"/>
    <w:rsid w:val="008320D4"/>
    <w:rsid w:val="008329F2"/>
    <w:rsid w:val="00832FC5"/>
    <w:rsid w:val="0083337A"/>
    <w:rsid w:val="008340DC"/>
    <w:rsid w:val="00834CD7"/>
    <w:rsid w:val="00836B10"/>
    <w:rsid w:val="0084114F"/>
    <w:rsid w:val="00841435"/>
    <w:rsid w:val="008415F3"/>
    <w:rsid w:val="0084300E"/>
    <w:rsid w:val="008434AE"/>
    <w:rsid w:val="00851F94"/>
    <w:rsid w:val="00853A80"/>
    <w:rsid w:val="0085456F"/>
    <w:rsid w:val="008568D4"/>
    <w:rsid w:val="00856A31"/>
    <w:rsid w:val="008618D3"/>
    <w:rsid w:val="00864B24"/>
    <w:rsid w:val="008652C0"/>
    <w:rsid w:val="008672C2"/>
    <w:rsid w:val="00867B37"/>
    <w:rsid w:val="008711B5"/>
    <w:rsid w:val="00873262"/>
    <w:rsid w:val="008754D0"/>
    <w:rsid w:val="008757D1"/>
    <w:rsid w:val="00876FAE"/>
    <w:rsid w:val="008855C9"/>
    <w:rsid w:val="00886456"/>
    <w:rsid w:val="00891736"/>
    <w:rsid w:val="00893E73"/>
    <w:rsid w:val="00894852"/>
    <w:rsid w:val="008962CF"/>
    <w:rsid w:val="0089726C"/>
    <w:rsid w:val="00897DF4"/>
    <w:rsid w:val="008A1406"/>
    <w:rsid w:val="008A18BE"/>
    <w:rsid w:val="008A46E1"/>
    <w:rsid w:val="008A4F43"/>
    <w:rsid w:val="008B07AB"/>
    <w:rsid w:val="008B2706"/>
    <w:rsid w:val="008B2831"/>
    <w:rsid w:val="008C22B7"/>
    <w:rsid w:val="008C7F8B"/>
    <w:rsid w:val="008D0EE0"/>
    <w:rsid w:val="008D1350"/>
    <w:rsid w:val="008D2438"/>
    <w:rsid w:val="008D6A10"/>
    <w:rsid w:val="008D6B42"/>
    <w:rsid w:val="008E012F"/>
    <w:rsid w:val="008E2C9D"/>
    <w:rsid w:val="008E6067"/>
    <w:rsid w:val="008E790D"/>
    <w:rsid w:val="008F54E7"/>
    <w:rsid w:val="008F553C"/>
    <w:rsid w:val="00901C05"/>
    <w:rsid w:val="00902662"/>
    <w:rsid w:val="00902E5A"/>
    <w:rsid w:val="00903422"/>
    <w:rsid w:val="00905364"/>
    <w:rsid w:val="00905A18"/>
    <w:rsid w:val="00905DD2"/>
    <w:rsid w:val="009132C2"/>
    <w:rsid w:val="00913540"/>
    <w:rsid w:val="00915DF9"/>
    <w:rsid w:val="00920932"/>
    <w:rsid w:val="009229AD"/>
    <w:rsid w:val="0092490E"/>
    <w:rsid w:val="009254C3"/>
    <w:rsid w:val="0093142A"/>
    <w:rsid w:val="00931E12"/>
    <w:rsid w:val="00932377"/>
    <w:rsid w:val="009332B6"/>
    <w:rsid w:val="00934272"/>
    <w:rsid w:val="00935110"/>
    <w:rsid w:val="00936E3B"/>
    <w:rsid w:val="00940176"/>
    <w:rsid w:val="00940C04"/>
    <w:rsid w:val="009412BB"/>
    <w:rsid w:val="00947D5A"/>
    <w:rsid w:val="00950F6A"/>
    <w:rsid w:val="009532A5"/>
    <w:rsid w:val="00960B53"/>
    <w:rsid w:val="009617B4"/>
    <w:rsid w:val="009663AE"/>
    <w:rsid w:val="00972B28"/>
    <w:rsid w:val="0097588A"/>
    <w:rsid w:val="00980372"/>
    <w:rsid w:val="00980D71"/>
    <w:rsid w:val="00982242"/>
    <w:rsid w:val="009843CE"/>
    <w:rsid w:val="009868E9"/>
    <w:rsid w:val="00990D49"/>
    <w:rsid w:val="009926CE"/>
    <w:rsid w:val="00996206"/>
    <w:rsid w:val="0099734B"/>
    <w:rsid w:val="009A1E2D"/>
    <w:rsid w:val="009A4E88"/>
    <w:rsid w:val="009A6C06"/>
    <w:rsid w:val="009B04DE"/>
    <w:rsid w:val="009B78F5"/>
    <w:rsid w:val="009C23E8"/>
    <w:rsid w:val="009C342E"/>
    <w:rsid w:val="009C372E"/>
    <w:rsid w:val="009C3B3B"/>
    <w:rsid w:val="009C6BDC"/>
    <w:rsid w:val="009D1035"/>
    <w:rsid w:val="009D1B50"/>
    <w:rsid w:val="009D7B84"/>
    <w:rsid w:val="009E08E3"/>
    <w:rsid w:val="009E2443"/>
    <w:rsid w:val="009E2551"/>
    <w:rsid w:val="009E3C52"/>
    <w:rsid w:val="009E5CFC"/>
    <w:rsid w:val="009F2EE7"/>
    <w:rsid w:val="009F79B8"/>
    <w:rsid w:val="00A0593E"/>
    <w:rsid w:val="00A061D0"/>
    <w:rsid w:val="00A079CB"/>
    <w:rsid w:val="00A07E63"/>
    <w:rsid w:val="00A12128"/>
    <w:rsid w:val="00A159AB"/>
    <w:rsid w:val="00A163D9"/>
    <w:rsid w:val="00A21921"/>
    <w:rsid w:val="00A22A4A"/>
    <w:rsid w:val="00A22C98"/>
    <w:rsid w:val="00A231E2"/>
    <w:rsid w:val="00A249FB"/>
    <w:rsid w:val="00A26D26"/>
    <w:rsid w:val="00A311EA"/>
    <w:rsid w:val="00A348B7"/>
    <w:rsid w:val="00A357BA"/>
    <w:rsid w:val="00A50D20"/>
    <w:rsid w:val="00A56FCD"/>
    <w:rsid w:val="00A61D8E"/>
    <w:rsid w:val="00A636D1"/>
    <w:rsid w:val="00A643A4"/>
    <w:rsid w:val="00A64912"/>
    <w:rsid w:val="00A64CB5"/>
    <w:rsid w:val="00A652A3"/>
    <w:rsid w:val="00A70A74"/>
    <w:rsid w:val="00A727AB"/>
    <w:rsid w:val="00A7446F"/>
    <w:rsid w:val="00A74E34"/>
    <w:rsid w:val="00A76F69"/>
    <w:rsid w:val="00A7711B"/>
    <w:rsid w:val="00A83FEA"/>
    <w:rsid w:val="00A86180"/>
    <w:rsid w:val="00A91438"/>
    <w:rsid w:val="00A92B59"/>
    <w:rsid w:val="00A93823"/>
    <w:rsid w:val="00AA0674"/>
    <w:rsid w:val="00AA26B5"/>
    <w:rsid w:val="00AA4349"/>
    <w:rsid w:val="00AA468F"/>
    <w:rsid w:val="00AA78EE"/>
    <w:rsid w:val="00AB3251"/>
    <w:rsid w:val="00AB4EDA"/>
    <w:rsid w:val="00AC1306"/>
    <w:rsid w:val="00AC65F4"/>
    <w:rsid w:val="00AC6DA4"/>
    <w:rsid w:val="00AC7F2A"/>
    <w:rsid w:val="00AD06AE"/>
    <w:rsid w:val="00AD0CFA"/>
    <w:rsid w:val="00AD2F4B"/>
    <w:rsid w:val="00AD39D9"/>
    <w:rsid w:val="00AD5641"/>
    <w:rsid w:val="00AD599A"/>
    <w:rsid w:val="00AD7889"/>
    <w:rsid w:val="00AE0948"/>
    <w:rsid w:val="00AE6734"/>
    <w:rsid w:val="00AE6E0D"/>
    <w:rsid w:val="00AE771A"/>
    <w:rsid w:val="00AF021B"/>
    <w:rsid w:val="00AF06CF"/>
    <w:rsid w:val="00AF1CA7"/>
    <w:rsid w:val="00AF2924"/>
    <w:rsid w:val="00AF30C8"/>
    <w:rsid w:val="00B05CF4"/>
    <w:rsid w:val="00B07CDB"/>
    <w:rsid w:val="00B16A31"/>
    <w:rsid w:val="00B17DFD"/>
    <w:rsid w:val="00B205E3"/>
    <w:rsid w:val="00B21248"/>
    <w:rsid w:val="00B21EE7"/>
    <w:rsid w:val="00B23E47"/>
    <w:rsid w:val="00B25F2F"/>
    <w:rsid w:val="00B26ED7"/>
    <w:rsid w:val="00B308FE"/>
    <w:rsid w:val="00B33709"/>
    <w:rsid w:val="00B33B3C"/>
    <w:rsid w:val="00B40959"/>
    <w:rsid w:val="00B4189A"/>
    <w:rsid w:val="00B479D4"/>
    <w:rsid w:val="00B47F20"/>
    <w:rsid w:val="00B50A3C"/>
    <w:rsid w:val="00B50ADC"/>
    <w:rsid w:val="00B52DD5"/>
    <w:rsid w:val="00B566B1"/>
    <w:rsid w:val="00B5727E"/>
    <w:rsid w:val="00B5798B"/>
    <w:rsid w:val="00B63834"/>
    <w:rsid w:val="00B65F8A"/>
    <w:rsid w:val="00B70914"/>
    <w:rsid w:val="00B71132"/>
    <w:rsid w:val="00B720E2"/>
    <w:rsid w:val="00B72341"/>
    <w:rsid w:val="00B72734"/>
    <w:rsid w:val="00B74A63"/>
    <w:rsid w:val="00B77921"/>
    <w:rsid w:val="00B80199"/>
    <w:rsid w:val="00B830BA"/>
    <w:rsid w:val="00B83204"/>
    <w:rsid w:val="00B83229"/>
    <w:rsid w:val="00B86252"/>
    <w:rsid w:val="00B9350C"/>
    <w:rsid w:val="00B94535"/>
    <w:rsid w:val="00B95C82"/>
    <w:rsid w:val="00BA0C87"/>
    <w:rsid w:val="00BA220B"/>
    <w:rsid w:val="00BA3A57"/>
    <w:rsid w:val="00BA5434"/>
    <w:rsid w:val="00BA6863"/>
    <w:rsid w:val="00BA691F"/>
    <w:rsid w:val="00BA7D3B"/>
    <w:rsid w:val="00BB156A"/>
    <w:rsid w:val="00BB1C7F"/>
    <w:rsid w:val="00BB2261"/>
    <w:rsid w:val="00BB4E1A"/>
    <w:rsid w:val="00BB596D"/>
    <w:rsid w:val="00BB6601"/>
    <w:rsid w:val="00BB742B"/>
    <w:rsid w:val="00BC015E"/>
    <w:rsid w:val="00BC0E85"/>
    <w:rsid w:val="00BC371E"/>
    <w:rsid w:val="00BC5FE6"/>
    <w:rsid w:val="00BC76AC"/>
    <w:rsid w:val="00BD008D"/>
    <w:rsid w:val="00BD0891"/>
    <w:rsid w:val="00BD0E2C"/>
    <w:rsid w:val="00BD0ECB"/>
    <w:rsid w:val="00BD1E09"/>
    <w:rsid w:val="00BD2186"/>
    <w:rsid w:val="00BD73D6"/>
    <w:rsid w:val="00BE022E"/>
    <w:rsid w:val="00BE08C9"/>
    <w:rsid w:val="00BE09B3"/>
    <w:rsid w:val="00BE2155"/>
    <w:rsid w:val="00BE2213"/>
    <w:rsid w:val="00BE3D6B"/>
    <w:rsid w:val="00BE6989"/>
    <w:rsid w:val="00BE719A"/>
    <w:rsid w:val="00BE720A"/>
    <w:rsid w:val="00BE7DA6"/>
    <w:rsid w:val="00BF0D73"/>
    <w:rsid w:val="00BF2465"/>
    <w:rsid w:val="00BF3815"/>
    <w:rsid w:val="00BF4C7C"/>
    <w:rsid w:val="00C07CAE"/>
    <w:rsid w:val="00C132C4"/>
    <w:rsid w:val="00C13BAE"/>
    <w:rsid w:val="00C13E83"/>
    <w:rsid w:val="00C15366"/>
    <w:rsid w:val="00C168C1"/>
    <w:rsid w:val="00C17F11"/>
    <w:rsid w:val="00C236D0"/>
    <w:rsid w:val="00C25E7F"/>
    <w:rsid w:val="00C2746F"/>
    <w:rsid w:val="00C300D2"/>
    <w:rsid w:val="00C323F7"/>
    <w:rsid w:val="00C324A0"/>
    <w:rsid w:val="00C3300F"/>
    <w:rsid w:val="00C33846"/>
    <w:rsid w:val="00C353B4"/>
    <w:rsid w:val="00C42BF8"/>
    <w:rsid w:val="00C450BA"/>
    <w:rsid w:val="00C46DEC"/>
    <w:rsid w:val="00C50043"/>
    <w:rsid w:val="00C52A61"/>
    <w:rsid w:val="00C55536"/>
    <w:rsid w:val="00C6354A"/>
    <w:rsid w:val="00C646AD"/>
    <w:rsid w:val="00C66A18"/>
    <w:rsid w:val="00C67CDB"/>
    <w:rsid w:val="00C67F76"/>
    <w:rsid w:val="00C70BD4"/>
    <w:rsid w:val="00C70F2A"/>
    <w:rsid w:val="00C743B8"/>
    <w:rsid w:val="00C7573B"/>
    <w:rsid w:val="00C84F04"/>
    <w:rsid w:val="00C871BC"/>
    <w:rsid w:val="00C9085C"/>
    <w:rsid w:val="00C90D51"/>
    <w:rsid w:val="00C93C03"/>
    <w:rsid w:val="00C941D3"/>
    <w:rsid w:val="00C97A9A"/>
    <w:rsid w:val="00CA1616"/>
    <w:rsid w:val="00CA1DD5"/>
    <w:rsid w:val="00CA29F3"/>
    <w:rsid w:val="00CA347D"/>
    <w:rsid w:val="00CA7835"/>
    <w:rsid w:val="00CB1E35"/>
    <w:rsid w:val="00CB2579"/>
    <w:rsid w:val="00CB27DB"/>
    <w:rsid w:val="00CB2AEC"/>
    <w:rsid w:val="00CB2C8E"/>
    <w:rsid w:val="00CB4893"/>
    <w:rsid w:val="00CB602E"/>
    <w:rsid w:val="00CC1219"/>
    <w:rsid w:val="00CC4962"/>
    <w:rsid w:val="00CC5B59"/>
    <w:rsid w:val="00CC6FE3"/>
    <w:rsid w:val="00CC7E92"/>
    <w:rsid w:val="00CD64AF"/>
    <w:rsid w:val="00CD72F8"/>
    <w:rsid w:val="00CE051D"/>
    <w:rsid w:val="00CE1335"/>
    <w:rsid w:val="00CE3AC6"/>
    <w:rsid w:val="00CE493D"/>
    <w:rsid w:val="00CE542F"/>
    <w:rsid w:val="00CE7BB5"/>
    <w:rsid w:val="00CF07FA"/>
    <w:rsid w:val="00CF0BB2"/>
    <w:rsid w:val="00CF35E5"/>
    <w:rsid w:val="00CF3E9C"/>
    <w:rsid w:val="00CF3EE8"/>
    <w:rsid w:val="00CF5426"/>
    <w:rsid w:val="00D021AE"/>
    <w:rsid w:val="00D04146"/>
    <w:rsid w:val="00D045E8"/>
    <w:rsid w:val="00D04D25"/>
    <w:rsid w:val="00D050E6"/>
    <w:rsid w:val="00D05180"/>
    <w:rsid w:val="00D05D04"/>
    <w:rsid w:val="00D0616A"/>
    <w:rsid w:val="00D11C0B"/>
    <w:rsid w:val="00D13441"/>
    <w:rsid w:val="00D150E7"/>
    <w:rsid w:val="00D20987"/>
    <w:rsid w:val="00D212B4"/>
    <w:rsid w:val="00D21DEB"/>
    <w:rsid w:val="00D22315"/>
    <w:rsid w:val="00D23B3B"/>
    <w:rsid w:val="00D26E97"/>
    <w:rsid w:val="00D32F65"/>
    <w:rsid w:val="00D3508C"/>
    <w:rsid w:val="00D36756"/>
    <w:rsid w:val="00D40DE3"/>
    <w:rsid w:val="00D516EF"/>
    <w:rsid w:val="00D52DC2"/>
    <w:rsid w:val="00D53A3E"/>
    <w:rsid w:val="00D53BCC"/>
    <w:rsid w:val="00D547C8"/>
    <w:rsid w:val="00D61464"/>
    <w:rsid w:val="00D70DFB"/>
    <w:rsid w:val="00D725F2"/>
    <w:rsid w:val="00D73BD7"/>
    <w:rsid w:val="00D7589B"/>
    <w:rsid w:val="00D75F95"/>
    <w:rsid w:val="00D766DF"/>
    <w:rsid w:val="00D76D24"/>
    <w:rsid w:val="00D77107"/>
    <w:rsid w:val="00D85A28"/>
    <w:rsid w:val="00D86C56"/>
    <w:rsid w:val="00D87F6F"/>
    <w:rsid w:val="00D968F5"/>
    <w:rsid w:val="00DA05D1"/>
    <w:rsid w:val="00DA186E"/>
    <w:rsid w:val="00DA1997"/>
    <w:rsid w:val="00DA4116"/>
    <w:rsid w:val="00DA448F"/>
    <w:rsid w:val="00DB2358"/>
    <w:rsid w:val="00DB251C"/>
    <w:rsid w:val="00DB4630"/>
    <w:rsid w:val="00DC023B"/>
    <w:rsid w:val="00DC1EDE"/>
    <w:rsid w:val="00DC2754"/>
    <w:rsid w:val="00DC2935"/>
    <w:rsid w:val="00DC2A5F"/>
    <w:rsid w:val="00DC37AB"/>
    <w:rsid w:val="00DC4F88"/>
    <w:rsid w:val="00DC646C"/>
    <w:rsid w:val="00DC6883"/>
    <w:rsid w:val="00DD1A34"/>
    <w:rsid w:val="00DD3C89"/>
    <w:rsid w:val="00DE1436"/>
    <w:rsid w:val="00DE28E8"/>
    <w:rsid w:val="00E01A57"/>
    <w:rsid w:val="00E02E1E"/>
    <w:rsid w:val="00E03B0D"/>
    <w:rsid w:val="00E05704"/>
    <w:rsid w:val="00E10BD7"/>
    <w:rsid w:val="00E10BF1"/>
    <w:rsid w:val="00E11E44"/>
    <w:rsid w:val="00E11F2E"/>
    <w:rsid w:val="00E1429E"/>
    <w:rsid w:val="00E23AEF"/>
    <w:rsid w:val="00E24CD1"/>
    <w:rsid w:val="00E3270E"/>
    <w:rsid w:val="00E338EF"/>
    <w:rsid w:val="00E33DE2"/>
    <w:rsid w:val="00E46028"/>
    <w:rsid w:val="00E52251"/>
    <w:rsid w:val="00E5232E"/>
    <w:rsid w:val="00E52BA3"/>
    <w:rsid w:val="00E53452"/>
    <w:rsid w:val="00E5362B"/>
    <w:rsid w:val="00E53A21"/>
    <w:rsid w:val="00E544BB"/>
    <w:rsid w:val="00E6014F"/>
    <w:rsid w:val="00E61D1F"/>
    <w:rsid w:val="00E662CB"/>
    <w:rsid w:val="00E71377"/>
    <w:rsid w:val="00E7257F"/>
    <w:rsid w:val="00E74DC7"/>
    <w:rsid w:val="00E76F2E"/>
    <w:rsid w:val="00E77E80"/>
    <w:rsid w:val="00E8075A"/>
    <w:rsid w:val="00E859CC"/>
    <w:rsid w:val="00E85CAA"/>
    <w:rsid w:val="00E8767F"/>
    <w:rsid w:val="00E91090"/>
    <w:rsid w:val="00E946CF"/>
    <w:rsid w:val="00E94D5E"/>
    <w:rsid w:val="00E963FE"/>
    <w:rsid w:val="00EA21C3"/>
    <w:rsid w:val="00EA4982"/>
    <w:rsid w:val="00EA7100"/>
    <w:rsid w:val="00EA7E13"/>
    <w:rsid w:val="00EA7F9F"/>
    <w:rsid w:val="00EB1274"/>
    <w:rsid w:val="00EB28A7"/>
    <w:rsid w:val="00EB407E"/>
    <w:rsid w:val="00EB6AD0"/>
    <w:rsid w:val="00EC0E0C"/>
    <w:rsid w:val="00ED1FBC"/>
    <w:rsid w:val="00ED2538"/>
    <w:rsid w:val="00ED27EB"/>
    <w:rsid w:val="00ED2BB6"/>
    <w:rsid w:val="00ED34E1"/>
    <w:rsid w:val="00ED3B8D"/>
    <w:rsid w:val="00ED56C3"/>
    <w:rsid w:val="00ED5969"/>
    <w:rsid w:val="00ED5F97"/>
    <w:rsid w:val="00ED659C"/>
    <w:rsid w:val="00ED709C"/>
    <w:rsid w:val="00EE3457"/>
    <w:rsid w:val="00EE71AC"/>
    <w:rsid w:val="00EE7D59"/>
    <w:rsid w:val="00EF2E3A"/>
    <w:rsid w:val="00EF33C0"/>
    <w:rsid w:val="00EF3A8A"/>
    <w:rsid w:val="00F03235"/>
    <w:rsid w:val="00F03BB6"/>
    <w:rsid w:val="00F072A7"/>
    <w:rsid w:val="00F078DC"/>
    <w:rsid w:val="00F142BF"/>
    <w:rsid w:val="00F1457F"/>
    <w:rsid w:val="00F14AC5"/>
    <w:rsid w:val="00F175B6"/>
    <w:rsid w:val="00F207A5"/>
    <w:rsid w:val="00F23AB5"/>
    <w:rsid w:val="00F275E9"/>
    <w:rsid w:val="00F3063A"/>
    <w:rsid w:val="00F30FC8"/>
    <w:rsid w:val="00F31716"/>
    <w:rsid w:val="00F31D9F"/>
    <w:rsid w:val="00F32BA8"/>
    <w:rsid w:val="00F33D79"/>
    <w:rsid w:val="00F346CC"/>
    <w:rsid w:val="00F349F1"/>
    <w:rsid w:val="00F4350D"/>
    <w:rsid w:val="00F51497"/>
    <w:rsid w:val="00F530EB"/>
    <w:rsid w:val="00F567F7"/>
    <w:rsid w:val="00F601B1"/>
    <w:rsid w:val="00F62036"/>
    <w:rsid w:val="00F626C2"/>
    <w:rsid w:val="00F6489E"/>
    <w:rsid w:val="00F65937"/>
    <w:rsid w:val="00F65B52"/>
    <w:rsid w:val="00F67ACA"/>
    <w:rsid w:val="00F67BCA"/>
    <w:rsid w:val="00F71E3F"/>
    <w:rsid w:val="00F73323"/>
    <w:rsid w:val="00F73BD6"/>
    <w:rsid w:val="00F763DC"/>
    <w:rsid w:val="00F77705"/>
    <w:rsid w:val="00F816B4"/>
    <w:rsid w:val="00F82EF7"/>
    <w:rsid w:val="00F83989"/>
    <w:rsid w:val="00F84DBE"/>
    <w:rsid w:val="00F85099"/>
    <w:rsid w:val="00F92ECD"/>
    <w:rsid w:val="00F9379C"/>
    <w:rsid w:val="00F9632C"/>
    <w:rsid w:val="00F968B9"/>
    <w:rsid w:val="00FA182B"/>
    <w:rsid w:val="00FA1E52"/>
    <w:rsid w:val="00FA3EC7"/>
    <w:rsid w:val="00FA40D3"/>
    <w:rsid w:val="00FA4109"/>
    <w:rsid w:val="00FA48CD"/>
    <w:rsid w:val="00FB0066"/>
    <w:rsid w:val="00FB1941"/>
    <w:rsid w:val="00FB21B1"/>
    <w:rsid w:val="00FB2229"/>
    <w:rsid w:val="00FB2EE8"/>
    <w:rsid w:val="00FB3AF8"/>
    <w:rsid w:val="00FB5D4B"/>
    <w:rsid w:val="00FC02CD"/>
    <w:rsid w:val="00FC2274"/>
    <w:rsid w:val="00FC5EF5"/>
    <w:rsid w:val="00FC70BF"/>
    <w:rsid w:val="00FC719D"/>
    <w:rsid w:val="00FC72EB"/>
    <w:rsid w:val="00FD728F"/>
    <w:rsid w:val="00FD7552"/>
    <w:rsid w:val="00FE06BD"/>
    <w:rsid w:val="00FE4688"/>
    <w:rsid w:val="00FE5038"/>
    <w:rsid w:val="00FF0DA4"/>
    <w:rsid w:val="00FF16A0"/>
    <w:rsid w:val="00FF6A77"/>
    <w:rsid w:val="00FF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3AC6"/>
    <w:pPr>
      <w:spacing w:line="260" w:lineRule="atLeast"/>
    </w:pPr>
    <w:rPr>
      <w:sz w:val="22"/>
    </w:rPr>
  </w:style>
  <w:style w:type="paragraph" w:styleId="Heading1">
    <w:name w:val="heading 1"/>
    <w:basedOn w:val="Normal"/>
    <w:next w:val="Normal"/>
    <w:link w:val="Heading1Char"/>
    <w:uiPriority w:val="9"/>
    <w:qFormat/>
    <w:rsid w:val="00CE3AC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3AC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3AC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3AC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E3AC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E3AC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E3AC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E3AC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E3AC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3AC6"/>
  </w:style>
  <w:style w:type="paragraph" w:customStyle="1" w:styleId="OPCParaBase">
    <w:name w:val="OPCParaBase"/>
    <w:qFormat/>
    <w:rsid w:val="00CE3AC6"/>
    <w:pPr>
      <w:spacing w:line="260" w:lineRule="atLeast"/>
    </w:pPr>
    <w:rPr>
      <w:rFonts w:eastAsia="Times New Roman" w:cs="Times New Roman"/>
      <w:sz w:val="22"/>
      <w:lang w:eastAsia="en-AU"/>
    </w:rPr>
  </w:style>
  <w:style w:type="paragraph" w:customStyle="1" w:styleId="ShortT">
    <w:name w:val="ShortT"/>
    <w:basedOn w:val="OPCParaBase"/>
    <w:next w:val="Normal"/>
    <w:qFormat/>
    <w:rsid w:val="00CE3AC6"/>
    <w:pPr>
      <w:spacing w:line="240" w:lineRule="auto"/>
    </w:pPr>
    <w:rPr>
      <w:b/>
      <w:sz w:val="40"/>
    </w:rPr>
  </w:style>
  <w:style w:type="paragraph" w:customStyle="1" w:styleId="ActHead1">
    <w:name w:val="ActHead 1"/>
    <w:aliases w:val="c"/>
    <w:basedOn w:val="OPCParaBase"/>
    <w:next w:val="Normal"/>
    <w:qFormat/>
    <w:rsid w:val="00CE3A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3A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3A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3A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3A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3A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3A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3A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3A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3AC6"/>
  </w:style>
  <w:style w:type="paragraph" w:customStyle="1" w:styleId="Blocks">
    <w:name w:val="Blocks"/>
    <w:aliases w:val="bb"/>
    <w:basedOn w:val="OPCParaBase"/>
    <w:qFormat/>
    <w:rsid w:val="00CE3AC6"/>
    <w:pPr>
      <w:spacing w:line="240" w:lineRule="auto"/>
    </w:pPr>
    <w:rPr>
      <w:sz w:val="24"/>
    </w:rPr>
  </w:style>
  <w:style w:type="paragraph" w:customStyle="1" w:styleId="BoxText">
    <w:name w:val="BoxText"/>
    <w:aliases w:val="bt"/>
    <w:basedOn w:val="OPCParaBase"/>
    <w:qFormat/>
    <w:rsid w:val="00CE3A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3AC6"/>
    <w:rPr>
      <w:b/>
    </w:rPr>
  </w:style>
  <w:style w:type="paragraph" w:customStyle="1" w:styleId="BoxHeadItalic">
    <w:name w:val="BoxHeadItalic"/>
    <w:aliases w:val="bhi"/>
    <w:basedOn w:val="BoxText"/>
    <w:next w:val="BoxStep"/>
    <w:qFormat/>
    <w:rsid w:val="00CE3AC6"/>
    <w:rPr>
      <w:i/>
    </w:rPr>
  </w:style>
  <w:style w:type="paragraph" w:customStyle="1" w:styleId="BoxList">
    <w:name w:val="BoxList"/>
    <w:aliases w:val="bl"/>
    <w:basedOn w:val="BoxText"/>
    <w:qFormat/>
    <w:rsid w:val="00CE3AC6"/>
    <w:pPr>
      <w:ind w:left="1559" w:hanging="425"/>
    </w:pPr>
  </w:style>
  <w:style w:type="paragraph" w:customStyle="1" w:styleId="BoxNote">
    <w:name w:val="BoxNote"/>
    <w:aliases w:val="bn"/>
    <w:basedOn w:val="BoxText"/>
    <w:qFormat/>
    <w:rsid w:val="00CE3AC6"/>
    <w:pPr>
      <w:tabs>
        <w:tab w:val="left" w:pos="1985"/>
      </w:tabs>
      <w:spacing w:before="122" w:line="198" w:lineRule="exact"/>
      <w:ind w:left="2948" w:hanging="1814"/>
    </w:pPr>
    <w:rPr>
      <w:sz w:val="18"/>
    </w:rPr>
  </w:style>
  <w:style w:type="paragraph" w:customStyle="1" w:styleId="BoxPara">
    <w:name w:val="BoxPara"/>
    <w:aliases w:val="bp"/>
    <w:basedOn w:val="BoxText"/>
    <w:qFormat/>
    <w:rsid w:val="00CE3AC6"/>
    <w:pPr>
      <w:tabs>
        <w:tab w:val="right" w:pos="2268"/>
      </w:tabs>
      <w:ind w:left="2552" w:hanging="1418"/>
    </w:pPr>
  </w:style>
  <w:style w:type="paragraph" w:customStyle="1" w:styleId="BoxStep">
    <w:name w:val="BoxStep"/>
    <w:aliases w:val="bs"/>
    <w:basedOn w:val="BoxText"/>
    <w:qFormat/>
    <w:rsid w:val="00CE3AC6"/>
    <w:pPr>
      <w:ind w:left="1985" w:hanging="851"/>
    </w:pPr>
  </w:style>
  <w:style w:type="character" w:customStyle="1" w:styleId="CharAmPartNo">
    <w:name w:val="CharAmPartNo"/>
    <w:basedOn w:val="OPCCharBase"/>
    <w:qFormat/>
    <w:rsid w:val="00CE3AC6"/>
  </w:style>
  <w:style w:type="character" w:customStyle="1" w:styleId="CharAmPartText">
    <w:name w:val="CharAmPartText"/>
    <w:basedOn w:val="OPCCharBase"/>
    <w:qFormat/>
    <w:rsid w:val="00CE3AC6"/>
  </w:style>
  <w:style w:type="character" w:customStyle="1" w:styleId="CharAmSchNo">
    <w:name w:val="CharAmSchNo"/>
    <w:basedOn w:val="OPCCharBase"/>
    <w:qFormat/>
    <w:rsid w:val="00CE3AC6"/>
  </w:style>
  <w:style w:type="character" w:customStyle="1" w:styleId="CharAmSchText">
    <w:name w:val="CharAmSchText"/>
    <w:basedOn w:val="OPCCharBase"/>
    <w:qFormat/>
    <w:rsid w:val="00CE3AC6"/>
  </w:style>
  <w:style w:type="character" w:customStyle="1" w:styleId="CharBoldItalic">
    <w:name w:val="CharBoldItalic"/>
    <w:basedOn w:val="OPCCharBase"/>
    <w:uiPriority w:val="1"/>
    <w:qFormat/>
    <w:rsid w:val="00CE3AC6"/>
    <w:rPr>
      <w:b/>
      <w:i/>
    </w:rPr>
  </w:style>
  <w:style w:type="character" w:customStyle="1" w:styleId="CharChapNo">
    <w:name w:val="CharChapNo"/>
    <w:basedOn w:val="OPCCharBase"/>
    <w:uiPriority w:val="1"/>
    <w:qFormat/>
    <w:rsid w:val="00CE3AC6"/>
  </w:style>
  <w:style w:type="character" w:customStyle="1" w:styleId="CharChapText">
    <w:name w:val="CharChapText"/>
    <w:basedOn w:val="OPCCharBase"/>
    <w:uiPriority w:val="1"/>
    <w:qFormat/>
    <w:rsid w:val="00CE3AC6"/>
  </w:style>
  <w:style w:type="character" w:customStyle="1" w:styleId="CharDivNo">
    <w:name w:val="CharDivNo"/>
    <w:basedOn w:val="OPCCharBase"/>
    <w:uiPriority w:val="1"/>
    <w:qFormat/>
    <w:rsid w:val="00CE3AC6"/>
  </w:style>
  <w:style w:type="character" w:customStyle="1" w:styleId="CharDivText">
    <w:name w:val="CharDivText"/>
    <w:basedOn w:val="OPCCharBase"/>
    <w:uiPriority w:val="1"/>
    <w:qFormat/>
    <w:rsid w:val="00CE3AC6"/>
  </w:style>
  <w:style w:type="character" w:customStyle="1" w:styleId="CharItalic">
    <w:name w:val="CharItalic"/>
    <w:basedOn w:val="OPCCharBase"/>
    <w:uiPriority w:val="1"/>
    <w:qFormat/>
    <w:rsid w:val="00CE3AC6"/>
    <w:rPr>
      <w:i/>
    </w:rPr>
  </w:style>
  <w:style w:type="character" w:customStyle="1" w:styleId="CharPartNo">
    <w:name w:val="CharPartNo"/>
    <w:basedOn w:val="OPCCharBase"/>
    <w:uiPriority w:val="1"/>
    <w:qFormat/>
    <w:rsid w:val="00CE3AC6"/>
  </w:style>
  <w:style w:type="character" w:customStyle="1" w:styleId="CharPartText">
    <w:name w:val="CharPartText"/>
    <w:basedOn w:val="OPCCharBase"/>
    <w:uiPriority w:val="1"/>
    <w:qFormat/>
    <w:rsid w:val="00CE3AC6"/>
  </w:style>
  <w:style w:type="character" w:customStyle="1" w:styleId="CharSectno">
    <w:name w:val="CharSectno"/>
    <w:basedOn w:val="OPCCharBase"/>
    <w:qFormat/>
    <w:rsid w:val="00CE3AC6"/>
  </w:style>
  <w:style w:type="character" w:customStyle="1" w:styleId="CharSubdNo">
    <w:name w:val="CharSubdNo"/>
    <w:basedOn w:val="OPCCharBase"/>
    <w:uiPriority w:val="1"/>
    <w:qFormat/>
    <w:rsid w:val="00CE3AC6"/>
  </w:style>
  <w:style w:type="character" w:customStyle="1" w:styleId="CharSubdText">
    <w:name w:val="CharSubdText"/>
    <w:basedOn w:val="OPCCharBase"/>
    <w:uiPriority w:val="1"/>
    <w:qFormat/>
    <w:rsid w:val="00CE3AC6"/>
  </w:style>
  <w:style w:type="paragraph" w:customStyle="1" w:styleId="CTA--">
    <w:name w:val="CTA --"/>
    <w:basedOn w:val="OPCParaBase"/>
    <w:next w:val="Normal"/>
    <w:rsid w:val="00CE3AC6"/>
    <w:pPr>
      <w:spacing w:before="60" w:line="240" w:lineRule="atLeast"/>
      <w:ind w:left="142" w:hanging="142"/>
    </w:pPr>
    <w:rPr>
      <w:sz w:val="20"/>
    </w:rPr>
  </w:style>
  <w:style w:type="paragraph" w:customStyle="1" w:styleId="CTA-">
    <w:name w:val="CTA -"/>
    <w:basedOn w:val="OPCParaBase"/>
    <w:rsid w:val="00CE3AC6"/>
    <w:pPr>
      <w:spacing w:before="60" w:line="240" w:lineRule="atLeast"/>
      <w:ind w:left="85" w:hanging="85"/>
    </w:pPr>
    <w:rPr>
      <w:sz w:val="20"/>
    </w:rPr>
  </w:style>
  <w:style w:type="paragraph" w:customStyle="1" w:styleId="CTA---">
    <w:name w:val="CTA ---"/>
    <w:basedOn w:val="OPCParaBase"/>
    <w:next w:val="Normal"/>
    <w:rsid w:val="00CE3AC6"/>
    <w:pPr>
      <w:spacing w:before="60" w:line="240" w:lineRule="atLeast"/>
      <w:ind w:left="198" w:hanging="198"/>
    </w:pPr>
    <w:rPr>
      <w:sz w:val="20"/>
    </w:rPr>
  </w:style>
  <w:style w:type="paragraph" w:customStyle="1" w:styleId="CTA----">
    <w:name w:val="CTA ----"/>
    <w:basedOn w:val="OPCParaBase"/>
    <w:next w:val="Normal"/>
    <w:rsid w:val="00CE3AC6"/>
    <w:pPr>
      <w:spacing w:before="60" w:line="240" w:lineRule="atLeast"/>
      <w:ind w:left="255" w:hanging="255"/>
    </w:pPr>
    <w:rPr>
      <w:sz w:val="20"/>
    </w:rPr>
  </w:style>
  <w:style w:type="paragraph" w:customStyle="1" w:styleId="CTA1a">
    <w:name w:val="CTA 1(a)"/>
    <w:basedOn w:val="OPCParaBase"/>
    <w:rsid w:val="00CE3AC6"/>
    <w:pPr>
      <w:tabs>
        <w:tab w:val="right" w:pos="414"/>
      </w:tabs>
      <w:spacing w:before="40" w:line="240" w:lineRule="atLeast"/>
      <w:ind w:left="675" w:hanging="675"/>
    </w:pPr>
    <w:rPr>
      <w:sz w:val="20"/>
    </w:rPr>
  </w:style>
  <w:style w:type="paragraph" w:customStyle="1" w:styleId="CTA1ai">
    <w:name w:val="CTA 1(a)(i)"/>
    <w:basedOn w:val="OPCParaBase"/>
    <w:rsid w:val="00CE3AC6"/>
    <w:pPr>
      <w:tabs>
        <w:tab w:val="right" w:pos="1004"/>
      </w:tabs>
      <w:spacing w:before="40" w:line="240" w:lineRule="atLeast"/>
      <w:ind w:left="1253" w:hanging="1253"/>
    </w:pPr>
    <w:rPr>
      <w:sz w:val="20"/>
    </w:rPr>
  </w:style>
  <w:style w:type="paragraph" w:customStyle="1" w:styleId="CTA2a">
    <w:name w:val="CTA 2(a)"/>
    <w:basedOn w:val="OPCParaBase"/>
    <w:rsid w:val="00CE3AC6"/>
    <w:pPr>
      <w:tabs>
        <w:tab w:val="right" w:pos="482"/>
      </w:tabs>
      <w:spacing w:before="40" w:line="240" w:lineRule="atLeast"/>
      <w:ind w:left="748" w:hanging="748"/>
    </w:pPr>
    <w:rPr>
      <w:sz w:val="20"/>
    </w:rPr>
  </w:style>
  <w:style w:type="paragraph" w:customStyle="1" w:styleId="CTA2ai">
    <w:name w:val="CTA 2(a)(i)"/>
    <w:basedOn w:val="OPCParaBase"/>
    <w:rsid w:val="00CE3AC6"/>
    <w:pPr>
      <w:tabs>
        <w:tab w:val="right" w:pos="1089"/>
      </w:tabs>
      <w:spacing w:before="40" w:line="240" w:lineRule="atLeast"/>
      <w:ind w:left="1327" w:hanging="1327"/>
    </w:pPr>
    <w:rPr>
      <w:sz w:val="20"/>
    </w:rPr>
  </w:style>
  <w:style w:type="paragraph" w:customStyle="1" w:styleId="CTA3a">
    <w:name w:val="CTA 3(a)"/>
    <w:basedOn w:val="OPCParaBase"/>
    <w:rsid w:val="00CE3AC6"/>
    <w:pPr>
      <w:tabs>
        <w:tab w:val="right" w:pos="556"/>
      </w:tabs>
      <w:spacing w:before="40" w:line="240" w:lineRule="atLeast"/>
      <w:ind w:left="805" w:hanging="805"/>
    </w:pPr>
    <w:rPr>
      <w:sz w:val="20"/>
    </w:rPr>
  </w:style>
  <w:style w:type="paragraph" w:customStyle="1" w:styleId="CTA3ai">
    <w:name w:val="CTA 3(a)(i)"/>
    <w:basedOn w:val="OPCParaBase"/>
    <w:rsid w:val="00CE3AC6"/>
    <w:pPr>
      <w:tabs>
        <w:tab w:val="right" w:pos="1140"/>
      </w:tabs>
      <w:spacing w:before="40" w:line="240" w:lineRule="atLeast"/>
      <w:ind w:left="1361" w:hanging="1361"/>
    </w:pPr>
    <w:rPr>
      <w:sz w:val="20"/>
    </w:rPr>
  </w:style>
  <w:style w:type="paragraph" w:customStyle="1" w:styleId="CTA4a">
    <w:name w:val="CTA 4(a)"/>
    <w:basedOn w:val="OPCParaBase"/>
    <w:rsid w:val="00CE3AC6"/>
    <w:pPr>
      <w:tabs>
        <w:tab w:val="right" w:pos="624"/>
      </w:tabs>
      <w:spacing w:before="40" w:line="240" w:lineRule="atLeast"/>
      <w:ind w:left="873" w:hanging="873"/>
    </w:pPr>
    <w:rPr>
      <w:sz w:val="20"/>
    </w:rPr>
  </w:style>
  <w:style w:type="paragraph" w:customStyle="1" w:styleId="CTA4ai">
    <w:name w:val="CTA 4(a)(i)"/>
    <w:basedOn w:val="OPCParaBase"/>
    <w:rsid w:val="00CE3AC6"/>
    <w:pPr>
      <w:tabs>
        <w:tab w:val="right" w:pos="1213"/>
      </w:tabs>
      <w:spacing w:before="40" w:line="240" w:lineRule="atLeast"/>
      <w:ind w:left="1452" w:hanging="1452"/>
    </w:pPr>
    <w:rPr>
      <w:sz w:val="20"/>
    </w:rPr>
  </w:style>
  <w:style w:type="paragraph" w:customStyle="1" w:styleId="CTACAPS">
    <w:name w:val="CTA CAPS"/>
    <w:basedOn w:val="OPCParaBase"/>
    <w:rsid w:val="00CE3AC6"/>
    <w:pPr>
      <w:spacing w:before="60" w:line="240" w:lineRule="atLeast"/>
    </w:pPr>
    <w:rPr>
      <w:sz w:val="20"/>
    </w:rPr>
  </w:style>
  <w:style w:type="paragraph" w:customStyle="1" w:styleId="CTAright">
    <w:name w:val="CTA right"/>
    <w:basedOn w:val="OPCParaBase"/>
    <w:rsid w:val="00CE3AC6"/>
    <w:pPr>
      <w:spacing w:before="60" w:line="240" w:lineRule="auto"/>
      <w:jc w:val="right"/>
    </w:pPr>
    <w:rPr>
      <w:sz w:val="20"/>
    </w:rPr>
  </w:style>
  <w:style w:type="paragraph" w:customStyle="1" w:styleId="subsection">
    <w:name w:val="subsection"/>
    <w:aliases w:val="ss"/>
    <w:basedOn w:val="OPCParaBase"/>
    <w:link w:val="subsectionChar"/>
    <w:rsid w:val="00CE3AC6"/>
    <w:pPr>
      <w:tabs>
        <w:tab w:val="right" w:pos="1021"/>
      </w:tabs>
      <w:spacing w:before="180" w:line="240" w:lineRule="auto"/>
      <w:ind w:left="1134" w:hanging="1134"/>
    </w:pPr>
  </w:style>
  <w:style w:type="paragraph" w:customStyle="1" w:styleId="Definition">
    <w:name w:val="Definition"/>
    <w:aliases w:val="dd"/>
    <w:basedOn w:val="OPCParaBase"/>
    <w:rsid w:val="00CE3AC6"/>
    <w:pPr>
      <w:spacing w:before="180" w:line="240" w:lineRule="auto"/>
      <w:ind w:left="1134"/>
    </w:pPr>
  </w:style>
  <w:style w:type="paragraph" w:customStyle="1" w:styleId="EndNotespara">
    <w:name w:val="EndNotes(para)"/>
    <w:aliases w:val="eta"/>
    <w:basedOn w:val="OPCParaBase"/>
    <w:next w:val="EndNotessubpara"/>
    <w:rsid w:val="00CE3A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3A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3A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3AC6"/>
    <w:pPr>
      <w:tabs>
        <w:tab w:val="right" w:pos="1412"/>
      </w:tabs>
      <w:spacing w:before="60" w:line="240" w:lineRule="auto"/>
      <w:ind w:left="1525" w:hanging="1525"/>
    </w:pPr>
    <w:rPr>
      <w:sz w:val="20"/>
    </w:rPr>
  </w:style>
  <w:style w:type="paragraph" w:customStyle="1" w:styleId="Formula">
    <w:name w:val="Formula"/>
    <w:basedOn w:val="OPCParaBase"/>
    <w:rsid w:val="00CE3AC6"/>
    <w:pPr>
      <w:spacing w:line="240" w:lineRule="auto"/>
      <w:ind w:left="1134"/>
    </w:pPr>
    <w:rPr>
      <w:sz w:val="20"/>
    </w:rPr>
  </w:style>
  <w:style w:type="paragraph" w:styleId="Header">
    <w:name w:val="header"/>
    <w:basedOn w:val="OPCParaBase"/>
    <w:link w:val="HeaderChar"/>
    <w:unhideWhenUsed/>
    <w:rsid w:val="00CE3A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3AC6"/>
    <w:rPr>
      <w:rFonts w:eastAsia="Times New Roman" w:cs="Times New Roman"/>
      <w:sz w:val="16"/>
      <w:lang w:eastAsia="en-AU"/>
    </w:rPr>
  </w:style>
  <w:style w:type="paragraph" w:customStyle="1" w:styleId="House">
    <w:name w:val="House"/>
    <w:basedOn w:val="OPCParaBase"/>
    <w:rsid w:val="00CE3AC6"/>
    <w:pPr>
      <w:spacing w:line="240" w:lineRule="auto"/>
    </w:pPr>
    <w:rPr>
      <w:sz w:val="28"/>
    </w:rPr>
  </w:style>
  <w:style w:type="paragraph" w:customStyle="1" w:styleId="Item">
    <w:name w:val="Item"/>
    <w:aliases w:val="i"/>
    <w:basedOn w:val="OPCParaBase"/>
    <w:next w:val="ItemHead"/>
    <w:rsid w:val="00CE3AC6"/>
    <w:pPr>
      <w:keepLines/>
      <w:spacing w:before="80" w:line="240" w:lineRule="auto"/>
      <w:ind w:left="709"/>
    </w:pPr>
  </w:style>
  <w:style w:type="paragraph" w:customStyle="1" w:styleId="ItemHead">
    <w:name w:val="ItemHead"/>
    <w:aliases w:val="ih"/>
    <w:basedOn w:val="OPCParaBase"/>
    <w:next w:val="Item"/>
    <w:rsid w:val="00CE3A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3AC6"/>
    <w:pPr>
      <w:spacing w:line="240" w:lineRule="auto"/>
    </w:pPr>
    <w:rPr>
      <w:b/>
      <w:sz w:val="32"/>
    </w:rPr>
  </w:style>
  <w:style w:type="paragraph" w:customStyle="1" w:styleId="notedraft">
    <w:name w:val="note(draft)"/>
    <w:aliases w:val="nd"/>
    <w:basedOn w:val="OPCParaBase"/>
    <w:rsid w:val="00CE3AC6"/>
    <w:pPr>
      <w:spacing w:before="240" w:line="240" w:lineRule="auto"/>
      <w:ind w:left="284" w:hanging="284"/>
    </w:pPr>
    <w:rPr>
      <w:i/>
      <w:sz w:val="24"/>
    </w:rPr>
  </w:style>
  <w:style w:type="paragraph" w:customStyle="1" w:styleId="notemargin">
    <w:name w:val="note(margin)"/>
    <w:aliases w:val="nm"/>
    <w:basedOn w:val="OPCParaBase"/>
    <w:rsid w:val="00CE3AC6"/>
    <w:pPr>
      <w:tabs>
        <w:tab w:val="left" w:pos="709"/>
      </w:tabs>
      <w:spacing w:before="122" w:line="198" w:lineRule="exact"/>
      <w:ind w:left="709" w:hanging="709"/>
    </w:pPr>
    <w:rPr>
      <w:sz w:val="18"/>
    </w:rPr>
  </w:style>
  <w:style w:type="paragraph" w:customStyle="1" w:styleId="noteToPara">
    <w:name w:val="noteToPara"/>
    <w:aliases w:val="ntp"/>
    <w:basedOn w:val="OPCParaBase"/>
    <w:rsid w:val="00CE3AC6"/>
    <w:pPr>
      <w:spacing w:before="122" w:line="198" w:lineRule="exact"/>
      <w:ind w:left="2353" w:hanging="709"/>
    </w:pPr>
    <w:rPr>
      <w:sz w:val="18"/>
    </w:rPr>
  </w:style>
  <w:style w:type="paragraph" w:customStyle="1" w:styleId="noteParlAmend">
    <w:name w:val="note(ParlAmend)"/>
    <w:aliases w:val="npp"/>
    <w:basedOn w:val="OPCParaBase"/>
    <w:next w:val="ParlAmend"/>
    <w:rsid w:val="00CE3AC6"/>
    <w:pPr>
      <w:spacing w:line="240" w:lineRule="auto"/>
      <w:jc w:val="right"/>
    </w:pPr>
    <w:rPr>
      <w:rFonts w:ascii="Arial" w:hAnsi="Arial"/>
      <w:b/>
      <w:i/>
    </w:rPr>
  </w:style>
  <w:style w:type="paragraph" w:customStyle="1" w:styleId="Page1">
    <w:name w:val="Page1"/>
    <w:basedOn w:val="OPCParaBase"/>
    <w:rsid w:val="00CE3AC6"/>
    <w:pPr>
      <w:spacing w:before="5600" w:line="240" w:lineRule="auto"/>
    </w:pPr>
    <w:rPr>
      <w:b/>
      <w:sz w:val="32"/>
    </w:rPr>
  </w:style>
  <w:style w:type="paragraph" w:customStyle="1" w:styleId="PageBreak">
    <w:name w:val="PageBreak"/>
    <w:aliases w:val="pb"/>
    <w:basedOn w:val="OPCParaBase"/>
    <w:rsid w:val="00CE3AC6"/>
    <w:pPr>
      <w:spacing w:line="240" w:lineRule="auto"/>
    </w:pPr>
    <w:rPr>
      <w:sz w:val="20"/>
    </w:rPr>
  </w:style>
  <w:style w:type="paragraph" w:customStyle="1" w:styleId="paragraphsub">
    <w:name w:val="paragraph(sub)"/>
    <w:aliases w:val="aa"/>
    <w:basedOn w:val="OPCParaBase"/>
    <w:rsid w:val="00CE3AC6"/>
    <w:pPr>
      <w:tabs>
        <w:tab w:val="right" w:pos="1985"/>
      </w:tabs>
      <w:spacing w:before="40" w:line="240" w:lineRule="auto"/>
      <w:ind w:left="2098" w:hanging="2098"/>
    </w:pPr>
  </w:style>
  <w:style w:type="paragraph" w:customStyle="1" w:styleId="paragraphsub-sub">
    <w:name w:val="paragraph(sub-sub)"/>
    <w:aliases w:val="aaa"/>
    <w:basedOn w:val="OPCParaBase"/>
    <w:rsid w:val="00CE3AC6"/>
    <w:pPr>
      <w:tabs>
        <w:tab w:val="right" w:pos="2722"/>
      </w:tabs>
      <w:spacing w:before="40" w:line="240" w:lineRule="auto"/>
      <w:ind w:left="2835" w:hanging="2835"/>
    </w:pPr>
  </w:style>
  <w:style w:type="paragraph" w:customStyle="1" w:styleId="paragraph">
    <w:name w:val="paragraph"/>
    <w:aliases w:val="a"/>
    <w:basedOn w:val="OPCParaBase"/>
    <w:rsid w:val="00CE3AC6"/>
    <w:pPr>
      <w:tabs>
        <w:tab w:val="right" w:pos="1531"/>
      </w:tabs>
      <w:spacing w:before="40" w:line="240" w:lineRule="auto"/>
      <w:ind w:left="1644" w:hanging="1644"/>
    </w:pPr>
  </w:style>
  <w:style w:type="paragraph" w:customStyle="1" w:styleId="ParlAmend">
    <w:name w:val="ParlAmend"/>
    <w:aliases w:val="pp"/>
    <w:basedOn w:val="OPCParaBase"/>
    <w:rsid w:val="00CE3AC6"/>
    <w:pPr>
      <w:spacing w:before="240" w:line="240" w:lineRule="atLeast"/>
      <w:ind w:hanging="567"/>
    </w:pPr>
    <w:rPr>
      <w:sz w:val="24"/>
    </w:rPr>
  </w:style>
  <w:style w:type="paragraph" w:customStyle="1" w:styleId="Penalty">
    <w:name w:val="Penalty"/>
    <w:basedOn w:val="OPCParaBase"/>
    <w:rsid w:val="00CE3AC6"/>
    <w:pPr>
      <w:tabs>
        <w:tab w:val="left" w:pos="2977"/>
      </w:tabs>
      <w:spacing w:before="180" w:line="240" w:lineRule="auto"/>
      <w:ind w:left="1985" w:hanging="851"/>
    </w:pPr>
  </w:style>
  <w:style w:type="paragraph" w:customStyle="1" w:styleId="Portfolio">
    <w:name w:val="Portfolio"/>
    <w:basedOn w:val="OPCParaBase"/>
    <w:rsid w:val="00CE3AC6"/>
    <w:pPr>
      <w:spacing w:line="240" w:lineRule="auto"/>
    </w:pPr>
    <w:rPr>
      <w:i/>
      <w:sz w:val="20"/>
    </w:rPr>
  </w:style>
  <w:style w:type="paragraph" w:customStyle="1" w:styleId="Preamble">
    <w:name w:val="Preamble"/>
    <w:basedOn w:val="OPCParaBase"/>
    <w:next w:val="Normal"/>
    <w:rsid w:val="00CE3A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3AC6"/>
    <w:pPr>
      <w:spacing w:line="240" w:lineRule="auto"/>
    </w:pPr>
    <w:rPr>
      <w:i/>
      <w:sz w:val="20"/>
    </w:rPr>
  </w:style>
  <w:style w:type="paragraph" w:customStyle="1" w:styleId="Session">
    <w:name w:val="Session"/>
    <w:basedOn w:val="OPCParaBase"/>
    <w:rsid w:val="00CE3AC6"/>
    <w:pPr>
      <w:spacing w:line="240" w:lineRule="auto"/>
    </w:pPr>
    <w:rPr>
      <w:sz w:val="28"/>
    </w:rPr>
  </w:style>
  <w:style w:type="paragraph" w:customStyle="1" w:styleId="Sponsor">
    <w:name w:val="Sponsor"/>
    <w:basedOn w:val="OPCParaBase"/>
    <w:rsid w:val="00CE3AC6"/>
    <w:pPr>
      <w:spacing w:line="240" w:lineRule="auto"/>
    </w:pPr>
    <w:rPr>
      <w:i/>
    </w:rPr>
  </w:style>
  <w:style w:type="paragraph" w:customStyle="1" w:styleId="Subitem">
    <w:name w:val="Subitem"/>
    <w:aliases w:val="iss"/>
    <w:basedOn w:val="OPCParaBase"/>
    <w:rsid w:val="00CE3AC6"/>
    <w:pPr>
      <w:spacing w:before="180" w:line="240" w:lineRule="auto"/>
      <w:ind w:left="709" w:hanging="709"/>
    </w:pPr>
  </w:style>
  <w:style w:type="paragraph" w:customStyle="1" w:styleId="SubitemHead">
    <w:name w:val="SubitemHead"/>
    <w:aliases w:val="issh"/>
    <w:basedOn w:val="OPCParaBase"/>
    <w:rsid w:val="00CE3A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3AC6"/>
    <w:pPr>
      <w:spacing w:before="40" w:line="240" w:lineRule="auto"/>
      <w:ind w:left="1134"/>
    </w:pPr>
  </w:style>
  <w:style w:type="paragraph" w:customStyle="1" w:styleId="SubsectionHead">
    <w:name w:val="SubsectionHead"/>
    <w:aliases w:val="ssh"/>
    <w:basedOn w:val="OPCParaBase"/>
    <w:next w:val="subsection"/>
    <w:rsid w:val="00CE3AC6"/>
    <w:pPr>
      <w:keepNext/>
      <w:keepLines/>
      <w:spacing w:before="240" w:line="240" w:lineRule="auto"/>
      <w:ind w:left="1134"/>
    </w:pPr>
    <w:rPr>
      <w:i/>
    </w:rPr>
  </w:style>
  <w:style w:type="paragraph" w:customStyle="1" w:styleId="Tablea">
    <w:name w:val="Table(a)"/>
    <w:aliases w:val="ta"/>
    <w:basedOn w:val="OPCParaBase"/>
    <w:rsid w:val="00CE3AC6"/>
    <w:pPr>
      <w:spacing w:before="60" w:line="240" w:lineRule="auto"/>
      <w:ind w:left="284" w:hanging="284"/>
    </w:pPr>
    <w:rPr>
      <w:sz w:val="20"/>
    </w:rPr>
  </w:style>
  <w:style w:type="paragraph" w:customStyle="1" w:styleId="TableAA">
    <w:name w:val="Table(AA)"/>
    <w:aliases w:val="taaa"/>
    <w:basedOn w:val="OPCParaBase"/>
    <w:rsid w:val="00CE3A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3A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3AC6"/>
    <w:pPr>
      <w:spacing w:before="60" w:line="240" w:lineRule="atLeast"/>
    </w:pPr>
    <w:rPr>
      <w:sz w:val="20"/>
    </w:rPr>
  </w:style>
  <w:style w:type="paragraph" w:customStyle="1" w:styleId="TLPBoxTextnote">
    <w:name w:val="TLPBoxText(note"/>
    <w:aliases w:val="right)"/>
    <w:basedOn w:val="OPCParaBase"/>
    <w:rsid w:val="00CE3A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3A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3AC6"/>
    <w:pPr>
      <w:spacing w:before="122" w:line="198" w:lineRule="exact"/>
      <w:ind w:left="1985" w:hanging="851"/>
      <w:jc w:val="right"/>
    </w:pPr>
    <w:rPr>
      <w:sz w:val="18"/>
    </w:rPr>
  </w:style>
  <w:style w:type="paragraph" w:customStyle="1" w:styleId="TLPTableBullet">
    <w:name w:val="TLPTableBullet"/>
    <w:aliases w:val="ttb"/>
    <w:basedOn w:val="OPCParaBase"/>
    <w:rsid w:val="00CE3AC6"/>
    <w:pPr>
      <w:spacing w:line="240" w:lineRule="exact"/>
      <w:ind w:left="284" w:hanging="284"/>
    </w:pPr>
    <w:rPr>
      <w:sz w:val="20"/>
    </w:rPr>
  </w:style>
  <w:style w:type="paragraph" w:styleId="TOC1">
    <w:name w:val="toc 1"/>
    <w:basedOn w:val="Normal"/>
    <w:next w:val="Normal"/>
    <w:uiPriority w:val="39"/>
    <w:unhideWhenUsed/>
    <w:rsid w:val="00CE3AC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E3AC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E3AC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E3AC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E3AC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E3AC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E3AC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E3AC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E3AC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E3AC6"/>
    <w:pPr>
      <w:keepLines/>
      <w:spacing w:before="240" w:after="120" w:line="240" w:lineRule="auto"/>
      <w:ind w:left="794"/>
    </w:pPr>
    <w:rPr>
      <w:b/>
      <w:kern w:val="28"/>
      <w:sz w:val="20"/>
    </w:rPr>
  </w:style>
  <w:style w:type="paragraph" w:customStyle="1" w:styleId="TofSectsHeading">
    <w:name w:val="TofSects(Heading)"/>
    <w:basedOn w:val="OPCParaBase"/>
    <w:rsid w:val="00CE3AC6"/>
    <w:pPr>
      <w:spacing w:before="240" w:after="120" w:line="240" w:lineRule="auto"/>
    </w:pPr>
    <w:rPr>
      <w:b/>
      <w:sz w:val="24"/>
    </w:rPr>
  </w:style>
  <w:style w:type="paragraph" w:customStyle="1" w:styleId="TofSectsSection">
    <w:name w:val="TofSects(Section)"/>
    <w:basedOn w:val="OPCParaBase"/>
    <w:rsid w:val="00CE3AC6"/>
    <w:pPr>
      <w:keepLines/>
      <w:spacing w:before="40" w:line="240" w:lineRule="auto"/>
      <w:ind w:left="1588" w:hanging="794"/>
    </w:pPr>
    <w:rPr>
      <w:kern w:val="28"/>
      <w:sz w:val="18"/>
    </w:rPr>
  </w:style>
  <w:style w:type="paragraph" w:customStyle="1" w:styleId="TofSectsSubdiv">
    <w:name w:val="TofSects(Subdiv)"/>
    <w:basedOn w:val="OPCParaBase"/>
    <w:rsid w:val="00CE3AC6"/>
    <w:pPr>
      <w:keepLines/>
      <w:spacing w:before="80" w:line="240" w:lineRule="auto"/>
      <w:ind w:left="1588" w:hanging="794"/>
    </w:pPr>
    <w:rPr>
      <w:kern w:val="28"/>
    </w:rPr>
  </w:style>
  <w:style w:type="paragraph" w:customStyle="1" w:styleId="WRStyle">
    <w:name w:val="WR Style"/>
    <w:aliases w:val="WR"/>
    <w:basedOn w:val="OPCParaBase"/>
    <w:rsid w:val="00CE3AC6"/>
    <w:pPr>
      <w:spacing w:before="240" w:line="240" w:lineRule="auto"/>
      <w:ind w:left="284" w:hanging="284"/>
    </w:pPr>
    <w:rPr>
      <w:b/>
      <w:i/>
      <w:kern w:val="28"/>
      <w:sz w:val="24"/>
    </w:rPr>
  </w:style>
  <w:style w:type="paragraph" w:customStyle="1" w:styleId="notepara">
    <w:name w:val="note(para)"/>
    <w:aliases w:val="na"/>
    <w:basedOn w:val="OPCParaBase"/>
    <w:rsid w:val="00CE3AC6"/>
    <w:pPr>
      <w:spacing w:before="40" w:line="198" w:lineRule="exact"/>
      <w:ind w:left="2354" w:hanging="369"/>
    </w:pPr>
    <w:rPr>
      <w:sz w:val="18"/>
    </w:rPr>
  </w:style>
  <w:style w:type="paragraph" w:styleId="Footer">
    <w:name w:val="footer"/>
    <w:link w:val="FooterChar"/>
    <w:rsid w:val="00CE3A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3AC6"/>
    <w:rPr>
      <w:rFonts w:eastAsia="Times New Roman" w:cs="Times New Roman"/>
      <w:sz w:val="22"/>
      <w:szCs w:val="24"/>
      <w:lang w:eastAsia="en-AU"/>
    </w:rPr>
  </w:style>
  <w:style w:type="character" w:styleId="LineNumber">
    <w:name w:val="line number"/>
    <w:basedOn w:val="OPCCharBase"/>
    <w:uiPriority w:val="99"/>
    <w:unhideWhenUsed/>
    <w:rsid w:val="00CE3AC6"/>
    <w:rPr>
      <w:sz w:val="16"/>
    </w:rPr>
  </w:style>
  <w:style w:type="table" w:customStyle="1" w:styleId="CFlag">
    <w:name w:val="CFlag"/>
    <w:basedOn w:val="TableNormal"/>
    <w:uiPriority w:val="99"/>
    <w:rsid w:val="00CE3AC6"/>
    <w:rPr>
      <w:rFonts w:eastAsia="Times New Roman" w:cs="Times New Roman"/>
      <w:lang w:eastAsia="en-AU"/>
    </w:rPr>
    <w:tblPr/>
  </w:style>
  <w:style w:type="paragraph" w:styleId="BalloonText">
    <w:name w:val="Balloon Text"/>
    <w:basedOn w:val="Normal"/>
    <w:link w:val="BalloonTextChar"/>
    <w:uiPriority w:val="99"/>
    <w:unhideWhenUsed/>
    <w:rsid w:val="00CE3A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E3AC6"/>
    <w:rPr>
      <w:rFonts w:ascii="Tahoma" w:hAnsi="Tahoma" w:cs="Tahoma"/>
      <w:sz w:val="16"/>
      <w:szCs w:val="16"/>
    </w:rPr>
  </w:style>
  <w:style w:type="table" w:styleId="TableGrid">
    <w:name w:val="Table Grid"/>
    <w:basedOn w:val="TableNormal"/>
    <w:uiPriority w:val="59"/>
    <w:rsid w:val="00CE3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E3AC6"/>
    <w:rPr>
      <w:b/>
      <w:sz w:val="28"/>
      <w:szCs w:val="32"/>
    </w:rPr>
  </w:style>
  <w:style w:type="paragraph" w:customStyle="1" w:styleId="LegislationMadeUnder">
    <w:name w:val="LegislationMadeUnder"/>
    <w:basedOn w:val="OPCParaBase"/>
    <w:next w:val="Normal"/>
    <w:rsid w:val="00CE3AC6"/>
    <w:rPr>
      <w:i/>
      <w:sz w:val="32"/>
      <w:szCs w:val="32"/>
    </w:rPr>
  </w:style>
  <w:style w:type="paragraph" w:customStyle="1" w:styleId="SignCoverPageEnd">
    <w:name w:val="SignCoverPageEnd"/>
    <w:basedOn w:val="OPCParaBase"/>
    <w:next w:val="Normal"/>
    <w:rsid w:val="00CE3A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3AC6"/>
    <w:pPr>
      <w:pBdr>
        <w:top w:val="single" w:sz="4" w:space="1" w:color="auto"/>
      </w:pBdr>
      <w:spacing w:before="360"/>
      <w:ind w:right="397"/>
      <w:jc w:val="both"/>
    </w:pPr>
  </w:style>
  <w:style w:type="paragraph" w:customStyle="1" w:styleId="NotesHeading1">
    <w:name w:val="NotesHeading 1"/>
    <w:basedOn w:val="OPCParaBase"/>
    <w:next w:val="Normal"/>
    <w:rsid w:val="00CE3AC6"/>
    <w:rPr>
      <w:b/>
      <w:sz w:val="28"/>
      <w:szCs w:val="28"/>
    </w:rPr>
  </w:style>
  <w:style w:type="paragraph" w:customStyle="1" w:styleId="NotesHeading2">
    <w:name w:val="NotesHeading 2"/>
    <w:basedOn w:val="OPCParaBase"/>
    <w:next w:val="Normal"/>
    <w:rsid w:val="00CE3AC6"/>
    <w:rPr>
      <w:b/>
      <w:sz w:val="28"/>
      <w:szCs w:val="28"/>
    </w:rPr>
  </w:style>
  <w:style w:type="paragraph" w:customStyle="1" w:styleId="CompiledActNo">
    <w:name w:val="CompiledActNo"/>
    <w:basedOn w:val="OPCParaBase"/>
    <w:next w:val="Normal"/>
    <w:rsid w:val="00CE3AC6"/>
    <w:rPr>
      <w:b/>
      <w:sz w:val="24"/>
      <w:szCs w:val="24"/>
    </w:rPr>
  </w:style>
  <w:style w:type="paragraph" w:customStyle="1" w:styleId="ENotesText">
    <w:name w:val="ENotesText"/>
    <w:aliases w:val="Ent"/>
    <w:basedOn w:val="OPCParaBase"/>
    <w:next w:val="Normal"/>
    <w:rsid w:val="00CE3AC6"/>
    <w:pPr>
      <w:spacing w:before="120"/>
    </w:pPr>
  </w:style>
  <w:style w:type="paragraph" w:customStyle="1" w:styleId="CompiledMadeUnder">
    <w:name w:val="CompiledMadeUnder"/>
    <w:basedOn w:val="OPCParaBase"/>
    <w:next w:val="Normal"/>
    <w:rsid w:val="00CE3AC6"/>
    <w:rPr>
      <w:i/>
      <w:sz w:val="24"/>
      <w:szCs w:val="24"/>
    </w:rPr>
  </w:style>
  <w:style w:type="paragraph" w:customStyle="1" w:styleId="Paragraphsub-sub-sub">
    <w:name w:val="Paragraph(sub-sub-sub)"/>
    <w:aliases w:val="aaaa"/>
    <w:basedOn w:val="OPCParaBase"/>
    <w:rsid w:val="00CE3AC6"/>
    <w:pPr>
      <w:tabs>
        <w:tab w:val="right" w:pos="3402"/>
      </w:tabs>
      <w:spacing w:before="40" w:line="240" w:lineRule="auto"/>
      <w:ind w:left="3402" w:hanging="3402"/>
    </w:pPr>
  </w:style>
  <w:style w:type="paragraph" w:customStyle="1" w:styleId="TableTextEndNotes">
    <w:name w:val="TableTextEndNotes"/>
    <w:aliases w:val="Tten"/>
    <w:basedOn w:val="Normal"/>
    <w:rsid w:val="00CE3AC6"/>
    <w:pPr>
      <w:spacing w:before="60" w:line="240" w:lineRule="auto"/>
    </w:pPr>
    <w:rPr>
      <w:rFonts w:cs="Arial"/>
      <w:sz w:val="20"/>
      <w:szCs w:val="22"/>
    </w:rPr>
  </w:style>
  <w:style w:type="paragraph" w:customStyle="1" w:styleId="NoteToSubpara">
    <w:name w:val="NoteToSubpara"/>
    <w:aliases w:val="nts"/>
    <w:basedOn w:val="OPCParaBase"/>
    <w:rsid w:val="00CE3AC6"/>
    <w:pPr>
      <w:spacing w:before="40" w:line="198" w:lineRule="exact"/>
      <w:ind w:left="2835" w:hanging="709"/>
    </w:pPr>
    <w:rPr>
      <w:sz w:val="18"/>
    </w:rPr>
  </w:style>
  <w:style w:type="paragraph" w:customStyle="1" w:styleId="ENoteTableHeading">
    <w:name w:val="ENoteTableHeading"/>
    <w:aliases w:val="enth"/>
    <w:basedOn w:val="OPCParaBase"/>
    <w:rsid w:val="00CE3AC6"/>
    <w:pPr>
      <w:keepNext/>
      <w:spacing w:before="60" w:line="240" w:lineRule="atLeast"/>
    </w:pPr>
    <w:rPr>
      <w:rFonts w:ascii="Arial" w:hAnsi="Arial"/>
      <w:b/>
      <w:sz w:val="16"/>
    </w:rPr>
  </w:style>
  <w:style w:type="paragraph" w:customStyle="1" w:styleId="ENoteTTi">
    <w:name w:val="ENoteTTi"/>
    <w:aliases w:val="entti"/>
    <w:basedOn w:val="OPCParaBase"/>
    <w:rsid w:val="00CE3AC6"/>
    <w:pPr>
      <w:keepNext/>
      <w:spacing w:before="60" w:line="240" w:lineRule="atLeast"/>
      <w:ind w:left="170"/>
    </w:pPr>
    <w:rPr>
      <w:sz w:val="16"/>
    </w:rPr>
  </w:style>
  <w:style w:type="paragraph" w:customStyle="1" w:styleId="ENotesHeading1">
    <w:name w:val="ENotesHeading 1"/>
    <w:aliases w:val="Enh1"/>
    <w:basedOn w:val="OPCParaBase"/>
    <w:next w:val="Normal"/>
    <w:rsid w:val="00CE3AC6"/>
    <w:pPr>
      <w:spacing w:before="120"/>
      <w:outlineLvl w:val="1"/>
    </w:pPr>
    <w:rPr>
      <w:b/>
      <w:sz w:val="28"/>
      <w:szCs w:val="28"/>
    </w:rPr>
  </w:style>
  <w:style w:type="paragraph" w:customStyle="1" w:styleId="ENotesHeading2">
    <w:name w:val="ENotesHeading 2"/>
    <w:aliases w:val="Enh2"/>
    <w:basedOn w:val="OPCParaBase"/>
    <w:next w:val="Normal"/>
    <w:rsid w:val="00CE3AC6"/>
    <w:pPr>
      <w:spacing w:before="120" w:after="120"/>
      <w:outlineLvl w:val="2"/>
    </w:pPr>
    <w:rPr>
      <w:b/>
      <w:sz w:val="24"/>
      <w:szCs w:val="28"/>
    </w:rPr>
  </w:style>
  <w:style w:type="paragraph" w:customStyle="1" w:styleId="ENoteTTIndentHeading">
    <w:name w:val="ENoteTTIndentHeading"/>
    <w:aliases w:val="enTTHi"/>
    <w:basedOn w:val="OPCParaBase"/>
    <w:rsid w:val="00CE3A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3AC6"/>
    <w:pPr>
      <w:spacing w:before="60" w:line="240" w:lineRule="atLeast"/>
    </w:pPr>
    <w:rPr>
      <w:sz w:val="16"/>
    </w:rPr>
  </w:style>
  <w:style w:type="paragraph" w:customStyle="1" w:styleId="MadeunderText">
    <w:name w:val="MadeunderText"/>
    <w:basedOn w:val="OPCParaBase"/>
    <w:next w:val="Normal"/>
    <w:rsid w:val="00CE3AC6"/>
    <w:pPr>
      <w:spacing w:before="240"/>
    </w:pPr>
    <w:rPr>
      <w:sz w:val="24"/>
      <w:szCs w:val="24"/>
    </w:rPr>
  </w:style>
  <w:style w:type="paragraph" w:customStyle="1" w:styleId="ENotesHeading3">
    <w:name w:val="ENotesHeading 3"/>
    <w:aliases w:val="Enh3"/>
    <w:basedOn w:val="OPCParaBase"/>
    <w:next w:val="Normal"/>
    <w:rsid w:val="00CE3AC6"/>
    <w:pPr>
      <w:keepNext/>
      <w:spacing w:before="120" w:line="240" w:lineRule="auto"/>
      <w:outlineLvl w:val="4"/>
    </w:pPr>
    <w:rPr>
      <w:b/>
      <w:szCs w:val="24"/>
    </w:rPr>
  </w:style>
  <w:style w:type="character" w:customStyle="1" w:styleId="CharSubPartTextCASA">
    <w:name w:val="CharSubPartText(CASA)"/>
    <w:basedOn w:val="OPCCharBase"/>
    <w:uiPriority w:val="1"/>
    <w:rsid w:val="00CE3AC6"/>
  </w:style>
  <w:style w:type="character" w:customStyle="1" w:styleId="CharSubPartNoCASA">
    <w:name w:val="CharSubPartNo(CASA)"/>
    <w:basedOn w:val="OPCCharBase"/>
    <w:uiPriority w:val="1"/>
    <w:rsid w:val="00CE3AC6"/>
  </w:style>
  <w:style w:type="paragraph" w:customStyle="1" w:styleId="ENoteTTIndentHeadingSub">
    <w:name w:val="ENoteTTIndentHeadingSub"/>
    <w:aliases w:val="enTTHis"/>
    <w:basedOn w:val="OPCParaBase"/>
    <w:rsid w:val="00CE3AC6"/>
    <w:pPr>
      <w:keepNext/>
      <w:spacing w:before="60" w:line="240" w:lineRule="atLeast"/>
      <w:ind w:left="340"/>
    </w:pPr>
    <w:rPr>
      <w:b/>
      <w:sz w:val="16"/>
    </w:rPr>
  </w:style>
  <w:style w:type="paragraph" w:customStyle="1" w:styleId="ENoteTTiSub">
    <w:name w:val="ENoteTTiSub"/>
    <w:aliases w:val="enttis"/>
    <w:basedOn w:val="OPCParaBase"/>
    <w:rsid w:val="00CE3AC6"/>
    <w:pPr>
      <w:keepNext/>
      <w:spacing w:before="60" w:line="240" w:lineRule="atLeast"/>
      <w:ind w:left="340"/>
    </w:pPr>
    <w:rPr>
      <w:sz w:val="16"/>
    </w:rPr>
  </w:style>
  <w:style w:type="paragraph" w:customStyle="1" w:styleId="SubDivisionMigration">
    <w:name w:val="SubDivisionMigration"/>
    <w:aliases w:val="sdm"/>
    <w:basedOn w:val="OPCParaBase"/>
    <w:rsid w:val="00CE3A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3AC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E3AC6"/>
    <w:pPr>
      <w:spacing w:before="122" w:line="240" w:lineRule="auto"/>
      <w:ind w:left="1985" w:hanging="851"/>
    </w:pPr>
    <w:rPr>
      <w:sz w:val="18"/>
    </w:rPr>
  </w:style>
  <w:style w:type="paragraph" w:customStyle="1" w:styleId="FreeForm">
    <w:name w:val="FreeForm"/>
    <w:rsid w:val="00673381"/>
    <w:rPr>
      <w:rFonts w:ascii="Arial" w:hAnsi="Arial"/>
      <w:sz w:val="22"/>
    </w:rPr>
  </w:style>
  <w:style w:type="paragraph" w:customStyle="1" w:styleId="SOText">
    <w:name w:val="SO Text"/>
    <w:aliases w:val="sot"/>
    <w:link w:val="SOTextChar"/>
    <w:rsid w:val="00CE3A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3AC6"/>
    <w:rPr>
      <w:sz w:val="22"/>
    </w:rPr>
  </w:style>
  <w:style w:type="paragraph" w:customStyle="1" w:styleId="SOTextNote">
    <w:name w:val="SO TextNote"/>
    <w:aliases w:val="sont"/>
    <w:basedOn w:val="SOText"/>
    <w:qFormat/>
    <w:rsid w:val="00CE3AC6"/>
    <w:pPr>
      <w:spacing w:before="122" w:line="198" w:lineRule="exact"/>
      <w:ind w:left="1843" w:hanging="709"/>
    </w:pPr>
    <w:rPr>
      <w:sz w:val="18"/>
    </w:rPr>
  </w:style>
  <w:style w:type="paragraph" w:customStyle="1" w:styleId="SOPara">
    <w:name w:val="SO Para"/>
    <w:aliases w:val="soa"/>
    <w:basedOn w:val="SOText"/>
    <w:link w:val="SOParaChar"/>
    <w:qFormat/>
    <w:rsid w:val="00CE3AC6"/>
    <w:pPr>
      <w:tabs>
        <w:tab w:val="right" w:pos="1786"/>
      </w:tabs>
      <w:spacing w:before="40"/>
      <w:ind w:left="2070" w:hanging="936"/>
    </w:pPr>
  </w:style>
  <w:style w:type="character" w:customStyle="1" w:styleId="SOParaChar">
    <w:name w:val="SO Para Char"/>
    <w:aliases w:val="soa Char"/>
    <w:basedOn w:val="DefaultParagraphFont"/>
    <w:link w:val="SOPara"/>
    <w:rsid w:val="00CE3AC6"/>
    <w:rPr>
      <w:sz w:val="22"/>
    </w:rPr>
  </w:style>
  <w:style w:type="paragraph" w:customStyle="1" w:styleId="FileName">
    <w:name w:val="FileName"/>
    <w:basedOn w:val="Normal"/>
    <w:rsid w:val="00CE3AC6"/>
  </w:style>
  <w:style w:type="paragraph" w:customStyle="1" w:styleId="TableHeading">
    <w:name w:val="TableHeading"/>
    <w:aliases w:val="th"/>
    <w:basedOn w:val="OPCParaBase"/>
    <w:next w:val="Tabletext"/>
    <w:rsid w:val="00CE3AC6"/>
    <w:pPr>
      <w:keepNext/>
      <w:spacing w:before="60" w:line="240" w:lineRule="atLeast"/>
    </w:pPr>
    <w:rPr>
      <w:b/>
      <w:sz w:val="20"/>
    </w:rPr>
  </w:style>
  <w:style w:type="paragraph" w:customStyle="1" w:styleId="SOHeadBold">
    <w:name w:val="SO HeadBold"/>
    <w:aliases w:val="sohb"/>
    <w:basedOn w:val="SOText"/>
    <w:next w:val="SOText"/>
    <w:link w:val="SOHeadBoldChar"/>
    <w:qFormat/>
    <w:rsid w:val="00CE3AC6"/>
    <w:rPr>
      <w:b/>
    </w:rPr>
  </w:style>
  <w:style w:type="character" w:customStyle="1" w:styleId="SOHeadBoldChar">
    <w:name w:val="SO HeadBold Char"/>
    <w:aliases w:val="sohb Char"/>
    <w:basedOn w:val="DefaultParagraphFont"/>
    <w:link w:val="SOHeadBold"/>
    <w:rsid w:val="00CE3AC6"/>
    <w:rPr>
      <w:b/>
      <w:sz w:val="22"/>
    </w:rPr>
  </w:style>
  <w:style w:type="paragraph" w:customStyle="1" w:styleId="SOHeadItalic">
    <w:name w:val="SO HeadItalic"/>
    <w:aliases w:val="sohi"/>
    <w:basedOn w:val="SOText"/>
    <w:next w:val="SOText"/>
    <w:link w:val="SOHeadItalicChar"/>
    <w:qFormat/>
    <w:rsid w:val="00CE3AC6"/>
    <w:rPr>
      <w:i/>
    </w:rPr>
  </w:style>
  <w:style w:type="character" w:customStyle="1" w:styleId="SOHeadItalicChar">
    <w:name w:val="SO HeadItalic Char"/>
    <w:aliases w:val="sohi Char"/>
    <w:basedOn w:val="DefaultParagraphFont"/>
    <w:link w:val="SOHeadItalic"/>
    <w:rsid w:val="00CE3AC6"/>
    <w:rPr>
      <w:i/>
      <w:sz w:val="22"/>
    </w:rPr>
  </w:style>
  <w:style w:type="paragraph" w:customStyle="1" w:styleId="SOBullet">
    <w:name w:val="SO Bullet"/>
    <w:aliases w:val="sotb"/>
    <w:basedOn w:val="SOText"/>
    <w:link w:val="SOBulletChar"/>
    <w:qFormat/>
    <w:rsid w:val="00CE3AC6"/>
    <w:pPr>
      <w:ind w:left="1559" w:hanging="425"/>
    </w:pPr>
  </w:style>
  <w:style w:type="character" w:customStyle="1" w:styleId="SOBulletChar">
    <w:name w:val="SO Bullet Char"/>
    <w:aliases w:val="sotb Char"/>
    <w:basedOn w:val="DefaultParagraphFont"/>
    <w:link w:val="SOBullet"/>
    <w:rsid w:val="00CE3AC6"/>
    <w:rPr>
      <w:sz w:val="22"/>
    </w:rPr>
  </w:style>
  <w:style w:type="paragraph" w:customStyle="1" w:styleId="SOBulletNote">
    <w:name w:val="SO BulletNote"/>
    <w:aliases w:val="sonb"/>
    <w:basedOn w:val="SOTextNote"/>
    <w:link w:val="SOBulletNoteChar"/>
    <w:qFormat/>
    <w:rsid w:val="00CE3AC6"/>
    <w:pPr>
      <w:tabs>
        <w:tab w:val="left" w:pos="1560"/>
      </w:tabs>
      <w:ind w:left="2268" w:hanging="1134"/>
    </w:pPr>
  </w:style>
  <w:style w:type="character" w:customStyle="1" w:styleId="SOBulletNoteChar">
    <w:name w:val="SO BulletNote Char"/>
    <w:aliases w:val="sonb Char"/>
    <w:basedOn w:val="DefaultParagraphFont"/>
    <w:link w:val="SOBulletNote"/>
    <w:rsid w:val="00CE3AC6"/>
    <w:rPr>
      <w:sz w:val="18"/>
    </w:rPr>
  </w:style>
  <w:style w:type="paragraph" w:customStyle="1" w:styleId="SOText2">
    <w:name w:val="SO Text2"/>
    <w:aliases w:val="sot2"/>
    <w:basedOn w:val="Normal"/>
    <w:next w:val="SOText"/>
    <w:link w:val="SOText2Char"/>
    <w:rsid w:val="00CE3A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3AC6"/>
    <w:rPr>
      <w:sz w:val="22"/>
    </w:rPr>
  </w:style>
  <w:style w:type="paragraph" w:customStyle="1" w:styleId="SubPartCASA">
    <w:name w:val="SubPart(CASA)"/>
    <w:aliases w:val="csp"/>
    <w:basedOn w:val="OPCParaBase"/>
    <w:next w:val="ActHead3"/>
    <w:rsid w:val="00CE3AC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E3AC6"/>
    <w:rPr>
      <w:rFonts w:eastAsia="Times New Roman" w:cs="Times New Roman"/>
      <w:sz w:val="22"/>
      <w:lang w:eastAsia="en-AU"/>
    </w:rPr>
  </w:style>
  <w:style w:type="character" w:customStyle="1" w:styleId="notetextChar">
    <w:name w:val="note(text) Char"/>
    <w:aliases w:val="n Char"/>
    <w:basedOn w:val="DefaultParagraphFont"/>
    <w:link w:val="notetext"/>
    <w:rsid w:val="00CE3AC6"/>
    <w:rPr>
      <w:rFonts w:eastAsia="Times New Roman" w:cs="Times New Roman"/>
      <w:sz w:val="18"/>
      <w:lang w:eastAsia="en-AU"/>
    </w:rPr>
  </w:style>
  <w:style w:type="character" w:customStyle="1" w:styleId="Heading1Char">
    <w:name w:val="Heading 1 Char"/>
    <w:basedOn w:val="DefaultParagraphFont"/>
    <w:link w:val="Heading1"/>
    <w:uiPriority w:val="9"/>
    <w:rsid w:val="00CE3A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3A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3A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E3A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E3A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E3A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E3A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E3A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E3AC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E3AC6"/>
    <w:rPr>
      <w:rFonts w:ascii="Arial" w:hAnsi="Arial" w:cs="Arial" w:hint="default"/>
      <w:b/>
      <w:bCs/>
      <w:sz w:val="28"/>
      <w:szCs w:val="28"/>
    </w:rPr>
  </w:style>
  <w:style w:type="paragraph" w:styleId="Index1">
    <w:name w:val="index 1"/>
    <w:basedOn w:val="Normal"/>
    <w:next w:val="Normal"/>
    <w:autoRedefine/>
    <w:rsid w:val="00CE3AC6"/>
    <w:pPr>
      <w:ind w:left="240" w:hanging="240"/>
    </w:pPr>
  </w:style>
  <w:style w:type="paragraph" w:styleId="Index2">
    <w:name w:val="index 2"/>
    <w:basedOn w:val="Normal"/>
    <w:next w:val="Normal"/>
    <w:autoRedefine/>
    <w:rsid w:val="00CE3AC6"/>
    <w:pPr>
      <w:ind w:left="480" w:hanging="240"/>
    </w:pPr>
  </w:style>
  <w:style w:type="paragraph" w:styleId="Index3">
    <w:name w:val="index 3"/>
    <w:basedOn w:val="Normal"/>
    <w:next w:val="Normal"/>
    <w:autoRedefine/>
    <w:rsid w:val="00CE3AC6"/>
    <w:pPr>
      <w:ind w:left="720" w:hanging="240"/>
    </w:pPr>
  </w:style>
  <w:style w:type="paragraph" w:styleId="Index4">
    <w:name w:val="index 4"/>
    <w:basedOn w:val="Normal"/>
    <w:next w:val="Normal"/>
    <w:autoRedefine/>
    <w:rsid w:val="00CE3AC6"/>
    <w:pPr>
      <w:ind w:left="960" w:hanging="240"/>
    </w:pPr>
  </w:style>
  <w:style w:type="paragraph" w:styleId="Index5">
    <w:name w:val="index 5"/>
    <w:basedOn w:val="Normal"/>
    <w:next w:val="Normal"/>
    <w:autoRedefine/>
    <w:rsid w:val="00CE3AC6"/>
    <w:pPr>
      <w:ind w:left="1200" w:hanging="240"/>
    </w:pPr>
  </w:style>
  <w:style w:type="paragraph" w:styleId="Index6">
    <w:name w:val="index 6"/>
    <w:basedOn w:val="Normal"/>
    <w:next w:val="Normal"/>
    <w:autoRedefine/>
    <w:rsid w:val="00CE3AC6"/>
    <w:pPr>
      <w:ind w:left="1440" w:hanging="240"/>
    </w:pPr>
  </w:style>
  <w:style w:type="paragraph" w:styleId="Index7">
    <w:name w:val="index 7"/>
    <w:basedOn w:val="Normal"/>
    <w:next w:val="Normal"/>
    <w:autoRedefine/>
    <w:rsid w:val="00CE3AC6"/>
    <w:pPr>
      <w:ind w:left="1680" w:hanging="240"/>
    </w:pPr>
  </w:style>
  <w:style w:type="paragraph" w:styleId="Index8">
    <w:name w:val="index 8"/>
    <w:basedOn w:val="Normal"/>
    <w:next w:val="Normal"/>
    <w:autoRedefine/>
    <w:rsid w:val="00CE3AC6"/>
    <w:pPr>
      <w:ind w:left="1920" w:hanging="240"/>
    </w:pPr>
  </w:style>
  <w:style w:type="paragraph" w:styleId="Index9">
    <w:name w:val="index 9"/>
    <w:basedOn w:val="Normal"/>
    <w:next w:val="Normal"/>
    <w:autoRedefine/>
    <w:rsid w:val="00CE3AC6"/>
    <w:pPr>
      <w:ind w:left="2160" w:hanging="240"/>
    </w:pPr>
  </w:style>
  <w:style w:type="paragraph" w:styleId="NormalIndent">
    <w:name w:val="Normal Indent"/>
    <w:basedOn w:val="Normal"/>
    <w:rsid w:val="00CE3AC6"/>
    <w:pPr>
      <w:ind w:left="720"/>
    </w:pPr>
  </w:style>
  <w:style w:type="paragraph" w:styleId="FootnoteText">
    <w:name w:val="footnote text"/>
    <w:basedOn w:val="Normal"/>
    <w:link w:val="FootnoteTextChar"/>
    <w:rsid w:val="00CE3AC6"/>
    <w:rPr>
      <w:sz w:val="20"/>
    </w:rPr>
  </w:style>
  <w:style w:type="character" w:customStyle="1" w:styleId="FootnoteTextChar">
    <w:name w:val="Footnote Text Char"/>
    <w:basedOn w:val="DefaultParagraphFont"/>
    <w:link w:val="FootnoteText"/>
    <w:rsid w:val="00CE3AC6"/>
  </w:style>
  <w:style w:type="paragraph" w:styleId="CommentText">
    <w:name w:val="annotation text"/>
    <w:basedOn w:val="Normal"/>
    <w:link w:val="CommentTextChar"/>
    <w:rsid w:val="00CE3AC6"/>
    <w:rPr>
      <w:sz w:val="20"/>
    </w:rPr>
  </w:style>
  <w:style w:type="character" w:customStyle="1" w:styleId="CommentTextChar">
    <w:name w:val="Comment Text Char"/>
    <w:basedOn w:val="DefaultParagraphFont"/>
    <w:link w:val="CommentText"/>
    <w:rsid w:val="00CE3AC6"/>
  </w:style>
  <w:style w:type="paragraph" w:styleId="IndexHeading">
    <w:name w:val="index heading"/>
    <w:basedOn w:val="Normal"/>
    <w:next w:val="Index1"/>
    <w:rsid w:val="00CE3AC6"/>
    <w:rPr>
      <w:rFonts w:ascii="Arial" w:hAnsi="Arial" w:cs="Arial"/>
      <w:b/>
      <w:bCs/>
    </w:rPr>
  </w:style>
  <w:style w:type="paragraph" w:styleId="Caption">
    <w:name w:val="caption"/>
    <w:basedOn w:val="Normal"/>
    <w:next w:val="Normal"/>
    <w:qFormat/>
    <w:rsid w:val="00CE3AC6"/>
    <w:pPr>
      <w:spacing w:before="120" w:after="120"/>
    </w:pPr>
    <w:rPr>
      <w:b/>
      <w:bCs/>
      <w:sz w:val="20"/>
    </w:rPr>
  </w:style>
  <w:style w:type="paragraph" w:styleId="TableofFigures">
    <w:name w:val="table of figures"/>
    <w:basedOn w:val="Normal"/>
    <w:next w:val="Normal"/>
    <w:rsid w:val="00CE3AC6"/>
    <w:pPr>
      <w:ind w:left="480" w:hanging="480"/>
    </w:pPr>
  </w:style>
  <w:style w:type="paragraph" w:styleId="EnvelopeAddress">
    <w:name w:val="envelope address"/>
    <w:basedOn w:val="Normal"/>
    <w:rsid w:val="00CE3A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E3AC6"/>
    <w:rPr>
      <w:rFonts w:ascii="Arial" w:hAnsi="Arial" w:cs="Arial"/>
      <w:sz w:val="20"/>
    </w:rPr>
  </w:style>
  <w:style w:type="character" w:styleId="FootnoteReference">
    <w:name w:val="footnote reference"/>
    <w:basedOn w:val="DefaultParagraphFont"/>
    <w:rsid w:val="00CE3AC6"/>
    <w:rPr>
      <w:rFonts w:ascii="Times New Roman" w:hAnsi="Times New Roman"/>
      <w:sz w:val="20"/>
      <w:vertAlign w:val="superscript"/>
    </w:rPr>
  </w:style>
  <w:style w:type="character" w:styleId="CommentReference">
    <w:name w:val="annotation reference"/>
    <w:basedOn w:val="DefaultParagraphFont"/>
    <w:rsid w:val="00CE3AC6"/>
    <w:rPr>
      <w:sz w:val="16"/>
      <w:szCs w:val="16"/>
    </w:rPr>
  </w:style>
  <w:style w:type="character" w:styleId="PageNumber">
    <w:name w:val="page number"/>
    <w:basedOn w:val="DefaultParagraphFont"/>
    <w:rsid w:val="00CE3AC6"/>
  </w:style>
  <w:style w:type="character" w:styleId="EndnoteReference">
    <w:name w:val="endnote reference"/>
    <w:basedOn w:val="DefaultParagraphFont"/>
    <w:rsid w:val="00CE3AC6"/>
    <w:rPr>
      <w:vertAlign w:val="superscript"/>
    </w:rPr>
  </w:style>
  <w:style w:type="paragraph" w:styleId="EndnoteText">
    <w:name w:val="endnote text"/>
    <w:basedOn w:val="Normal"/>
    <w:link w:val="EndnoteTextChar"/>
    <w:rsid w:val="00CE3AC6"/>
    <w:rPr>
      <w:sz w:val="20"/>
    </w:rPr>
  </w:style>
  <w:style w:type="character" w:customStyle="1" w:styleId="EndnoteTextChar">
    <w:name w:val="Endnote Text Char"/>
    <w:basedOn w:val="DefaultParagraphFont"/>
    <w:link w:val="EndnoteText"/>
    <w:rsid w:val="00CE3AC6"/>
  </w:style>
  <w:style w:type="paragraph" w:styleId="TableofAuthorities">
    <w:name w:val="table of authorities"/>
    <w:basedOn w:val="Normal"/>
    <w:next w:val="Normal"/>
    <w:rsid w:val="00CE3AC6"/>
    <w:pPr>
      <w:ind w:left="240" w:hanging="240"/>
    </w:pPr>
  </w:style>
  <w:style w:type="paragraph" w:styleId="MacroText">
    <w:name w:val="macro"/>
    <w:link w:val="MacroTextChar"/>
    <w:rsid w:val="00CE3AC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E3AC6"/>
    <w:rPr>
      <w:rFonts w:ascii="Courier New" w:eastAsia="Times New Roman" w:hAnsi="Courier New" w:cs="Courier New"/>
      <w:lang w:eastAsia="en-AU"/>
    </w:rPr>
  </w:style>
  <w:style w:type="paragraph" w:styleId="TOAHeading">
    <w:name w:val="toa heading"/>
    <w:basedOn w:val="Normal"/>
    <w:next w:val="Normal"/>
    <w:rsid w:val="00CE3AC6"/>
    <w:pPr>
      <w:spacing w:before="120"/>
    </w:pPr>
    <w:rPr>
      <w:rFonts w:ascii="Arial" w:hAnsi="Arial" w:cs="Arial"/>
      <w:b/>
      <w:bCs/>
    </w:rPr>
  </w:style>
  <w:style w:type="paragraph" w:styleId="List">
    <w:name w:val="List"/>
    <w:basedOn w:val="Normal"/>
    <w:rsid w:val="00CE3AC6"/>
    <w:pPr>
      <w:ind w:left="283" w:hanging="283"/>
    </w:pPr>
  </w:style>
  <w:style w:type="paragraph" w:styleId="ListBullet">
    <w:name w:val="List Bullet"/>
    <w:basedOn w:val="Normal"/>
    <w:autoRedefine/>
    <w:rsid w:val="00CE3AC6"/>
    <w:pPr>
      <w:tabs>
        <w:tab w:val="num" w:pos="360"/>
      </w:tabs>
      <w:ind w:left="360" w:hanging="360"/>
    </w:pPr>
  </w:style>
  <w:style w:type="paragraph" w:styleId="ListNumber">
    <w:name w:val="List Number"/>
    <w:basedOn w:val="Normal"/>
    <w:rsid w:val="00CE3AC6"/>
    <w:pPr>
      <w:tabs>
        <w:tab w:val="num" w:pos="360"/>
      </w:tabs>
      <w:ind w:left="360" w:hanging="360"/>
    </w:pPr>
  </w:style>
  <w:style w:type="paragraph" w:styleId="List2">
    <w:name w:val="List 2"/>
    <w:basedOn w:val="Normal"/>
    <w:rsid w:val="00CE3AC6"/>
    <w:pPr>
      <w:ind w:left="566" w:hanging="283"/>
    </w:pPr>
  </w:style>
  <w:style w:type="paragraph" w:styleId="List3">
    <w:name w:val="List 3"/>
    <w:basedOn w:val="Normal"/>
    <w:rsid w:val="00CE3AC6"/>
    <w:pPr>
      <w:ind w:left="849" w:hanging="283"/>
    </w:pPr>
  </w:style>
  <w:style w:type="paragraph" w:styleId="List4">
    <w:name w:val="List 4"/>
    <w:basedOn w:val="Normal"/>
    <w:rsid w:val="00CE3AC6"/>
    <w:pPr>
      <w:ind w:left="1132" w:hanging="283"/>
    </w:pPr>
  </w:style>
  <w:style w:type="paragraph" w:styleId="List5">
    <w:name w:val="List 5"/>
    <w:basedOn w:val="Normal"/>
    <w:rsid w:val="00CE3AC6"/>
    <w:pPr>
      <w:ind w:left="1415" w:hanging="283"/>
    </w:pPr>
  </w:style>
  <w:style w:type="paragraph" w:styleId="ListBullet2">
    <w:name w:val="List Bullet 2"/>
    <w:basedOn w:val="Normal"/>
    <w:autoRedefine/>
    <w:rsid w:val="00CE3AC6"/>
    <w:pPr>
      <w:tabs>
        <w:tab w:val="num" w:pos="360"/>
      </w:tabs>
    </w:pPr>
  </w:style>
  <w:style w:type="paragraph" w:styleId="ListBullet3">
    <w:name w:val="List Bullet 3"/>
    <w:basedOn w:val="Normal"/>
    <w:autoRedefine/>
    <w:rsid w:val="00CE3AC6"/>
    <w:pPr>
      <w:tabs>
        <w:tab w:val="num" w:pos="926"/>
      </w:tabs>
      <w:ind w:left="926" w:hanging="360"/>
    </w:pPr>
  </w:style>
  <w:style w:type="paragraph" w:styleId="ListBullet4">
    <w:name w:val="List Bullet 4"/>
    <w:basedOn w:val="Normal"/>
    <w:autoRedefine/>
    <w:rsid w:val="00CE3AC6"/>
    <w:pPr>
      <w:tabs>
        <w:tab w:val="num" w:pos="1209"/>
      </w:tabs>
      <w:ind w:left="1209" w:hanging="360"/>
    </w:pPr>
  </w:style>
  <w:style w:type="paragraph" w:styleId="ListBullet5">
    <w:name w:val="List Bullet 5"/>
    <w:basedOn w:val="Normal"/>
    <w:autoRedefine/>
    <w:rsid w:val="00CE3AC6"/>
    <w:pPr>
      <w:tabs>
        <w:tab w:val="num" w:pos="1492"/>
      </w:tabs>
      <w:ind w:left="1492" w:hanging="360"/>
    </w:pPr>
  </w:style>
  <w:style w:type="paragraph" w:styleId="ListNumber2">
    <w:name w:val="List Number 2"/>
    <w:basedOn w:val="Normal"/>
    <w:rsid w:val="00CE3AC6"/>
    <w:pPr>
      <w:tabs>
        <w:tab w:val="num" w:pos="643"/>
      </w:tabs>
      <w:ind w:left="643" w:hanging="360"/>
    </w:pPr>
  </w:style>
  <w:style w:type="paragraph" w:styleId="ListNumber3">
    <w:name w:val="List Number 3"/>
    <w:basedOn w:val="Normal"/>
    <w:rsid w:val="00CE3AC6"/>
    <w:pPr>
      <w:tabs>
        <w:tab w:val="num" w:pos="926"/>
      </w:tabs>
      <w:ind w:left="926" w:hanging="360"/>
    </w:pPr>
  </w:style>
  <w:style w:type="paragraph" w:styleId="ListNumber4">
    <w:name w:val="List Number 4"/>
    <w:basedOn w:val="Normal"/>
    <w:rsid w:val="00CE3AC6"/>
    <w:pPr>
      <w:tabs>
        <w:tab w:val="num" w:pos="1209"/>
      </w:tabs>
      <w:ind w:left="1209" w:hanging="360"/>
    </w:pPr>
  </w:style>
  <w:style w:type="paragraph" w:styleId="ListNumber5">
    <w:name w:val="List Number 5"/>
    <w:basedOn w:val="Normal"/>
    <w:rsid w:val="00CE3AC6"/>
    <w:pPr>
      <w:tabs>
        <w:tab w:val="num" w:pos="1492"/>
      </w:tabs>
      <w:ind w:left="1492" w:hanging="360"/>
    </w:pPr>
  </w:style>
  <w:style w:type="paragraph" w:styleId="Title">
    <w:name w:val="Title"/>
    <w:basedOn w:val="Normal"/>
    <w:link w:val="TitleChar"/>
    <w:qFormat/>
    <w:rsid w:val="00CE3AC6"/>
    <w:pPr>
      <w:spacing w:before="240" w:after="60"/>
    </w:pPr>
    <w:rPr>
      <w:rFonts w:ascii="Arial" w:hAnsi="Arial" w:cs="Arial"/>
      <w:b/>
      <w:bCs/>
      <w:sz w:val="40"/>
      <w:szCs w:val="40"/>
    </w:rPr>
  </w:style>
  <w:style w:type="character" w:customStyle="1" w:styleId="TitleChar">
    <w:name w:val="Title Char"/>
    <w:basedOn w:val="DefaultParagraphFont"/>
    <w:link w:val="Title"/>
    <w:rsid w:val="00CE3AC6"/>
    <w:rPr>
      <w:rFonts w:ascii="Arial" w:hAnsi="Arial" w:cs="Arial"/>
      <w:b/>
      <w:bCs/>
      <w:sz w:val="40"/>
      <w:szCs w:val="40"/>
    </w:rPr>
  </w:style>
  <w:style w:type="paragraph" w:styleId="Closing">
    <w:name w:val="Closing"/>
    <w:basedOn w:val="Normal"/>
    <w:link w:val="ClosingChar"/>
    <w:rsid w:val="00CE3AC6"/>
    <w:pPr>
      <w:ind w:left="4252"/>
    </w:pPr>
  </w:style>
  <w:style w:type="character" w:customStyle="1" w:styleId="ClosingChar">
    <w:name w:val="Closing Char"/>
    <w:basedOn w:val="DefaultParagraphFont"/>
    <w:link w:val="Closing"/>
    <w:rsid w:val="00CE3AC6"/>
    <w:rPr>
      <w:sz w:val="22"/>
    </w:rPr>
  </w:style>
  <w:style w:type="paragraph" w:styleId="Signature">
    <w:name w:val="Signature"/>
    <w:basedOn w:val="Normal"/>
    <w:link w:val="SignatureChar"/>
    <w:rsid w:val="00CE3AC6"/>
    <w:pPr>
      <w:ind w:left="4252"/>
    </w:pPr>
  </w:style>
  <w:style w:type="character" w:customStyle="1" w:styleId="SignatureChar">
    <w:name w:val="Signature Char"/>
    <w:basedOn w:val="DefaultParagraphFont"/>
    <w:link w:val="Signature"/>
    <w:rsid w:val="00CE3AC6"/>
    <w:rPr>
      <w:sz w:val="22"/>
    </w:rPr>
  </w:style>
  <w:style w:type="paragraph" w:styleId="BodyText">
    <w:name w:val="Body Text"/>
    <w:basedOn w:val="Normal"/>
    <w:link w:val="BodyTextChar"/>
    <w:rsid w:val="00CE3AC6"/>
    <w:pPr>
      <w:spacing w:after="120"/>
    </w:pPr>
  </w:style>
  <w:style w:type="character" w:customStyle="1" w:styleId="BodyTextChar">
    <w:name w:val="Body Text Char"/>
    <w:basedOn w:val="DefaultParagraphFont"/>
    <w:link w:val="BodyText"/>
    <w:rsid w:val="00CE3AC6"/>
    <w:rPr>
      <w:sz w:val="22"/>
    </w:rPr>
  </w:style>
  <w:style w:type="paragraph" w:styleId="BodyTextIndent">
    <w:name w:val="Body Text Indent"/>
    <w:basedOn w:val="Normal"/>
    <w:link w:val="BodyTextIndentChar"/>
    <w:rsid w:val="00CE3AC6"/>
    <w:pPr>
      <w:spacing w:after="120"/>
      <w:ind w:left="283"/>
    </w:pPr>
  </w:style>
  <w:style w:type="character" w:customStyle="1" w:styleId="BodyTextIndentChar">
    <w:name w:val="Body Text Indent Char"/>
    <w:basedOn w:val="DefaultParagraphFont"/>
    <w:link w:val="BodyTextIndent"/>
    <w:rsid w:val="00CE3AC6"/>
    <w:rPr>
      <w:sz w:val="22"/>
    </w:rPr>
  </w:style>
  <w:style w:type="paragraph" w:styleId="ListContinue">
    <w:name w:val="List Continue"/>
    <w:basedOn w:val="Normal"/>
    <w:rsid w:val="00CE3AC6"/>
    <w:pPr>
      <w:spacing w:after="120"/>
      <w:ind w:left="283"/>
    </w:pPr>
  </w:style>
  <w:style w:type="paragraph" w:styleId="ListContinue2">
    <w:name w:val="List Continue 2"/>
    <w:basedOn w:val="Normal"/>
    <w:rsid w:val="00CE3AC6"/>
    <w:pPr>
      <w:spacing w:after="120"/>
      <w:ind w:left="566"/>
    </w:pPr>
  </w:style>
  <w:style w:type="paragraph" w:styleId="ListContinue3">
    <w:name w:val="List Continue 3"/>
    <w:basedOn w:val="Normal"/>
    <w:rsid w:val="00CE3AC6"/>
    <w:pPr>
      <w:spacing w:after="120"/>
      <w:ind w:left="849"/>
    </w:pPr>
  </w:style>
  <w:style w:type="paragraph" w:styleId="ListContinue4">
    <w:name w:val="List Continue 4"/>
    <w:basedOn w:val="Normal"/>
    <w:rsid w:val="00CE3AC6"/>
    <w:pPr>
      <w:spacing w:after="120"/>
      <w:ind w:left="1132"/>
    </w:pPr>
  </w:style>
  <w:style w:type="paragraph" w:styleId="ListContinue5">
    <w:name w:val="List Continue 5"/>
    <w:basedOn w:val="Normal"/>
    <w:rsid w:val="00CE3AC6"/>
    <w:pPr>
      <w:spacing w:after="120"/>
      <w:ind w:left="1415"/>
    </w:pPr>
  </w:style>
  <w:style w:type="paragraph" w:styleId="MessageHeader">
    <w:name w:val="Message Header"/>
    <w:basedOn w:val="Normal"/>
    <w:link w:val="MessageHeaderChar"/>
    <w:rsid w:val="00CE3A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E3AC6"/>
    <w:rPr>
      <w:rFonts w:ascii="Arial" w:hAnsi="Arial" w:cs="Arial"/>
      <w:sz w:val="22"/>
      <w:shd w:val="pct20" w:color="auto" w:fill="auto"/>
    </w:rPr>
  </w:style>
  <w:style w:type="paragraph" w:styleId="Subtitle">
    <w:name w:val="Subtitle"/>
    <w:basedOn w:val="Normal"/>
    <w:link w:val="SubtitleChar"/>
    <w:qFormat/>
    <w:rsid w:val="00CE3AC6"/>
    <w:pPr>
      <w:spacing w:after="60"/>
      <w:jc w:val="center"/>
      <w:outlineLvl w:val="1"/>
    </w:pPr>
    <w:rPr>
      <w:rFonts w:ascii="Arial" w:hAnsi="Arial" w:cs="Arial"/>
    </w:rPr>
  </w:style>
  <w:style w:type="character" w:customStyle="1" w:styleId="SubtitleChar">
    <w:name w:val="Subtitle Char"/>
    <w:basedOn w:val="DefaultParagraphFont"/>
    <w:link w:val="Subtitle"/>
    <w:rsid w:val="00CE3AC6"/>
    <w:rPr>
      <w:rFonts w:ascii="Arial" w:hAnsi="Arial" w:cs="Arial"/>
      <w:sz w:val="22"/>
    </w:rPr>
  </w:style>
  <w:style w:type="paragraph" w:styleId="Salutation">
    <w:name w:val="Salutation"/>
    <w:basedOn w:val="Normal"/>
    <w:next w:val="Normal"/>
    <w:link w:val="SalutationChar"/>
    <w:rsid w:val="00CE3AC6"/>
  </w:style>
  <w:style w:type="character" w:customStyle="1" w:styleId="SalutationChar">
    <w:name w:val="Salutation Char"/>
    <w:basedOn w:val="DefaultParagraphFont"/>
    <w:link w:val="Salutation"/>
    <w:rsid w:val="00CE3AC6"/>
    <w:rPr>
      <w:sz w:val="22"/>
    </w:rPr>
  </w:style>
  <w:style w:type="paragraph" w:styleId="Date">
    <w:name w:val="Date"/>
    <w:basedOn w:val="Normal"/>
    <w:next w:val="Normal"/>
    <w:link w:val="DateChar"/>
    <w:rsid w:val="00CE3AC6"/>
  </w:style>
  <w:style w:type="character" w:customStyle="1" w:styleId="DateChar">
    <w:name w:val="Date Char"/>
    <w:basedOn w:val="DefaultParagraphFont"/>
    <w:link w:val="Date"/>
    <w:rsid w:val="00CE3AC6"/>
    <w:rPr>
      <w:sz w:val="22"/>
    </w:rPr>
  </w:style>
  <w:style w:type="paragraph" w:styleId="BodyTextFirstIndent">
    <w:name w:val="Body Text First Indent"/>
    <w:basedOn w:val="BodyText"/>
    <w:link w:val="BodyTextFirstIndentChar"/>
    <w:rsid w:val="00CE3AC6"/>
    <w:pPr>
      <w:ind w:firstLine="210"/>
    </w:pPr>
  </w:style>
  <w:style w:type="character" w:customStyle="1" w:styleId="BodyTextFirstIndentChar">
    <w:name w:val="Body Text First Indent Char"/>
    <w:basedOn w:val="BodyTextChar"/>
    <w:link w:val="BodyTextFirstIndent"/>
    <w:rsid w:val="00CE3AC6"/>
    <w:rPr>
      <w:sz w:val="22"/>
    </w:rPr>
  </w:style>
  <w:style w:type="paragraph" w:styleId="BodyTextFirstIndent2">
    <w:name w:val="Body Text First Indent 2"/>
    <w:basedOn w:val="BodyTextIndent"/>
    <w:link w:val="BodyTextFirstIndent2Char"/>
    <w:rsid w:val="00CE3AC6"/>
    <w:pPr>
      <w:ind w:firstLine="210"/>
    </w:pPr>
  </w:style>
  <w:style w:type="character" w:customStyle="1" w:styleId="BodyTextFirstIndent2Char">
    <w:name w:val="Body Text First Indent 2 Char"/>
    <w:basedOn w:val="BodyTextIndentChar"/>
    <w:link w:val="BodyTextFirstIndent2"/>
    <w:rsid w:val="00CE3AC6"/>
    <w:rPr>
      <w:sz w:val="22"/>
    </w:rPr>
  </w:style>
  <w:style w:type="paragraph" w:styleId="BodyText2">
    <w:name w:val="Body Text 2"/>
    <w:basedOn w:val="Normal"/>
    <w:link w:val="BodyText2Char"/>
    <w:rsid w:val="00CE3AC6"/>
    <w:pPr>
      <w:spacing w:after="120" w:line="480" w:lineRule="auto"/>
    </w:pPr>
  </w:style>
  <w:style w:type="character" w:customStyle="1" w:styleId="BodyText2Char">
    <w:name w:val="Body Text 2 Char"/>
    <w:basedOn w:val="DefaultParagraphFont"/>
    <w:link w:val="BodyText2"/>
    <w:rsid w:val="00CE3AC6"/>
    <w:rPr>
      <w:sz w:val="22"/>
    </w:rPr>
  </w:style>
  <w:style w:type="paragraph" w:styleId="BodyText3">
    <w:name w:val="Body Text 3"/>
    <w:basedOn w:val="Normal"/>
    <w:link w:val="BodyText3Char"/>
    <w:rsid w:val="00CE3AC6"/>
    <w:pPr>
      <w:spacing w:after="120"/>
    </w:pPr>
    <w:rPr>
      <w:sz w:val="16"/>
      <w:szCs w:val="16"/>
    </w:rPr>
  </w:style>
  <w:style w:type="character" w:customStyle="1" w:styleId="BodyText3Char">
    <w:name w:val="Body Text 3 Char"/>
    <w:basedOn w:val="DefaultParagraphFont"/>
    <w:link w:val="BodyText3"/>
    <w:rsid w:val="00CE3AC6"/>
    <w:rPr>
      <w:sz w:val="16"/>
      <w:szCs w:val="16"/>
    </w:rPr>
  </w:style>
  <w:style w:type="paragraph" w:styleId="BodyTextIndent2">
    <w:name w:val="Body Text Indent 2"/>
    <w:basedOn w:val="Normal"/>
    <w:link w:val="BodyTextIndent2Char"/>
    <w:rsid w:val="00CE3AC6"/>
    <w:pPr>
      <w:spacing w:after="120" w:line="480" w:lineRule="auto"/>
      <w:ind w:left="283"/>
    </w:pPr>
  </w:style>
  <w:style w:type="character" w:customStyle="1" w:styleId="BodyTextIndent2Char">
    <w:name w:val="Body Text Indent 2 Char"/>
    <w:basedOn w:val="DefaultParagraphFont"/>
    <w:link w:val="BodyTextIndent2"/>
    <w:rsid w:val="00CE3AC6"/>
    <w:rPr>
      <w:sz w:val="22"/>
    </w:rPr>
  </w:style>
  <w:style w:type="paragraph" w:styleId="BodyTextIndent3">
    <w:name w:val="Body Text Indent 3"/>
    <w:basedOn w:val="Normal"/>
    <w:link w:val="BodyTextIndent3Char"/>
    <w:rsid w:val="00CE3AC6"/>
    <w:pPr>
      <w:spacing w:after="120"/>
      <w:ind w:left="283"/>
    </w:pPr>
    <w:rPr>
      <w:sz w:val="16"/>
      <w:szCs w:val="16"/>
    </w:rPr>
  </w:style>
  <w:style w:type="character" w:customStyle="1" w:styleId="BodyTextIndent3Char">
    <w:name w:val="Body Text Indent 3 Char"/>
    <w:basedOn w:val="DefaultParagraphFont"/>
    <w:link w:val="BodyTextIndent3"/>
    <w:rsid w:val="00CE3AC6"/>
    <w:rPr>
      <w:sz w:val="16"/>
      <w:szCs w:val="16"/>
    </w:rPr>
  </w:style>
  <w:style w:type="paragraph" w:styleId="BlockText">
    <w:name w:val="Block Text"/>
    <w:basedOn w:val="Normal"/>
    <w:rsid w:val="00CE3AC6"/>
    <w:pPr>
      <w:spacing w:after="120"/>
      <w:ind w:left="1440" w:right="1440"/>
    </w:pPr>
  </w:style>
  <w:style w:type="character" w:styleId="Hyperlink">
    <w:name w:val="Hyperlink"/>
    <w:basedOn w:val="DefaultParagraphFont"/>
    <w:rsid w:val="00CE3AC6"/>
    <w:rPr>
      <w:color w:val="0000FF"/>
      <w:u w:val="single"/>
    </w:rPr>
  </w:style>
  <w:style w:type="character" w:styleId="FollowedHyperlink">
    <w:name w:val="FollowedHyperlink"/>
    <w:basedOn w:val="DefaultParagraphFont"/>
    <w:rsid w:val="00CE3AC6"/>
    <w:rPr>
      <w:color w:val="800080"/>
      <w:u w:val="single"/>
    </w:rPr>
  </w:style>
  <w:style w:type="character" w:styleId="Strong">
    <w:name w:val="Strong"/>
    <w:basedOn w:val="DefaultParagraphFont"/>
    <w:qFormat/>
    <w:rsid w:val="00CE3AC6"/>
    <w:rPr>
      <w:b/>
      <w:bCs/>
    </w:rPr>
  </w:style>
  <w:style w:type="character" w:styleId="Emphasis">
    <w:name w:val="Emphasis"/>
    <w:basedOn w:val="DefaultParagraphFont"/>
    <w:qFormat/>
    <w:rsid w:val="00CE3AC6"/>
    <w:rPr>
      <w:i/>
      <w:iCs/>
    </w:rPr>
  </w:style>
  <w:style w:type="paragraph" w:styleId="DocumentMap">
    <w:name w:val="Document Map"/>
    <w:basedOn w:val="Normal"/>
    <w:link w:val="DocumentMapChar"/>
    <w:rsid w:val="00CE3AC6"/>
    <w:pPr>
      <w:shd w:val="clear" w:color="auto" w:fill="000080"/>
    </w:pPr>
    <w:rPr>
      <w:rFonts w:ascii="Tahoma" w:hAnsi="Tahoma" w:cs="Tahoma"/>
    </w:rPr>
  </w:style>
  <w:style w:type="character" w:customStyle="1" w:styleId="DocumentMapChar">
    <w:name w:val="Document Map Char"/>
    <w:basedOn w:val="DefaultParagraphFont"/>
    <w:link w:val="DocumentMap"/>
    <w:rsid w:val="00CE3AC6"/>
    <w:rPr>
      <w:rFonts w:ascii="Tahoma" w:hAnsi="Tahoma" w:cs="Tahoma"/>
      <w:sz w:val="22"/>
      <w:shd w:val="clear" w:color="auto" w:fill="000080"/>
    </w:rPr>
  </w:style>
  <w:style w:type="paragraph" w:styleId="PlainText">
    <w:name w:val="Plain Text"/>
    <w:basedOn w:val="Normal"/>
    <w:link w:val="PlainTextChar"/>
    <w:rsid w:val="00CE3AC6"/>
    <w:rPr>
      <w:rFonts w:ascii="Courier New" w:hAnsi="Courier New" w:cs="Courier New"/>
      <w:sz w:val="20"/>
    </w:rPr>
  </w:style>
  <w:style w:type="character" w:customStyle="1" w:styleId="PlainTextChar">
    <w:name w:val="Plain Text Char"/>
    <w:basedOn w:val="DefaultParagraphFont"/>
    <w:link w:val="PlainText"/>
    <w:rsid w:val="00CE3AC6"/>
    <w:rPr>
      <w:rFonts w:ascii="Courier New" w:hAnsi="Courier New" w:cs="Courier New"/>
    </w:rPr>
  </w:style>
  <w:style w:type="paragraph" w:styleId="E-mailSignature">
    <w:name w:val="E-mail Signature"/>
    <w:basedOn w:val="Normal"/>
    <w:link w:val="E-mailSignatureChar"/>
    <w:rsid w:val="00CE3AC6"/>
  </w:style>
  <w:style w:type="character" w:customStyle="1" w:styleId="E-mailSignatureChar">
    <w:name w:val="E-mail Signature Char"/>
    <w:basedOn w:val="DefaultParagraphFont"/>
    <w:link w:val="E-mailSignature"/>
    <w:rsid w:val="00CE3AC6"/>
    <w:rPr>
      <w:sz w:val="22"/>
    </w:rPr>
  </w:style>
  <w:style w:type="paragraph" w:styleId="NormalWeb">
    <w:name w:val="Normal (Web)"/>
    <w:basedOn w:val="Normal"/>
    <w:rsid w:val="00CE3AC6"/>
  </w:style>
  <w:style w:type="character" w:styleId="HTMLAcronym">
    <w:name w:val="HTML Acronym"/>
    <w:basedOn w:val="DefaultParagraphFont"/>
    <w:rsid w:val="00CE3AC6"/>
  </w:style>
  <w:style w:type="paragraph" w:styleId="HTMLAddress">
    <w:name w:val="HTML Address"/>
    <w:basedOn w:val="Normal"/>
    <w:link w:val="HTMLAddressChar"/>
    <w:rsid w:val="00CE3AC6"/>
    <w:rPr>
      <w:i/>
      <w:iCs/>
    </w:rPr>
  </w:style>
  <w:style w:type="character" w:customStyle="1" w:styleId="HTMLAddressChar">
    <w:name w:val="HTML Address Char"/>
    <w:basedOn w:val="DefaultParagraphFont"/>
    <w:link w:val="HTMLAddress"/>
    <w:rsid w:val="00CE3AC6"/>
    <w:rPr>
      <w:i/>
      <w:iCs/>
      <w:sz w:val="22"/>
    </w:rPr>
  </w:style>
  <w:style w:type="character" w:styleId="HTMLCite">
    <w:name w:val="HTML Cite"/>
    <w:basedOn w:val="DefaultParagraphFont"/>
    <w:rsid w:val="00CE3AC6"/>
    <w:rPr>
      <w:i/>
      <w:iCs/>
    </w:rPr>
  </w:style>
  <w:style w:type="character" w:styleId="HTMLCode">
    <w:name w:val="HTML Code"/>
    <w:basedOn w:val="DefaultParagraphFont"/>
    <w:rsid w:val="00CE3AC6"/>
    <w:rPr>
      <w:rFonts w:ascii="Courier New" w:hAnsi="Courier New" w:cs="Courier New"/>
      <w:sz w:val="20"/>
      <w:szCs w:val="20"/>
    </w:rPr>
  </w:style>
  <w:style w:type="character" w:styleId="HTMLDefinition">
    <w:name w:val="HTML Definition"/>
    <w:basedOn w:val="DefaultParagraphFont"/>
    <w:rsid w:val="00CE3AC6"/>
    <w:rPr>
      <w:i/>
      <w:iCs/>
    </w:rPr>
  </w:style>
  <w:style w:type="character" w:styleId="HTMLKeyboard">
    <w:name w:val="HTML Keyboard"/>
    <w:basedOn w:val="DefaultParagraphFont"/>
    <w:rsid w:val="00CE3AC6"/>
    <w:rPr>
      <w:rFonts w:ascii="Courier New" w:hAnsi="Courier New" w:cs="Courier New"/>
      <w:sz w:val="20"/>
      <w:szCs w:val="20"/>
    </w:rPr>
  </w:style>
  <w:style w:type="paragraph" w:styleId="HTMLPreformatted">
    <w:name w:val="HTML Preformatted"/>
    <w:basedOn w:val="Normal"/>
    <w:link w:val="HTMLPreformattedChar"/>
    <w:rsid w:val="00CE3AC6"/>
    <w:rPr>
      <w:rFonts w:ascii="Courier New" w:hAnsi="Courier New" w:cs="Courier New"/>
      <w:sz w:val="20"/>
    </w:rPr>
  </w:style>
  <w:style w:type="character" w:customStyle="1" w:styleId="HTMLPreformattedChar">
    <w:name w:val="HTML Preformatted Char"/>
    <w:basedOn w:val="DefaultParagraphFont"/>
    <w:link w:val="HTMLPreformatted"/>
    <w:rsid w:val="00CE3AC6"/>
    <w:rPr>
      <w:rFonts w:ascii="Courier New" w:hAnsi="Courier New" w:cs="Courier New"/>
    </w:rPr>
  </w:style>
  <w:style w:type="character" w:styleId="HTMLSample">
    <w:name w:val="HTML Sample"/>
    <w:basedOn w:val="DefaultParagraphFont"/>
    <w:rsid w:val="00CE3AC6"/>
    <w:rPr>
      <w:rFonts w:ascii="Courier New" w:hAnsi="Courier New" w:cs="Courier New"/>
    </w:rPr>
  </w:style>
  <w:style w:type="character" w:styleId="HTMLTypewriter">
    <w:name w:val="HTML Typewriter"/>
    <w:basedOn w:val="DefaultParagraphFont"/>
    <w:rsid w:val="00CE3AC6"/>
    <w:rPr>
      <w:rFonts w:ascii="Courier New" w:hAnsi="Courier New" w:cs="Courier New"/>
      <w:sz w:val="20"/>
      <w:szCs w:val="20"/>
    </w:rPr>
  </w:style>
  <w:style w:type="character" w:styleId="HTMLVariable">
    <w:name w:val="HTML Variable"/>
    <w:basedOn w:val="DefaultParagraphFont"/>
    <w:rsid w:val="00CE3AC6"/>
    <w:rPr>
      <w:i/>
      <w:iCs/>
    </w:rPr>
  </w:style>
  <w:style w:type="paragraph" w:styleId="CommentSubject">
    <w:name w:val="annotation subject"/>
    <w:basedOn w:val="CommentText"/>
    <w:next w:val="CommentText"/>
    <w:link w:val="CommentSubjectChar"/>
    <w:rsid w:val="00CE3AC6"/>
    <w:rPr>
      <w:b/>
      <w:bCs/>
    </w:rPr>
  </w:style>
  <w:style w:type="character" w:customStyle="1" w:styleId="CommentSubjectChar">
    <w:name w:val="Comment Subject Char"/>
    <w:basedOn w:val="CommentTextChar"/>
    <w:link w:val="CommentSubject"/>
    <w:rsid w:val="00CE3AC6"/>
    <w:rPr>
      <w:b/>
      <w:bCs/>
    </w:rPr>
  </w:style>
  <w:style w:type="numbering" w:styleId="1ai">
    <w:name w:val="Outline List 1"/>
    <w:basedOn w:val="NoList"/>
    <w:rsid w:val="00CE3AC6"/>
    <w:pPr>
      <w:numPr>
        <w:numId w:val="14"/>
      </w:numPr>
    </w:pPr>
  </w:style>
  <w:style w:type="numbering" w:styleId="111111">
    <w:name w:val="Outline List 2"/>
    <w:basedOn w:val="NoList"/>
    <w:rsid w:val="00CE3AC6"/>
    <w:pPr>
      <w:numPr>
        <w:numId w:val="15"/>
      </w:numPr>
    </w:pPr>
  </w:style>
  <w:style w:type="numbering" w:styleId="ArticleSection">
    <w:name w:val="Outline List 3"/>
    <w:basedOn w:val="NoList"/>
    <w:rsid w:val="00CE3AC6"/>
    <w:pPr>
      <w:numPr>
        <w:numId w:val="17"/>
      </w:numPr>
    </w:pPr>
  </w:style>
  <w:style w:type="table" w:styleId="TableSimple1">
    <w:name w:val="Table Simple 1"/>
    <w:basedOn w:val="TableNormal"/>
    <w:rsid w:val="00CE3AC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3AC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3A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E3A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3A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3AC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3AC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3AC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3AC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3AC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3AC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3AC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3AC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3AC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3AC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E3A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3AC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3AC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3AC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3A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3A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3AC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3AC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3AC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3AC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3AC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3A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3A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3A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3AC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3A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E3AC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3AC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3AC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E3AC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3AC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E3A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3AC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3AC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E3AC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3AC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3AC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E3AC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E3AC6"/>
    <w:rPr>
      <w:rFonts w:eastAsia="Times New Roman" w:cs="Times New Roman"/>
      <w:b/>
      <w:kern w:val="28"/>
      <w:sz w:val="24"/>
      <w:lang w:eastAsia="en-AU"/>
    </w:rPr>
  </w:style>
  <w:style w:type="paragraph" w:customStyle="1" w:styleId="ETAsubitem">
    <w:name w:val="ETA(subitem)"/>
    <w:basedOn w:val="OPCParaBase"/>
    <w:rsid w:val="00CE3AC6"/>
    <w:pPr>
      <w:tabs>
        <w:tab w:val="right" w:pos="340"/>
      </w:tabs>
      <w:spacing w:before="60" w:line="240" w:lineRule="auto"/>
      <w:ind w:left="454" w:hanging="454"/>
    </w:pPr>
    <w:rPr>
      <w:sz w:val="20"/>
    </w:rPr>
  </w:style>
  <w:style w:type="paragraph" w:customStyle="1" w:styleId="ETApara">
    <w:name w:val="ETA(para)"/>
    <w:basedOn w:val="OPCParaBase"/>
    <w:rsid w:val="00CE3AC6"/>
    <w:pPr>
      <w:tabs>
        <w:tab w:val="right" w:pos="754"/>
      </w:tabs>
      <w:spacing w:before="60" w:line="240" w:lineRule="auto"/>
      <w:ind w:left="828" w:hanging="828"/>
    </w:pPr>
    <w:rPr>
      <w:sz w:val="20"/>
    </w:rPr>
  </w:style>
  <w:style w:type="paragraph" w:customStyle="1" w:styleId="ETAsubpara">
    <w:name w:val="ETA(subpara)"/>
    <w:basedOn w:val="OPCParaBase"/>
    <w:rsid w:val="00CE3AC6"/>
    <w:pPr>
      <w:tabs>
        <w:tab w:val="right" w:pos="1083"/>
      </w:tabs>
      <w:spacing w:before="60" w:line="240" w:lineRule="auto"/>
      <w:ind w:left="1191" w:hanging="1191"/>
    </w:pPr>
    <w:rPr>
      <w:sz w:val="20"/>
    </w:rPr>
  </w:style>
  <w:style w:type="paragraph" w:customStyle="1" w:styleId="ETAsub-subpara">
    <w:name w:val="ETA(sub-subpara)"/>
    <w:basedOn w:val="OPCParaBase"/>
    <w:rsid w:val="00CE3AC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E3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3AC6"/>
    <w:pPr>
      <w:spacing w:line="260" w:lineRule="atLeast"/>
    </w:pPr>
    <w:rPr>
      <w:sz w:val="22"/>
    </w:rPr>
  </w:style>
  <w:style w:type="paragraph" w:styleId="Heading1">
    <w:name w:val="heading 1"/>
    <w:basedOn w:val="Normal"/>
    <w:next w:val="Normal"/>
    <w:link w:val="Heading1Char"/>
    <w:uiPriority w:val="9"/>
    <w:qFormat/>
    <w:rsid w:val="00CE3AC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3AC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3AC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3AC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E3AC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E3AC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E3AC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E3AC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E3AC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3AC6"/>
  </w:style>
  <w:style w:type="paragraph" w:customStyle="1" w:styleId="OPCParaBase">
    <w:name w:val="OPCParaBase"/>
    <w:qFormat/>
    <w:rsid w:val="00CE3AC6"/>
    <w:pPr>
      <w:spacing w:line="260" w:lineRule="atLeast"/>
    </w:pPr>
    <w:rPr>
      <w:rFonts w:eastAsia="Times New Roman" w:cs="Times New Roman"/>
      <w:sz w:val="22"/>
      <w:lang w:eastAsia="en-AU"/>
    </w:rPr>
  </w:style>
  <w:style w:type="paragraph" w:customStyle="1" w:styleId="ShortT">
    <w:name w:val="ShortT"/>
    <w:basedOn w:val="OPCParaBase"/>
    <w:next w:val="Normal"/>
    <w:qFormat/>
    <w:rsid w:val="00CE3AC6"/>
    <w:pPr>
      <w:spacing w:line="240" w:lineRule="auto"/>
    </w:pPr>
    <w:rPr>
      <w:b/>
      <w:sz w:val="40"/>
    </w:rPr>
  </w:style>
  <w:style w:type="paragraph" w:customStyle="1" w:styleId="ActHead1">
    <w:name w:val="ActHead 1"/>
    <w:aliases w:val="c"/>
    <w:basedOn w:val="OPCParaBase"/>
    <w:next w:val="Normal"/>
    <w:qFormat/>
    <w:rsid w:val="00CE3A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3A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3A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3A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3A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3A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3A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3A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3A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3AC6"/>
  </w:style>
  <w:style w:type="paragraph" w:customStyle="1" w:styleId="Blocks">
    <w:name w:val="Blocks"/>
    <w:aliases w:val="bb"/>
    <w:basedOn w:val="OPCParaBase"/>
    <w:qFormat/>
    <w:rsid w:val="00CE3AC6"/>
    <w:pPr>
      <w:spacing w:line="240" w:lineRule="auto"/>
    </w:pPr>
    <w:rPr>
      <w:sz w:val="24"/>
    </w:rPr>
  </w:style>
  <w:style w:type="paragraph" w:customStyle="1" w:styleId="BoxText">
    <w:name w:val="BoxText"/>
    <w:aliases w:val="bt"/>
    <w:basedOn w:val="OPCParaBase"/>
    <w:qFormat/>
    <w:rsid w:val="00CE3A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3AC6"/>
    <w:rPr>
      <w:b/>
    </w:rPr>
  </w:style>
  <w:style w:type="paragraph" w:customStyle="1" w:styleId="BoxHeadItalic">
    <w:name w:val="BoxHeadItalic"/>
    <w:aliases w:val="bhi"/>
    <w:basedOn w:val="BoxText"/>
    <w:next w:val="BoxStep"/>
    <w:qFormat/>
    <w:rsid w:val="00CE3AC6"/>
    <w:rPr>
      <w:i/>
    </w:rPr>
  </w:style>
  <w:style w:type="paragraph" w:customStyle="1" w:styleId="BoxList">
    <w:name w:val="BoxList"/>
    <w:aliases w:val="bl"/>
    <w:basedOn w:val="BoxText"/>
    <w:qFormat/>
    <w:rsid w:val="00CE3AC6"/>
    <w:pPr>
      <w:ind w:left="1559" w:hanging="425"/>
    </w:pPr>
  </w:style>
  <w:style w:type="paragraph" w:customStyle="1" w:styleId="BoxNote">
    <w:name w:val="BoxNote"/>
    <w:aliases w:val="bn"/>
    <w:basedOn w:val="BoxText"/>
    <w:qFormat/>
    <w:rsid w:val="00CE3AC6"/>
    <w:pPr>
      <w:tabs>
        <w:tab w:val="left" w:pos="1985"/>
      </w:tabs>
      <w:spacing w:before="122" w:line="198" w:lineRule="exact"/>
      <w:ind w:left="2948" w:hanging="1814"/>
    </w:pPr>
    <w:rPr>
      <w:sz w:val="18"/>
    </w:rPr>
  </w:style>
  <w:style w:type="paragraph" w:customStyle="1" w:styleId="BoxPara">
    <w:name w:val="BoxPara"/>
    <w:aliases w:val="bp"/>
    <w:basedOn w:val="BoxText"/>
    <w:qFormat/>
    <w:rsid w:val="00CE3AC6"/>
    <w:pPr>
      <w:tabs>
        <w:tab w:val="right" w:pos="2268"/>
      </w:tabs>
      <w:ind w:left="2552" w:hanging="1418"/>
    </w:pPr>
  </w:style>
  <w:style w:type="paragraph" w:customStyle="1" w:styleId="BoxStep">
    <w:name w:val="BoxStep"/>
    <w:aliases w:val="bs"/>
    <w:basedOn w:val="BoxText"/>
    <w:qFormat/>
    <w:rsid w:val="00CE3AC6"/>
    <w:pPr>
      <w:ind w:left="1985" w:hanging="851"/>
    </w:pPr>
  </w:style>
  <w:style w:type="character" w:customStyle="1" w:styleId="CharAmPartNo">
    <w:name w:val="CharAmPartNo"/>
    <w:basedOn w:val="OPCCharBase"/>
    <w:qFormat/>
    <w:rsid w:val="00CE3AC6"/>
  </w:style>
  <w:style w:type="character" w:customStyle="1" w:styleId="CharAmPartText">
    <w:name w:val="CharAmPartText"/>
    <w:basedOn w:val="OPCCharBase"/>
    <w:qFormat/>
    <w:rsid w:val="00CE3AC6"/>
  </w:style>
  <w:style w:type="character" w:customStyle="1" w:styleId="CharAmSchNo">
    <w:name w:val="CharAmSchNo"/>
    <w:basedOn w:val="OPCCharBase"/>
    <w:qFormat/>
    <w:rsid w:val="00CE3AC6"/>
  </w:style>
  <w:style w:type="character" w:customStyle="1" w:styleId="CharAmSchText">
    <w:name w:val="CharAmSchText"/>
    <w:basedOn w:val="OPCCharBase"/>
    <w:qFormat/>
    <w:rsid w:val="00CE3AC6"/>
  </w:style>
  <w:style w:type="character" w:customStyle="1" w:styleId="CharBoldItalic">
    <w:name w:val="CharBoldItalic"/>
    <w:basedOn w:val="OPCCharBase"/>
    <w:uiPriority w:val="1"/>
    <w:qFormat/>
    <w:rsid w:val="00CE3AC6"/>
    <w:rPr>
      <w:b/>
      <w:i/>
    </w:rPr>
  </w:style>
  <w:style w:type="character" w:customStyle="1" w:styleId="CharChapNo">
    <w:name w:val="CharChapNo"/>
    <w:basedOn w:val="OPCCharBase"/>
    <w:uiPriority w:val="1"/>
    <w:qFormat/>
    <w:rsid w:val="00CE3AC6"/>
  </w:style>
  <w:style w:type="character" w:customStyle="1" w:styleId="CharChapText">
    <w:name w:val="CharChapText"/>
    <w:basedOn w:val="OPCCharBase"/>
    <w:uiPriority w:val="1"/>
    <w:qFormat/>
    <w:rsid w:val="00CE3AC6"/>
  </w:style>
  <w:style w:type="character" w:customStyle="1" w:styleId="CharDivNo">
    <w:name w:val="CharDivNo"/>
    <w:basedOn w:val="OPCCharBase"/>
    <w:uiPriority w:val="1"/>
    <w:qFormat/>
    <w:rsid w:val="00CE3AC6"/>
  </w:style>
  <w:style w:type="character" w:customStyle="1" w:styleId="CharDivText">
    <w:name w:val="CharDivText"/>
    <w:basedOn w:val="OPCCharBase"/>
    <w:uiPriority w:val="1"/>
    <w:qFormat/>
    <w:rsid w:val="00CE3AC6"/>
  </w:style>
  <w:style w:type="character" w:customStyle="1" w:styleId="CharItalic">
    <w:name w:val="CharItalic"/>
    <w:basedOn w:val="OPCCharBase"/>
    <w:uiPriority w:val="1"/>
    <w:qFormat/>
    <w:rsid w:val="00CE3AC6"/>
    <w:rPr>
      <w:i/>
    </w:rPr>
  </w:style>
  <w:style w:type="character" w:customStyle="1" w:styleId="CharPartNo">
    <w:name w:val="CharPartNo"/>
    <w:basedOn w:val="OPCCharBase"/>
    <w:uiPriority w:val="1"/>
    <w:qFormat/>
    <w:rsid w:val="00CE3AC6"/>
  </w:style>
  <w:style w:type="character" w:customStyle="1" w:styleId="CharPartText">
    <w:name w:val="CharPartText"/>
    <w:basedOn w:val="OPCCharBase"/>
    <w:uiPriority w:val="1"/>
    <w:qFormat/>
    <w:rsid w:val="00CE3AC6"/>
  </w:style>
  <w:style w:type="character" w:customStyle="1" w:styleId="CharSectno">
    <w:name w:val="CharSectno"/>
    <w:basedOn w:val="OPCCharBase"/>
    <w:qFormat/>
    <w:rsid w:val="00CE3AC6"/>
  </w:style>
  <w:style w:type="character" w:customStyle="1" w:styleId="CharSubdNo">
    <w:name w:val="CharSubdNo"/>
    <w:basedOn w:val="OPCCharBase"/>
    <w:uiPriority w:val="1"/>
    <w:qFormat/>
    <w:rsid w:val="00CE3AC6"/>
  </w:style>
  <w:style w:type="character" w:customStyle="1" w:styleId="CharSubdText">
    <w:name w:val="CharSubdText"/>
    <w:basedOn w:val="OPCCharBase"/>
    <w:uiPriority w:val="1"/>
    <w:qFormat/>
    <w:rsid w:val="00CE3AC6"/>
  </w:style>
  <w:style w:type="paragraph" w:customStyle="1" w:styleId="CTA--">
    <w:name w:val="CTA --"/>
    <w:basedOn w:val="OPCParaBase"/>
    <w:next w:val="Normal"/>
    <w:rsid w:val="00CE3AC6"/>
    <w:pPr>
      <w:spacing w:before="60" w:line="240" w:lineRule="atLeast"/>
      <w:ind w:left="142" w:hanging="142"/>
    </w:pPr>
    <w:rPr>
      <w:sz w:val="20"/>
    </w:rPr>
  </w:style>
  <w:style w:type="paragraph" w:customStyle="1" w:styleId="CTA-">
    <w:name w:val="CTA -"/>
    <w:basedOn w:val="OPCParaBase"/>
    <w:rsid w:val="00CE3AC6"/>
    <w:pPr>
      <w:spacing w:before="60" w:line="240" w:lineRule="atLeast"/>
      <w:ind w:left="85" w:hanging="85"/>
    </w:pPr>
    <w:rPr>
      <w:sz w:val="20"/>
    </w:rPr>
  </w:style>
  <w:style w:type="paragraph" w:customStyle="1" w:styleId="CTA---">
    <w:name w:val="CTA ---"/>
    <w:basedOn w:val="OPCParaBase"/>
    <w:next w:val="Normal"/>
    <w:rsid w:val="00CE3AC6"/>
    <w:pPr>
      <w:spacing w:before="60" w:line="240" w:lineRule="atLeast"/>
      <w:ind w:left="198" w:hanging="198"/>
    </w:pPr>
    <w:rPr>
      <w:sz w:val="20"/>
    </w:rPr>
  </w:style>
  <w:style w:type="paragraph" w:customStyle="1" w:styleId="CTA----">
    <w:name w:val="CTA ----"/>
    <w:basedOn w:val="OPCParaBase"/>
    <w:next w:val="Normal"/>
    <w:rsid w:val="00CE3AC6"/>
    <w:pPr>
      <w:spacing w:before="60" w:line="240" w:lineRule="atLeast"/>
      <w:ind w:left="255" w:hanging="255"/>
    </w:pPr>
    <w:rPr>
      <w:sz w:val="20"/>
    </w:rPr>
  </w:style>
  <w:style w:type="paragraph" w:customStyle="1" w:styleId="CTA1a">
    <w:name w:val="CTA 1(a)"/>
    <w:basedOn w:val="OPCParaBase"/>
    <w:rsid w:val="00CE3AC6"/>
    <w:pPr>
      <w:tabs>
        <w:tab w:val="right" w:pos="414"/>
      </w:tabs>
      <w:spacing w:before="40" w:line="240" w:lineRule="atLeast"/>
      <w:ind w:left="675" w:hanging="675"/>
    </w:pPr>
    <w:rPr>
      <w:sz w:val="20"/>
    </w:rPr>
  </w:style>
  <w:style w:type="paragraph" w:customStyle="1" w:styleId="CTA1ai">
    <w:name w:val="CTA 1(a)(i)"/>
    <w:basedOn w:val="OPCParaBase"/>
    <w:rsid w:val="00CE3AC6"/>
    <w:pPr>
      <w:tabs>
        <w:tab w:val="right" w:pos="1004"/>
      </w:tabs>
      <w:spacing w:before="40" w:line="240" w:lineRule="atLeast"/>
      <w:ind w:left="1253" w:hanging="1253"/>
    </w:pPr>
    <w:rPr>
      <w:sz w:val="20"/>
    </w:rPr>
  </w:style>
  <w:style w:type="paragraph" w:customStyle="1" w:styleId="CTA2a">
    <w:name w:val="CTA 2(a)"/>
    <w:basedOn w:val="OPCParaBase"/>
    <w:rsid w:val="00CE3AC6"/>
    <w:pPr>
      <w:tabs>
        <w:tab w:val="right" w:pos="482"/>
      </w:tabs>
      <w:spacing w:before="40" w:line="240" w:lineRule="atLeast"/>
      <w:ind w:left="748" w:hanging="748"/>
    </w:pPr>
    <w:rPr>
      <w:sz w:val="20"/>
    </w:rPr>
  </w:style>
  <w:style w:type="paragraph" w:customStyle="1" w:styleId="CTA2ai">
    <w:name w:val="CTA 2(a)(i)"/>
    <w:basedOn w:val="OPCParaBase"/>
    <w:rsid w:val="00CE3AC6"/>
    <w:pPr>
      <w:tabs>
        <w:tab w:val="right" w:pos="1089"/>
      </w:tabs>
      <w:spacing w:before="40" w:line="240" w:lineRule="atLeast"/>
      <w:ind w:left="1327" w:hanging="1327"/>
    </w:pPr>
    <w:rPr>
      <w:sz w:val="20"/>
    </w:rPr>
  </w:style>
  <w:style w:type="paragraph" w:customStyle="1" w:styleId="CTA3a">
    <w:name w:val="CTA 3(a)"/>
    <w:basedOn w:val="OPCParaBase"/>
    <w:rsid w:val="00CE3AC6"/>
    <w:pPr>
      <w:tabs>
        <w:tab w:val="right" w:pos="556"/>
      </w:tabs>
      <w:spacing w:before="40" w:line="240" w:lineRule="atLeast"/>
      <w:ind w:left="805" w:hanging="805"/>
    </w:pPr>
    <w:rPr>
      <w:sz w:val="20"/>
    </w:rPr>
  </w:style>
  <w:style w:type="paragraph" w:customStyle="1" w:styleId="CTA3ai">
    <w:name w:val="CTA 3(a)(i)"/>
    <w:basedOn w:val="OPCParaBase"/>
    <w:rsid w:val="00CE3AC6"/>
    <w:pPr>
      <w:tabs>
        <w:tab w:val="right" w:pos="1140"/>
      </w:tabs>
      <w:spacing w:before="40" w:line="240" w:lineRule="atLeast"/>
      <w:ind w:left="1361" w:hanging="1361"/>
    </w:pPr>
    <w:rPr>
      <w:sz w:val="20"/>
    </w:rPr>
  </w:style>
  <w:style w:type="paragraph" w:customStyle="1" w:styleId="CTA4a">
    <w:name w:val="CTA 4(a)"/>
    <w:basedOn w:val="OPCParaBase"/>
    <w:rsid w:val="00CE3AC6"/>
    <w:pPr>
      <w:tabs>
        <w:tab w:val="right" w:pos="624"/>
      </w:tabs>
      <w:spacing w:before="40" w:line="240" w:lineRule="atLeast"/>
      <w:ind w:left="873" w:hanging="873"/>
    </w:pPr>
    <w:rPr>
      <w:sz w:val="20"/>
    </w:rPr>
  </w:style>
  <w:style w:type="paragraph" w:customStyle="1" w:styleId="CTA4ai">
    <w:name w:val="CTA 4(a)(i)"/>
    <w:basedOn w:val="OPCParaBase"/>
    <w:rsid w:val="00CE3AC6"/>
    <w:pPr>
      <w:tabs>
        <w:tab w:val="right" w:pos="1213"/>
      </w:tabs>
      <w:spacing w:before="40" w:line="240" w:lineRule="atLeast"/>
      <w:ind w:left="1452" w:hanging="1452"/>
    </w:pPr>
    <w:rPr>
      <w:sz w:val="20"/>
    </w:rPr>
  </w:style>
  <w:style w:type="paragraph" w:customStyle="1" w:styleId="CTACAPS">
    <w:name w:val="CTA CAPS"/>
    <w:basedOn w:val="OPCParaBase"/>
    <w:rsid w:val="00CE3AC6"/>
    <w:pPr>
      <w:spacing w:before="60" w:line="240" w:lineRule="atLeast"/>
    </w:pPr>
    <w:rPr>
      <w:sz w:val="20"/>
    </w:rPr>
  </w:style>
  <w:style w:type="paragraph" w:customStyle="1" w:styleId="CTAright">
    <w:name w:val="CTA right"/>
    <w:basedOn w:val="OPCParaBase"/>
    <w:rsid w:val="00CE3AC6"/>
    <w:pPr>
      <w:spacing w:before="60" w:line="240" w:lineRule="auto"/>
      <w:jc w:val="right"/>
    </w:pPr>
    <w:rPr>
      <w:sz w:val="20"/>
    </w:rPr>
  </w:style>
  <w:style w:type="paragraph" w:customStyle="1" w:styleId="subsection">
    <w:name w:val="subsection"/>
    <w:aliases w:val="ss"/>
    <w:basedOn w:val="OPCParaBase"/>
    <w:link w:val="subsectionChar"/>
    <w:rsid w:val="00CE3AC6"/>
    <w:pPr>
      <w:tabs>
        <w:tab w:val="right" w:pos="1021"/>
      </w:tabs>
      <w:spacing w:before="180" w:line="240" w:lineRule="auto"/>
      <w:ind w:left="1134" w:hanging="1134"/>
    </w:pPr>
  </w:style>
  <w:style w:type="paragraph" w:customStyle="1" w:styleId="Definition">
    <w:name w:val="Definition"/>
    <w:aliases w:val="dd"/>
    <w:basedOn w:val="OPCParaBase"/>
    <w:rsid w:val="00CE3AC6"/>
    <w:pPr>
      <w:spacing w:before="180" w:line="240" w:lineRule="auto"/>
      <w:ind w:left="1134"/>
    </w:pPr>
  </w:style>
  <w:style w:type="paragraph" w:customStyle="1" w:styleId="EndNotespara">
    <w:name w:val="EndNotes(para)"/>
    <w:aliases w:val="eta"/>
    <w:basedOn w:val="OPCParaBase"/>
    <w:next w:val="EndNotessubpara"/>
    <w:rsid w:val="00CE3A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3A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3A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3AC6"/>
    <w:pPr>
      <w:tabs>
        <w:tab w:val="right" w:pos="1412"/>
      </w:tabs>
      <w:spacing w:before="60" w:line="240" w:lineRule="auto"/>
      <w:ind w:left="1525" w:hanging="1525"/>
    </w:pPr>
    <w:rPr>
      <w:sz w:val="20"/>
    </w:rPr>
  </w:style>
  <w:style w:type="paragraph" w:customStyle="1" w:styleId="Formula">
    <w:name w:val="Formula"/>
    <w:basedOn w:val="OPCParaBase"/>
    <w:rsid w:val="00CE3AC6"/>
    <w:pPr>
      <w:spacing w:line="240" w:lineRule="auto"/>
      <w:ind w:left="1134"/>
    </w:pPr>
    <w:rPr>
      <w:sz w:val="20"/>
    </w:rPr>
  </w:style>
  <w:style w:type="paragraph" w:styleId="Header">
    <w:name w:val="header"/>
    <w:basedOn w:val="OPCParaBase"/>
    <w:link w:val="HeaderChar"/>
    <w:unhideWhenUsed/>
    <w:rsid w:val="00CE3A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3AC6"/>
    <w:rPr>
      <w:rFonts w:eastAsia="Times New Roman" w:cs="Times New Roman"/>
      <w:sz w:val="16"/>
      <w:lang w:eastAsia="en-AU"/>
    </w:rPr>
  </w:style>
  <w:style w:type="paragraph" w:customStyle="1" w:styleId="House">
    <w:name w:val="House"/>
    <w:basedOn w:val="OPCParaBase"/>
    <w:rsid w:val="00CE3AC6"/>
    <w:pPr>
      <w:spacing w:line="240" w:lineRule="auto"/>
    </w:pPr>
    <w:rPr>
      <w:sz w:val="28"/>
    </w:rPr>
  </w:style>
  <w:style w:type="paragraph" w:customStyle="1" w:styleId="Item">
    <w:name w:val="Item"/>
    <w:aliases w:val="i"/>
    <w:basedOn w:val="OPCParaBase"/>
    <w:next w:val="ItemHead"/>
    <w:rsid w:val="00CE3AC6"/>
    <w:pPr>
      <w:keepLines/>
      <w:spacing w:before="80" w:line="240" w:lineRule="auto"/>
      <w:ind w:left="709"/>
    </w:pPr>
  </w:style>
  <w:style w:type="paragraph" w:customStyle="1" w:styleId="ItemHead">
    <w:name w:val="ItemHead"/>
    <w:aliases w:val="ih"/>
    <w:basedOn w:val="OPCParaBase"/>
    <w:next w:val="Item"/>
    <w:rsid w:val="00CE3A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3AC6"/>
    <w:pPr>
      <w:spacing w:line="240" w:lineRule="auto"/>
    </w:pPr>
    <w:rPr>
      <w:b/>
      <w:sz w:val="32"/>
    </w:rPr>
  </w:style>
  <w:style w:type="paragraph" w:customStyle="1" w:styleId="notedraft">
    <w:name w:val="note(draft)"/>
    <w:aliases w:val="nd"/>
    <w:basedOn w:val="OPCParaBase"/>
    <w:rsid w:val="00CE3AC6"/>
    <w:pPr>
      <w:spacing w:before="240" w:line="240" w:lineRule="auto"/>
      <w:ind w:left="284" w:hanging="284"/>
    </w:pPr>
    <w:rPr>
      <w:i/>
      <w:sz w:val="24"/>
    </w:rPr>
  </w:style>
  <w:style w:type="paragraph" w:customStyle="1" w:styleId="notemargin">
    <w:name w:val="note(margin)"/>
    <w:aliases w:val="nm"/>
    <w:basedOn w:val="OPCParaBase"/>
    <w:rsid w:val="00CE3AC6"/>
    <w:pPr>
      <w:tabs>
        <w:tab w:val="left" w:pos="709"/>
      </w:tabs>
      <w:spacing w:before="122" w:line="198" w:lineRule="exact"/>
      <w:ind w:left="709" w:hanging="709"/>
    </w:pPr>
    <w:rPr>
      <w:sz w:val="18"/>
    </w:rPr>
  </w:style>
  <w:style w:type="paragraph" w:customStyle="1" w:styleId="noteToPara">
    <w:name w:val="noteToPara"/>
    <w:aliases w:val="ntp"/>
    <w:basedOn w:val="OPCParaBase"/>
    <w:rsid w:val="00CE3AC6"/>
    <w:pPr>
      <w:spacing w:before="122" w:line="198" w:lineRule="exact"/>
      <w:ind w:left="2353" w:hanging="709"/>
    </w:pPr>
    <w:rPr>
      <w:sz w:val="18"/>
    </w:rPr>
  </w:style>
  <w:style w:type="paragraph" w:customStyle="1" w:styleId="noteParlAmend">
    <w:name w:val="note(ParlAmend)"/>
    <w:aliases w:val="npp"/>
    <w:basedOn w:val="OPCParaBase"/>
    <w:next w:val="ParlAmend"/>
    <w:rsid w:val="00CE3AC6"/>
    <w:pPr>
      <w:spacing w:line="240" w:lineRule="auto"/>
      <w:jc w:val="right"/>
    </w:pPr>
    <w:rPr>
      <w:rFonts w:ascii="Arial" w:hAnsi="Arial"/>
      <w:b/>
      <w:i/>
    </w:rPr>
  </w:style>
  <w:style w:type="paragraph" w:customStyle="1" w:styleId="Page1">
    <w:name w:val="Page1"/>
    <w:basedOn w:val="OPCParaBase"/>
    <w:rsid w:val="00CE3AC6"/>
    <w:pPr>
      <w:spacing w:before="5600" w:line="240" w:lineRule="auto"/>
    </w:pPr>
    <w:rPr>
      <w:b/>
      <w:sz w:val="32"/>
    </w:rPr>
  </w:style>
  <w:style w:type="paragraph" w:customStyle="1" w:styleId="PageBreak">
    <w:name w:val="PageBreak"/>
    <w:aliases w:val="pb"/>
    <w:basedOn w:val="OPCParaBase"/>
    <w:rsid w:val="00CE3AC6"/>
    <w:pPr>
      <w:spacing w:line="240" w:lineRule="auto"/>
    </w:pPr>
    <w:rPr>
      <w:sz w:val="20"/>
    </w:rPr>
  </w:style>
  <w:style w:type="paragraph" w:customStyle="1" w:styleId="paragraphsub">
    <w:name w:val="paragraph(sub)"/>
    <w:aliases w:val="aa"/>
    <w:basedOn w:val="OPCParaBase"/>
    <w:rsid w:val="00CE3AC6"/>
    <w:pPr>
      <w:tabs>
        <w:tab w:val="right" w:pos="1985"/>
      </w:tabs>
      <w:spacing w:before="40" w:line="240" w:lineRule="auto"/>
      <w:ind w:left="2098" w:hanging="2098"/>
    </w:pPr>
  </w:style>
  <w:style w:type="paragraph" w:customStyle="1" w:styleId="paragraphsub-sub">
    <w:name w:val="paragraph(sub-sub)"/>
    <w:aliases w:val="aaa"/>
    <w:basedOn w:val="OPCParaBase"/>
    <w:rsid w:val="00CE3AC6"/>
    <w:pPr>
      <w:tabs>
        <w:tab w:val="right" w:pos="2722"/>
      </w:tabs>
      <w:spacing w:before="40" w:line="240" w:lineRule="auto"/>
      <w:ind w:left="2835" w:hanging="2835"/>
    </w:pPr>
  </w:style>
  <w:style w:type="paragraph" w:customStyle="1" w:styleId="paragraph">
    <w:name w:val="paragraph"/>
    <w:aliases w:val="a"/>
    <w:basedOn w:val="OPCParaBase"/>
    <w:rsid w:val="00CE3AC6"/>
    <w:pPr>
      <w:tabs>
        <w:tab w:val="right" w:pos="1531"/>
      </w:tabs>
      <w:spacing w:before="40" w:line="240" w:lineRule="auto"/>
      <w:ind w:left="1644" w:hanging="1644"/>
    </w:pPr>
  </w:style>
  <w:style w:type="paragraph" w:customStyle="1" w:styleId="ParlAmend">
    <w:name w:val="ParlAmend"/>
    <w:aliases w:val="pp"/>
    <w:basedOn w:val="OPCParaBase"/>
    <w:rsid w:val="00CE3AC6"/>
    <w:pPr>
      <w:spacing w:before="240" w:line="240" w:lineRule="atLeast"/>
      <w:ind w:hanging="567"/>
    </w:pPr>
    <w:rPr>
      <w:sz w:val="24"/>
    </w:rPr>
  </w:style>
  <w:style w:type="paragraph" w:customStyle="1" w:styleId="Penalty">
    <w:name w:val="Penalty"/>
    <w:basedOn w:val="OPCParaBase"/>
    <w:rsid w:val="00CE3AC6"/>
    <w:pPr>
      <w:tabs>
        <w:tab w:val="left" w:pos="2977"/>
      </w:tabs>
      <w:spacing w:before="180" w:line="240" w:lineRule="auto"/>
      <w:ind w:left="1985" w:hanging="851"/>
    </w:pPr>
  </w:style>
  <w:style w:type="paragraph" w:customStyle="1" w:styleId="Portfolio">
    <w:name w:val="Portfolio"/>
    <w:basedOn w:val="OPCParaBase"/>
    <w:rsid w:val="00CE3AC6"/>
    <w:pPr>
      <w:spacing w:line="240" w:lineRule="auto"/>
    </w:pPr>
    <w:rPr>
      <w:i/>
      <w:sz w:val="20"/>
    </w:rPr>
  </w:style>
  <w:style w:type="paragraph" w:customStyle="1" w:styleId="Preamble">
    <w:name w:val="Preamble"/>
    <w:basedOn w:val="OPCParaBase"/>
    <w:next w:val="Normal"/>
    <w:rsid w:val="00CE3A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3AC6"/>
    <w:pPr>
      <w:spacing w:line="240" w:lineRule="auto"/>
    </w:pPr>
    <w:rPr>
      <w:i/>
      <w:sz w:val="20"/>
    </w:rPr>
  </w:style>
  <w:style w:type="paragraph" w:customStyle="1" w:styleId="Session">
    <w:name w:val="Session"/>
    <w:basedOn w:val="OPCParaBase"/>
    <w:rsid w:val="00CE3AC6"/>
    <w:pPr>
      <w:spacing w:line="240" w:lineRule="auto"/>
    </w:pPr>
    <w:rPr>
      <w:sz w:val="28"/>
    </w:rPr>
  </w:style>
  <w:style w:type="paragraph" w:customStyle="1" w:styleId="Sponsor">
    <w:name w:val="Sponsor"/>
    <w:basedOn w:val="OPCParaBase"/>
    <w:rsid w:val="00CE3AC6"/>
    <w:pPr>
      <w:spacing w:line="240" w:lineRule="auto"/>
    </w:pPr>
    <w:rPr>
      <w:i/>
    </w:rPr>
  </w:style>
  <w:style w:type="paragraph" w:customStyle="1" w:styleId="Subitem">
    <w:name w:val="Subitem"/>
    <w:aliases w:val="iss"/>
    <w:basedOn w:val="OPCParaBase"/>
    <w:rsid w:val="00CE3AC6"/>
    <w:pPr>
      <w:spacing w:before="180" w:line="240" w:lineRule="auto"/>
      <w:ind w:left="709" w:hanging="709"/>
    </w:pPr>
  </w:style>
  <w:style w:type="paragraph" w:customStyle="1" w:styleId="SubitemHead">
    <w:name w:val="SubitemHead"/>
    <w:aliases w:val="issh"/>
    <w:basedOn w:val="OPCParaBase"/>
    <w:rsid w:val="00CE3A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3AC6"/>
    <w:pPr>
      <w:spacing w:before="40" w:line="240" w:lineRule="auto"/>
      <w:ind w:left="1134"/>
    </w:pPr>
  </w:style>
  <w:style w:type="paragraph" w:customStyle="1" w:styleId="SubsectionHead">
    <w:name w:val="SubsectionHead"/>
    <w:aliases w:val="ssh"/>
    <w:basedOn w:val="OPCParaBase"/>
    <w:next w:val="subsection"/>
    <w:rsid w:val="00CE3AC6"/>
    <w:pPr>
      <w:keepNext/>
      <w:keepLines/>
      <w:spacing w:before="240" w:line="240" w:lineRule="auto"/>
      <w:ind w:left="1134"/>
    </w:pPr>
    <w:rPr>
      <w:i/>
    </w:rPr>
  </w:style>
  <w:style w:type="paragraph" w:customStyle="1" w:styleId="Tablea">
    <w:name w:val="Table(a)"/>
    <w:aliases w:val="ta"/>
    <w:basedOn w:val="OPCParaBase"/>
    <w:rsid w:val="00CE3AC6"/>
    <w:pPr>
      <w:spacing w:before="60" w:line="240" w:lineRule="auto"/>
      <w:ind w:left="284" w:hanging="284"/>
    </w:pPr>
    <w:rPr>
      <w:sz w:val="20"/>
    </w:rPr>
  </w:style>
  <w:style w:type="paragraph" w:customStyle="1" w:styleId="TableAA">
    <w:name w:val="Table(AA)"/>
    <w:aliases w:val="taaa"/>
    <w:basedOn w:val="OPCParaBase"/>
    <w:rsid w:val="00CE3A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3A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3AC6"/>
    <w:pPr>
      <w:spacing w:before="60" w:line="240" w:lineRule="atLeast"/>
    </w:pPr>
    <w:rPr>
      <w:sz w:val="20"/>
    </w:rPr>
  </w:style>
  <w:style w:type="paragraph" w:customStyle="1" w:styleId="TLPBoxTextnote">
    <w:name w:val="TLPBoxText(note"/>
    <w:aliases w:val="right)"/>
    <w:basedOn w:val="OPCParaBase"/>
    <w:rsid w:val="00CE3A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3A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3AC6"/>
    <w:pPr>
      <w:spacing w:before="122" w:line="198" w:lineRule="exact"/>
      <w:ind w:left="1985" w:hanging="851"/>
      <w:jc w:val="right"/>
    </w:pPr>
    <w:rPr>
      <w:sz w:val="18"/>
    </w:rPr>
  </w:style>
  <w:style w:type="paragraph" w:customStyle="1" w:styleId="TLPTableBullet">
    <w:name w:val="TLPTableBullet"/>
    <w:aliases w:val="ttb"/>
    <w:basedOn w:val="OPCParaBase"/>
    <w:rsid w:val="00CE3AC6"/>
    <w:pPr>
      <w:spacing w:line="240" w:lineRule="exact"/>
      <w:ind w:left="284" w:hanging="284"/>
    </w:pPr>
    <w:rPr>
      <w:sz w:val="20"/>
    </w:rPr>
  </w:style>
  <w:style w:type="paragraph" w:styleId="TOC1">
    <w:name w:val="toc 1"/>
    <w:basedOn w:val="Normal"/>
    <w:next w:val="Normal"/>
    <w:uiPriority w:val="39"/>
    <w:unhideWhenUsed/>
    <w:rsid w:val="00CE3AC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E3AC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E3AC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E3AC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E3AC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E3AC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E3AC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E3AC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E3AC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E3AC6"/>
    <w:pPr>
      <w:keepLines/>
      <w:spacing w:before="240" w:after="120" w:line="240" w:lineRule="auto"/>
      <w:ind w:left="794"/>
    </w:pPr>
    <w:rPr>
      <w:b/>
      <w:kern w:val="28"/>
      <w:sz w:val="20"/>
    </w:rPr>
  </w:style>
  <w:style w:type="paragraph" w:customStyle="1" w:styleId="TofSectsHeading">
    <w:name w:val="TofSects(Heading)"/>
    <w:basedOn w:val="OPCParaBase"/>
    <w:rsid w:val="00CE3AC6"/>
    <w:pPr>
      <w:spacing w:before="240" w:after="120" w:line="240" w:lineRule="auto"/>
    </w:pPr>
    <w:rPr>
      <w:b/>
      <w:sz w:val="24"/>
    </w:rPr>
  </w:style>
  <w:style w:type="paragraph" w:customStyle="1" w:styleId="TofSectsSection">
    <w:name w:val="TofSects(Section)"/>
    <w:basedOn w:val="OPCParaBase"/>
    <w:rsid w:val="00CE3AC6"/>
    <w:pPr>
      <w:keepLines/>
      <w:spacing w:before="40" w:line="240" w:lineRule="auto"/>
      <w:ind w:left="1588" w:hanging="794"/>
    </w:pPr>
    <w:rPr>
      <w:kern w:val="28"/>
      <w:sz w:val="18"/>
    </w:rPr>
  </w:style>
  <w:style w:type="paragraph" w:customStyle="1" w:styleId="TofSectsSubdiv">
    <w:name w:val="TofSects(Subdiv)"/>
    <w:basedOn w:val="OPCParaBase"/>
    <w:rsid w:val="00CE3AC6"/>
    <w:pPr>
      <w:keepLines/>
      <w:spacing w:before="80" w:line="240" w:lineRule="auto"/>
      <w:ind w:left="1588" w:hanging="794"/>
    </w:pPr>
    <w:rPr>
      <w:kern w:val="28"/>
    </w:rPr>
  </w:style>
  <w:style w:type="paragraph" w:customStyle="1" w:styleId="WRStyle">
    <w:name w:val="WR Style"/>
    <w:aliases w:val="WR"/>
    <w:basedOn w:val="OPCParaBase"/>
    <w:rsid w:val="00CE3AC6"/>
    <w:pPr>
      <w:spacing w:before="240" w:line="240" w:lineRule="auto"/>
      <w:ind w:left="284" w:hanging="284"/>
    </w:pPr>
    <w:rPr>
      <w:b/>
      <w:i/>
      <w:kern w:val="28"/>
      <w:sz w:val="24"/>
    </w:rPr>
  </w:style>
  <w:style w:type="paragraph" w:customStyle="1" w:styleId="notepara">
    <w:name w:val="note(para)"/>
    <w:aliases w:val="na"/>
    <w:basedOn w:val="OPCParaBase"/>
    <w:rsid w:val="00CE3AC6"/>
    <w:pPr>
      <w:spacing w:before="40" w:line="198" w:lineRule="exact"/>
      <w:ind w:left="2354" w:hanging="369"/>
    </w:pPr>
    <w:rPr>
      <w:sz w:val="18"/>
    </w:rPr>
  </w:style>
  <w:style w:type="paragraph" w:styleId="Footer">
    <w:name w:val="footer"/>
    <w:link w:val="FooterChar"/>
    <w:rsid w:val="00CE3A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3AC6"/>
    <w:rPr>
      <w:rFonts w:eastAsia="Times New Roman" w:cs="Times New Roman"/>
      <w:sz w:val="22"/>
      <w:szCs w:val="24"/>
      <w:lang w:eastAsia="en-AU"/>
    </w:rPr>
  </w:style>
  <w:style w:type="character" w:styleId="LineNumber">
    <w:name w:val="line number"/>
    <w:basedOn w:val="OPCCharBase"/>
    <w:uiPriority w:val="99"/>
    <w:unhideWhenUsed/>
    <w:rsid w:val="00CE3AC6"/>
    <w:rPr>
      <w:sz w:val="16"/>
    </w:rPr>
  </w:style>
  <w:style w:type="table" w:customStyle="1" w:styleId="CFlag">
    <w:name w:val="CFlag"/>
    <w:basedOn w:val="TableNormal"/>
    <w:uiPriority w:val="99"/>
    <w:rsid w:val="00CE3AC6"/>
    <w:rPr>
      <w:rFonts w:eastAsia="Times New Roman" w:cs="Times New Roman"/>
      <w:lang w:eastAsia="en-AU"/>
    </w:rPr>
    <w:tblPr/>
  </w:style>
  <w:style w:type="paragraph" w:styleId="BalloonText">
    <w:name w:val="Balloon Text"/>
    <w:basedOn w:val="Normal"/>
    <w:link w:val="BalloonTextChar"/>
    <w:uiPriority w:val="99"/>
    <w:unhideWhenUsed/>
    <w:rsid w:val="00CE3A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E3AC6"/>
    <w:rPr>
      <w:rFonts w:ascii="Tahoma" w:hAnsi="Tahoma" w:cs="Tahoma"/>
      <w:sz w:val="16"/>
      <w:szCs w:val="16"/>
    </w:rPr>
  </w:style>
  <w:style w:type="table" w:styleId="TableGrid">
    <w:name w:val="Table Grid"/>
    <w:basedOn w:val="TableNormal"/>
    <w:uiPriority w:val="59"/>
    <w:rsid w:val="00CE3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E3AC6"/>
    <w:rPr>
      <w:b/>
      <w:sz w:val="28"/>
      <w:szCs w:val="32"/>
    </w:rPr>
  </w:style>
  <w:style w:type="paragraph" w:customStyle="1" w:styleId="LegislationMadeUnder">
    <w:name w:val="LegislationMadeUnder"/>
    <w:basedOn w:val="OPCParaBase"/>
    <w:next w:val="Normal"/>
    <w:rsid w:val="00CE3AC6"/>
    <w:rPr>
      <w:i/>
      <w:sz w:val="32"/>
      <w:szCs w:val="32"/>
    </w:rPr>
  </w:style>
  <w:style w:type="paragraph" w:customStyle="1" w:styleId="SignCoverPageEnd">
    <w:name w:val="SignCoverPageEnd"/>
    <w:basedOn w:val="OPCParaBase"/>
    <w:next w:val="Normal"/>
    <w:rsid w:val="00CE3A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3AC6"/>
    <w:pPr>
      <w:pBdr>
        <w:top w:val="single" w:sz="4" w:space="1" w:color="auto"/>
      </w:pBdr>
      <w:spacing w:before="360"/>
      <w:ind w:right="397"/>
      <w:jc w:val="both"/>
    </w:pPr>
  </w:style>
  <w:style w:type="paragraph" w:customStyle="1" w:styleId="NotesHeading1">
    <w:name w:val="NotesHeading 1"/>
    <w:basedOn w:val="OPCParaBase"/>
    <w:next w:val="Normal"/>
    <w:rsid w:val="00CE3AC6"/>
    <w:rPr>
      <w:b/>
      <w:sz w:val="28"/>
      <w:szCs w:val="28"/>
    </w:rPr>
  </w:style>
  <w:style w:type="paragraph" w:customStyle="1" w:styleId="NotesHeading2">
    <w:name w:val="NotesHeading 2"/>
    <w:basedOn w:val="OPCParaBase"/>
    <w:next w:val="Normal"/>
    <w:rsid w:val="00CE3AC6"/>
    <w:rPr>
      <w:b/>
      <w:sz w:val="28"/>
      <w:szCs w:val="28"/>
    </w:rPr>
  </w:style>
  <w:style w:type="paragraph" w:customStyle="1" w:styleId="CompiledActNo">
    <w:name w:val="CompiledActNo"/>
    <w:basedOn w:val="OPCParaBase"/>
    <w:next w:val="Normal"/>
    <w:rsid w:val="00CE3AC6"/>
    <w:rPr>
      <w:b/>
      <w:sz w:val="24"/>
      <w:szCs w:val="24"/>
    </w:rPr>
  </w:style>
  <w:style w:type="paragraph" w:customStyle="1" w:styleId="ENotesText">
    <w:name w:val="ENotesText"/>
    <w:aliases w:val="Ent"/>
    <w:basedOn w:val="OPCParaBase"/>
    <w:next w:val="Normal"/>
    <w:rsid w:val="00CE3AC6"/>
    <w:pPr>
      <w:spacing w:before="120"/>
    </w:pPr>
  </w:style>
  <w:style w:type="paragraph" w:customStyle="1" w:styleId="CompiledMadeUnder">
    <w:name w:val="CompiledMadeUnder"/>
    <w:basedOn w:val="OPCParaBase"/>
    <w:next w:val="Normal"/>
    <w:rsid w:val="00CE3AC6"/>
    <w:rPr>
      <w:i/>
      <w:sz w:val="24"/>
      <w:szCs w:val="24"/>
    </w:rPr>
  </w:style>
  <w:style w:type="paragraph" w:customStyle="1" w:styleId="Paragraphsub-sub-sub">
    <w:name w:val="Paragraph(sub-sub-sub)"/>
    <w:aliases w:val="aaaa"/>
    <w:basedOn w:val="OPCParaBase"/>
    <w:rsid w:val="00CE3AC6"/>
    <w:pPr>
      <w:tabs>
        <w:tab w:val="right" w:pos="3402"/>
      </w:tabs>
      <w:spacing w:before="40" w:line="240" w:lineRule="auto"/>
      <w:ind w:left="3402" w:hanging="3402"/>
    </w:pPr>
  </w:style>
  <w:style w:type="paragraph" w:customStyle="1" w:styleId="TableTextEndNotes">
    <w:name w:val="TableTextEndNotes"/>
    <w:aliases w:val="Tten"/>
    <w:basedOn w:val="Normal"/>
    <w:rsid w:val="00CE3AC6"/>
    <w:pPr>
      <w:spacing w:before="60" w:line="240" w:lineRule="auto"/>
    </w:pPr>
    <w:rPr>
      <w:rFonts w:cs="Arial"/>
      <w:sz w:val="20"/>
      <w:szCs w:val="22"/>
    </w:rPr>
  </w:style>
  <w:style w:type="paragraph" w:customStyle="1" w:styleId="NoteToSubpara">
    <w:name w:val="NoteToSubpara"/>
    <w:aliases w:val="nts"/>
    <w:basedOn w:val="OPCParaBase"/>
    <w:rsid w:val="00CE3AC6"/>
    <w:pPr>
      <w:spacing w:before="40" w:line="198" w:lineRule="exact"/>
      <w:ind w:left="2835" w:hanging="709"/>
    </w:pPr>
    <w:rPr>
      <w:sz w:val="18"/>
    </w:rPr>
  </w:style>
  <w:style w:type="paragraph" w:customStyle="1" w:styleId="ENoteTableHeading">
    <w:name w:val="ENoteTableHeading"/>
    <w:aliases w:val="enth"/>
    <w:basedOn w:val="OPCParaBase"/>
    <w:rsid w:val="00CE3AC6"/>
    <w:pPr>
      <w:keepNext/>
      <w:spacing w:before="60" w:line="240" w:lineRule="atLeast"/>
    </w:pPr>
    <w:rPr>
      <w:rFonts w:ascii="Arial" w:hAnsi="Arial"/>
      <w:b/>
      <w:sz w:val="16"/>
    </w:rPr>
  </w:style>
  <w:style w:type="paragraph" w:customStyle="1" w:styleId="ENoteTTi">
    <w:name w:val="ENoteTTi"/>
    <w:aliases w:val="entti"/>
    <w:basedOn w:val="OPCParaBase"/>
    <w:rsid w:val="00CE3AC6"/>
    <w:pPr>
      <w:keepNext/>
      <w:spacing w:before="60" w:line="240" w:lineRule="atLeast"/>
      <w:ind w:left="170"/>
    </w:pPr>
    <w:rPr>
      <w:sz w:val="16"/>
    </w:rPr>
  </w:style>
  <w:style w:type="paragraph" w:customStyle="1" w:styleId="ENotesHeading1">
    <w:name w:val="ENotesHeading 1"/>
    <w:aliases w:val="Enh1"/>
    <w:basedOn w:val="OPCParaBase"/>
    <w:next w:val="Normal"/>
    <w:rsid w:val="00CE3AC6"/>
    <w:pPr>
      <w:spacing w:before="120"/>
      <w:outlineLvl w:val="1"/>
    </w:pPr>
    <w:rPr>
      <w:b/>
      <w:sz w:val="28"/>
      <w:szCs w:val="28"/>
    </w:rPr>
  </w:style>
  <w:style w:type="paragraph" w:customStyle="1" w:styleId="ENotesHeading2">
    <w:name w:val="ENotesHeading 2"/>
    <w:aliases w:val="Enh2"/>
    <w:basedOn w:val="OPCParaBase"/>
    <w:next w:val="Normal"/>
    <w:rsid w:val="00CE3AC6"/>
    <w:pPr>
      <w:spacing w:before="120" w:after="120"/>
      <w:outlineLvl w:val="2"/>
    </w:pPr>
    <w:rPr>
      <w:b/>
      <w:sz w:val="24"/>
      <w:szCs w:val="28"/>
    </w:rPr>
  </w:style>
  <w:style w:type="paragraph" w:customStyle="1" w:styleId="ENoteTTIndentHeading">
    <w:name w:val="ENoteTTIndentHeading"/>
    <w:aliases w:val="enTTHi"/>
    <w:basedOn w:val="OPCParaBase"/>
    <w:rsid w:val="00CE3A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3AC6"/>
    <w:pPr>
      <w:spacing w:before="60" w:line="240" w:lineRule="atLeast"/>
    </w:pPr>
    <w:rPr>
      <w:sz w:val="16"/>
    </w:rPr>
  </w:style>
  <w:style w:type="paragraph" w:customStyle="1" w:styleId="MadeunderText">
    <w:name w:val="MadeunderText"/>
    <w:basedOn w:val="OPCParaBase"/>
    <w:next w:val="Normal"/>
    <w:rsid w:val="00CE3AC6"/>
    <w:pPr>
      <w:spacing w:before="240"/>
    </w:pPr>
    <w:rPr>
      <w:sz w:val="24"/>
      <w:szCs w:val="24"/>
    </w:rPr>
  </w:style>
  <w:style w:type="paragraph" w:customStyle="1" w:styleId="ENotesHeading3">
    <w:name w:val="ENotesHeading 3"/>
    <w:aliases w:val="Enh3"/>
    <w:basedOn w:val="OPCParaBase"/>
    <w:next w:val="Normal"/>
    <w:rsid w:val="00CE3AC6"/>
    <w:pPr>
      <w:keepNext/>
      <w:spacing w:before="120" w:line="240" w:lineRule="auto"/>
      <w:outlineLvl w:val="4"/>
    </w:pPr>
    <w:rPr>
      <w:b/>
      <w:szCs w:val="24"/>
    </w:rPr>
  </w:style>
  <w:style w:type="character" w:customStyle="1" w:styleId="CharSubPartTextCASA">
    <w:name w:val="CharSubPartText(CASA)"/>
    <w:basedOn w:val="OPCCharBase"/>
    <w:uiPriority w:val="1"/>
    <w:rsid w:val="00CE3AC6"/>
  </w:style>
  <w:style w:type="character" w:customStyle="1" w:styleId="CharSubPartNoCASA">
    <w:name w:val="CharSubPartNo(CASA)"/>
    <w:basedOn w:val="OPCCharBase"/>
    <w:uiPriority w:val="1"/>
    <w:rsid w:val="00CE3AC6"/>
  </w:style>
  <w:style w:type="paragraph" w:customStyle="1" w:styleId="ENoteTTIndentHeadingSub">
    <w:name w:val="ENoteTTIndentHeadingSub"/>
    <w:aliases w:val="enTTHis"/>
    <w:basedOn w:val="OPCParaBase"/>
    <w:rsid w:val="00CE3AC6"/>
    <w:pPr>
      <w:keepNext/>
      <w:spacing w:before="60" w:line="240" w:lineRule="atLeast"/>
      <w:ind w:left="340"/>
    </w:pPr>
    <w:rPr>
      <w:b/>
      <w:sz w:val="16"/>
    </w:rPr>
  </w:style>
  <w:style w:type="paragraph" w:customStyle="1" w:styleId="ENoteTTiSub">
    <w:name w:val="ENoteTTiSub"/>
    <w:aliases w:val="enttis"/>
    <w:basedOn w:val="OPCParaBase"/>
    <w:rsid w:val="00CE3AC6"/>
    <w:pPr>
      <w:keepNext/>
      <w:spacing w:before="60" w:line="240" w:lineRule="atLeast"/>
      <w:ind w:left="340"/>
    </w:pPr>
    <w:rPr>
      <w:sz w:val="16"/>
    </w:rPr>
  </w:style>
  <w:style w:type="paragraph" w:customStyle="1" w:styleId="SubDivisionMigration">
    <w:name w:val="SubDivisionMigration"/>
    <w:aliases w:val="sdm"/>
    <w:basedOn w:val="OPCParaBase"/>
    <w:rsid w:val="00CE3A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3AC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E3AC6"/>
    <w:pPr>
      <w:spacing w:before="122" w:line="240" w:lineRule="auto"/>
      <w:ind w:left="1985" w:hanging="851"/>
    </w:pPr>
    <w:rPr>
      <w:sz w:val="18"/>
    </w:rPr>
  </w:style>
  <w:style w:type="paragraph" w:customStyle="1" w:styleId="FreeForm">
    <w:name w:val="FreeForm"/>
    <w:rsid w:val="00673381"/>
    <w:rPr>
      <w:rFonts w:ascii="Arial" w:hAnsi="Arial"/>
      <w:sz w:val="22"/>
    </w:rPr>
  </w:style>
  <w:style w:type="paragraph" w:customStyle="1" w:styleId="SOText">
    <w:name w:val="SO Text"/>
    <w:aliases w:val="sot"/>
    <w:link w:val="SOTextChar"/>
    <w:rsid w:val="00CE3A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3AC6"/>
    <w:rPr>
      <w:sz w:val="22"/>
    </w:rPr>
  </w:style>
  <w:style w:type="paragraph" w:customStyle="1" w:styleId="SOTextNote">
    <w:name w:val="SO TextNote"/>
    <w:aliases w:val="sont"/>
    <w:basedOn w:val="SOText"/>
    <w:qFormat/>
    <w:rsid w:val="00CE3AC6"/>
    <w:pPr>
      <w:spacing w:before="122" w:line="198" w:lineRule="exact"/>
      <w:ind w:left="1843" w:hanging="709"/>
    </w:pPr>
    <w:rPr>
      <w:sz w:val="18"/>
    </w:rPr>
  </w:style>
  <w:style w:type="paragraph" w:customStyle="1" w:styleId="SOPara">
    <w:name w:val="SO Para"/>
    <w:aliases w:val="soa"/>
    <w:basedOn w:val="SOText"/>
    <w:link w:val="SOParaChar"/>
    <w:qFormat/>
    <w:rsid w:val="00CE3AC6"/>
    <w:pPr>
      <w:tabs>
        <w:tab w:val="right" w:pos="1786"/>
      </w:tabs>
      <w:spacing w:before="40"/>
      <w:ind w:left="2070" w:hanging="936"/>
    </w:pPr>
  </w:style>
  <w:style w:type="character" w:customStyle="1" w:styleId="SOParaChar">
    <w:name w:val="SO Para Char"/>
    <w:aliases w:val="soa Char"/>
    <w:basedOn w:val="DefaultParagraphFont"/>
    <w:link w:val="SOPara"/>
    <w:rsid w:val="00CE3AC6"/>
    <w:rPr>
      <w:sz w:val="22"/>
    </w:rPr>
  </w:style>
  <w:style w:type="paragraph" w:customStyle="1" w:styleId="FileName">
    <w:name w:val="FileName"/>
    <w:basedOn w:val="Normal"/>
    <w:rsid w:val="00CE3AC6"/>
  </w:style>
  <w:style w:type="paragraph" w:customStyle="1" w:styleId="TableHeading">
    <w:name w:val="TableHeading"/>
    <w:aliases w:val="th"/>
    <w:basedOn w:val="OPCParaBase"/>
    <w:next w:val="Tabletext"/>
    <w:rsid w:val="00CE3AC6"/>
    <w:pPr>
      <w:keepNext/>
      <w:spacing w:before="60" w:line="240" w:lineRule="atLeast"/>
    </w:pPr>
    <w:rPr>
      <w:b/>
      <w:sz w:val="20"/>
    </w:rPr>
  </w:style>
  <w:style w:type="paragraph" w:customStyle="1" w:styleId="SOHeadBold">
    <w:name w:val="SO HeadBold"/>
    <w:aliases w:val="sohb"/>
    <w:basedOn w:val="SOText"/>
    <w:next w:val="SOText"/>
    <w:link w:val="SOHeadBoldChar"/>
    <w:qFormat/>
    <w:rsid w:val="00CE3AC6"/>
    <w:rPr>
      <w:b/>
    </w:rPr>
  </w:style>
  <w:style w:type="character" w:customStyle="1" w:styleId="SOHeadBoldChar">
    <w:name w:val="SO HeadBold Char"/>
    <w:aliases w:val="sohb Char"/>
    <w:basedOn w:val="DefaultParagraphFont"/>
    <w:link w:val="SOHeadBold"/>
    <w:rsid w:val="00CE3AC6"/>
    <w:rPr>
      <w:b/>
      <w:sz w:val="22"/>
    </w:rPr>
  </w:style>
  <w:style w:type="paragraph" w:customStyle="1" w:styleId="SOHeadItalic">
    <w:name w:val="SO HeadItalic"/>
    <w:aliases w:val="sohi"/>
    <w:basedOn w:val="SOText"/>
    <w:next w:val="SOText"/>
    <w:link w:val="SOHeadItalicChar"/>
    <w:qFormat/>
    <w:rsid w:val="00CE3AC6"/>
    <w:rPr>
      <w:i/>
    </w:rPr>
  </w:style>
  <w:style w:type="character" w:customStyle="1" w:styleId="SOHeadItalicChar">
    <w:name w:val="SO HeadItalic Char"/>
    <w:aliases w:val="sohi Char"/>
    <w:basedOn w:val="DefaultParagraphFont"/>
    <w:link w:val="SOHeadItalic"/>
    <w:rsid w:val="00CE3AC6"/>
    <w:rPr>
      <w:i/>
      <w:sz w:val="22"/>
    </w:rPr>
  </w:style>
  <w:style w:type="paragraph" w:customStyle="1" w:styleId="SOBullet">
    <w:name w:val="SO Bullet"/>
    <w:aliases w:val="sotb"/>
    <w:basedOn w:val="SOText"/>
    <w:link w:val="SOBulletChar"/>
    <w:qFormat/>
    <w:rsid w:val="00CE3AC6"/>
    <w:pPr>
      <w:ind w:left="1559" w:hanging="425"/>
    </w:pPr>
  </w:style>
  <w:style w:type="character" w:customStyle="1" w:styleId="SOBulletChar">
    <w:name w:val="SO Bullet Char"/>
    <w:aliases w:val="sotb Char"/>
    <w:basedOn w:val="DefaultParagraphFont"/>
    <w:link w:val="SOBullet"/>
    <w:rsid w:val="00CE3AC6"/>
    <w:rPr>
      <w:sz w:val="22"/>
    </w:rPr>
  </w:style>
  <w:style w:type="paragraph" w:customStyle="1" w:styleId="SOBulletNote">
    <w:name w:val="SO BulletNote"/>
    <w:aliases w:val="sonb"/>
    <w:basedOn w:val="SOTextNote"/>
    <w:link w:val="SOBulletNoteChar"/>
    <w:qFormat/>
    <w:rsid w:val="00CE3AC6"/>
    <w:pPr>
      <w:tabs>
        <w:tab w:val="left" w:pos="1560"/>
      </w:tabs>
      <w:ind w:left="2268" w:hanging="1134"/>
    </w:pPr>
  </w:style>
  <w:style w:type="character" w:customStyle="1" w:styleId="SOBulletNoteChar">
    <w:name w:val="SO BulletNote Char"/>
    <w:aliases w:val="sonb Char"/>
    <w:basedOn w:val="DefaultParagraphFont"/>
    <w:link w:val="SOBulletNote"/>
    <w:rsid w:val="00CE3AC6"/>
    <w:rPr>
      <w:sz w:val="18"/>
    </w:rPr>
  </w:style>
  <w:style w:type="paragraph" w:customStyle="1" w:styleId="SOText2">
    <w:name w:val="SO Text2"/>
    <w:aliases w:val="sot2"/>
    <w:basedOn w:val="Normal"/>
    <w:next w:val="SOText"/>
    <w:link w:val="SOText2Char"/>
    <w:rsid w:val="00CE3A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3AC6"/>
    <w:rPr>
      <w:sz w:val="22"/>
    </w:rPr>
  </w:style>
  <w:style w:type="paragraph" w:customStyle="1" w:styleId="SubPartCASA">
    <w:name w:val="SubPart(CASA)"/>
    <w:aliases w:val="csp"/>
    <w:basedOn w:val="OPCParaBase"/>
    <w:next w:val="ActHead3"/>
    <w:rsid w:val="00CE3AC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E3AC6"/>
    <w:rPr>
      <w:rFonts w:eastAsia="Times New Roman" w:cs="Times New Roman"/>
      <w:sz w:val="22"/>
      <w:lang w:eastAsia="en-AU"/>
    </w:rPr>
  </w:style>
  <w:style w:type="character" w:customStyle="1" w:styleId="notetextChar">
    <w:name w:val="note(text) Char"/>
    <w:aliases w:val="n Char"/>
    <w:basedOn w:val="DefaultParagraphFont"/>
    <w:link w:val="notetext"/>
    <w:rsid w:val="00CE3AC6"/>
    <w:rPr>
      <w:rFonts w:eastAsia="Times New Roman" w:cs="Times New Roman"/>
      <w:sz w:val="18"/>
      <w:lang w:eastAsia="en-AU"/>
    </w:rPr>
  </w:style>
  <w:style w:type="character" w:customStyle="1" w:styleId="Heading1Char">
    <w:name w:val="Heading 1 Char"/>
    <w:basedOn w:val="DefaultParagraphFont"/>
    <w:link w:val="Heading1"/>
    <w:uiPriority w:val="9"/>
    <w:rsid w:val="00CE3A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3A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3A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E3A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E3A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E3A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E3A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E3A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E3AC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E3AC6"/>
    <w:rPr>
      <w:rFonts w:ascii="Arial" w:hAnsi="Arial" w:cs="Arial" w:hint="default"/>
      <w:b/>
      <w:bCs/>
      <w:sz w:val="28"/>
      <w:szCs w:val="28"/>
    </w:rPr>
  </w:style>
  <w:style w:type="paragraph" w:styleId="Index1">
    <w:name w:val="index 1"/>
    <w:basedOn w:val="Normal"/>
    <w:next w:val="Normal"/>
    <w:autoRedefine/>
    <w:rsid w:val="00CE3AC6"/>
    <w:pPr>
      <w:ind w:left="240" w:hanging="240"/>
    </w:pPr>
  </w:style>
  <w:style w:type="paragraph" w:styleId="Index2">
    <w:name w:val="index 2"/>
    <w:basedOn w:val="Normal"/>
    <w:next w:val="Normal"/>
    <w:autoRedefine/>
    <w:rsid w:val="00CE3AC6"/>
    <w:pPr>
      <w:ind w:left="480" w:hanging="240"/>
    </w:pPr>
  </w:style>
  <w:style w:type="paragraph" w:styleId="Index3">
    <w:name w:val="index 3"/>
    <w:basedOn w:val="Normal"/>
    <w:next w:val="Normal"/>
    <w:autoRedefine/>
    <w:rsid w:val="00CE3AC6"/>
    <w:pPr>
      <w:ind w:left="720" w:hanging="240"/>
    </w:pPr>
  </w:style>
  <w:style w:type="paragraph" w:styleId="Index4">
    <w:name w:val="index 4"/>
    <w:basedOn w:val="Normal"/>
    <w:next w:val="Normal"/>
    <w:autoRedefine/>
    <w:rsid w:val="00CE3AC6"/>
    <w:pPr>
      <w:ind w:left="960" w:hanging="240"/>
    </w:pPr>
  </w:style>
  <w:style w:type="paragraph" w:styleId="Index5">
    <w:name w:val="index 5"/>
    <w:basedOn w:val="Normal"/>
    <w:next w:val="Normal"/>
    <w:autoRedefine/>
    <w:rsid w:val="00CE3AC6"/>
    <w:pPr>
      <w:ind w:left="1200" w:hanging="240"/>
    </w:pPr>
  </w:style>
  <w:style w:type="paragraph" w:styleId="Index6">
    <w:name w:val="index 6"/>
    <w:basedOn w:val="Normal"/>
    <w:next w:val="Normal"/>
    <w:autoRedefine/>
    <w:rsid w:val="00CE3AC6"/>
    <w:pPr>
      <w:ind w:left="1440" w:hanging="240"/>
    </w:pPr>
  </w:style>
  <w:style w:type="paragraph" w:styleId="Index7">
    <w:name w:val="index 7"/>
    <w:basedOn w:val="Normal"/>
    <w:next w:val="Normal"/>
    <w:autoRedefine/>
    <w:rsid w:val="00CE3AC6"/>
    <w:pPr>
      <w:ind w:left="1680" w:hanging="240"/>
    </w:pPr>
  </w:style>
  <w:style w:type="paragraph" w:styleId="Index8">
    <w:name w:val="index 8"/>
    <w:basedOn w:val="Normal"/>
    <w:next w:val="Normal"/>
    <w:autoRedefine/>
    <w:rsid w:val="00CE3AC6"/>
    <w:pPr>
      <w:ind w:left="1920" w:hanging="240"/>
    </w:pPr>
  </w:style>
  <w:style w:type="paragraph" w:styleId="Index9">
    <w:name w:val="index 9"/>
    <w:basedOn w:val="Normal"/>
    <w:next w:val="Normal"/>
    <w:autoRedefine/>
    <w:rsid w:val="00CE3AC6"/>
    <w:pPr>
      <w:ind w:left="2160" w:hanging="240"/>
    </w:pPr>
  </w:style>
  <w:style w:type="paragraph" w:styleId="NormalIndent">
    <w:name w:val="Normal Indent"/>
    <w:basedOn w:val="Normal"/>
    <w:rsid w:val="00CE3AC6"/>
    <w:pPr>
      <w:ind w:left="720"/>
    </w:pPr>
  </w:style>
  <w:style w:type="paragraph" w:styleId="FootnoteText">
    <w:name w:val="footnote text"/>
    <w:basedOn w:val="Normal"/>
    <w:link w:val="FootnoteTextChar"/>
    <w:rsid w:val="00CE3AC6"/>
    <w:rPr>
      <w:sz w:val="20"/>
    </w:rPr>
  </w:style>
  <w:style w:type="character" w:customStyle="1" w:styleId="FootnoteTextChar">
    <w:name w:val="Footnote Text Char"/>
    <w:basedOn w:val="DefaultParagraphFont"/>
    <w:link w:val="FootnoteText"/>
    <w:rsid w:val="00CE3AC6"/>
  </w:style>
  <w:style w:type="paragraph" w:styleId="CommentText">
    <w:name w:val="annotation text"/>
    <w:basedOn w:val="Normal"/>
    <w:link w:val="CommentTextChar"/>
    <w:rsid w:val="00CE3AC6"/>
    <w:rPr>
      <w:sz w:val="20"/>
    </w:rPr>
  </w:style>
  <w:style w:type="character" w:customStyle="1" w:styleId="CommentTextChar">
    <w:name w:val="Comment Text Char"/>
    <w:basedOn w:val="DefaultParagraphFont"/>
    <w:link w:val="CommentText"/>
    <w:rsid w:val="00CE3AC6"/>
  </w:style>
  <w:style w:type="paragraph" w:styleId="IndexHeading">
    <w:name w:val="index heading"/>
    <w:basedOn w:val="Normal"/>
    <w:next w:val="Index1"/>
    <w:rsid w:val="00CE3AC6"/>
    <w:rPr>
      <w:rFonts w:ascii="Arial" w:hAnsi="Arial" w:cs="Arial"/>
      <w:b/>
      <w:bCs/>
    </w:rPr>
  </w:style>
  <w:style w:type="paragraph" w:styleId="Caption">
    <w:name w:val="caption"/>
    <w:basedOn w:val="Normal"/>
    <w:next w:val="Normal"/>
    <w:qFormat/>
    <w:rsid w:val="00CE3AC6"/>
    <w:pPr>
      <w:spacing w:before="120" w:after="120"/>
    </w:pPr>
    <w:rPr>
      <w:b/>
      <w:bCs/>
      <w:sz w:val="20"/>
    </w:rPr>
  </w:style>
  <w:style w:type="paragraph" w:styleId="TableofFigures">
    <w:name w:val="table of figures"/>
    <w:basedOn w:val="Normal"/>
    <w:next w:val="Normal"/>
    <w:rsid w:val="00CE3AC6"/>
    <w:pPr>
      <w:ind w:left="480" w:hanging="480"/>
    </w:pPr>
  </w:style>
  <w:style w:type="paragraph" w:styleId="EnvelopeAddress">
    <w:name w:val="envelope address"/>
    <w:basedOn w:val="Normal"/>
    <w:rsid w:val="00CE3A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E3AC6"/>
    <w:rPr>
      <w:rFonts w:ascii="Arial" w:hAnsi="Arial" w:cs="Arial"/>
      <w:sz w:val="20"/>
    </w:rPr>
  </w:style>
  <w:style w:type="character" w:styleId="FootnoteReference">
    <w:name w:val="footnote reference"/>
    <w:basedOn w:val="DefaultParagraphFont"/>
    <w:rsid w:val="00CE3AC6"/>
    <w:rPr>
      <w:rFonts w:ascii="Times New Roman" w:hAnsi="Times New Roman"/>
      <w:sz w:val="20"/>
      <w:vertAlign w:val="superscript"/>
    </w:rPr>
  </w:style>
  <w:style w:type="character" w:styleId="CommentReference">
    <w:name w:val="annotation reference"/>
    <w:basedOn w:val="DefaultParagraphFont"/>
    <w:rsid w:val="00CE3AC6"/>
    <w:rPr>
      <w:sz w:val="16"/>
      <w:szCs w:val="16"/>
    </w:rPr>
  </w:style>
  <w:style w:type="character" w:styleId="PageNumber">
    <w:name w:val="page number"/>
    <w:basedOn w:val="DefaultParagraphFont"/>
    <w:rsid w:val="00CE3AC6"/>
  </w:style>
  <w:style w:type="character" w:styleId="EndnoteReference">
    <w:name w:val="endnote reference"/>
    <w:basedOn w:val="DefaultParagraphFont"/>
    <w:rsid w:val="00CE3AC6"/>
    <w:rPr>
      <w:vertAlign w:val="superscript"/>
    </w:rPr>
  </w:style>
  <w:style w:type="paragraph" w:styleId="EndnoteText">
    <w:name w:val="endnote text"/>
    <w:basedOn w:val="Normal"/>
    <w:link w:val="EndnoteTextChar"/>
    <w:rsid w:val="00CE3AC6"/>
    <w:rPr>
      <w:sz w:val="20"/>
    </w:rPr>
  </w:style>
  <w:style w:type="character" w:customStyle="1" w:styleId="EndnoteTextChar">
    <w:name w:val="Endnote Text Char"/>
    <w:basedOn w:val="DefaultParagraphFont"/>
    <w:link w:val="EndnoteText"/>
    <w:rsid w:val="00CE3AC6"/>
  </w:style>
  <w:style w:type="paragraph" w:styleId="TableofAuthorities">
    <w:name w:val="table of authorities"/>
    <w:basedOn w:val="Normal"/>
    <w:next w:val="Normal"/>
    <w:rsid w:val="00CE3AC6"/>
    <w:pPr>
      <w:ind w:left="240" w:hanging="240"/>
    </w:pPr>
  </w:style>
  <w:style w:type="paragraph" w:styleId="MacroText">
    <w:name w:val="macro"/>
    <w:link w:val="MacroTextChar"/>
    <w:rsid w:val="00CE3AC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E3AC6"/>
    <w:rPr>
      <w:rFonts w:ascii="Courier New" w:eastAsia="Times New Roman" w:hAnsi="Courier New" w:cs="Courier New"/>
      <w:lang w:eastAsia="en-AU"/>
    </w:rPr>
  </w:style>
  <w:style w:type="paragraph" w:styleId="TOAHeading">
    <w:name w:val="toa heading"/>
    <w:basedOn w:val="Normal"/>
    <w:next w:val="Normal"/>
    <w:rsid w:val="00CE3AC6"/>
    <w:pPr>
      <w:spacing w:before="120"/>
    </w:pPr>
    <w:rPr>
      <w:rFonts w:ascii="Arial" w:hAnsi="Arial" w:cs="Arial"/>
      <w:b/>
      <w:bCs/>
    </w:rPr>
  </w:style>
  <w:style w:type="paragraph" w:styleId="List">
    <w:name w:val="List"/>
    <w:basedOn w:val="Normal"/>
    <w:rsid w:val="00CE3AC6"/>
    <w:pPr>
      <w:ind w:left="283" w:hanging="283"/>
    </w:pPr>
  </w:style>
  <w:style w:type="paragraph" w:styleId="ListBullet">
    <w:name w:val="List Bullet"/>
    <w:basedOn w:val="Normal"/>
    <w:autoRedefine/>
    <w:rsid w:val="00CE3AC6"/>
    <w:pPr>
      <w:tabs>
        <w:tab w:val="num" w:pos="360"/>
      </w:tabs>
      <w:ind w:left="360" w:hanging="360"/>
    </w:pPr>
  </w:style>
  <w:style w:type="paragraph" w:styleId="ListNumber">
    <w:name w:val="List Number"/>
    <w:basedOn w:val="Normal"/>
    <w:rsid w:val="00CE3AC6"/>
    <w:pPr>
      <w:tabs>
        <w:tab w:val="num" w:pos="360"/>
      </w:tabs>
      <w:ind w:left="360" w:hanging="360"/>
    </w:pPr>
  </w:style>
  <w:style w:type="paragraph" w:styleId="List2">
    <w:name w:val="List 2"/>
    <w:basedOn w:val="Normal"/>
    <w:rsid w:val="00CE3AC6"/>
    <w:pPr>
      <w:ind w:left="566" w:hanging="283"/>
    </w:pPr>
  </w:style>
  <w:style w:type="paragraph" w:styleId="List3">
    <w:name w:val="List 3"/>
    <w:basedOn w:val="Normal"/>
    <w:rsid w:val="00CE3AC6"/>
    <w:pPr>
      <w:ind w:left="849" w:hanging="283"/>
    </w:pPr>
  </w:style>
  <w:style w:type="paragraph" w:styleId="List4">
    <w:name w:val="List 4"/>
    <w:basedOn w:val="Normal"/>
    <w:rsid w:val="00CE3AC6"/>
    <w:pPr>
      <w:ind w:left="1132" w:hanging="283"/>
    </w:pPr>
  </w:style>
  <w:style w:type="paragraph" w:styleId="List5">
    <w:name w:val="List 5"/>
    <w:basedOn w:val="Normal"/>
    <w:rsid w:val="00CE3AC6"/>
    <w:pPr>
      <w:ind w:left="1415" w:hanging="283"/>
    </w:pPr>
  </w:style>
  <w:style w:type="paragraph" w:styleId="ListBullet2">
    <w:name w:val="List Bullet 2"/>
    <w:basedOn w:val="Normal"/>
    <w:autoRedefine/>
    <w:rsid w:val="00CE3AC6"/>
    <w:pPr>
      <w:tabs>
        <w:tab w:val="num" w:pos="360"/>
      </w:tabs>
    </w:pPr>
  </w:style>
  <w:style w:type="paragraph" w:styleId="ListBullet3">
    <w:name w:val="List Bullet 3"/>
    <w:basedOn w:val="Normal"/>
    <w:autoRedefine/>
    <w:rsid w:val="00CE3AC6"/>
    <w:pPr>
      <w:tabs>
        <w:tab w:val="num" w:pos="926"/>
      </w:tabs>
      <w:ind w:left="926" w:hanging="360"/>
    </w:pPr>
  </w:style>
  <w:style w:type="paragraph" w:styleId="ListBullet4">
    <w:name w:val="List Bullet 4"/>
    <w:basedOn w:val="Normal"/>
    <w:autoRedefine/>
    <w:rsid w:val="00CE3AC6"/>
    <w:pPr>
      <w:tabs>
        <w:tab w:val="num" w:pos="1209"/>
      </w:tabs>
      <w:ind w:left="1209" w:hanging="360"/>
    </w:pPr>
  </w:style>
  <w:style w:type="paragraph" w:styleId="ListBullet5">
    <w:name w:val="List Bullet 5"/>
    <w:basedOn w:val="Normal"/>
    <w:autoRedefine/>
    <w:rsid w:val="00CE3AC6"/>
    <w:pPr>
      <w:tabs>
        <w:tab w:val="num" w:pos="1492"/>
      </w:tabs>
      <w:ind w:left="1492" w:hanging="360"/>
    </w:pPr>
  </w:style>
  <w:style w:type="paragraph" w:styleId="ListNumber2">
    <w:name w:val="List Number 2"/>
    <w:basedOn w:val="Normal"/>
    <w:rsid w:val="00CE3AC6"/>
    <w:pPr>
      <w:tabs>
        <w:tab w:val="num" w:pos="643"/>
      </w:tabs>
      <w:ind w:left="643" w:hanging="360"/>
    </w:pPr>
  </w:style>
  <w:style w:type="paragraph" w:styleId="ListNumber3">
    <w:name w:val="List Number 3"/>
    <w:basedOn w:val="Normal"/>
    <w:rsid w:val="00CE3AC6"/>
    <w:pPr>
      <w:tabs>
        <w:tab w:val="num" w:pos="926"/>
      </w:tabs>
      <w:ind w:left="926" w:hanging="360"/>
    </w:pPr>
  </w:style>
  <w:style w:type="paragraph" w:styleId="ListNumber4">
    <w:name w:val="List Number 4"/>
    <w:basedOn w:val="Normal"/>
    <w:rsid w:val="00CE3AC6"/>
    <w:pPr>
      <w:tabs>
        <w:tab w:val="num" w:pos="1209"/>
      </w:tabs>
      <w:ind w:left="1209" w:hanging="360"/>
    </w:pPr>
  </w:style>
  <w:style w:type="paragraph" w:styleId="ListNumber5">
    <w:name w:val="List Number 5"/>
    <w:basedOn w:val="Normal"/>
    <w:rsid w:val="00CE3AC6"/>
    <w:pPr>
      <w:tabs>
        <w:tab w:val="num" w:pos="1492"/>
      </w:tabs>
      <w:ind w:left="1492" w:hanging="360"/>
    </w:pPr>
  </w:style>
  <w:style w:type="paragraph" w:styleId="Title">
    <w:name w:val="Title"/>
    <w:basedOn w:val="Normal"/>
    <w:link w:val="TitleChar"/>
    <w:qFormat/>
    <w:rsid w:val="00CE3AC6"/>
    <w:pPr>
      <w:spacing w:before="240" w:after="60"/>
    </w:pPr>
    <w:rPr>
      <w:rFonts w:ascii="Arial" w:hAnsi="Arial" w:cs="Arial"/>
      <w:b/>
      <w:bCs/>
      <w:sz w:val="40"/>
      <w:szCs w:val="40"/>
    </w:rPr>
  </w:style>
  <w:style w:type="character" w:customStyle="1" w:styleId="TitleChar">
    <w:name w:val="Title Char"/>
    <w:basedOn w:val="DefaultParagraphFont"/>
    <w:link w:val="Title"/>
    <w:rsid w:val="00CE3AC6"/>
    <w:rPr>
      <w:rFonts w:ascii="Arial" w:hAnsi="Arial" w:cs="Arial"/>
      <w:b/>
      <w:bCs/>
      <w:sz w:val="40"/>
      <w:szCs w:val="40"/>
    </w:rPr>
  </w:style>
  <w:style w:type="paragraph" w:styleId="Closing">
    <w:name w:val="Closing"/>
    <w:basedOn w:val="Normal"/>
    <w:link w:val="ClosingChar"/>
    <w:rsid w:val="00CE3AC6"/>
    <w:pPr>
      <w:ind w:left="4252"/>
    </w:pPr>
  </w:style>
  <w:style w:type="character" w:customStyle="1" w:styleId="ClosingChar">
    <w:name w:val="Closing Char"/>
    <w:basedOn w:val="DefaultParagraphFont"/>
    <w:link w:val="Closing"/>
    <w:rsid w:val="00CE3AC6"/>
    <w:rPr>
      <w:sz w:val="22"/>
    </w:rPr>
  </w:style>
  <w:style w:type="paragraph" w:styleId="Signature">
    <w:name w:val="Signature"/>
    <w:basedOn w:val="Normal"/>
    <w:link w:val="SignatureChar"/>
    <w:rsid w:val="00CE3AC6"/>
    <w:pPr>
      <w:ind w:left="4252"/>
    </w:pPr>
  </w:style>
  <w:style w:type="character" w:customStyle="1" w:styleId="SignatureChar">
    <w:name w:val="Signature Char"/>
    <w:basedOn w:val="DefaultParagraphFont"/>
    <w:link w:val="Signature"/>
    <w:rsid w:val="00CE3AC6"/>
    <w:rPr>
      <w:sz w:val="22"/>
    </w:rPr>
  </w:style>
  <w:style w:type="paragraph" w:styleId="BodyText">
    <w:name w:val="Body Text"/>
    <w:basedOn w:val="Normal"/>
    <w:link w:val="BodyTextChar"/>
    <w:rsid w:val="00CE3AC6"/>
    <w:pPr>
      <w:spacing w:after="120"/>
    </w:pPr>
  </w:style>
  <w:style w:type="character" w:customStyle="1" w:styleId="BodyTextChar">
    <w:name w:val="Body Text Char"/>
    <w:basedOn w:val="DefaultParagraphFont"/>
    <w:link w:val="BodyText"/>
    <w:rsid w:val="00CE3AC6"/>
    <w:rPr>
      <w:sz w:val="22"/>
    </w:rPr>
  </w:style>
  <w:style w:type="paragraph" w:styleId="BodyTextIndent">
    <w:name w:val="Body Text Indent"/>
    <w:basedOn w:val="Normal"/>
    <w:link w:val="BodyTextIndentChar"/>
    <w:rsid w:val="00CE3AC6"/>
    <w:pPr>
      <w:spacing w:after="120"/>
      <w:ind w:left="283"/>
    </w:pPr>
  </w:style>
  <w:style w:type="character" w:customStyle="1" w:styleId="BodyTextIndentChar">
    <w:name w:val="Body Text Indent Char"/>
    <w:basedOn w:val="DefaultParagraphFont"/>
    <w:link w:val="BodyTextIndent"/>
    <w:rsid w:val="00CE3AC6"/>
    <w:rPr>
      <w:sz w:val="22"/>
    </w:rPr>
  </w:style>
  <w:style w:type="paragraph" w:styleId="ListContinue">
    <w:name w:val="List Continue"/>
    <w:basedOn w:val="Normal"/>
    <w:rsid w:val="00CE3AC6"/>
    <w:pPr>
      <w:spacing w:after="120"/>
      <w:ind w:left="283"/>
    </w:pPr>
  </w:style>
  <w:style w:type="paragraph" w:styleId="ListContinue2">
    <w:name w:val="List Continue 2"/>
    <w:basedOn w:val="Normal"/>
    <w:rsid w:val="00CE3AC6"/>
    <w:pPr>
      <w:spacing w:after="120"/>
      <w:ind w:left="566"/>
    </w:pPr>
  </w:style>
  <w:style w:type="paragraph" w:styleId="ListContinue3">
    <w:name w:val="List Continue 3"/>
    <w:basedOn w:val="Normal"/>
    <w:rsid w:val="00CE3AC6"/>
    <w:pPr>
      <w:spacing w:after="120"/>
      <w:ind w:left="849"/>
    </w:pPr>
  </w:style>
  <w:style w:type="paragraph" w:styleId="ListContinue4">
    <w:name w:val="List Continue 4"/>
    <w:basedOn w:val="Normal"/>
    <w:rsid w:val="00CE3AC6"/>
    <w:pPr>
      <w:spacing w:after="120"/>
      <w:ind w:left="1132"/>
    </w:pPr>
  </w:style>
  <w:style w:type="paragraph" w:styleId="ListContinue5">
    <w:name w:val="List Continue 5"/>
    <w:basedOn w:val="Normal"/>
    <w:rsid w:val="00CE3AC6"/>
    <w:pPr>
      <w:spacing w:after="120"/>
      <w:ind w:left="1415"/>
    </w:pPr>
  </w:style>
  <w:style w:type="paragraph" w:styleId="MessageHeader">
    <w:name w:val="Message Header"/>
    <w:basedOn w:val="Normal"/>
    <w:link w:val="MessageHeaderChar"/>
    <w:rsid w:val="00CE3A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E3AC6"/>
    <w:rPr>
      <w:rFonts w:ascii="Arial" w:hAnsi="Arial" w:cs="Arial"/>
      <w:sz w:val="22"/>
      <w:shd w:val="pct20" w:color="auto" w:fill="auto"/>
    </w:rPr>
  </w:style>
  <w:style w:type="paragraph" w:styleId="Subtitle">
    <w:name w:val="Subtitle"/>
    <w:basedOn w:val="Normal"/>
    <w:link w:val="SubtitleChar"/>
    <w:qFormat/>
    <w:rsid w:val="00CE3AC6"/>
    <w:pPr>
      <w:spacing w:after="60"/>
      <w:jc w:val="center"/>
      <w:outlineLvl w:val="1"/>
    </w:pPr>
    <w:rPr>
      <w:rFonts w:ascii="Arial" w:hAnsi="Arial" w:cs="Arial"/>
    </w:rPr>
  </w:style>
  <w:style w:type="character" w:customStyle="1" w:styleId="SubtitleChar">
    <w:name w:val="Subtitle Char"/>
    <w:basedOn w:val="DefaultParagraphFont"/>
    <w:link w:val="Subtitle"/>
    <w:rsid w:val="00CE3AC6"/>
    <w:rPr>
      <w:rFonts w:ascii="Arial" w:hAnsi="Arial" w:cs="Arial"/>
      <w:sz w:val="22"/>
    </w:rPr>
  </w:style>
  <w:style w:type="paragraph" w:styleId="Salutation">
    <w:name w:val="Salutation"/>
    <w:basedOn w:val="Normal"/>
    <w:next w:val="Normal"/>
    <w:link w:val="SalutationChar"/>
    <w:rsid w:val="00CE3AC6"/>
  </w:style>
  <w:style w:type="character" w:customStyle="1" w:styleId="SalutationChar">
    <w:name w:val="Salutation Char"/>
    <w:basedOn w:val="DefaultParagraphFont"/>
    <w:link w:val="Salutation"/>
    <w:rsid w:val="00CE3AC6"/>
    <w:rPr>
      <w:sz w:val="22"/>
    </w:rPr>
  </w:style>
  <w:style w:type="paragraph" w:styleId="Date">
    <w:name w:val="Date"/>
    <w:basedOn w:val="Normal"/>
    <w:next w:val="Normal"/>
    <w:link w:val="DateChar"/>
    <w:rsid w:val="00CE3AC6"/>
  </w:style>
  <w:style w:type="character" w:customStyle="1" w:styleId="DateChar">
    <w:name w:val="Date Char"/>
    <w:basedOn w:val="DefaultParagraphFont"/>
    <w:link w:val="Date"/>
    <w:rsid w:val="00CE3AC6"/>
    <w:rPr>
      <w:sz w:val="22"/>
    </w:rPr>
  </w:style>
  <w:style w:type="paragraph" w:styleId="BodyTextFirstIndent">
    <w:name w:val="Body Text First Indent"/>
    <w:basedOn w:val="BodyText"/>
    <w:link w:val="BodyTextFirstIndentChar"/>
    <w:rsid w:val="00CE3AC6"/>
    <w:pPr>
      <w:ind w:firstLine="210"/>
    </w:pPr>
  </w:style>
  <w:style w:type="character" w:customStyle="1" w:styleId="BodyTextFirstIndentChar">
    <w:name w:val="Body Text First Indent Char"/>
    <w:basedOn w:val="BodyTextChar"/>
    <w:link w:val="BodyTextFirstIndent"/>
    <w:rsid w:val="00CE3AC6"/>
    <w:rPr>
      <w:sz w:val="22"/>
    </w:rPr>
  </w:style>
  <w:style w:type="paragraph" w:styleId="BodyTextFirstIndent2">
    <w:name w:val="Body Text First Indent 2"/>
    <w:basedOn w:val="BodyTextIndent"/>
    <w:link w:val="BodyTextFirstIndent2Char"/>
    <w:rsid w:val="00CE3AC6"/>
    <w:pPr>
      <w:ind w:firstLine="210"/>
    </w:pPr>
  </w:style>
  <w:style w:type="character" w:customStyle="1" w:styleId="BodyTextFirstIndent2Char">
    <w:name w:val="Body Text First Indent 2 Char"/>
    <w:basedOn w:val="BodyTextIndentChar"/>
    <w:link w:val="BodyTextFirstIndent2"/>
    <w:rsid w:val="00CE3AC6"/>
    <w:rPr>
      <w:sz w:val="22"/>
    </w:rPr>
  </w:style>
  <w:style w:type="paragraph" w:styleId="BodyText2">
    <w:name w:val="Body Text 2"/>
    <w:basedOn w:val="Normal"/>
    <w:link w:val="BodyText2Char"/>
    <w:rsid w:val="00CE3AC6"/>
    <w:pPr>
      <w:spacing w:after="120" w:line="480" w:lineRule="auto"/>
    </w:pPr>
  </w:style>
  <w:style w:type="character" w:customStyle="1" w:styleId="BodyText2Char">
    <w:name w:val="Body Text 2 Char"/>
    <w:basedOn w:val="DefaultParagraphFont"/>
    <w:link w:val="BodyText2"/>
    <w:rsid w:val="00CE3AC6"/>
    <w:rPr>
      <w:sz w:val="22"/>
    </w:rPr>
  </w:style>
  <w:style w:type="paragraph" w:styleId="BodyText3">
    <w:name w:val="Body Text 3"/>
    <w:basedOn w:val="Normal"/>
    <w:link w:val="BodyText3Char"/>
    <w:rsid w:val="00CE3AC6"/>
    <w:pPr>
      <w:spacing w:after="120"/>
    </w:pPr>
    <w:rPr>
      <w:sz w:val="16"/>
      <w:szCs w:val="16"/>
    </w:rPr>
  </w:style>
  <w:style w:type="character" w:customStyle="1" w:styleId="BodyText3Char">
    <w:name w:val="Body Text 3 Char"/>
    <w:basedOn w:val="DefaultParagraphFont"/>
    <w:link w:val="BodyText3"/>
    <w:rsid w:val="00CE3AC6"/>
    <w:rPr>
      <w:sz w:val="16"/>
      <w:szCs w:val="16"/>
    </w:rPr>
  </w:style>
  <w:style w:type="paragraph" w:styleId="BodyTextIndent2">
    <w:name w:val="Body Text Indent 2"/>
    <w:basedOn w:val="Normal"/>
    <w:link w:val="BodyTextIndent2Char"/>
    <w:rsid w:val="00CE3AC6"/>
    <w:pPr>
      <w:spacing w:after="120" w:line="480" w:lineRule="auto"/>
      <w:ind w:left="283"/>
    </w:pPr>
  </w:style>
  <w:style w:type="character" w:customStyle="1" w:styleId="BodyTextIndent2Char">
    <w:name w:val="Body Text Indent 2 Char"/>
    <w:basedOn w:val="DefaultParagraphFont"/>
    <w:link w:val="BodyTextIndent2"/>
    <w:rsid w:val="00CE3AC6"/>
    <w:rPr>
      <w:sz w:val="22"/>
    </w:rPr>
  </w:style>
  <w:style w:type="paragraph" w:styleId="BodyTextIndent3">
    <w:name w:val="Body Text Indent 3"/>
    <w:basedOn w:val="Normal"/>
    <w:link w:val="BodyTextIndent3Char"/>
    <w:rsid w:val="00CE3AC6"/>
    <w:pPr>
      <w:spacing w:after="120"/>
      <w:ind w:left="283"/>
    </w:pPr>
    <w:rPr>
      <w:sz w:val="16"/>
      <w:szCs w:val="16"/>
    </w:rPr>
  </w:style>
  <w:style w:type="character" w:customStyle="1" w:styleId="BodyTextIndent3Char">
    <w:name w:val="Body Text Indent 3 Char"/>
    <w:basedOn w:val="DefaultParagraphFont"/>
    <w:link w:val="BodyTextIndent3"/>
    <w:rsid w:val="00CE3AC6"/>
    <w:rPr>
      <w:sz w:val="16"/>
      <w:szCs w:val="16"/>
    </w:rPr>
  </w:style>
  <w:style w:type="paragraph" w:styleId="BlockText">
    <w:name w:val="Block Text"/>
    <w:basedOn w:val="Normal"/>
    <w:rsid w:val="00CE3AC6"/>
    <w:pPr>
      <w:spacing w:after="120"/>
      <w:ind w:left="1440" w:right="1440"/>
    </w:pPr>
  </w:style>
  <w:style w:type="character" w:styleId="Hyperlink">
    <w:name w:val="Hyperlink"/>
    <w:basedOn w:val="DefaultParagraphFont"/>
    <w:rsid w:val="00CE3AC6"/>
    <w:rPr>
      <w:color w:val="0000FF"/>
      <w:u w:val="single"/>
    </w:rPr>
  </w:style>
  <w:style w:type="character" w:styleId="FollowedHyperlink">
    <w:name w:val="FollowedHyperlink"/>
    <w:basedOn w:val="DefaultParagraphFont"/>
    <w:rsid w:val="00CE3AC6"/>
    <w:rPr>
      <w:color w:val="800080"/>
      <w:u w:val="single"/>
    </w:rPr>
  </w:style>
  <w:style w:type="character" w:styleId="Strong">
    <w:name w:val="Strong"/>
    <w:basedOn w:val="DefaultParagraphFont"/>
    <w:qFormat/>
    <w:rsid w:val="00CE3AC6"/>
    <w:rPr>
      <w:b/>
      <w:bCs/>
    </w:rPr>
  </w:style>
  <w:style w:type="character" w:styleId="Emphasis">
    <w:name w:val="Emphasis"/>
    <w:basedOn w:val="DefaultParagraphFont"/>
    <w:qFormat/>
    <w:rsid w:val="00CE3AC6"/>
    <w:rPr>
      <w:i/>
      <w:iCs/>
    </w:rPr>
  </w:style>
  <w:style w:type="paragraph" w:styleId="DocumentMap">
    <w:name w:val="Document Map"/>
    <w:basedOn w:val="Normal"/>
    <w:link w:val="DocumentMapChar"/>
    <w:rsid w:val="00CE3AC6"/>
    <w:pPr>
      <w:shd w:val="clear" w:color="auto" w:fill="000080"/>
    </w:pPr>
    <w:rPr>
      <w:rFonts w:ascii="Tahoma" w:hAnsi="Tahoma" w:cs="Tahoma"/>
    </w:rPr>
  </w:style>
  <w:style w:type="character" w:customStyle="1" w:styleId="DocumentMapChar">
    <w:name w:val="Document Map Char"/>
    <w:basedOn w:val="DefaultParagraphFont"/>
    <w:link w:val="DocumentMap"/>
    <w:rsid w:val="00CE3AC6"/>
    <w:rPr>
      <w:rFonts w:ascii="Tahoma" w:hAnsi="Tahoma" w:cs="Tahoma"/>
      <w:sz w:val="22"/>
      <w:shd w:val="clear" w:color="auto" w:fill="000080"/>
    </w:rPr>
  </w:style>
  <w:style w:type="paragraph" w:styleId="PlainText">
    <w:name w:val="Plain Text"/>
    <w:basedOn w:val="Normal"/>
    <w:link w:val="PlainTextChar"/>
    <w:rsid w:val="00CE3AC6"/>
    <w:rPr>
      <w:rFonts w:ascii="Courier New" w:hAnsi="Courier New" w:cs="Courier New"/>
      <w:sz w:val="20"/>
    </w:rPr>
  </w:style>
  <w:style w:type="character" w:customStyle="1" w:styleId="PlainTextChar">
    <w:name w:val="Plain Text Char"/>
    <w:basedOn w:val="DefaultParagraphFont"/>
    <w:link w:val="PlainText"/>
    <w:rsid w:val="00CE3AC6"/>
    <w:rPr>
      <w:rFonts w:ascii="Courier New" w:hAnsi="Courier New" w:cs="Courier New"/>
    </w:rPr>
  </w:style>
  <w:style w:type="paragraph" w:styleId="E-mailSignature">
    <w:name w:val="E-mail Signature"/>
    <w:basedOn w:val="Normal"/>
    <w:link w:val="E-mailSignatureChar"/>
    <w:rsid w:val="00CE3AC6"/>
  </w:style>
  <w:style w:type="character" w:customStyle="1" w:styleId="E-mailSignatureChar">
    <w:name w:val="E-mail Signature Char"/>
    <w:basedOn w:val="DefaultParagraphFont"/>
    <w:link w:val="E-mailSignature"/>
    <w:rsid w:val="00CE3AC6"/>
    <w:rPr>
      <w:sz w:val="22"/>
    </w:rPr>
  </w:style>
  <w:style w:type="paragraph" w:styleId="NormalWeb">
    <w:name w:val="Normal (Web)"/>
    <w:basedOn w:val="Normal"/>
    <w:rsid w:val="00CE3AC6"/>
  </w:style>
  <w:style w:type="character" w:styleId="HTMLAcronym">
    <w:name w:val="HTML Acronym"/>
    <w:basedOn w:val="DefaultParagraphFont"/>
    <w:rsid w:val="00CE3AC6"/>
  </w:style>
  <w:style w:type="paragraph" w:styleId="HTMLAddress">
    <w:name w:val="HTML Address"/>
    <w:basedOn w:val="Normal"/>
    <w:link w:val="HTMLAddressChar"/>
    <w:rsid w:val="00CE3AC6"/>
    <w:rPr>
      <w:i/>
      <w:iCs/>
    </w:rPr>
  </w:style>
  <w:style w:type="character" w:customStyle="1" w:styleId="HTMLAddressChar">
    <w:name w:val="HTML Address Char"/>
    <w:basedOn w:val="DefaultParagraphFont"/>
    <w:link w:val="HTMLAddress"/>
    <w:rsid w:val="00CE3AC6"/>
    <w:rPr>
      <w:i/>
      <w:iCs/>
      <w:sz w:val="22"/>
    </w:rPr>
  </w:style>
  <w:style w:type="character" w:styleId="HTMLCite">
    <w:name w:val="HTML Cite"/>
    <w:basedOn w:val="DefaultParagraphFont"/>
    <w:rsid w:val="00CE3AC6"/>
    <w:rPr>
      <w:i/>
      <w:iCs/>
    </w:rPr>
  </w:style>
  <w:style w:type="character" w:styleId="HTMLCode">
    <w:name w:val="HTML Code"/>
    <w:basedOn w:val="DefaultParagraphFont"/>
    <w:rsid w:val="00CE3AC6"/>
    <w:rPr>
      <w:rFonts w:ascii="Courier New" w:hAnsi="Courier New" w:cs="Courier New"/>
      <w:sz w:val="20"/>
      <w:szCs w:val="20"/>
    </w:rPr>
  </w:style>
  <w:style w:type="character" w:styleId="HTMLDefinition">
    <w:name w:val="HTML Definition"/>
    <w:basedOn w:val="DefaultParagraphFont"/>
    <w:rsid w:val="00CE3AC6"/>
    <w:rPr>
      <w:i/>
      <w:iCs/>
    </w:rPr>
  </w:style>
  <w:style w:type="character" w:styleId="HTMLKeyboard">
    <w:name w:val="HTML Keyboard"/>
    <w:basedOn w:val="DefaultParagraphFont"/>
    <w:rsid w:val="00CE3AC6"/>
    <w:rPr>
      <w:rFonts w:ascii="Courier New" w:hAnsi="Courier New" w:cs="Courier New"/>
      <w:sz w:val="20"/>
      <w:szCs w:val="20"/>
    </w:rPr>
  </w:style>
  <w:style w:type="paragraph" w:styleId="HTMLPreformatted">
    <w:name w:val="HTML Preformatted"/>
    <w:basedOn w:val="Normal"/>
    <w:link w:val="HTMLPreformattedChar"/>
    <w:rsid w:val="00CE3AC6"/>
    <w:rPr>
      <w:rFonts w:ascii="Courier New" w:hAnsi="Courier New" w:cs="Courier New"/>
      <w:sz w:val="20"/>
    </w:rPr>
  </w:style>
  <w:style w:type="character" w:customStyle="1" w:styleId="HTMLPreformattedChar">
    <w:name w:val="HTML Preformatted Char"/>
    <w:basedOn w:val="DefaultParagraphFont"/>
    <w:link w:val="HTMLPreformatted"/>
    <w:rsid w:val="00CE3AC6"/>
    <w:rPr>
      <w:rFonts w:ascii="Courier New" w:hAnsi="Courier New" w:cs="Courier New"/>
    </w:rPr>
  </w:style>
  <w:style w:type="character" w:styleId="HTMLSample">
    <w:name w:val="HTML Sample"/>
    <w:basedOn w:val="DefaultParagraphFont"/>
    <w:rsid w:val="00CE3AC6"/>
    <w:rPr>
      <w:rFonts w:ascii="Courier New" w:hAnsi="Courier New" w:cs="Courier New"/>
    </w:rPr>
  </w:style>
  <w:style w:type="character" w:styleId="HTMLTypewriter">
    <w:name w:val="HTML Typewriter"/>
    <w:basedOn w:val="DefaultParagraphFont"/>
    <w:rsid w:val="00CE3AC6"/>
    <w:rPr>
      <w:rFonts w:ascii="Courier New" w:hAnsi="Courier New" w:cs="Courier New"/>
      <w:sz w:val="20"/>
      <w:szCs w:val="20"/>
    </w:rPr>
  </w:style>
  <w:style w:type="character" w:styleId="HTMLVariable">
    <w:name w:val="HTML Variable"/>
    <w:basedOn w:val="DefaultParagraphFont"/>
    <w:rsid w:val="00CE3AC6"/>
    <w:rPr>
      <w:i/>
      <w:iCs/>
    </w:rPr>
  </w:style>
  <w:style w:type="paragraph" w:styleId="CommentSubject">
    <w:name w:val="annotation subject"/>
    <w:basedOn w:val="CommentText"/>
    <w:next w:val="CommentText"/>
    <w:link w:val="CommentSubjectChar"/>
    <w:rsid w:val="00CE3AC6"/>
    <w:rPr>
      <w:b/>
      <w:bCs/>
    </w:rPr>
  </w:style>
  <w:style w:type="character" w:customStyle="1" w:styleId="CommentSubjectChar">
    <w:name w:val="Comment Subject Char"/>
    <w:basedOn w:val="CommentTextChar"/>
    <w:link w:val="CommentSubject"/>
    <w:rsid w:val="00CE3AC6"/>
    <w:rPr>
      <w:b/>
      <w:bCs/>
    </w:rPr>
  </w:style>
  <w:style w:type="numbering" w:styleId="1ai">
    <w:name w:val="Outline List 1"/>
    <w:basedOn w:val="NoList"/>
    <w:rsid w:val="00CE3AC6"/>
    <w:pPr>
      <w:numPr>
        <w:numId w:val="14"/>
      </w:numPr>
    </w:pPr>
  </w:style>
  <w:style w:type="numbering" w:styleId="111111">
    <w:name w:val="Outline List 2"/>
    <w:basedOn w:val="NoList"/>
    <w:rsid w:val="00CE3AC6"/>
    <w:pPr>
      <w:numPr>
        <w:numId w:val="15"/>
      </w:numPr>
    </w:pPr>
  </w:style>
  <w:style w:type="numbering" w:styleId="ArticleSection">
    <w:name w:val="Outline List 3"/>
    <w:basedOn w:val="NoList"/>
    <w:rsid w:val="00CE3AC6"/>
    <w:pPr>
      <w:numPr>
        <w:numId w:val="17"/>
      </w:numPr>
    </w:pPr>
  </w:style>
  <w:style w:type="table" w:styleId="TableSimple1">
    <w:name w:val="Table Simple 1"/>
    <w:basedOn w:val="TableNormal"/>
    <w:rsid w:val="00CE3AC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3AC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3A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E3A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3A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3AC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3AC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3AC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3AC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3AC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3AC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3AC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3AC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3AC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3AC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E3A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3AC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3AC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3AC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3A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3A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3AC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3AC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3AC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3AC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3AC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3A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3A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3A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3AC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3A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E3AC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3AC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3AC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E3AC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3AC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E3A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3AC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3AC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E3AC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3AC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3AC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E3AC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E3AC6"/>
    <w:rPr>
      <w:rFonts w:eastAsia="Times New Roman" w:cs="Times New Roman"/>
      <w:b/>
      <w:kern w:val="28"/>
      <w:sz w:val="24"/>
      <w:lang w:eastAsia="en-AU"/>
    </w:rPr>
  </w:style>
  <w:style w:type="paragraph" w:customStyle="1" w:styleId="ETAsubitem">
    <w:name w:val="ETA(subitem)"/>
    <w:basedOn w:val="OPCParaBase"/>
    <w:rsid w:val="00CE3AC6"/>
    <w:pPr>
      <w:tabs>
        <w:tab w:val="right" w:pos="340"/>
      </w:tabs>
      <w:spacing w:before="60" w:line="240" w:lineRule="auto"/>
      <w:ind w:left="454" w:hanging="454"/>
    </w:pPr>
    <w:rPr>
      <w:sz w:val="20"/>
    </w:rPr>
  </w:style>
  <w:style w:type="paragraph" w:customStyle="1" w:styleId="ETApara">
    <w:name w:val="ETA(para)"/>
    <w:basedOn w:val="OPCParaBase"/>
    <w:rsid w:val="00CE3AC6"/>
    <w:pPr>
      <w:tabs>
        <w:tab w:val="right" w:pos="754"/>
      </w:tabs>
      <w:spacing w:before="60" w:line="240" w:lineRule="auto"/>
      <w:ind w:left="828" w:hanging="828"/>
    </w:pPr>
    <w:rPr>
      <w:sz w:val="20"/>
    </w:rPr>
  </w:style>
  <w:style w:type="paragraph" w:customStyle="1" w:styleId="ETAsubpara">
    <w:name w:val="ETA(subpara)"/>
    <w:basedOn w:val="OPCParaBase"/>
    <w:rsid w:val="00CE3AC6"/>
    <w:pPr>
      <w:tabs>
        <w:tab w:val="right" w:pos="1083"/>
      </w:tabs>
      <w:spacing w:before="60" w:line="240" w:lineRule="auto"/>
      <w:ind w:left="1191" w:hanging="1191"/>
    </w:pPr>
    <w:rPr>
      <w:sz w:val="20"/>
    </w:rPr>
  </w:style>
  <w:style w:type="paragraph" w:customStyle="1" w:styleId="ETAsub-subpara">
    <w:name w:val="ETA(sub-subpara)"/>
    <w:basedOn w:val="OPCParaBase"/>
    <w:rsid w:val="00CE3AC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E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10E7-E9A9-4884-A042-E917851E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20</Pages>
  <Words>5333</Words>
  <Characters>27646</Characters>
  <Application>Microsoft Office Word</Application>
  <DocSecurity>0</DocSecurity>
  <PresentationFormat/>
  <Lines>590</Lines>
  <Paragraphs>319</Paragraphs>
  <ScaleCrop>false</ScaleCrop>
  <HeadingPairs>
    <vt:vector size="2" baseType="variant">
      <vt:variant>
        <vt:lpstr>Title</vt:lpstr>
      </vt:variant>
      <vt:variant>
        <vt:i4>1</vt:i4>
      </vt:variant>
    </vt:vector>
  </HeadingPairs>
  <TitlesOfParts>
    <vt:vector size="1" baseType="lpstr">
      <vt:lpstr>Corporations (FinTech Sandbox Australian Financial Services Licence Exemption) Regulations 2020</vt:lpstr>
    </vt:vector>
  </TitlesOfParts>
  <Manager/>
  <Company/>
  <LinksUpToDate>false</LinksUpToDate>
  <CharactersWithSpaces>32865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2020-03-11T02:41:00Z</cp:lastPrinted>
  <dcterms:created xsi:type="dcterms:W3CDTF">2020-05-25T02:03:00Z</dcterms:created>
  <dcterms:modified xsi:type="dcterms:W3CDTF">2020-05-25T02:03:00Z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Corporations (FinTech Sandbox Australian Financial Services Licence Exemption) Regulations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28 May 2020</vt:lpwstr>
  </property>
  <property fmtid="{D5CDD505-2E9C-101B-9397-08002B2CF9AE}" pid="10" name="Authority">
    <vt:lpwstr>Unk</vt:lpwstr>
  </property>
  <property fmtid="{D5CDD505-2E9C-101B-9397-08002B2CF9AE}" pid="11" name="ID">
    <vt:lpwstr>OPC62952</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28 May 2020</vt:lpwstr>
  </property>
</Properties>
</file>