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02563" w14:textId="4AD641DC" w:rsidR="003E64F9" w:rsidRPr="0022328F" w:rsidRDefault="003E64F9" w:rsidP="003E64F9">
      <w:pPr>
        <w:pStyle w:val="Heading1"/>
        <w:spacing w:before="120" w:after="240"/>
        <w:jc w:val="center"/>
        <w:rPr>
          <w:rFonts w:ascii="Times New Roman" w:hAnsi="Times New Roman" w:cs="Times New Roman"/>
          <w:sz w:val="24"/>
          <w:szCs w:val="24"/>
        </w:rPr>
      </w:pPr>
      <w:r w:rsidRPr="0022328F">
        <w:rPr>
          <w:rFonts w:ascii="Times New Roman" w:hAnsi="Times New Roman" w:cs="Times New Roman"/>
          <w:sz w:val="24"/>
          <w:szCs w:val="24"/>
        </w:rPr>
        <w:t>EXPLANATORY STATEMENT</w:t>
      </w:r>
    </w:p>
    <w:p w14:paraId="2026FA98" w14:textId="1A25F92A" w:rsidR="003E64F9" w:rsidRPr="0022328F" w:rsidRDefault="003E64F9" w:rsidP="003E64F9">
      <w:pPr>
        <w:jc w:val="center"/>
        <w:rPr>
          <w:b/>
        </w:rPr>
      </w:pPr>
      <w:r w:rsidRPr="0022328F">
        <w:rPr>
          <w:b/>
        </w:rPr>
        <w:t>Issued by the Authority of the Minister for Finance</w:t>
      </w:r>
    </w:p>
    <w:p w14:paraId="12685278" w14:textId="77777777" w:rsidR="003E64F9" w:rsidRPr="0022328F" w:rsidRDefault="003E64F9" w:rsidP="003E64F9">
      <w:pPr>
        <w:jc w:val="center"/>
        <w:rPr>
          <w:b/>
        </w:rPr>
      </w:pPr>
    </w:p>
    <w:p w14:paraId="47307061" w14:textId="77777777" w:rsidR="000B2CD2" w:rsidRPr="0022328F" w:rsidRDefault="003E64F9" w:rsidP="00EB3ED0">
      <w:pPr>
        <w:jc w:val="center"/>
        <w:rPr>
          <w:i/>
        </w:rPr>
      </w:pPr>
      <w:r w:rsidRPr="0022328F">
        <w:rPr>
          <w:i/>
        </w:rPr>
        <w:t xml:space="preserve">Public Governance, Performance and Accountability </w:t>
      </w:r>
      <w:r w:rsidR="00241F66" w:rsidRPr="0022328F">
        <w:rPr>
          <w:i/>
        </w:rPr>
        <w:t>Rule 2014</w:t>
      </w:r>
    </w:p>
    <w:p w14:paraId="28540837" w14:textId="77777777" w:rsidR="003E64F9" w:rsidRPr="0022328F" w:rsidRDefault="003E64F9" w:rsidP="003E64F9">
      <w:pPr>
        <w:jc w:val="center"/>
        <w:rPr>
          <w:i/>
        </w:rPr>
      </w:pPr>
    </w:p>
    <w:p w14:paraId="2854AC53" w14:textId="77777777" w:rsidR="00E57909" w:rsidRPr="0022328F" w:rsidRDefault="00241F66" w:rsidP="00241F66">
      <w:pPr>
        <w:jc w:val="center"/>
        <w:rPr>
          <w:i/>
        </w:rPr>
      </w:pPr>
      <w:r w:rsidRPr="0022328F">
        <w:rPr>
          <w:i/>
        </w:rPr>
        <w:t xml:space="preserve">Public Governance, Performance and Accountability Amendment </w:t>
      </w:r>
    </w:p>
    <w:p w14:paraId="3ACBEAB1" w14:textId="00F0EFFC" w:rsidR="003E64F9" w:rsidRPr="0022328F" w:rsidRDefault="00067753" w:rsidP="00241F66">
      <w:pPr>
        <w:jc w:val="center"/>
        <w:rPr>
          <w:i/>
        </w:rPr>
      </w:pPr>
      <w:r>
        <w:rPr>
          <w:i/>
        </w:rPr>
        <w:t>(Consultancy and Non-Consultancy Contract Expenditure Reporting)</w:t>
      </w:r>
      <w:r w:rsidR="00241F66" w:rsidRPr="0022328F">
        <w:rPr>
          <w:i/>
        </w:rPr>
        <w:t xml:space="preserve"> Rules </w:t>
      </w:r>
      <w:r w:rsidR="001D0D82" w:rsidRPr="0022328F">
        <w:rPr>
          <w:i/>
        </w:rPr>
        <w:t>20</w:t>
      </w:r>
      <w:r w:rsidR="00EF194D">
        <w:rPr>
          <w:i/>
        </w:rPr>
        <w:t>20</w:t>
      </w:r>
    </w:p>
    <w:p w14:paraId="3BF7516E" w14:textId="77777777" w:rsidR="00241F66" w:rsidRPr="0022328F" w:rsidRDefault="00241F66" w:rsidP="003E64F9"/>
    <w:p w14:paraId="19FBCD98" w14:textId="5192DF33" w:rsidR="00241F66" w:rsidRPr="0022328F" w:rsidRDefault="00241F66" w:rsidP="003E64F9">
      <w:r w:rsidRPr="0022328F">
        <w:t xml:space="preserve">The </w:t>
      </w:r>
      <w:r w:rsidRPr="0022328F">
        <w:rPr>
          <w:i/>
        </w:rPr>
        <w:t xml:space="preserve">Public Governance, Performance and Accountability Act 2013 </w:t>
      </w:r>
      <w:r w:rsidRPr="0022328F">
        <w:t xml:space="preserve">(PGPA Act) </w:t>
      </w:r>
      <w:r w:rsidR="00656840" w:rsidRPr="0022328F">
        <w:t>and</w:t>
      </w:r>
      <w:r w:rsidR="00CD04A1" w:rsidRPr="0022328F">
        <w:t xml:space="preserve"> the</w:t>
      </w:r>
      <w:r w:rsidR="00656840" w:rsidRPr="0022328F">
        <w:t xml:space="preserve"> </w:t>
      </w:r>
      <w:r w:rsidR="00656840" w:rsidRPr="0022328F">
        <w:rPr>
          <w:i/>
        </w:rPr>
        <w:t xml:space="preserve">Public Governance, Performance and Accountability Rule 2014 </w:t>
      </w:r>
      <w:r w:rsidR="00CD04A1" w:rsidRPr="0022328F">
        <w:t>(PGPA Rule) set</w:t>
      </w:r>
      <w:r w:rsidR="00656840" w:rsidRPr="0022328F">
        <w:t xml:space="preserve"> out a framework</w:t>
      </w:r>
      <w:r w:rsidRPr="0022328F">
        <w:rPr>
          <w:i/>
        </w:rPr>
        <w:t xml:space="preserve"> </w:t>
      </w:r>
      <w:r w:rsidR="00656840" w:rsidRPr="0022328F">
        <w:t>for regulating resource management by Commonwealth entities</w:t>
      </w:r>
      <w:r w:rsidR="006877D5" w:rsidRPr="0022328F">
        <w:t xml:space="preserve"> and companies</w:t>
      </w:r>
      <w:r w:rsidRPr="0022328F">
        <w:t xml:space="preserve">. </w:t>
      </w:r>
      <w:r w:rsidRPr="0022328F" w:rsidDel="001A08DE">
        <w:t xml:space="preserve">Section 101 of the PGPA Act provides that the </w:t>
      </w:r>
      <w:r w:rsidR="00F85D49" w:rsidRPr="0022328F" w:rsidDel="001A08DE">
        <w:t>Finance</w:t>
      </w:r>
      <w:r w:rsidRPr="0022328F" w:rsidDel="001A08DE">
        <w:t xml:space="preserve"> </w:t>
      </w:r>
      <w:r w:rsidR="00625552" w:rsidRPr="0022328F" w:rsidDel="001A08DE">
        <w:t xml:space="preserve">Minister </w:t>
      </w:r>
      <w:r w:rsidRPr="0022328F" w:rsidDel="001A08DE">
        <w:t xml:space="preserve">may make rules by legislative instrument to prescribe matters </w:t>
      </w:r>
      <w:r w:rsidR="00E57909" w:rsidRPr="0022328F">
        <w:t xml:space="preserve">necessary or convenient to be prescribed for carrying out or </w:t>
      </w:r>
      <w:r w:rsidRPr="0022328F" w:rsidDel="001A08DE">
        <w:t>giving effect to the Act.</w:t>
      </w:r>
      <w:r w:rsidR="00EB4044" w:rsidRPr="0022328F">
        <w:t xml:space="preserve"> </w:t>
      </w:r>
    </w:p>
    <w:p w14:paraId="6C0AF185" w14:textId="77777777" w:rsidR="00241F66" w:rsidRPr="0022328F" w:rsidRDefault="00241F66" w:rsidP="003E64F9"/>
    <w:p w14:paraId="7AE06915" w14:textId="77777777" w:rsidR="009D3E5D" w:rsidRPr="0022328F" w:rsidRDefault="009D3E5D" w:rsidP="009D3E5D">
      <w:pPr>
        <w:autoSpaceDE w:val="0"/>
        <w:autoSpaceDN w:val="0"/>
      </w:pPr>
      <w:r w:rsidRPr="0022328F">
        <w:t xml:space="preserve">Under subsection 33(3) of the </w:t>
      </w:r>
      <w:r w:rsidRPr="0022328F">
        <w:rPr>
          <w:i/>
        </w:rPr>
        <w:t>Acts Interpretation Act 1901</w:t>
      </w:r>
      <w:r w:rsidRPr="0022328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E2C4EE1" w14:textId="77777777" w:rsidR="009D3E5D" w:rsidRPr="0022328F" w:rsidRDefault="009D3E5D" w:rsidP="009D3E5D">
      <w:pPr>
        <w:autoSpaceDE w:val="0"/>
        <w:autoSpaceDN w:val="0"/>
      </w:pPr>
    </w:p>
    <w:p w14:paraId="42D109AC" w14:textId="6DC407BD" w:rsidR="00587DB3" w:rsidRDefault="009D3E5D" w:rsidP="00587DB3">
      <w:r w:rsidRPr="0022328F">
        <w:t xml:space="preserve">The </w:t>
      </w:r>
      <w:r w:rsidR="001D0D82" w:rsidRPr="0022328F">
        <w:rPr>
          <w:i/>
        </w:rPr>
        <w:t xml:space="preserve">Public Governance, Performance and Accountability Amendment </w:t>
      </w:r>
      <w:r w:rsidR="00067753">
        <w:rPr>
          <w:i/>
        </w:rPr>
        <w:t>(Consultancy and Non-Consultancy Contract Expenditure Reporting)</w:t>
      </w:r>
      <w:r w:rsidR="00067753" w:rsidRPr="0022328F">
        <w:rPr>
          <w:i/>
        </w:rPr>
        <w:t xml:space="preserve"> </w:t>
      </w:r>
      <w:r w:rsidR="001D0D82" w:rsidRPr="0022328F">
        <w:rPr>
          <w:i/>
        </w:rPr>
        <w:t>Rules 20</w:t>
      </w:r>
      <w:r w:rsidR="00EF194D">
        <w:rPr>
          <w:i/>
        </w:rPr>
        <w:t>20</w:t>
      </w:r>
      <w:r w:rsidR="001D0D82" w:rsidRPr="0022328F">
        <w:rPr>
          <w:i/>
        </w:rPr>
        <w:t xml:space="preserve"> </w:t>
      </w:r>
      <w:r w:rsidRPr="0022328F">
        <w:t>(</w:t>
      </w:r>
      <w:r w:rsidR="004F0A75" w:rsidRPr="0022328F">
        <w:t xml:space="preserve">the </w:t>
      </w:r>
      <w:r w:rsidR="00E86C8D">
        <w:t>Amendment</w:t>
      </w:r>
      <w:r w:rsidR="00C75876" w:rsidRPr="0022328F">
        <w:t xml:space="preserve"> </w:t>
      </w:r>
      <w:r w:rsidR="00656840" w:rsidRPr="0022328F">
        <w:t>Rule</w:t>
      </w:r>
      <w:r w:rsidR="00E86C8D">
        <w:t>s</w:t>
      </w:r>
      <w:r w:rsidRPr="0022328F">
        <w:t>)</w:t>
      </w:r>
      <w:r w:rsidRPr="0022328F">
        <w:rPr>
          <w:i/>
        </w:rPr>
        <w:t xml:space="preserve"> </w:t>
      </w:r>
      <w:r w:rsidRPr="0022328F">
        <w:t>amend</w:t>
      </w:r>
      <w:r w:rsidR="007B2A41" w:rsidRPr="0022328F">
        <w:t>s</w:t>
      </w:r>
      <w:r w:rsidRPr="0022328F">
        <w:t xml:space="preserve"> </w:t>
      </w:r>
      <w:r w:rsidR="005127E7" w:rsidRPr="0022328F">
        <w:t>the PGPA Rule</w:t>
      </w:r>
      <w:r w:rsidR="007236CC" w:rsidRPr="0022328F">
        <w:t xml:space="preserve"> to </w:t>
      </w:r>
      <w:r w:rsidR="009E60DE" w:rsidRPr="0022328F">
        <w:t xml:space="preserve">implement </w:t>
      </w:r>
      <w:r w:rsidR="00376229" w:rsidRPr="0022328F">
        <w:t>Recommendation 38 of the</w:t>
      </w:r>
      <w:r w:rsidR="009E60DE" w:rsidRPr="0022328F">
        <w:t xml:space="preserve"> Independent Review into the operation of the PGPA Act and Rule</w:t>
      </w:r>
      <w:r w:rsidR="008E6D13" w:rsidRPr="0022328F">
        <w:t xml:space="preserve"> (the Review)</w:t>
      </w:r>
      <w:r w:rsidR="008572F1">
        <w:t xml:space="preserve"> undertak</w:t>
      </w:r>
      <w:r w:rsidR="008572F1" w:rsidRPr="008572F1">
        <w:t xml:space="preserve">en by Ms </w:t>
      </w:r>
      <w:r w:rsidR="008572F1" w:rsidRPr="008572F1">
        <w:rPr>
          <w:bCs/>
        </w:rPr>
        <w:t>Elizabeth Alexander</w:t>
      </w:r>
      <w:r w:rsidR="008572F1" w:rsidRPr="008572F1">
        <w:t xml:space="preserve"> AM and Mr </w:t>
      </w:r>
      <w:r w:rsidR="008572F1" w:rsidRPr="008572F1">
        <w:rPr>
          <w:bCs/>
        </w:rPr>
        <w:t xml:space="preserve">David </w:t>
      </w:r>
      <w:proofErr w:type="spellStart"/>
      <w:r w:rsidR="008572F1" w:rsidRPr="008572F1">
        <w:rPr>
          <w:bCs/>
        </w:rPr>
        <w:t>Thodey</w:t>
      </w:r>
      <w:proofErr w:type="spellEnd"/>
      <w:r w:rsidR="008572F1" w:rsidRPr="008572F1">
        <w:t xml:space="preserve"> AO</w:t>
      </w:r>
      <w:r w:rsidR="009E60DE" w:rsidRPr="008572F1">
        <w:t>. Specifically the Ame</w:t>
      </w:r>
      <w:r w:rsidR="003F663F">
        <w:t>ndment</w:t>
      </w:r>
      <w:r w:rsidR="00587DB3">
        <w:t xml:space="preserve"> Rule</w:t>
      </w:r>
      <w:r w:rsidR="003F663F">
        <w:t>s</w:t>
      </w:r>
      <w:r w:rsidR="00587DB3">
        <w:t xml:space="preserve"> </w:t>
      </w:r>
      <w:r w:rsidR="0045522D" w:rsidRPr="003161BF">
        <w:rPr>
          <w:b/>
        </w:rPr>
        <w:t>require</w:t>
      </w:r>
      <w:r w:rsidR="0045522D" w:rsidRPr="0022328F">
        <w:t xml:space="preserve"> the disclosure in non-corporate Commonwealth entities</w:t>
      </w:r>
      <w:r w:rsidR="009B3F5F" w:rsidRPr="0022328F">
        <w:t>’</w:t>
      </w:r>
      <w:r w:rsidR="00587DB3">
        <w:t xml:space="preserve"> annual reports of:</w:t>
      </w:r>
    </w:p>
    <w:p w14:paraId="2FB19D14" w14:textId="74EBA918" w:rsidR="00982751" w:rsidRDefault="0045522D" w:rsidP="00587DB3">
      <w:pPr>
        <w:pStyle w:val="ListParagraph"/>
        <w:numPr>
          <w:ilvl w:val="0"/>
          <w:numId w:val="21"/>
        </w:numPr>
      </w:pPr>
      <w:r w:rsidRPr="0022328F">
        <w:t xml:space="preserve">the number of and expenditure on new </w:t>
      </w:r>
      <w:r w:rsidR="00EF194D" w:rsidRPr="00EF194D">
        <w:rPr>
          <w:lang w:val="en-AU"/>
        </w:rPr>
        <w:t>reportable non</w:t>
      </w:r>
      <w:r w:rsidR="00EF194D" w:rsidRPr="00EF194D">
        <w:rPr>
          <w:lang w:val="en-AU"/>
        </w:rPr>
        <w:noBreakHyphen/>
        <w:t>consultancy contracts</w:t>
      </w:r>
      <w:r w:rsidRPr="00EF194D">
        <w:t xml:space="preserve">, the number of and expenditure on ongoing </w:t>
      </w:r>
      <w:r w:rsidR="00EF194D" w:rsidRPr="00EF194D">
        <w:rPr>
          <w:lang w:val="en-AU"/>
        </w:rPr>
        <w:t>reportable non</w:t>
      </w:r>
      <w:r w:rsidR="00EF194D" w:rsidRPr="00EF194D">
        <w:rPr>
          <w:lang w:val="en-AU"/>
        </w:rPr>
        <w:noBreakHyphen/>
        <w:t>consultancy contracts</w:t>
      </w:r>
      <w:r w:rsidR="00982751" w:rsidRPr="00EF194D">
        <w:t xml:space="preserve">; </w:t>
      </w:r>
    </w:p>
    <w:p w14:paraId="4490C822" w14:textId="4840123F" w:rsidR="00587DB3" w:rsidRPr="0022328F" w:rsidRDefault="00587DB3" w:rsidP="00587DB3">
      <w:pPr>
        <w:pStyle w:val="ListParagraph"/>
        <w:numPr>
          <w:ilvl w:val="0"/>
          <w:numId w:val="21"/>
        </w:numPr>
      </w:pPr>
      <w:r w:rsidRPr="0022328F">
        <w:t xml:space="preserve">the number of and expenditure on new </w:t>
      </w:r>
      <w:r w:rsidRPr="00EF194D">
        <w:rPr>
          <w:lang w:val="en-AU"/>
        </w:rPr>
        <w:t>reportable consultancy contracts</w:t>
      </w:r>
      <w:r w:rsidRPr="00EF194D">
        <w:t xml:space="preserve">, the number of and expenditure on ongoing </w:t>
      </w:r>
      <w:r w:rsidRPr="00EF194D">
        <w:rPr>
          <w:lang w:val="en-AU"/>
        </w:rPr>
        <w:t>reportable consultancy contracts</w:t>
      </w:r>
      <w:r w:rsidRPr="00EF194D">
        <w:t>; and</w:t>
      </w:r>
    </w:p>
    <w:p w14:paraId="0674BDF9" w14:textId="24369C5D" w:rsidR="008F294B" w:rsidRPr="0022328F" w:rsidRDefault="006E55F8" w:rsidP="009E60DE">
      <w:pPr>
        <w:pStyle w:val="ListParagraph"/>
        <w:numPr>
          <w:ilvl w:val="0"/>
          <w:numId w:val="21"/>
        </w:numPr>
      </w:pPr>
      <w:proofErr w:type="spellStart"/>
      <w:proofErr w:type="gramStart"/>
      <w:r w:rsidRPr="00C30D36">
        <w:t>organisations</w:t>
      </w:r>
      <w:proofErr w:type="spellEnd"/>
      <w:proofErr w:type="gramEnd"/>
      <w:r w:rsidRPr="00C30D36">
        <w:t xml:space="preserve"> receiving amounts under reportable consultancy contracts </w:t>
      </w:r>
      <w:r>
        <w:t>or</w:t>
      </w:r>
      <w:r w:rsidRPr="00C30D36">
        <w:t xml:space="preserve"> reportable non</w:t>
      </w:r>
      <w:r>
        <w:noBreakHyphen/>
      </w:r>
      <w:r w:rsidRPr="00C30D36">
        <w:t>consultancy contract</w:t>
      </w:r>
      <w:r>
        <w:t>s</w:t>
      </w:r>
      <w:r w:rsidR="00294D1C" w:rsidRPr="0022328F">
        <w:rPr>
          <w:rFonts w:cstheme="minorHAnsi"/>
        </w:rPr>
        <w:t>.</w:t>
      </w:r>
    </w:p>
    <w:p w14:paraId="36619AB1" w14:textId="77777777" w:rsidR="00DA654A" w:rsidRPr="0022328F" w:rsidRDefault="00DA654A" w:rsidP="00EB4044"/>
    <w:p w14:paraId="414B19A9" w14:textId="19B265C7" w:rsidR="00EB4044" w:rsidRPr="0022328F" w:rsidRDefault="00EB4044" w:rsidP="00EB4044">
      <w:r w:rsidRPr="0022328F">
        <w:t>Under subsection 46(4) of the PGPA Act, the Joint Committee of Public Accounts and Audit (JCPAA) must approve the rules prescribing annual repo</w:t>
      </w:r>
      <w:r w:rsidR="003F663F">
        <w:t>rt requirements. The Amendment</w:t>
      </w:r>
      <w:r w:rsidRPr="0022328F">
        <w:t xml:space="preserve"> Rule</w:t>
      </w:r>
      <w:r w:rsidR="003F663F">
        <w:t>s were</w:t>
      </w:r>
      <w:r w:rsidRPr="0022328F">
        <w:t xml:space="preserve"> approved by the JCPAA on </w:t>
      </w:r>
      <w:r w:rsidR="00F87261" w:rsidRPr="00B761A9">
        <w:t>14 May 2020</w:t>
      </w:r>
      <w:r w:rsidRPr="00B761A9">
        <w:t>.</w:t>
      </w:r>
      <w:r w:rsidRPr="0022328F">
        <w:t xml:space="preserve"> </w:t>
      </w:r>
    </w:p>
    <w:p w14:paraId="6AA2C514" w14:textId="298EE936" w:rsidR="00241F66" w:rsidRPr="0022328F" w:rsidRDefault="00241F66" w:rsidP="003E64F9"/>
    <w:p w14:paraId="016F6E9B" w14:textId="0295E356" w:rsidR="00D513B7" w:rsidRPr="0022328F" w:rsidRDefault="00D513B7" w:rsidP="006978B8">
      <w:r w:rsidRPr="0022328F">
        <w:t xml:space="preserve">Details of the </w:t>
      </w:r>
      <w:r w:rsidR="00A8487E">
        <w:t>Amendment</w:t>
      </w:r>
      <w:r w:rsidR="00656840" w:rsidRPr="0022328F">
        <w:t xml:space="preserve"> Rule</w:t>
      </w:r>
      <w:r w:rsidR="00A8487E">
        <w:t>s</w:t>
      </w:r>
      <w:r w:rsidRPr="0022328F">
        <w:t xml:space="preserve"> are set out at </w:t>
      </w:r>
      <w:r w:rsidRPr="0022328F">
        <w:rPr>
          <w:u w:val="single"/>
        </w:rPr>
        <w:t>Attachment A</w:t>
      </w:r>
      <w:r w:rsidR="000F12E4">
        <w:t xml:space="preserve">. </w:t>
      </w:r>
      <w:r w:rsidRPr="0022328F">
        <w:t xml:space="preserve">A statement of compatibility with human rights is at </w:t>
      </w:r>
      <w:r w:rsidRPr="0022328F">
        <w:rPr>
          <w:u w:val="single"/>
        </w:rPr>
        <w:t>Attachment B</w:t>
      </w:r>
      <w:r w:rsidR="006978B8" w:rsidRPr="0022328F">
        <w:t xml:space="preserve">. </w:t>
      </w:r>
    </w:p>
    <w:p w14:paraId="2AF2D7B9" w14:textId="77777777" w:rsidR="006978B8" w:rsidRPr="0022328F" w:rsidRDefault="006978B8" w:rsidP="006978B8"/>
    <w:p w14:paraId="414A9C84" w14:textId="6A806358" w:rsidR="00D513B7" w:rsidRPr="0022328F" w:rsidRDefault="00D513B7" w:rsidP="00D513B7">
      <w:pPr>
        <w:pStyle w:val="ParaNumbering"/>
        <w:rPr>
          <w:i/>
          <w:szCs w:val="24"/>
        </w:rPr>
      </w:pPr>
      <w:r w:rsidRPr="0022328F">
        <w:rPr>
          <w:szCs w:val="24"/>
        </w:rPr>
        <w:t xml:space="preserve">The </w:t>
      </w:r>
      <w:r w:rsidR="002E518C">
        <w:t>Amendment Rules</w:t>
      </w:r>
      <w:r w:rsidR="00656840" w:rsidRPr="0022328F">
        <w:t xml:space="preserve"> </w:t>
      </w:r>
      <w:r w:rsidR="002E518C">
        <w:rPr>
          <w:szCs w:val="24"/>
        </w:rPr>
        <w:t>are</w:t>
      </w:r>
      <w:r w:rsidR="00F03706" w:rsidRPr="0022328F">
        <w:rPr>
          <w:szCs w:val="24"/>
        </w:rPr>
        <w:t xml:space="preserve"> </w:t>
      </w:r>
      <w:r w:rsidRPr="0022328F">
        <w:rPr>
          <w:szCs w:val="24"/>
        </w:rPr>
        <w:t>a legislative instrument for the purposes of the</w:t>
      </w:r>
      <w:r w:rsidRPr="0022328F">
        <w:rPr>
          <w:i/>
          <w:szCs w:val="24"/>
        </w:rPr>
        <w:t xml:space="preserve"> Legislative Instruments Act 2003</w:t>
      </w:r>
      <w:r w:rsidR="00BF5CE2" w:rsidRPr="0022328F">
        <w:rPr>
          <w:szCs w:val="24"/>
        </w:rPr>
        <w:t xml:space="preserve"> and </w:t>
      </w:r>
      <w:r w:rsidR="00F03706" w:rsidRPr="0022328F">
        <w:rPr>
          <w:szCs w:val="24"/>
        </w:rPr>
        <w:t xml:space="preserve">is </w:t>
      </w:r>
      <w:r w:rsidR="00B3039C" w:rsidRPr="0022328F">
        <w:rPr>
          <w:szCs w:val="24"/>
        </w:rPr>
        <w:t>a disallowable instrument</w:t>
      </w:r>
      <w:r w:rsidRPr="0022328F">
        <w:rPr>
          <w:i/>
          <w:szCs w:val="24"/>
        </w:rPr>
        <w:t xml:space="preserve">.  </w:t>
      </w:r>
    </w:p>
    <w:p w14:paraId="66633DCB" w14:textId="77777777" w:rsidR="003E64F9" w:rsidRPr="0022328F" w:rsidRDefault="003E64F9" w:rsidP="003E64F9"/>
    <w:p w14:paraId="13F5C0AC" w14:textId="13D3985E" w:rsidR="0041464B" w:rsidRPr="0022328F" w:rsidRDefault="00776EAE" w:rsidP="00BC546B">
      <w:r w:rsidRPr="0022328F">
        <w:rPr>
          <w:b/>
        </w:rPr>
        <w:t>Consultation</w:t>
      </w:r>
      <w:r w:rsidR="00F03706" w:rsidRPr="0022328F">
        <w:t xml:space="preserve"> </w:t>
      </w:r>
    </w:p>
    <w:p w14:paraId="3788FC4E" w14:textId="77777777" w:rsidR="009C26C6" w:rsidRPr="0022328F" w:rsidRDefault="009C26C6" w:rsidP="00BC546B"/>
    <w:p w14:paraId="259FB458" w14:textId="2C3A8D3A" w:rsidR="008E6D13" w:rsidRPr="0022328F" w:rsidRDefault="00776EAE" w:rsidP="003E64F9">
      <w:pPr>
        <w:autoSpaceDE w:val="0"/>
        <w:autoSpaceDN w:val="0"/>
      </w:pPr>
      <w:r w:rsidRPr="0022328F">
        <w:t xml:space="preserve">The </w:t>
      </w:r>
      <w:r w:rsidR="002E518C">
        <w:t>Amendment</w:t>
      </w:r>
      <w:r w:rsidR="00FF37B2" w:rsidRPr="0022328F">
        <w:t xml:space="preserve"> Rule</w:t>
      </w:r>
      <w:r w:rsidR="002E518C">
        <w:t>s</w:t>
      </w:r>
      <w:r w:rsidR="004C5151" w:rsidRPr="0022328F">
        <w:t xml:space="preserve"> </w:t>
      </w:r>
      <w:r w:rsidR="002E518C">
        <w:t>were</w:t>
      </w:r>
      <w:r w:rsidR="004F0A75" w:rsidRPr="0022328F">
        <w:t xml:space="preserve"> </w:t>
      </w:r>
      <w:r w:rsidR="00482B5E" w:rsidRPr="0022328F">
        <w:t>developed in consultation with</w:t>
      </w:r>
      <w:r w:rsidR="00F921BD" w:rsidRPr="0022328F">
        <w:t xml:space="preserve"> all </w:t>
      </w:r>
      <w:r w:rsidR="001B7375">
        <w:t xml:space="preserve">non-corporate </w:t>
      </w:r>
      <w:r w:rsidR="00F921BD" w:rsidRPr="0022328F">
        <w:t>Com</w:t>
      </w:r>
      <w:r w:rsidR="00EB4044" w:rsidRPr="0022328F">
        <w:t>monwealth entities</w:t>
      </w:r>
      <w:r w:rsidR="008E6D13" w:rsidRPr="0022328F">
        <w:t xml:space="preserve"> </w:t>
      </w:r>
      <w:r w:rsidR="007F4E10">
        <w:t>and t</w:t>
      </w:r>
      <w:r w:rsidR="00EB4044" w:rsidRPr="0022328F">
        <w:t xml:space="preserve">he </w:t>
      </w:r>
      <w:r w:rsidR="00E24EE5" w:rsidRPr="0022328F">
        <w:t>Office of Parliamentary Counsel</w:t>
      </w:r>
      <w:r w:rsidR="00482B5E" w:rsidRPr="0022328F">
        <w:t>.</w:t>
      </w:r>
      <w:r w:rsidR="008E6D13" w:rsidRPr="0022328F">
        <w:t xml:space="preserve"> The Review sought submissions broadly, including from Commonwealth entities and companies.</w:t>
      </w:r>
    </w:p>
    <w:p w14:paraId="7AE5316E" w14:textId="77777777" w:rsidR="00753E0E" w:rsidRDefault="00753E0E">
      <w:pPr>
        <w:spacing w:after="200" w:line="276" w:lineRule="auto"/>
        <w:rPr>
          <w:b/>
          <w:u w:val="single"/>
        </w:rPr>
      </w:pPr>
      <w:r>
        <w:rPr>
          <w:b/>
          <w:u w:val="single"/>
        </w:rPr>
        <w:br w:type="page"/>
      </w:r>
    </w:p>
    <w:p w14:paraId="367A1CE6" w14:textId="43CBC22E" w:rsidR="007F7E25" w:rsidRPr="0022328F" w:rsidRDefault="007F7E25" w:rsidP="006441E7">
      <w:pPr>
        <w:tabs>
          <w:tab w:val="left" w:pos="1945"/>
        </w:tabs>
        <w:spacing w:after="200" w:line="276" w:lineRule="auto"/>
        <w:jc w:val="right"/>
      </w:pPr>
      <w:r w:rsidRPr="0022328F">
        <w:rPr>
          <w:b/>
          <w:u w:val="single"/>
        </w:rPr>
        <w:lastRenderedPageBreak/>
        <w:t>Attachment A</w:t>
      </w:r>
    </w:p>
    <w:p w14:paraId="3A952F2F" w14:textId="77777777" w:rsidR="00863C58" w:rsidRPr="00863C58" w:rsidRDefault="007F7E25" w:rsidP="00863C58">
      <w:pPr>
        <w:pStyle w:val="NoSpacing"/>
        <w:rPr>
          <w:b/>
          <w:i/>
          <w:u w:val="single"/>
          <w:lang w:val="en-AU"/>
        </w:rPr>
      </w:pPr>
      <w:r w:rsidRPr="0022328F">
        <w:rPr>
          <w:b/>
          <w:u w:val="single"/>
        </w:rPr>
        <w:t xml:space="preserve">Details of the </w:t>
      </w:r>
      <w:r w:rsidR="00863C58" w:rsidRPr="00863C58">
        <w:rPr>
          <w:b/>
          <w:i/>
          <w:u w:val="single"/>
          <w:lang w:val="en-AU"/>
        </w:rPr>
        <w:t xml:space="preserve">Public Governance, Performance and Accountability Amendment </w:t>
      </w:r>
    </w:p>
    <w:p w14:paraId="083FEBEE" w14:textId="72A9BEA2" w:rsidR="00863C58" w:rsidRPr="00863C58" w:rsidRDefault="00067753" w:rsidP="00863C58">
      <w:pPr>
        <w:pStyle w:val="NoSpacing"/>
        <w:rPr>
          <w:b/>
          <w:i/>
          <w:u w:val="single"/>
          <w:lang w:val="en-AU"/>
        </w:rPr>
      </w:pPr>
      <w:r w:rsidRPr="00067753">
        <w:rPr>
          <w:b/>
          <w:i/>
          <w:u w:val="single"/>
          <w:lang w:val="en-AU"/>
        </w:rPr>
        <w:t xml:space="preserve">(Consultancy and Non-Consultancy Contract Expenditure Reporting) </w:t>
      </w:r>
      <w:r w:rsidR="00863C58" w:rsidRPr="00863C58">
        <w:rPr>
          <w:b/>
          <w:i/>
          <w:u w:val="single"/>
          <w:lang w:val="en-AU"/>
        </w:rPr>
        <w:t>Rules 2020</w:t>
      </w:r>
    </w:p>
    <w:p w14:paraId="687D430C" w14:textId="77777777" w:rsidR="007F7E25" w:rsidRPr="0022328F" w:rsidRDefault="007F7E25" w:rsidP="007F7E25">
      <w:pPr>
        <w:pStyle w:val="NoSpacing"/>
        <w:rPr>
          <w:b/>
          <w:i/>
        </w:rPr>
      </w:pPr>
    </w:p>
    <w:p w14:paraId="288214F4" w14:textId="77777777" w:rsidR="007F7E25" w:rsidRPr="0022328F" w:rsidRDefault="007F7E25" w:rsidP="007F7E25">
      <w:pPr>
        <w:rPr>
          <w:b/>
        </w:rPr>
      </w:pPr>
      <w:r w:rsidRPr="0022328F">
        <w:rPr>
          <w:b/>
        </w:rPr>
        <w:t>Section 1—Name of rule</w:t>
      </w:r>
    </w:p>
    <w:p w14:paraId="216A9634" w14:textId="77777777" w:rsidR="007F7E25" w:rsidRPr="0022328F" w:rsidRDefault="007F7E25" w:rsidP="007F7E25"/>
    <w:p w14:paraId="11112043" w14:textId="29D73EB1" w:rsidR="007F7E25" w:rsidRPr="0022328F" w:rsidRDefault="007F7E25" w:rsidP="007F7E25">
      <w:pPr>
        <w:rPr>
          <w:i/>
        </w:rPr>
      </w:pPr>
      <w:r w:rsidRPr="0022328F">
        <w:t xml:space="preserve">This section provides that the title of the </w:t>
      </w:r>
      <w:r w:rsidR="00A653AC" w:rsidRPr="0022328F">
        <w:t xml:space="preserve">instrument </w:t>
      </w:r>
      <w:r w:rsidRPr="0022328F">
        <w:t>is the</w:t>
      </w:r>
      <w:r w:rsidRPr="0022328F">
        <w:rPr>
          <w:i/>
        </w:rPr>
        <w:t xml:space="preserve"> </w:t>
      </w:r>
      <w:r w:rsidR="00E44076" w:rsidRPr="0022328F">
        <w:rPr>
          <w:i/>
        </w:rPr>
        <w:t xml:space="preserve">Public Governance, </w:t>
      </w:r>
      <w:r w:rsidR="00EF194D" w:rsidRPr="00EF194D">
        <w:rPr>
          <w:i/>
        </w:rPr>
        <w:t xml:space="preserve">Performance and Accountability Amendment </w:t>
      </w:r>
      <w:r w:rsidR="00067753">
        <w:rPr>
          <w:i/>
        </w:rPr>
        <w:t>(Consultancy and Non-Consultancy Contract Expenditure Reporting)</w:t>
      </w:r>
      <w:r w:rsidR="00067753" w:rsidRPr="0022328F">
        <w:rPr>
          <w:i/>
        </w:rPr>
        <w:t xml:space="preserve"> </w:t>
      </w:r>
      <w:r w:rsidR="00EF194D" w:rsidRPr="00EF194D">
        <w:rPr>
          <w:i/>
        </w:rPr>
        <w:t>Rules 2020</w:t>
      </w:r>
      <w:r w:rsidR="00FC77B4" w:rsidRPr="0022328F">
        <w:rPr>
          <w:i/>
        </w:rPr>
        <w:t xml:space="preserve"> </w:t>
      </w:r>
      <w:r w:rsidR="006C4F9C" w:rsidRPr="0022328F">
        <w:t>(</w:t>
      </w:r>
      <w:r w:rsidR="005B467E" w:rsidRPr="0022328F">
        <w:t xml:space="preserve">the </w:t>
      </w:r>
      <w:r w:rsidR="002E518C">
        <w:t>Amendment Rules</w:t>
      </w:r>
      <w:r w:rsidR="006C4F9C" w:rsidRPr="0022328F">
        <w:t>)</w:t>
      </w:r>
      <w:r w:rsidR="006C2519" w:rsidRPr="0022328F">
        <w:t>.</w:t>
      </w:r>
    </w:p>
    <w:p w14:paraId="590F55DF" w14:textId="77777777" w:rsidR="007F7E25" w:rsidRPr="0022328F" w:rsidRDefault="007F7E25" w:rsidP="007F7E25"/>
    <w:p w14:paraId="3C5E3A4F" w14:textId="77777777" w:rsidR="007F7E25" w:rsidRPr="0022328F" w:rsidRDefault="007F7E25" w:rsidP="007F7E25">
      <w:pPr>
        <w:rPr>
          <w:b/>
        </w:rPr>
      </w:pPr>
      <w:r w:rsidRPr="0022328F">
        <w:rPr>
          <w:b/>
        </w:rPr>
        <w:t xml:space="preserve">Section 2—Commencement </w:t>
      </w:r>
    </w:p>
    <w:p w14:paraId="05EFAA91" w14:textId="77777777" w:rsidR="007F7E25" w:rsidRPr="0022328F" w:rsidRDefault="007F7E25" w:rsidP="007F7E25"/>
    <w:p w14:paraId="566F2330" w14:textId="77777777" w:rsidR="007F7E25" w:rsidRPr="0022328F" w:rsidRDefault="007F7E25" w:rsidP="007F7E25">
      <w:r w:rsidRPr="0022328F">
        <w:t>This section provides that each provision of the instrument specified in column 1 of the table commences, or is taken to have commenced, in accordance with column 2 of the table.</w:t>
      </w:r>
    </w:p>
    <w:p w14:paraId="00A5D038" w14:textId="77777777" w:rsidR="001777C2" w:rsidRPr="0022328F" w:rsidRDefault="001777C2" w:rsidP="007F7E25"/>
    <w:p w14:paraId="74319768" w14:textId="2D89D528" w:rsidR="001777C2" w:rsidRPr="0022328F" w:rsidRDefault="00527185" w:rsidP="001777C2">
      <w:r w:rsidRPr="0022328F">
        <w:t>The entire instrument</w:t>
      </w:r>
      <w:r w:rsidR="001777C2" w:rsidRPr="0022328F">
        <w:t xml:space="preserve"> commence</w:t>
      </w:r>
      <w:r w:rsidRPr="0022328F">
        <w:t>s</w:t>
      </w:r>
      <w:r w:rsidR="001777C2" w:rsidRPr="0022328F">
        <w:t xml:space="preserve"> on </w:t>
      </w:r>
      <w:r w:rsidR="00A6326A" w:rsidRPr="0022328F">
        <w:t xml:space="preserve">the day </w:t>
      </w:r>
      <w:r w:rsidR="00D31E83" w:rsidRPr="0022328F">
        <w:t>after th</w:t>
      </w:r>
      <w:r w:rsidR="002E518C">
        <w:t>e Amendment</w:t>
      </w:r>
      <w:r w:rsidR="00D31E83" w:rsidRPr="0022328F">
        <w:t xml:space="preserve"> Rule</w:t>
      </w:r>
      <w:r w:rsidR="002E518C">
        <w:t>s are</w:t>
      </w:r>
      <w:r w:rsidR="00D31E83" w:rsidRPr="0022328F">
        <w:t xml:space="preserve"> registered</w:t>
      </w:r>
      <w:r w:rsidR="001777C2" w:rsidRPr="0022328F">
        <w:t xml:space="preserve">. </w:t>
      </w:r>
    </w:p>
    <w:p w14:paraId="2D8A7149" w14:textId="77777777" w:rsidR="001777C2" w:rsidRPr="0022328F" w:rsidRDefault="001777C2" w:rsidP="001777C2">
      <w:pPr>
        <w:rPr>
          <w:highlight w:val="yellow"/>
        </w:rPr>
      </w:pPr>
    </w:p>
    <w:p w14:paraId="3328D051" w14:textId="77777777" w:rsidR="007F7E25" w:rsidRPr="0022328F" w:rsidRDefault="007F7E25" w:rsidP="007F7E25">
      <w:pPr>
        <w:rPr>
          <w:b/>
          <w:i/>
        </w:rPr>
      </w:pPr>
      <w:r w:rsidRPr="0022328F">
        <w:rPr>
          <w:b/>
        </w:rPr>
        <w:t>Section 3—Authority</w:t>
      </w:r>
      <w:r w:rsidRPr="0022328F">
        <w:rPr>
          <w:b/>
          <w:i/>
        </w:rPr>
        <w:t xml:space="preserve"> </w:t>
      </w:r>
    </w:p>
    <w:p w14:paraId="3FCC8240" w14:textId="77777777" w:rsidR="007F7E25" w:rsidRPr="0022328F" w:rsidRDefault="007F7E25" w:rsidP="007F7E25"/>
    <w:p w14:paraId="23ADAE63" w14:textId="75C5537F" w:rsidR="007F7E25" w:rsidRPr="0022328F" w:rsidRDefault="007F7E25" w:rsidP="007F7E25">
      <w:r w:rsidRPr="0022328F">
        <w:t xml:space="preserve">This section states that the </w:t>
      </w:r>
      <w:r w:rsidR="00C93B00">
        <w:t>Amendment</w:t>
      </w:r>
      <w:r w:rsidR="000F23DF" w:rsidRPr="0022328F">
        <w:t xml:space="preserve"> Rule</w:t>
      </w:r>
      <w:r w:rsidR="00C93B00">
        <w:t>s</w:t>
      </w:r>
      <w:r w:rsidR="000F23DF" w:rsidRPr="0022328F">
        <w:t xml:space="preserve"> </w:t>
      </w:r>
      <w:r w:rsidR="00C93B00">
        <w:t>are</w:t>
      </w:r>
      <w:r w:rsidR="005B467E" w:rsidRPr="0022328F">
        <w:t xml:space="preserve"> </w:t>
      </w:r>
      <w:r w:rsidRPr="0022328F">
        <w:t xml:space="preserve">made under the </w:t>
      </w:r>
      <w:r w:rsidRPr="0022328F">
        <w:rPr>
          <w:i/>
        </w:rPr>
        <w:t xml:space="preserve">Public Governance, Performance and Accountability Act 2013 </w:t>
      </w:r>
      <w:r w:rsidRPr="0022328F">
        <w:t>(PGPA Act).</w:t>
      </w:r>
    </w:p>
    <w:p w14:paraId="5907DD56" w14:textId="77777777" w:rsidR="007F7E25" w:rsidRPr="0022328F" w:rsidRDefault="007F7E25" w:rsidP="007F7E25"/>
    <w:p w14:paraId="1DC31020" w14:textId="77777777" w:rsidR="007F7E25" w:rsidRPr="0022328F" w:rsidRDefault="007F7E25" w:rsidP="007F7E25">
      <w:pPr>
        <w:rPr>
          <w:b/>
          <w:i/>
        </w:rPr>
      </w:pPr>
      <w:r w:rsidRPr="0022328F">
        <w:rPr>
          <w:b/>
        </w:rPr>
        <w:t>Section 4—Schedules</w:t>
      </w:r>
      <w:r w:rsidRPr="0022328F">
        <w:rPr>
          <w:b/>
          <w:i/>
        </w:rPr>
        <w:t xml:space="preserve"> </w:t>
      </w:r>
    </w:p>
    <w:p w14:paraId="5F4E53F8" w14:textId="77777777" w:rsidR="007F7E25" w:rsidRPr="0022328F" w:rsidRDefault="007F7E25" w:rsidP="007F7E25"/>
    <w:p w14:paraId="5AF841B6" w14:textId="3B910A61" w:rsidR="007F7E25" w:rsidRPr="0022328F" w:rsidRDefault="007F7E25" w:rsidP="007F7E25">
      <w:r w:rsidRPr="0022328F">
        <w:t>This section provides that each legislative instrument that is specified in a Schedule to th</w:t>
      </w:r>
      <w:r w:rsidR="000F23DF" w:rsidRPr="0022328F">
        <w:t>e</w:t>
      </w:r>
      <w:r w:rsidRPr="0022328F">
        <w:t xml:space="preserve"> </w:t>
      </w:r>
      <w:r w:rsidR="00C93B00">
        <w:t>Amendment</w:t>
      </w:r>
      <w:r w:rsidR="000F23DF" w:rsidRPr="0022328F">
        <w:t xml:space="preserve"> </w:t>
      </w:r>
      <w:r w:rsidR="00C93B00">
        <w:t>Rules are</w:t>
      </w:r>
      <w:r w:rsidRPr="0022328F">
        <w:t xml:space="preserve"> amended or repealed as set out, and that any item in a Schedule to this instrument operates or is applied as specified in the Schedule.</w:t>
      </w:r>
    </w:p>
    <w:p w14:paraId="00FDBD2F" w14:textId="77777777" w:rsidR="007F7E25" w:rsidRPr="0022328F" w:rsidRDefault="007F7E25" w:rsidP="007F7E25"/>
    <w:p w14:paraId="214F744A" w14:textId="77777777" w:rsidR="007F7E25" w:rsidRPr="0022328F" w:rsidRDefault="007F7E25" w:rsidP="007F7E25">
      <w:pPr>
        <w:rPr>
          <w:b/>
        </w:rPr>
      </w:pPr>
      <w:r w:rsidRPr="0022328F">
        <w:rPr>
          <w:b/>
        </w:rPr>
        <w:t>Schedule 1 – Amendments</w:t>
      </w:r>
    </w:p>
    <w:p w14:paraId="002D07EA" w14:textId="77777777" w:rsidR="007F7E25" w:rsidRPr="0022328F" w:rsidRDefault="007F7E25" w:rsidP="007F7E25">
      <w:pPr>
        <w:rPr>
          <w:b/>
        </w:rPr>
      </w:pPr>
    </w:p>
    <w:p w14:paraId="5A95507E" w14:textId="77777777" w:rsidR="00F020B9" w:rsidRPr="0022328F" w:rsidRDefault="007F7E25" w:rsidP="00F020B9">
      <w:pPr>
        <w:rPr>
          <w:b/>
          <w:i/>
        </w:rPr>
      </w:pPr>
      <w:r w:rsidRPr="0022328F">
        <w:rPr>
          <w:b/>
          <w:i/>
        </w:rPr>
        <w:t>Public Governance, Performance and Accountability Rule 2014</w:t>
      </w:r>
    </w:p>
    <w:p w14:paraId="3E50D5F0" w14:textId="77777777" w:rsidR="00CF1191" w:rsidRPr="0022328F" w:rsidRDefault="00CF1191" w:rsidP="00F020B9">
      <w:pPr>
        <w:rPr>
          <w:b/>
        </w:rPr>
      </w:pPr>
    </w:p>
    <w:p w14:paraId="3AF9251B" w14:textId="426B42C1" w:rsidR="00F020B9" w:rsidRPr="0022328F" w:rsidRDefault="0022328F" w:rsidP="00F020B9">
      <w:pPr>
        <w:rPr>
          <w:b/>
          <w:i/>
        </w:rPr>
      </w:pPr>
      <w:r w:rsidRPr="0022328F">
        <w:rPr>
          <w:b/>
        </w:rPr>
        <w:t xml:space="preserve">Item </w:t>
      </w:r>
      <w:r w:rsidR="00EF194D">
        <w:rPr>
          <w:b/>
        </w:rPr>
        <w:t>1</w:t>
      </w:r>
      <w:r w:rsidR="007F7E25" w:rsidRPr="0022328F">
        <w:rPr>
          <w:b/>
        </w:rPr>
        <w:t xml:space="preserve"> – </w:t>
      </w:r>
      <w:r w:rsidR="00826D39" w:rsidRPr="0022328F">
        <w:rPr>
          <w:b/>
        </w:rPr>
        <w:t>Section 4</w:t>
      </w:r>
    </w:p>
    <w:p w14:paraId="03115AFF" w14:textId="77777777" w:rsidR="00F020B9" w:rsidRPr="0022328F" w:rsidRDefault="00F020B9" w:rsidP="00F020B9">
      <w:pPr>
        <w:rPr>
          <w:b/>
          <w:i/>
        </w:rPr>
      </w:pPr>
    </w:p>
    <w:p w14:paraId="0F3399BB" w14:textId="71244386" w:rsidR="00EF194D" w:rsidRDefault="00EF194D" w:rsidP="00826D39">
      <w:r w:rsidRPr="00EF194D">
        <w:t>Th</w:t>
      </w:r>
      <w:r w:rsidR="001E01E7">
        <w:t xml:space="preserve">is item inserts a definition of </w:t>
      </w:r>
      <w:r w:rsidR="001E01E7" w:rsidRPr="001E01E7">
        <w:rPr>
          <w:i/>
        </w:rPr>
        <w:t>“</w:t>
      </w:r>
      <w:r w:rsidRPr="001E01E7">
        <w:rPr>
          <w:i/>
        </w:rPr>
        <w:t>Commonwealth Procurement Rules</w:t>
      </w:r>
      <w:r w:rsidR="001E01E7" w:rsidRPr="001E01E7">
        <w:rPr>
          <w:i/>
        </w:rPr>
        <w:t>”</w:t>
      </w:r>
      <w:r w:rsidRPr="001E01E7">
        <w:rPr>
          <w:i/>
        </w:rPr>
        <w:t xml:space="preserve">, </w:t>
      </w:r>
      <w:r w:rsidR="001E01E7" w:rsidRPr="001E01E7">
        <w:rPr>
          <w:i/>
        </w:rPr>
        <w:t>“</w:t>
      </w:r>
      <w:r w:rsidRPr="001E01E7">
        <w:rPr>
          <w:i/>
        </w:rPr>
        <w:t>reportable consultancy contracts</w:t>
      </w:r>
      <w:r w:rsidR="001E01E7" w:rsidRPr="001E01E7">
        <w:rPr>
          <w:i/>
        </w:rPr>
        <w:t>”</w:t>
      </w:r>
      <w:r w:rsidRPr="001E01E7">
        <w:rPr>
          <w:i/>
        </w:rPr>
        <w:t xml:space="preserve"> and </w:t>
      </w:r>
      <w:r w:rsidR="001E01E7" w:rsidRPr="001E01E7">
        <w:rPr>
          <w:i/>
        </w:rPr>
        <w:t>“</w:t>
      </w:r>
      <w:r w:rsidRPr="001E01E7">
        <w:rPr>
          <w:i/>
        </w:rPr>
        <w:t>reportable non-consultancy contract</w:t>
      </w:r>
      <w:r w:rsidR="001E01E7" w:rsidRPr="001E01E7">
        <w:rPr>
          <w:i/>
        </w:rPr>
        <w:t>”</w:t>
      </w:r>
      <w:r w:rsidRPr="001E01E7">
        <w:rPr>
          <w:i/>
        </w:rPr>
        <w:t xml:space="preserve"> </w:t>
      </w:r>
      <w:r w:rsidRPr="00EF194D">
        <w:t>in section 4 of the PGPA</w:t>
      </w:r>
      <w:r w:rsidR="003465B6">
        <w:t> </w:t>
      </w:r>
      <w:r w:rsidRPr="00EF194D">
        <w:t>Rule.</w:t>
      </w:r>
    </w:p>
    <w:p w14:paraId="2D3D83CD" w14:textId="24535B35" w:rsidR="005C50D0" w:rsidRDefault="005C50D0" w:rsidP="00826D39"/>
    <w:p w14:paraId="737E42ED" w14:textId="528D8518" w:rsidR="005C50D0" w:rsidRDefault="005C50D0" w:rsidP="00826D39">
      <w:r>
        <w:t xml:space="preserve">The </w:t>
      </w:r>
      <w:r w:rsidRPr="001E01E7">
        <w:t>Commonwealth Procurement Rules</w:t>
      </w:r>
      <w:r w:rsidR="001E01E7" w:rsidRPr="001E01E7">
        <w:rPr>
          <w:b/>
        </w:rPr>
        <w:t xml:space="preserve"> </w:t>
      </w:r>
      <w:r w:rsidRPr="001E01E7">
        <w:t>are</w:t>
      </w:r>
      <w:r w:rsidR="00EF194D" w:rsidRPr="00EF194D">
        <w:t xml:space="preserve"> the basic rule set for all Commonwealth procurements and govern the way in which entities undertake their own processes</w:t>
      </w:r>
      <w:r>
        <w:t xml:space="preserve">. The </w:t>
      </w:r>
      <w:r w:rsidR="004F7E90" w:rsidRPr="001E01E7">
        <w:t>Commonwealth Procurement Rules</w:t>
      </w:r>
      <w:r>
        <w:t xml:space="preserve"> are freely </w:t>
      </w:r>
      <w:r w:rsidR="00EF194D">
        <w:t xml:space="preserve">available on the </w:t>
      </w:r>
      <w:r w:rsidR="00FD5274">
        <w:t xml:space="preserve">Australian Government </w:t>
      </w:r>
      <w:r w:rsidR="00EF194D">
        <w:t xml:space="preserve">Department of Finance’s website: </w:t>
      </w:r>
      <w:hyperlink r:id="rId12" w:history="1">
        <w:r w:rsidR="00EF194D">
          <w:rPr>
            <w:rStyle w:val="Hyperlink"/>
          </w:rPr>
          <w:t>www.finance.gov.au/government/procurement/commonwealth-procurement-rules</w:t>
        </w:r>
      </w:hyperlink>
      <w:r w:rsidR="00EF194D">
        <w:t xml:space="preserve">. </w:t>
      </w:r>
    </w:p>
    <w:p w14:paraId="1A37C67C" w14:textId="21B0E571" w:rsidR="00A12186" w:rsidRDefault="00A12186" w:rsidP="00826D39"/>
    <w:p w14:paraId="1A5ED5A1" w14:textId="5C6E113C" w:rsidR="00A12186" w:rsidRDefault="00A12186" w:rsidP="00826D39">
      <w:r>
        <w:t xml:space="preserve">The Commonwealth Procurement Rules are applied as at </w:t>
      </w:r>
      <w:r w:rsidRPr="000F12E4">
        <w:t>20 April 2019.</w:t>
      </w:r>
    </w:p>
    <w:p w14:paraId="25312E52" w14:textId="5B9F2F4C" w:rsidR="008332CE" w:rsidRDefault="008332CE" w:rsidP="00C350AD"/>
    <w:p w14:paraId="04E64EF4" w14:textId="685C72B3" w:rsidR="00116878" w:rsidRDefault="00116878" w:rsidP="00C350AD"/>
    <w:p w14:paraId="3DA92B9F" w14:textId="274174B4" w:rsidR="00116878" w:rsidRDefault="00116878" w:rsidP="00C350AD"/>
    <w:p w14:paraId="1526F822" w14:textId="4C7B9662" w:rsidR="00116878" w:rsidRDefault="00116878" w:rsidP="00C350AD"/>
    <w:p w14:paraId="3C451E85" w14:textId="77777777" w:rsidR="00116878" w:rsidRPr="0022328F" w:rsidRDefault="00116878" w:rsidP="00C350AD"/>
    <w:p w14:paraId="4BDAC2FE" w14:textId="4553604C" w:rsidR="00DA654A" w:rsidRPr="0022328F" w:rsidRDefault="00DA654A" w:rsidP="00DA654A">
      <w:pPr>
        <w:rPr>
          <w:b/>
        </w:rPr>
      </w:pPr>
      <w:r w:rsidRPr="0022328F">
        <w:rPr>
          <w:b/>
        </w:rPr>
        <w:lastRenderedPageBreak/>
        <w:t xml:space="preserve">Item </w:t>
      </w:r>
      <w:r w:rsidR="00AD0AC3">
        <w:rPr>
          <w:b/>
        </w:rPr>
        <w:t>2</w:t>
      </w:r>
      <w:r w:rsidRPr="0022328F">
        <w:rPr>
          <w:b/>
        </w:rPr>
        <w:t xml:space="preserve"> – After paragraph </w:t>
      </w:r>
      <w:proofErr w:type="gramStart"/>
      <w:r w:rsidRPr="0022328F">
        <w:rPr>
          <w:b/>
        </w:rPr>
        <w:t>17AD(</w:t>
      </w:r>
      <w:proofErr w:type="gramEnd"/>
      <w:r w:rsidRPr="0022328F">
        <w:rPr>
          <w:b/>
        </w:rPr>
        <w:t>d)</w:t>
      </w:r>
    </w:p>
    <w:p w14:paraId="22776A42" w14:textId="77777777" w:rsidR="00DA654A" w:rsidRPr="0022328F" w:rsidRDefault="00DA654A" w:rsidP="00DA654A">
      <w:pPr>
        <w:rPr>
          <w:b/>
        </w:rPr>
      </w:pPr>
    </w:p>
    <w:p w14:paraId="1D56E0FE" w14:textId="6E9C1F79" w:rsidR="00DA654A" w:rsidRPr="0022328F" w:rsidRDefault="00DA654A" w:rsidP="00C350AD">
      <w:r w:rsidRPr="0022328F">
        <w:t xml:space="preserve">Item </w:t>
      </w:r>
      <w:r w:rsidR="007425CB">
        <w:t>2</w:t>
      </w:r>
      <w:r w:rsidR="0022328F" w:rsidRPr="0022328F">
        <w:t xml:space="preserve"> </w:t>
      </w:r>
      <w:r w:rsidRPr="0022328F">
        <w:t xml:space="preserve">inserts a technical amendment to add additional information about </w:t>
      </w:r>
      <w:r w:rsidR="00C22912" w:rsidRPr="00C22912">
        <w:t xml:space="preserve">organisations receiving amounts under reportable consultancy contracts or reportable non-consultancy contracts </w:t>
      </w:r>
      <w:r w:rsidRPr="0022328F">
        <w:t>in accordance with section 17AGA, as a man</w:t>
      </w:r>
      <w:r w:rsidR="003465B6">
        <w:t>datory content requirement item</w:t>
      </w:r>
      <w:r w:rsidRPr="0022328F">
        <w:t xml:space="preserve"> for non-corporate Commonwealth entities annual reports.</w:t>
      </w:r>
    </w:p>
    <w:p w14:paraId="3B813088" w14:textId="77777777" w:rsidR="00DA654A" w:rsidRPr="0022328F" w:rsidRDefault="00DA654A" w:rsidP="00C350AD"/>
    <w:p w14:paraId="2F77AA1F" w14:textId="2A33DBDC" w:rsidR="007425CB" w:rsidRDefault="007425CB" w:rsidP="00DA654A">
      <w:pPr>
        <w:rPr>
          <w:b/>
        </w:rPr>
      </w:pPr>
      <w:r>
        <w:rPr>
          <w:b/>
        </w:rPr>
        <w:t xml:space="preserve">Item 3 – Subsection </w:t>
      </w:r>
      <w:proofErr w:type="gramStart"/>
      <w:r>
        <w:rPr>
          <w:b/>
        </w:rPr>
        <w:t>17AG(</w:t>
      </w:r>
      <w:proofErr w:type="gramEnd"/>
      <w:r>
        <w:rPr>
          <w:b/>
        </w:rPr>
        <w:t>6)</w:t>
      </w:r>
    </w:p>
    <w:p w14:paraId="228661BD" w14:textId="4C6DC732" w:rsidR="007425CB" w:rsidRDefault="007425CB" w:rsidP="00DA654A"/>
    <w:p w14:paraId="2A7F9525" w14:textId="6FB595F0" w:rsidR="007425CB" w:rsidRPr="007425CB" w:rsidRDefault="007425CB" w:rsidP="00DA654A">
      <w:r>
        <w:t xml:space="preserve">Item 3 </w:t>
      </w:r>
      <w:r w:rsidR="003465B6">
        <w:t>omits</w:t>
      </w:r>
      <w:r w:rsidR="003465B6" w:rsidRPr="003465B6">
        <w:t xml:space="preserve"> “</w:t>
      </w:r>
      <w:r w:rsidR="003465B6" w:rsidRPr="003465B6">
        <w:rPr>
          <w:i/>
        </w:rPr>
        <w:t>Commonwealth Procurement Rules</w:t>
      </w:r>
      <w:r w:rsidR="003465B6" w:rsidRPr="003465B6">
        <w:t xml:space="preserve">”, </w:t>
      </w:r>
      <w:r w:rsidR="003465B6">
        <w:t xml:space="preserve">and </w:t>
      </w:r>
      <w:r w:rsidR="003465B6" w:rsidRPr="003465B6">
        <w:t>substitute</w:t>
      </w:r>
      <w:r w:rsidR="003465B6">
        <w:t>s</w:t>
      </w:r>
      <w:r w:rsidR="003465B6" w:rsidRPr="003465B6">
        <w:t xml:space="preserve"> “Commonwealth Procurement Rules</w:t>
      </w:r>
      <w:r w:rsidR="003465B6">
        <w:t>”</w:t>
      </w:r>
      <w:r w:rsidR="003465B6" w:rsidRPr="003465B6">
        <w:t xml:space="preserve"> </w:t>
      </w:r>
      <w:r>
        <w:t xml:space="preserve">to align the </w:t>
      </w:r>
      <w:r w:rsidR="00CD26D8">
        <w:t>reference</w:t>
      </w:r>
      <w:r w:rsidR="003465B6">
        <w:t xml:space="preserve"> with the new definition </w:t>
      </w:r>
      <w:r>
        <w:t>in section 4 of the PGPA Rule</w:t>
      </w:r>
      <w:r w:rsidR="003465B6">
        <w:t>, inserted by item 1 of the Amending Rule</w:t>
      </w:r>
      <w:r>
        <w:t xml:space="preserve">. </w:t>
      </w:r>
    </w:p>
    <w:p w14:paraId="4F857D46" w14:textId="77777777" w:rsidR="007425CB" w:rsidRDefault="007425CB" w:rsidP="00DA654A">
      <w:pPr>
        <w:rPr>
          <w:b/>
        </w:rPr>
      </w:pPr>
    </w:p>
    <w:p w14:paraId="714810E6" w14:textId="30E8C0C6" w:rsidR="007425CB" w:rsidRDefault="007425CB" w:rsidP="00DA654A">
      <w:pPr>
        <w:rPr>
          <w:b/>
        </w:rPr>
      </w:pPr>
      <w:r>
        <w:rPr>
          <w:b/>
        </w:rPr>
        <w:t xml:space="preserve">Item 4 – Subsection </w:t>
      </w:r>
      <w:proofErr w:type="gramStart"/>
      <w:r>
        <w:rPr>
          <w:b/>
        </w:rPr>
        <w:t>17AG(</w:t>
      </w:r>
      <w:proofErr w:type="gramEnd"/>
      <w:r>
        <w:rPr>
          <w:b/>
        </w:rPr>
        <w:t>7) (heading)</w:t>
      </w:r>
    </w:p>
    <w:p w14:paraId="6C383150" w14:textId="5D3F1E34" w:rsidR="007425CB" w:rsidRDefault="007425CB" w:rsidP="00DA654A"/>
    <w:p w14:paraId="59769D9C" w14:textId="266052BC" w:rsidR="007425CB" w:rsidRPr="007425CB" w:rsidRDefault="007425CB" w:rsidP="00DA654A">
      <w:r>
        <w:t xml:space="preserve">Item 4 repeals the heading </w:t>
      </w:r>
      <w:r w:rsidRPr="008332CE">
        <w:t xml:space="preserve">and substitutes </w:t>
      </w:r>
      <w:r w:rsidRPr="008332CE">
        <w:rPr>
          <w:i/>
        </w:rPr>
        <w:t>Reportable consultancy contracts</w:t>
      </w:r>
      <w:r w:rsidRPr="008332CE">
        <w:t xml:space="preserve">. This is </w:t>
      </w:r>
      <w:r w:rsidR="001A2C93">
        <w:t xml:space="preserve">a technical amendment. </w:t>
      </w:r>
    </w:p>
    <w:p w14:paraId="0B3DC038" w14:textId="77777777" w:rsidR="007425CB" w:rsidRDefault="007425CB" w:rsidP="00DA654A">
      <w:pPr>
        <w:rPr>
          <w:b/>
        </w:rPr>
      </w:pPr>
    </w:p>
    <w:p w14:paraId="62351253" w14:textId="4E70CFE4" w:rsidR="007425CB" w:rsidRDefault="00D71F3E" w:rsidP="00DA654A">
      <w:pPr>
        <w:rPr>
          <w:b/>
        </w:rPr>
      </w:pPr>
      <w:r>
        <w:rPr>
          <w:b/>
        </w:rPr>
        <w:t xml:space="preserve">Items 5, 6, 7 and 8 </w:t>
      </w:r>
      <w:r w:rsidR="007425CB">
        <w:rPr>
          <w:b/>
        </w:rPr>
        <w:t xml:space="preserve">– Subparagraphs </w:t>
      </w:r>
      <w:proofErr w:type="gramStart"/>
      <w:r w:rsidR="007425CB">
        <w:rPr>
          <w:b/>
        </w:rPr>
        <w:t>17AG(</w:t>
      </w:r>
      <w:proofErr w:type="gramEnd"/>
      <w:r w:rsidR="007425CB">
        <w:rPr>
          <w:b/>
        </w:rPr>
        <w:t>7)(a)(</w:t>
      </w:r>
      <w:proofErr w:type="spellStart"/>
      <w:r w:rsidR="007425CB">
        <w:rPr>
          <w:b/>
        </w:rPr>
        <w:t>i</w:t>
      </w:r>
      <w:proofErr w:type="spellEnd"/>
      <w:r w:rsidR="007425CB">
        <w:rPr>
          <w:b/>
        </w:rPr>
        <w:t>) and (iii)</w:t>
      </w:r>
      <w:r>
        <w:rPr>
          <w:b/>
        </w:rPr>
        <w:t>, Paragraph 17AG(7)(b), Paragraph 17AG(7)(d) and Paragraph 17AG(7)(d)</w:t>
      </w:r>
    </w:p>
    <w:p w14:paraId="47A816C2" w14:textId="6B02A035" w:rsidR="007425CB" w:rsidRDefault="007425CB" w:rsidP="00DA654A"/>
    <w:p w14:paraId="4EC261ED" w14:textId="36D0D296" w:rsidR="008332CE" w:rsidRDefault="008332CE" w:rsidP="00DA654A">
      <w:r>
        <w:t>Items 5, 7 and 8 omit</w:t>
      </w:r>
      <w:r w:rsidR="007425CB">
        <w:t xml:space="preserve"> the term “contracts engaging consultants” and substitutes the term “reportable consultancy contracts”</w:t>
      </w:r>
      <w:r>
        <w:t xml:space="preserve"> </w:t>
      </w:r>
      <w:r w:rsidRPr="008332CE">
        <w:t>in subparagraphs 17AG(7)(a)(</w:t>
      </w:r>
      <w:proofErr w:type="spellStart"/>
      <w:r w:rsidRPr="008332CE">
        <w:t>i</w:t>
      </w:r>
      <w:proofErr w:type="spellEnd"/>
      <w:r w:rsidRPr="008332CE">
        <w:t xml:space="preserve">) and (iii), </w:t>
      </w:r>
      <w:r>
        <w:t>p</w:t>
      </w:r>
      <w:r w:rsidRPr="008332CE">
        <w:t xml:space="preserve">aragraph 17AG(7)(d) and </w:t>
      </w:r>
      <w:r>
        <w:t>p</w:t>
      </w:r>
      <w:r w:rsidRPr="008332CE">
        <w:t>aragraph 17AG(7)(d)</w:t>
      </w:r>
      <w:r>
        <w:t xml:space="preserve"> respectively</w:t>
      </w:r>
      <w:r w:rsidR="007425CB" w:rsidRPr="008332CE">
        <w:t>.</w:t>
      </w:r>
      <w:r w:rsidR="007425CB">
        <w:t xml:space="preserve"> </w:t>
      </w:r>
      <w:r>
        <w:t>Item 6 inserts “reportable” before “consultancy” whenever this term occurs in paragraph 17AG (7</w:t>
      </w:r>
      <w:proofErr w:type="gramStart"/>
      <w:r>
        <w:t>)(</w:t>
      </w:r>
      <w:proofErr w:type="gramEnd"/>
      <w:r>
        <w:t>b).</w:t>
      </w:r>
    </w:p>
    <w:p w14:paraId="79D61BCD" w14:textId="68FBBDDD" w:rsidR="008332CE" w:rsidRDefault="008332CE" w:rsidP="00DA654A"/>
    <w:p w14:paraId="17FE921F" w14:textId="5A42B788" w:rsidR="00223352" w:rsidRDefault="008332CE" w:rsidP="00E7189E">
      <w:r>
        <w:t>This is a change to current legislative requirements.</w:t>
      </w:r>
      <w:r w:rsidR="00057EFE">
        <w:t xml:space="preserve"> Currently, the PGPA Rule</w:t>
      </w:r>
      <w:r w:rsidR="001A2C93">
        <w:t xml:space="preserve"> does not define “contracts for consultancies”</w:t>
      </w:r>
      <w:r w:rsidR="00223352">
        <w:t>. The term</w:t>
      </w:r>
      <w:r w:rsidR="001A2C93">
        <w:t xml:space="preserve"> is therefore taken by its ordinary meaning to include any contract engaging a consultant. Replacing this term with “reportable consultancy contracts”, as inserted by item 1 of the Amending Rule, </w:t>
      </w:r>
      <w:r w:rsidR="00223352">
        <w:t xml:space="preserve">defines the type of contract that an entity must report on. </w:t>
      </w:r>
    </w:p>
    <w:p w14:paraId="3C5F2069" w14:textId="77777777" w:rsidR="007425CB" w:rsidRDefault="007425CB" w:rsidP="00DA654A">
      <w:pPr>
        <w:rPr>
          <w:b/>
        </w:rPr>
      </w:pPr>
    </w:p>
    <w:p w14:paraId="4C9D59D4" w14:textId="18BC9DB0" w:rsidR="00DA654A" w:rsidRPr="0022328F" w:rsidRDefault="00DA654A" w:rsidP="00DA654A">
      <w:pPr>
        <w:rPr>
          <w:b/>
        </w:rPr>
      </w:pPr>
      <w:r w:rsidRPr="0022328F">
        <w:rPr>
          <w:b/>
        </w:rPr>
        <w:t xml:space="preserve">Item </w:t>
      </w:r>
      <w:r w:rsidR="00330C85">
        <w:rPr>
          <w:b/>
        </w:rPr>
        <w:t>9</w:t>
      </w:r>
      <w:r w:rsidRPr="0022328F">
        <w:rPr>
          <w:b/>
        </w:rPr>
        <w:t xml:space="preserve"> – After subsection </w:t>
      </w:r>
      <w:proofErr w:type="gramStart"/>
      <w:r w:rsidRPr="0022328F">
        <w:rPr>
          <w:b/>
        </w:rPr>
        <w:t>17AG(</w:t>
      </w:r>
      <w:proofErr w:type="gramEnd"/>
      <w:r w:rsidRPr="0022328F">
        <w:rPr>
          <w:b/>
        </w:rPr>
        <w:t>7)</w:t>
      </w:r>
    </w:p>
    <w:p w14:paraId="4B8BEBB0" w14:textId="77777777" w:rsidR="00DA654A" w:rsidRPr="0022328F" w:rsidRDefault="00DA654A" w:rsidP="00DA654A"/>
    <w:p w14:paraId="51DD9854" w14:textId="446B6521" w:rsidR="00DA654A" w:rsidRDefault="00DA654A" w:rsidP="00DA654A">
      <w:r w:rsidRPr="0022328F">
        <w:t xml:space="preserve">Item </w:t>
      </w:r>
      <w:r w:rsidR="00330C85">
        <w:t>9</w:t>
      </w:r>
      <w:r w:rsidRPr="0022328F">
        <w:t xml:space="preserve"> inserts a new subsection, subsection </w:t>
      </w:r>
      <w:proofErr w:type="gramStart"/>
      <w:r w:rsidRPr="0022328F">
        <w:t>17AG(</w:t>
      </w:r>
      <w:proofErr w:type="gramEnd"/>
      <w:r w:rsidRPr="0022328F">
        <w:t xml:space="preserve">7A) which establishes a requirement for the annual report of a non-corporate Commonwealth entity to include information on the entities use of </w:t>
      </w:r>
      <w:r w:rsidR="002E1E6D">
        <w:t>report</w:t>
      </w:r>
      <w:r w:rsidR="00711EFC">
        <w:t>able</w:t>
      </w:r>
      <w:r w:rsidR="00330C85">
        <w:t xml:space="preserve"> non-consultancy</w:t>
      </w:r>
      <w:r w:rsidRPr="0022328F">
        <w:t xml:space="preserve"> contracts during the reporting period.</w:t>
      </w:r>
    </w:p>
    <w:p w14:paraId="3D299CBE" w14:textId="049C86DD" w:rsidR="00DA654A" w:rsidRPr="0022328F" w:rsidRDefault="00DA654A" w:rsidP="00DA654A"/>
    <w:p w14:paraId="006EF0C8" w14:textId="613D996F" w:rsidR="00DA654A" w:rsidRPr="0022328F" w:rsidRDefault="00DA654A" w:rsidP="00DA654A">
      <w:r w:rsidRPr="0022328F">
        <w:t xml:space="preserve">Paragraph </w:t>
      </w:r>
      <w:proofErr w:type="gramStart"/>
      <w:r w:rsidRPr="0022328F">
        <w:t>17AG(</w:t>
      </w:r>
      <w:proofErr w:type="gramEnd"/>
      <w:r w:rsidRPr="0022328F">
        <w:t xml:space="preserve">7A)(a) prescribes that the annual report must include a statement summarising the entity’s use of </w:t>
      </w:r>
      <w:r w:rsidR="00711EFC">
        <w:t>reportable non-consultancy</w:t>
      </w:r>
      <w:r w:rsidR="00711EFC" w:rsidRPr="0022328F">
        <w:t xml:space="preserve"> contracts</w:t>
      </w:r>
      <w:r w:rsidRPr="0022328F">
        <w:t xml:space="preserve"> during the reporting period; this summary must include:</w:t>
      </w:r>
    </w:p>
    <w:p w14:paraId="3B17CE45" w14:textId="0E3391AD" w:rsidR="00DA654A" w:rsidRPr="0022328F" w:rsidRDefault="00DA654A" w:rsidP="00DA654A">
      <w:pPr>
        <w:pStyle w:val="ListParagraph"/>
        <w:numPr>
          <w:ilvl w:val="0"/>
          <w:numId w:val="35"/>
        </w:numPr>
      </w:pPr>
      <w:r w:rsidRPr="0022328F">
        <w:t xml:space="preserve">the number of new </w:t>
      </w:r>
      <w:r w:rsidR="00330C85">
        <w:t>reportable non-consultancy contracts</w:t>
      </w:r>
      <w:r w:rsidRPr="0022328F">
        <w:t xml:space="preserve"> that were entered into during the period;</w:t>
      </w:r>
    </w:p>
    <w:p w14:paraId="1B510DF4" w14:textId="77777777" w:rsidR="00DA654A" w:rsidRPr="0022328F" w:rsidRDefault="00DA654A" w:rsidP="00DA654A">
      <w:pPr>
        <w:pStyle w:val="ListParagraph"/>
        <w:numPr>
          <w:ilvl w:val="0"/>
          <w:numId w:val="35"/>
        </w:numPr>
      </w:pPr>
      <w:r w:rsidRPr="0022328F">
        <w:t>the total actual expenditure during the period on all such contracts (inclusive of GST);</w:t>
      </w:r>
    </w:p>
    <w:p w14:paraId="0F910344" w14:textId="24869E99" w:rsidR="00DA654A" w:rsidRPr="0022328F" w:rsidRDefault="00DA654A" w:rsidP="00DA654A">
      <w:pPr>
        <w:pStyle w:val="ListParagraph"/>
        <w:numPr>
          <w:ilvl w:val="0"/>
          <w:numId w:val="35"/>
        </w:numPr>
      </w:pPr>
      <w:r w:rsidRPr="0022328F">
        <w:t xml:space="preserve">the number of ongoing </w:t>
      </w:r>
      <w:r w:rsidR="00330C85">
        <w:t>reportable non-consultancy contracts</w:t>
      </w:r>
      <w:r w:rsidRPr="0022328F">
        <w:t xml:space="preserve"> that were entered into during a previous reporting period;</w:t>
      </w:r>
      <w:r w:rsidR="00330C85">
        <w:t xml:space="preserve"> and</w:t>
      </w:r>
    </w:p>
    <w:p w14:paraId="4936EEF7" w14:textId="7ABFF70F" w:rsidR="00DA654A" w:rsidRPr="0022328F" w:rsidRDefault="00DA654A" w:rsidP="00DA654A">
      <w:pPr>
        <w:pStyle w:val="ListParagraph"/>
        <w:numPr>
          <w:ilvl w:val="0"/>
          <w:numId w:val="35"/>
        </w:numPr>
      </w:pPr>
      <w:proofErr w:type="gramStart"/>
      <w:r w:rsidRPr="0022328F">
        <w:t>the</w:t>
      </w:r>
      <w:proofErr w:type="gramEnd"/>
      <w:r w:rsidRPr="0022328F">
        <w:t xml:space="preserve"> total actual expenditure during the period on those ongoing contracts (inclusive of</w:t>
      </w:r>
      <w:r w:rsidR="006E55F8">
        <w:t> </w:t>
      </w:r>
      <w:r w:rsidRPr="0022328F">
        <w:t>GST).</w:t>
      </w:r>
    </w:p>
    <w:p w14:paraId="5B7A5A76" w14:textId="77777777" w:rsidR="00DA654A" w:rsidRPr="0022328F" w:rsidRDefault="00DA654A" w:rsidP="00DA654A"/>
    <w:p w14:paraId="7FED4DCF" w14:textId="5834EA7F" w:rsidR="00DA654A" w:rsidRPr="0022328F" w:rsidRDefault="00DA654A" w:rsidP="00DA654A">
      <w:r w:rsidRPr="0022328F">
        <w:t xml:space="preserve">Paragraph 17AG(7A)(b) also requires the annual report include a statement indicating that the </w:t>
      </w:r>
      <w:r w:rsidR="002E1E6D">
        <w:t>reported</w:t>
      </w:r>
      <w:r w:rsidRPr="0022328F">
        <w:t xml:space="preserve"> contract information provided in the annual report is done so on an ‘actual’ </w:t>
      </w:r>
      <w:r w:rsidRPr="0022328F">
        <w:lastRenderedPageBreak/>
        <w:t xml:space="preserve">expenditure basis. The statement must also include directions to </w:t>
      </w:r>
      <w:hyperlink r:id="rId13" w:history="1">
        <w:r w:rsidRPr="0022328F">
          <w:rPr>
            <w:rStyle w:val="Hyperlink"/>
            <w:color w:val="auto"/>
          </w:rPr>
          <w:t>www.tenders.gov.au</w:t>
        </w:r>
      </w:hyperlink>
      <w:r w:rsidRPr="0022328F">
        <w:t xml:space="preserve"> where information on the ‘value’ of </w:t>
      </w:r>
      <w:r w:rsidR="00330C85">
        <w:t xml:space="preserve">reportable non-consultancy </w:t>
      </w:r>
      <w:r w:rsidRPr="0022328F">
        <w:t>contract</w:t>
      </w:r>
      <w:r w:rsidR="00330C85">
        <w:t>s</w:t>
      </w:r>
      <w:r w:rsidRPr="0022328F">
        <w:t xml:space="preserve"> is published.</w:t>
      </w:r>
    </w:p>
    <w:p w14:paraId="4DCF0272" w14:textId="77777777" w:rsidR="00DA654A" w:rsidRPr="0022328F" w:rsidRDefault="00DA654A" w:rsidP="00DA654A"/>
    <w:p w14:paraId="76067A5D" w14:textId="77777777" w:rsidR="00833AD3" w:rsidRDefault="000C2B50" w:rsidP="00DA654A">
      <w:r w:rsidRPr="0022328F">
        <w:t xml:space="preserve">There </w:t>
      </w:r>
      <w:r w:rsidR="00592196">
        <w:t>are</w:t>
      </w:r>
      <w:r w:rsidRPr="0022328F">
        <w:t xml:space="preserve"> currently no reporting requirement</w:t>
      </w:r>
      <w:r w:rsidR="00BD0D42">
        <w:t>s</w:t>
      </w:r>
      <w:r w:rsidRPr="0022328F">
        <w:t xml:space="preserve"> for </w:t>
      </w:r>
      <w:r>
        <w:t>reportable non-consultancy contracts</w:t>
      </w:r>
      <w:r w:rsidRPr="0022328F">
        <w:t xml:space="preserve"> in the PGPA Rule</w:t>
      </w:r>
      <w:r>
        <w:t xml:space="preserve">. </w:t>
      </w:r>
    </w:p>
    <w:p w14:paraId="1F94D0E6" w14:textId="77777777" w:rsidR="00833AD3" w:rsidRDefault="00833AD3" w:rsidP="00DA654A"/>
    <w:p w14:paraId="27826690" w14:textId="131173D1" w:rsidR="002B705A" w:rsidRDefault="00DA654A" w:rsidP="00DA654A">
      <w:r w:rsidRPr="0022328F">
        <w:t xml:space="preserve">Non-corporate Commonwealth entities will be required to report the information in the digital form prescribed by the Department of Finance. </w:t>
      </w:r>
    </w:p>
    <w:p w14:paraId="6B09AFBE" w14:textId="533860D1" w:rsidR="00A23255" w:rsidRDefault="00A23255" w:rsidP="00DA654A"/>
    <w:p w14:paraId="34E715A8" w14:textId="55AAB997" w:rsidR="00A23255" w:rsidRPr="00A23255" w:rsidRDefault="00A23255" w:rsidP="00DA654A">
      <w:pPr>
        <w:rPr>
          <w:b/>
        </w:rPr>
      </w:pPr>
      <w:r w:rsidRPr="00A23255">
        <w:rPr>
          <w:b/>
        </w:rPr>
        <w:t xml:space="preserve">Item 10 – Subsection </w:t>
      </w:r>
      <w:proofErr w:type="gramStart"/>
      <w:r w:rsidRPr="00A23255">
        <w:rPr>
          <w:b/>
        </w:rPr>
        <w:t>17AG(</w:t>
      </w:r>
      <w:proofErr w:type="gramEnd"/>
      <w:r w:rsidRPr="00A23255">
        <w:rPr>
          <w:b/>
        </w:rPr>
        <w:t>10) (note)</w:t>
      </w:r>
    </w:p>
    <w:p w14:paraId="38058737" w14:textId="4EF15FDD" w:rsidR="00A23255" w:rsidRDefault="00A23255" w:rsidP="00DA654A"/>
    <w:p w14:paraId="1E023330" w14:textId="77777777" w:rsidR="00C57611" w:rsidRDefault="00A23255" w:rsidP="00A23255">
      <w:r>
        <w:t xml:space="preserve">Item 10 </w:t>
      </w:r>
      <w:r w:rsidR="00A77B9F">
        <w:t xml:space="preserve">omits “Paragraph 5.4 of the </w:t>
      </w:r>
      <w:r w:rsidR="00A77B9F" w:rsidRPr="00A77B9F">
        <w:rPr>
          <w:i/>
        </w:rPr>
        <w:t>Commonwealth Procurement Rules</w:t>
      </w:r>
      <w:r w:rsidR="00A77B9F">
        <w:t xml:space="preserve"> deals with” and substitutes “Paragraphs 5.5 to 5.7 of the Commonwealth Procurement Rules deal with”. </w:t>
      </w:r>
    </w:p>
    <w:p w14:paraId="3F4B9087" w14:textId="77777777" w:rsidR="00C57611" w:rsidRDefault="00C57611" w:rsidP="00A23255"/>
    <w:p w14:paraId="5B2141AD" w14:textId="4C96ADFB" w:rsidR="00A23255" w:rsidRPr="007425CB" w:rsidRDefault="00C57611" w:rsidP="00A23255">
      <w:r>
        <w:t xml:space="preserve">The amendment </w:t>
      </w:r>
      <w:r w:rsidR="00A77B9F">
        <w:t xml:space="preserve">updates the reference to the correct paragraph of the Commonwealth Procurement Rules which deals with Small and </w:t>
      </w:r>
      <w:r w:rsidR="00DD06B1">
        <w:t>M</w:t>
      </w:r>
      <w:r w:rsidR="00A77B9F">
        <w:t>edium Enterprises</w:t>
      </w:r>
      <w:r>
        <w:t>,</w:t>
      </w:r>
      <w:r w:rsidR="00DD06B1">
        <w:t xml:space="preserve"> and aligns </w:t>
      </w:r>
      <w:r w:rsidR="00A23255">
        <w:t xml:space="preserve">the term “Commonwealth Procurement Rules” with the definition in section 4 of the PGPA </w:t>
      </w:r>
      <w:r w:rsidR="00592196">
        <w:t xml:space="preserve">Rule, which refers to the </w:t>
      </w:r>
      <w:r w:rsidR="004F7E90" w:rsidRPr="001E01E7">
        <w:t>Commonwealth Procurement Rules</w:t>
      </w:r>
      <w:r w:rsidR="00592196">
        <w:t xml:space="preserve"> as in force on </w:t>
      </w:r>
      <w:r w:rsidR="00592196" w:rsidRPr="000F12E4">
        <w:t>20 April 2019.</w:t>
      </w:r>
      <w:r w:rsidR="00592196">
        <w:t xml:space="preserve"> </w:t>
      </w:r>
    </w:p>
    <w:p w14:paraId="3E0864F9" w14:textId="0D0154B6" w:rsidR="002B705A" w:rsidRPr="0022328F" w:rsidRDefault="002B705A" w:rsidP="00DA654A"/>
    <w:p w14:paraId="353D0074" w14:textId="446BFD26" w:rsidR="00DA654A" w:rsidRPr="0022328F" w:rsidRDefault="0022328F" w:rsidP="00DA654A">
      <w:pPr>
        <w:rPr>
          <w:b/>
        </w:rPr>
      </w:pPr>
      <w:r w:rsidRPr="0022328F">
        <w:rPr>
          <w:b/>
        </w:rPr>
        <w:t xml:space="preserve">Item </w:t>
      </w:r>
      <w:r w:rsidR="0001402B">
        <w:rPr>
          <w:b/>
        </w:rPr>
        <w:t>11</w:t>
      </w:r>
      <w:r w:rsidR="00DA654A" w:rsidRPr="0022328F">
        <w:rPr>
          <w:b/>
        </w:rPr>
        <w:t xml:space="preserve"> – After section 17AG</w:t>
      </w:r>
      <w:r w:rsidR="00DA654A" w:rsidRPr="0022328F">
        <w:rPr>
          <w:b/>
        </w:rPr>
        <w:br/>
      </w:r>
    </w:p>
    <w:p w14:paraId="00472FEC" w14:textId="034727B2" w:rsidR="00DA654A" w:rsidRPr="0022328F" w:rsidRDefault="00DA654A" w:rsidP="00DA654A">
      <w:r w:rsidRPr="0022328F">
        <w:t xml:space="preserve">Item </w:t>
      </w:r>
      <w:r w:rsidR="0001402B">
        <w:t>11</w:t>
      </w:r>
      <w:r w:rsidRPr="0022328F">
        <w:t xml:space="preserve"> inserts a new section, section 17AGA, which establishes a requirement for the annual report of a non-corporate Commonwealth entity to include information </w:t>
      </w:r>
      <w:r w:rsidR="00D8100A">
        <w:t xml:space="preserve">about </w:t>
      </w:r>
      <w:r w:rsidR="00812514" w:rsidRPr="00812514">
        <w:t>organisations receiving amounts under reportable consultancy or reportable non-consultancy contracts</w:t>
      </w:r>
      <w:r w:rsidR="00D8100A">
        <w:t xml:space="preserve">. </w:t>
      </w:r>
    </w:p>
    <w:p w14:paraId="460612AD" w14:textId="77777777" w:rsidR="00DA654A" w:rsidRPr="0022328F" w:rsidRDefault="00DA654A" w:rsidP="00DA654A"/>
    <w:p w14:paraId="72075B8D" w14:textId="4B1E342A" w:rsidR="00DA654A" w:rsidRPr="0022328F" w:rsidRDefault="00DA654A" w:rsidP="00DA654A">
      <w:r w:rsidRPr="0022328F">
        <w:t xml:space="preserve">The following information about </w:t>
      </w:r>
      <w:r w:rsidR="00812514">
        <w:t>organisations receiving amounts under reportable consultancy contracts</w:t>
      </w:r>
      <w:r w:rsidRPr="0022328F">
        <w:t xml:space="preserve"> must be included in an annual report:</w:t>
      </w:r>
    </w:p>
    <w:p w14:paraId="3297E373" w14:textId="77777777" w:rsidR="00833AD3" w:rsidRDefault="00DA654A" w:rsidP="00833AD3">
      <w:pPr>
        <w:pStyle w:val="ListParagraph"/>
        <w:numPr>
          <w:ilvl w:val="0"/>
          <w:numId w:val="41"/>
        </w:numPr>
        <w:spacing w:after="160" w:line="259" w:lineRule="auto"/>
      </w:pPr>
      <w:r w:rsidRPr="0022328F">
        <w:t xml:space="preserve">if 5 or more </w:t>
      </w:r>
      <w:proofErr w:type="spellStart"/>
      <w:r w:rsidR="00812514">
        <w:t>organisations</w:t>
      </w:r>
      <w:proofErr w:type="spellEnd"/>
      <w:r w:rsidRPr="0022328F">
        <w:t xml:space="preserve"> received amounts under</w:t>
      </w:r>
      <w:r w:rsidR="00D8100A">
        <w:t xml:space="preserve"> reportable</w:t>
      </w:r>
      <w:r w:rsidRPr="0022328F">
        <w:t xml:space="preserve"> consultancy contracts during the period:</w:t>
      </w:r>
    </w:p>
    <w:p w14:paraId="34049AFB" w14:textId="3F3B8561" w:rsidR="00833AD3" w:rsidRDefault="00833AD3" w:rsidP="00833AD3">
      <w:pPr>
        <w:pStyle w:val="ListParagraph"/>
        <w:numPr>
          <w:ilvl w:val="1"/>
          <w:numId w:val="41"/>
        </w:numPr>
        <w:spacing w:after="160" w:line="259" w:lineRule="auto"/>
      </w:pPr>
      <w:r>
        <w:t xml:space="preserve">the names of the </w:t>
      </w:r>
      <w:proofErr w:type="spellStart"/>
      <w:r>
        <w:t>organisations</w:t>
      </w:r>
      <w:proofErr w:type="spellEnd"/>
      <w:r>
        <w:t xml:space="preserve"> who received the 5 largest shares of the entity’s total expenditure on such contracts during the period, and the total amounts they received; and</w:t>
      </w:r>
    </w:p>
    <w:p w14:paraId="63F2C44B" w14:textId="3ECA4722" w:rsidR="00833AD3" w:rsidRDefault="00833AD3" w:rsidP="00833AD3">
      <w:pPr>
        <w:pStyle w:val="ListParagraph"/>
        <w:numPr>
          <w:ilvl w:val="1"/>
          <w:numId w:val="41"/>
        </w:numPr>
        <w:spacing w:after="160" w:line="259" w:lineRule="auto"/>
      </w:pPr>
      <w:proofErr w:type="gramStart"/>
      <w:r>
        <w:t>the</w:t>
      </w:r>
      <w:proofErr w:type="gramEnd"/>
      <w:r>
        <w:t xml:space="preserve"> name of any </w:t>
      </w:r>
      <w:proofErr w:type="spellStart"/>
      <w:r>
        <w:t>organisation</w:t>
      </w:r>
      <w:proofErr w:type="spellEnd"/>
      <w:r>
        <w:t xml:space="preserve"> that, during the period, received one or more amounts under one or more such contracts equal in total to at least 5% of the entity’s total expenditure on such contracts during the period, and the total amount the </w:t>
      </w:r>
      <w:proofErr w:type="spellStart"/>
      <w:r>
        <w:t>organisation</w:t>
      </w:r>
      <w:proofErr w:type="spellEnd"/>
      <w:r>
        <w:t xml:space="preserve"> received.</w:t>
      </w:r>
    </w:p>
    <w:p w14:paraId="40608BB6" w14:textId="0EE3CA42" w:rsidR="00DA654A" w:rsidRPr="0022328F" w:rsidRDefault="00DA654A" w:rsidP="00833AD3">
      <w:pPr>
        <w:pStyle w:val="ListParagraph"/>
        <w:numPr>
          <w:ilvl w:val="0"/>
          <w:numId w:val="41"/>
        </w:numPr>
        <w:spacing w:after="160" w:line="259" w:lineRule="auto"/>
      </w:pPr>
      <w:proofErr w:type="gramStart"/>
      <w:r w:rsidRPr="0022328F">
        <w:t>otherwise</w:t>
      </w:r>
      <w:proofErr w:type="gramEnd"/>
      <w:r w:rsidR="00833AD3">
        <w:t>,</w:t>
      </w:r>
      <w:r w:rsidRPr="0022328F">
        <w:t xml:space="preserve"> </w:t>
      </w:r>
      <w:r w:rsidR="00BC4F69" w:rsidRPr="00D86111">
        <w:t xml:space="preserve">the name of any </w:t>
      </w:r>
      <w:proofErr w:type="spellStart"/>
      <w:r w:rsidR="00812514">
        <w:t>organisation</w:t>
      </w:r>
      <w:proofErr w:type="spellEnd"/>
      <w:r w:rsidR="00BC4F69" w:rsidRPr="00D86111">
        <w:t xml:space="preserve"> who, during the period, received one or more amoun</w:t>
      </w:r>
      <w:r w:rsidR="00BC4F69">
        <w:t>ts under one or more such</w:t>
      </w:r>
      <w:r w:rsidR="00BC4F69" w:rsidRPr="00D86111">
        <w:t xml:space="preserve"> contracts, and the total amount the </w:t>
      </w:r>
      <w:proofErr w:type="spellStart"/>
      <w:r w:rsidR="00812514">
        <w:t>organisation</w:t>
      </w:r>
      <w:proofErr w:type="spellEnd"/>
      <w:r w:rsidR="00BC4F69" w:rsidRPr="00D86111">
        <w:t xml:space="preserve"> received</w:t>
      </w:r>
      <w:r w:rsidRPr="0022328F">
        <w:t>.</w:t>
      </w:r>
    </w:p>
    <w:p w14:paraId="52DCA46D" w14:textId="336A21A9" w:rsidR="00DA654A" w:rsidRPr="0022328F" w:rsidRDefault="00DA654A" w:rsidP="00DA654A">
      <w:r w:rsidRPr="0022328F">
        <w:t xml:space="preserve">The following information about </w:t>
      </w:r>
      <w:r w:rsidR="00812514">
        <w:t>organisations receiving amounts under reportable non-consultancy contracts</w:t>
      </w:r>
      <w:r w:rsidR="00812514" w:rsidRPr="0022328F">
        <w:t xml:space="preserve"> </w:t>
      </w:r>
      <w:r w:rsidRPr="0022328F">
        <w:t>must be included in an annual report:</w:t>
      </w:r>
    </w:p>
    <w:p w14:paraId="52614272" w14:textId="77777777" w:rsidR="00833AD3" w:rsidRDefault="00DA654A" w:rsidP="00833AD3">
      <w:pPr>
        <w:pStyle w:val="ListParagraph"/>
        <w:numPr>
          <w:ilvl w:val="0"/>
          <w:numId w:val="41"/>
        </w:numPr>
        <w:spacing w:after="160" w:line="259" w:lineRule="auto"/>
      </w:pPr>
      <w:r w:rsidRPr="0022328F">
        <w:t xml:space="preserve">if 5 or more </w:t>
      </w:r>
      <w:proofErr w:type="spellStart"/>
      <w:r w:rsidR="00812514">
        <w:t>organisations</w:t>
      </w:r>
      <w:proofErr w:type="spellEnd"/>
      <w:r w:rsidRPr="0022328F">
        <w:t xml:space="preserve"> received amounts under </w:t>
      </w:r>
      <w:r w:rsidR="00833AD3">
        <w:t>reportable non-consultancy contracts</w:t>
      </w:r>
      <w:r w:rsidRPr="0022328F">
        <w:t xml:space="preserve"> during the period:</w:t>
      </w:r>
    </w:p>
    <w:p w14:paraId="4C098888" w14:textId="77777777" w:rsidR="00833AD3" w:rsidRDefault="00833AD3" w:rsidP="00833AD3">
      <w:pPr>
        <w:pStyle w:val="ListParagraph"/>
        <w:numPr>
          <w:ilvl w:val="1"/>
          <w:numId w:val="41"/>
        </w:numPr>
        <w:spacing w:after="160" w:line="259" w:lineRule="auto"/>
      </w:pPr>
      <w:r>
        <w:t xml:space="preserve">the names of the </w:t>
      </w:r>
      <w:proofErr w:type="spellStart"/>
      <w:r>
        <w:t>organisations</w:t>
      </w:r>
      <w:proofErr w:type="spellEnd"/>
      <w:r>
        <w:t xml:space="preserve"> who received the 5 largest shares of the entity’s total expenditure on such contracts during the period, and the total amounts they received;</w:t>
      </w:r>
    </w:p>
    <w:p w14:paraId="4ABEB108" w14:textId="77777777" w:rsidR="00833AD3" w:rsidRDefault="00833AD3" w:rsidP="00833AD3">
      <w:pPr>
        <w:pStyle w:val="ListParagraph"/>
        <w:numPr>
          <w:ilvl w:val="1"/>
          <w:numId w:val="41"/>
        </w:numPr>
        <w:spacing w:after="160" w:line="259" w:lineRule="auto"/>
      </w:pPr>
      <w:proofErr w:type="gramStart"/>
      <w:r>
        <w:t>the</w:t>
      </w:r>
      <w:proofErr w:type="gramEnd"/>
      <w:r>
        <w:t xml:space="preserve"> name of any </w:t>
      </w:r>
      <w:proofErr w:type="spellStart"/>
      <w:r>
        <w:t>organisation</w:t>
      </w:r>
      <w:proofErr w:type="spellEnd"/>
      <w:r>
        <w:t xml:space="preserve"> that, during the period, received one or more amounts under one or more such contracts equal in total to at least 5% of the </w:t>
      </w:r>
      <w:r>
        <w:lastRenderedPageBreak/>
        <w:t xml:space="preserve">entity’s total expenditure on such contracts during the period, and the total amount the </w:t>
      </w:r>
      <w:proofErr w:type="spellStart"/>
      <w:r>
        <w:t>organisation</w:t>
      </w:r>
      <w:proofErr w:type="spellEnd"/>
      <w:r>
        <w:t xml:space="preserve"> received.</w:t>
      </w:r>
    </w:p>
    <w:p w14:paraId="226081A3" w14:textId="5462A2F2" w:rsidR="00DA654A" w:rsidRPr="0022328F" w:rsidRDefault="00DA654A" w:rsidP="00833AD3">
      <w:pPr>
        <w:pStyle w:val="ListParagraph"/>
        <w:numPr>
          <w:ilvl w:val="0"/>
          <w:numId w:val="41"/>
        </w:numPr>
        <w:spacing w:after="160" w:line="259" w:lineRule="auto"/>
      </w:pPr>
      <w:proofErr w:type="gramStart"/>
      <w:r w:rsidRPr="0022328F">
        <w:t>otherwise</w:t>
      </w:r>
      <w:proofErr w:type="gramEnd"/>
      <w:r w:rsidR="00833AD3">
        <w:t>,</w:t>
      </w:r>
      <w:r w:rsidRPr="0022328F">
        <w:t xml:space="preserve"> </w:t>
      </w:r>
      <w:r w:rsidR="00BC4F69" w:rsidRPr="00D86111">
        <w:t xml:space="preserve">the name of any </w:t>
      </w:r>
      <w:proofErr w:type="spellStart"/>
      <w:r w:rsidR="00812514">
        <w:t>organisation</w:t>
      </w:r>
      <w:proofErr w:type="spellEnd"/>
      <w:r w:rsidR="00BC4F69" w:rsidRPr="00D86111">
        <w:t xml:space="preserve"> who, during the period, received one or more amounts under one or more </w:t>
      </w:r>
      <w:r w:rsidR="00BC4F69">
        <w:t>such</w:t>
      </w:r>
      <w:r w:rsidR="00BC4F69" w:rsidRPr="00D86111">
        <w:t xml:space="preserve"> contracts, and the total amount the </w:t>
      </w:r>
      <w:proofErr w:type="spellStart"/>
      <w:r w:rsidR="00812514">
        <w:t>organisation</w:t>
      </w:r>
      <w:proofErr w:type="spellEnd"/>
      <w:r w:rsidR="00BC4F69" w:rsidRPr="00D86111">
        <w:t xml:space="preserve"> received</w:t>
      </w:r>
      <w:r w:rsidRPr="0022328F">
        <w:t>.</w:t>
      </w:r>
    </w:p>
    <w:p w14:paraId="6B5A1930" w14:textId="1B313557" w:rsidR="00DA654A" w:rsidRPr="0022328F" w:rsidRDefault="00DA654A" w:rsidP="00DA654A">
      <w:pPr>
        <w:rPr>
          <w:rFonts w:cstheme="minorHAnsi"/>
        </w:rPr>
      </w:pPr>
      <w:r w:rsidRPr="0022328F">
        <w:rPr>
          <w:rFonts w:cstheme="minorHAnsi"/>
        </w:rPr>
        <w:t>The additional reporting requirements seek to improve transparency and accountability without duplicating infor</w:t>
      </w:r>
      <w:r w:rsidR="004B0F58">
        <w:rPr>
          <w:rFonts w:cstheme="minorHAnsi"/>
        </w:rPr>
        <w:t xml:space="preserve">mation already available on </w:t>
      </w:r>
      <w:proofErr w:type="spellStart"/>
      <w:r w:rsidR="004B0F58">
        <w:rPr>
          <w:rFonts w:cstheme="minorHAnsi"/>
        </w:rPr>
        <w:t>AusT</w:t>
      </w:r>
      <w:r w:rsidRPr="0022328F">
        <w:rPr>
          <w:rFonts w:cstheme="minorHAnsi"/>
        </w:rPr>
        <w:t>ender</w:t>
      </w:r>
      <w:proofErr w:type="spellEnd"/>
      <w:r w:rsidRPr="0022328F">
        <w:rPr>
          <w:rFonts w:cstheme="minorHAnsi"/>
        </w:rPr>
        <w:t xml:space="preserve"> and </w:t>
      </w:r>
      <w:r w:rsidR="004B0F58">
        <w:rPr>
          <w:rFonts w:cstheme="minorHAnsi"/>
        </w:rPr>
        <w:t xml:space="preserve">provided in annual reports. </w:t>
      </w:r>
      <w:proofErr w:type="spellStart"/>
      <w:r w:rsidR="004B0F58">
        <w:rPr>
          <w:rFonts w:cstheme="minorHAnsi"/>
        </w:rPr>
        <w:t>AusT</w:t>
      </w:r>
      <w:r w:rsidRPr="0022328F">
        <w:rPr>
          <w:rFonts w:cstheme="minorHAnsi"/>
        </w:rPr>
        <w:t>ender</w:t>
      </w:r>
      <w:proofErr w:type="spellEnd"/>
      <w:r w:rsidRPr="0022328F">
        <w:rPr>
          <w:rFonts w:cstheme="minorHAnsi"/>
        </w:rPr>
        <w:t xml:space="preserve"> only captures the contract value of contracts over $10,000, it does not capture financial year expenditure of those contracts. </w:t>
      </w:r>
    </w:p>
    <w:p w14:paraId="7A853182" w14:textId="77777777" w:rsidR="00DA654A" w:rsidRPr="0022328F" w:rsidRDefault="00DA654A" w:rsidP="00DA654A"/>
    <w:p w14:paraId="62C937CB" w14:textId="2E8C0831" w:rsidR="00DA654A" w:rsidRPr="0022328F" w:rsidRDefault="00DA654A" w:rsidP="00DA654A">
      <w:r w:rsidRPr="0022328F">
        <w:t>Detailed reporting in annual reports on actual s</w:t>
      </w:r>
      <w:r w:rsidR="00812514">
        <w:t xml:space="preserve">pending on consultancy contracts </w:t>
      </w:r>
      <w:r w:rsidRPr="0022328F">
        <w:t xml:space="preserve">in a reporting period, as well as information on spending on </w:t>
      </w:r>
      <w:r w:rsidR="00812514">
        <w:t>non-consultancy contracts</w:t>
      </w:r>
      <w:r w:rsidRPr="0022328F">
        <w:t xml:space="preserve"> more broadly, will improve transparency of government spending.</w:t>
      </w:r>
    </w:p>
    <w:p w14:paraId="5C6E526B" w14:textId="77777777" w:rsidR="00DA654A" w:rsidRPr="0022328F" w:rsidRDefault="00DA654A" w:rsidP="00DA654A"/>
    <w:p w14:paraId="0F5CAD63" w14:textId="315CCFE6" w:rsidR="00DA654A" w:rsidRDefault="00DA654A" w:rsidP="00DA654A">
      <w:r w:rsidRPr="0022328F">
        <w:t>Non-corporate Commonwealth entities will be required to report the information in the digital form prescribed by the Department of Finance.</w:t>
      </w:r>
    </w:p>
    <w:p w14:paraId="50A07CE6" w14:textId="0DE8613A" w:rsidR="00592196" w:rsidRDefault="00592196" w:rsidP="00DA654A"/>
    <w:p w14:paraId="26E69629" w14:textId="6294848F" w:rsidR="00592196" w:rsidRDefault="00592196" w:rsidP="00DA654A">
      <w:pPr>
        <w:rPr>
          <w:b/>
        </w:rPr>
      </w:pPr>
      <w:r w:rsidRPr="00592196">
        <w:rPr>
          <w:b/>
        </w:rPr>
        <w:t>Ite</w:t>
      </w:r>
      <w:r w:rsidR="00DA2E77">
        <w:rPr>
          <w:b/>
        </w:rPr>
        <w:t>ms 12 and 13 – Section 29AA</w:t>
      </w:r>
    </w:p>
    <w:p w14:paraId="2184C69D" w14:textId="77777777" w:rsidR="00592196" w:rsidRDefault="00592196" w:rsidP="00DA654A"/>
    <w:p w14:paraId="7E187D7F" w14:textId="4D43EEE4" w:rsidR="00592196" w:rsidRDefault="00DA2E77" w:rsidP="00DA654A">
      <w:r>
        <w:t xml:space="preserve">Items 12 and </w:t>
      </w:r>
      <w:r w:rsidR="00592196">
        <w:t xml:space="preserve">13 </w:t>
      </w:r>
      <w:r>
        <w:t>omit</w:t>
      </w:r>
      <w:r w:rsidRPr="003465B6">
        <w:t xml:space="preserve"> “</w:t>
      </w:r>
      <w:r>
        <w:t xml:space="preserve">the </w:t>
      </w:r>
      <w:r w:rsidRPr="003465B6">
        <w:rPr>
          <w:i/>
        </w:rPr>
        <w:t>Commonwealth Procurement Rules</w:t>
      </w:r>
      <w:r>
        <w:rPr>
          <w:i/>
        </w:rPr>
        <w:t xml:space="preserve"> </w:t>
      </w:r>
      <w:r w:rsidRPr="00DA2E77">
        <w:t>for</w:t>
      </w:r>
      <w:r>
        <w:t xml:space="preserve">” and </w:t>
      </w:r>
      <w:r>
        <w:br/>
        <w:t xml:space="preserve">the </w:t>
      </w:r>
      <w:r w:rsidR="0028638D">
        <w:t>“</w:t>
      </w:r>
      <w:r w:rsidRPr="00DA2E77">
        <w:rPr>
          <w:i/>
        </w:rPr>
        <w:t>Commonwealth Procurement Rules</w:t>
      </w:r>
      <w:r>
        <w:t xml:space="preserve"> apply” and </w:t>
      </w:r>
      <w:r w:rsidRPr="003465B6">
        <w:t>substitute</w:t>
      </w:r>
      <w:r>
        <w:t>s</w:t>
      </w:r>
      <w:r w:rsidRPr="003465B6">
        <w:t xml:space="preserve"> “</w:t>
      </w:r>
      <w:r>
        <w:t xml:space="preserve">the </w:t>
      </w:r>
      <w:r w:rsidRPr="003465B6">
        <w:t>Commonwealth Procurement Rules</w:t>
      </w:r>
      <w:r>
        <w:t xml:space="preserve"> for”</w:t>
      </w:r>
      <w:r w:rsidRPr="003465B6">
        <w:t xml:space="preserve"> </w:t>
      </w:r>
      <w:r>
        <w:t xml:space="preserve">and “the Commonwealth Procurement Rules apply” respectively. </w:t>
      </w:r>
      <w:r w:rsidR="00072977">
        <w:t>These items</w:t>
      </w:r>
      <w:r>
        <w:t xml:space="preserve"> align the reference </w:t>
      </w:r>
      <w:r w:rsidR="00FA0FDA">
        <w:t xml:space="preserve">to the Commonwealth Procurement Rules </w:t>
      </w:r>
      <w:r>
        <w:t xml:space="preserve">with the new definition in section 4 of the PGPA Rule, inserted by item 1 of the Amending Rule. </w:t>
      </w:r>
    </w:p>
    <w:p w14:paraId="2F925ACE" w14:textId="306490C8" w:rsidR="00DA2E77" w:rsidRDefault="00DA2E77" w:rsidP="00DA654A"/>
    <w:p w14:paraId="71D9D78E" w14:textId="10AB2C0A" w:rsidR="00DA2E77" w:rsidRDefault="00DA2E77" w:rsidP="00DA2E77">
      <w:pPr>
        <w:rPr>
          <w:b/>
        </w:rPr>
      </w:pPr>
      <w:r w:rsidRPr="00592196">
        <w:rPr>
          <w:b/>
        </w:rPr>
        <w:t>Items 14 –</w:t>
      </w:r>
      <w:r>
        <w:rPr>
          <w:b/>
        </w:rPr>
        <w:t xml:space="preserve"> </w:t>
      </w:r>
      <w:r w:rsidRPr="00592196">
        <w:rPr>
          <w:b/>
        </w:rPr>
        <w:t xml:space="preserve">Subsection </w:t>
      </w:r>
      <w:proofErr w:type="gramStart"/>
      <w:r w:rsidRPr="00592196">
        <w:rPr>
          <w:b/>
        </w:rPr>
        <w:t>29AA(</w:t>
      </w:r>
      <w:proofErr w:type="gramEnd"/>
      <w:r w:rsidRPr="00592196">
        <w:rPr>
          <w:b/>
        </w:rPr>
        <w:t>2)</w:t>
      </w:r>
    </w:p>
    <w:p w14:paraId="1D1322CC" w14:textId="77777777" w:rsidR="00DA2E77" w:rsidRDefault="00DA2E77" w:rsidP="00DA654A"/>
    <w:p w14:paraId="10BB10F5" w14:textId="0ECE45CC" w:rsidR="00A77B9F" w:rsidRDefault="004C56AF" w:rsidP="00DA654A">
      <w:r>
        <w:t xml:space="preserve">Item 14 omits </w:t>
      </w:r>
      <w:r w:rsidRPr="004C56AF">
        <w:t>“</w:t>
      </w:r>
      <w:r w:rsidRPr="004C56AF">
        <w:rPr>
          <w:i/>
        </w:rPr>
        <w:t>Commonwealth Procurement Rules</w:t>
      </w:r>
      <w:r w:rsidRPr="004C56AF">
        <w:t xml:space="preserve"> (as in force from time to time for the purposes of section 1</w:t>
      </w:r>
      <w:r>
        <w:t xml:space="preserve">05B of the Act)” and </w:t>
      </w:r>
      <w:r w:rsidRPr="004C56AF">
        <w:t>substitute</w:t>
      </w:r>
      <w:r>
        <w:t>s</w:t>
      </w:r>
      <w:r w:rsidRPr="004C56AF">
        <w:t xml:space="preserve"> “Commonwealth Procurement Rules”.</w:t>
      </w:r>
      <w:r>
        <w:t xml:space="preserve"> This item aligns the reference to the Commonwealth Procurement Rules with the new definition in section 4 of the PGPA Rule, inserted by item 1 of the Amending Rule.</w:t>
      </w:r>
    </w:p>
    <w:p w14:paraId="0417E096" w14:textId="77777777" w:rsidR="004C56AF" w:rsidRDefault="004C56AF" w:rsidP="00DA654A"/>
    <w:p w14:paraId="001A5860" w14:textId="7BCE21E9" w:rsidR="00A77B9F" w:rsidRPr="00A77B9F" w:rsidRDefault="00A77B9F" w:rsidP="00DA654A">
      <w:pPr>
        <w:rPr>
          <w:b/>
        </w:rPr>
      </w:pPr>
      <w:r w:rsidRPr="00A77B9F">
        <w:rPr>
          <w:b/>
        </w:rPr>
        <w:t xml:space="preserve">Item 15 – Paragraph </w:t>
      </w:r>
      <w:proofErr w:type="gramStart"/>
      <w:r w:rsidRPr="00A77B9F">
        <w:rPr>
          <w:b/>
        </w:rPr>
        <w:t>29AA(</w:t>
      </w:r>
      <w:proofErr w:type="gramEnd"/>
      <w:r w:rsidRPr="00A77B9F">
        <w:rPr>
          <w:b/>
        </w:rPr>
        <w:t>3)(a)</w:t>
      </w:r>
    </w:p>
    <w:p w14:paraId="2DF7D1BF" w14:textId="52BDBD49" w:rsidR="00A77B9F" w:rsidRDefault="00A77B9F" w:rsidP="00DA654A"/>
    <w:p w14:paraId="54136B1E" w14:textId="0FF7C8D6" w:rsidR="00A77B9F" w:rsidRDefault="00C57611" w:rsidP="00DA654A">
      <w:r>
        <w:t xml:space="preserve">Item 15 omits “rules 4.7 and 4.8” wherever occurring, and substitutes “rules 4.9 and 4.10”. The amendment updates the reference to the correct paragraph of the Commonwealth Procurement Rules which deals with </w:t>
      </w:r>
      <w:r w:rsidRPr="00C57611">
        <w:t>Procurement-connected policies</w:t>
      </w:r>
      <w:r>
        <w:t xml:space="preserve">. </w:t>
      </w:r>
    </w:p>
    <w:p w14:paraId="0A388ECF" w14:textId="77777777" w:rsidR="00A77B9F" w:rsidRDefault="00A77B9F" w:rsidP="00DA654A"/>
    <w:p w14:paraId="5346D0B1" w14:textId="46432943" w:rsidR="00A77B9F" w:rsidRPr="00A77B9F" w:rsidRDefault="00A77B9F" w:rsidP="00DA654A">
      <w:pPr>
        <w:rPr>
          <w:b/>
        </w:rPr>
      </w:pPr>
      <w:r w:rsidRPr="00A77B9F">
        <w:rPr>
          <w:b/>
        </w:rPr>
        <w:t xml:space="preserve">Item 16 – Paragraph </w:t>
      </w:r>
      <w:proofErr w:type="gramStart"/>
      <w:r w:rsidRPr="00A77B9F">
        <w:rPr>
          <w:b/>
        </w:rPr>
        <w:t>29AA(</w:t>
      </w:r>
      <w:proofErr w:type="gramEnd"/>
      <w:r w:rsidRPr="00A77B9F">
        <w:rPr>
          <w:b/>
        </w:rPr>
        <w:t>3)(b)</w:t>
      </w:r>
    </w:p>
    <w:p w14:paraId="4C58D145" w14:textId="77777777" w:rsidR="00A77B9F" w:rsidRPr="00592196" w:rsidRDefault="00A77B9F" w:rsidP="00DA654A"/>
    <w:p w14:paraId="03DBA238" w14:textId="2C0181CE" w:rsidR="00C57611" w:rsidRDefault="00C57611" w:rsidP="00C57611">
      <w:r>
        <w:t>Item 1</w:t>
      </w:r>
      <w:r w:rsidR="00072977">
        <w:t>6</w:t>
      </w:r>
      <w:r>
        <w:t xml:space="preserve"> omits “rules 4.9 and 4.10” and substitutes “rules 4.11 and 4.12”. The amendment updates the reference to the correct paragraph of the Commonwealth Procurement Rules which deals with </w:t>
      </w:r>
      <w:proofErr w:type="gramStart"/>
      <w:r>
        <w:t>Coordinated</w:t>
      </w:r>
      <w:proofErr w:type="gramEnd"/>
      <w:r>
        <w:t xml:space="preserve"> procurement. </w:t>
      </w:r>
    </w:p>
    <w:p w14:paraId="3F0F62D9" w14:textId="2DAB51E5" w:rsidR="00C52B4C" w:rsidRDefault="00C52B4C" w:rsidP="00C57611"/>
    <w:p w14:paraId="20719855" w14:textId="3B48C4FF" w:rsidR="00C52B4C" w:rsidRPr="00C52B4C" w:rsidRDefault="00C52B4C" w:rsidP="00C57611">
      <w:pPr>
        <w:rPr>
          <w:b/>
        </w:rPr>
      </w:pPr>
      <w:r w:rsidRPr="00C52B4C">
        <w:rPr>
          <w:b/>
        </w:rPr>
        <w:t>Item 17 – In the appropriate position in Chapter 5</w:t>
      </w:r>
    </w:p>
    <w:p w14:paraId="71BA333D" w14:textId="1044599F" w:rsidR="00C52B4C" w:rsidRDefault="00C52B4C" w:rsidP="00C57611"/>
    <w:p w14:paraId="36A0E87D" w14:textId="62DD3EFB" w:rsidR="00C52B4C" w:rsidRDefault="00C52B4C" w:rsidP="00C52B4C">
      <w:r w:rsidRPr="009C27C9">
        <w:t>Item 1</w:t>
      </w:r>
      <w:r>
        <w:t>7</w:t>
      </w:r>
      <w:r w:rsidRPr="009C27C9">
        <w:t xml:space="preserve"> inserts and creates a new </w:t>
      </w:r>
      <w:r w:rsidRPr="009C27C9">
        <w:rPr>
          <w:i/>
        </w:rPr>
        <w:t xml:space="preserve">Part </w:t>
      </w:r>
      <w:r>
        <w:rPr>
          <w:i/>
        </w:rPr>
        <w:t>7</w:t>
      </w:r>
      <w:r w:rsidRPr="009C27C9">
        <w:rPr>
          <w:i/>
        </w:rPr>
        <w:t xml:space="preserve"> – </w:t>
      </w:r>
      <w:r w:rsidRPr="00C52B4C">
        <w:rPr>
          <w:rStyle w:val="CharPartText"/>
          <w:i/>
        </w:rPr>
        <w:t xml:space="preserve">Amendments made by the Public Governance, Performance and Accountability Amendment </w:t>
      </w:r>
      <w:r w:rsidR="00067753">
        <w:rPr>
          <w:i/>
        </w:rPr>
        <w:t>(Consultancy and Non-Consultancy Contract Expenditure Reporting)</w:t>
      </w:r>
      <w:r w:rsidRPr="00C52B4C">
        <w:rPr>
          <w:rStyle w:val="CharPartText"/>
          <w:i/>
        </w:rPr>
        <w:t xml:space="preserve"> Rules 2020</w:t>
      </w:r>
      <w:r>
        <w:rPr>
          <w:rStyle w:val="CharPartText"/>
        </w:rPr>
        <w:t xml:space="preserve"> </w:t>
      </w:r>
      <w:r w:rsidRPr="009C27C9">
        <w:t xml:space="preserve">to reflect the amendments to the PGPA Rule, ensure the </w:t>
      </w:r>
      <w:r w:rsidRPr="009C27C9">
        <w:lastRenderedPageBreak/>
        <w:t>PGPA Rule sequencing aligns with the PGPA Act and address the transitional arrangements required for the implementation</w:t>
      </w:r>
      <w:r w:rsidR="0028638D">
        <w:t xml:space="preserve"> of the amendments to the PGPA R</w:t>
      </w:r>
      <w:r w:rsidRPr="009C27C9">
        <w:t>ule.</w:t>
      </w:r>
    </w:p>
    <w:p w14:paraId="18379784" w14:textId="49E3348D" w:rsidR="00C52B4C" w:rsidRDefault="00C52B4C" w:rsidP="00C52B4C"/>
    <w:p w14:paraId="292EED8C" w14:textId="316EFD24" w:rsidR="00C52B4C" w:rsidRDefault="001B7375" w:rsidP="00C57611">
      <w:r>
        <w:rPr>
          <w:rFonts w:eastAsia="Calibri"/>
          <w:lang w:eastAsia="en-US"/>
        </w:rPr>
        <w:t>S</w:t>
      </w:r>
      <w:r w:rsidR="00C52B4C" w:rsidRPr="00DD1D90">
        <w:rPr>
          <w:rFonts w:eastAsia="Calibri"/>
          <w:lang w:eastAsia="en-US"/>
        </w:rPr>
        <w:t xml:space="preserve">ection </w:t>
      </w:r>
      <w:r w:rsidR="00985569">
        <w:rPr>
          <w:rFonts w:eastAsia="Calibri"/>
          <w:lang w:eastAsia="en-US"/>
        </w:rPr>
        <w:t>39</w:t>
      </w:r>
      <w:r w:rsidR="00C52B4C" w:rsidRPr="00DD1D90">
        <w:rPr>
          <w:rFonts w:eastAsia="Calibri"/>
          <w:lang w:eastAsia="en-US"/>
        </w:rPr>
        <w:t xml:space="preserve"> provides that the amendments of this rule apply in relation to any reporting period th</w:t>
      </w:r>
      <w:r w:rsidR="00954DD5">
        <w:rPr>
          <w:rFonts w:eastAsia="Calibri"/>
          <w:lang w:eastAsia="en-US"/>
        </w:rPr>
        <w:t>a</w:t>
      </w:r>
      <w:r w:rsidR="009435DB">
        <w:rPr>
          <w:rFonts w:eastAsia="Calibri"/>
          <w:lang w:eastAsia="en-US"/>
        </w:rPr>
        <w:t>t begins on or after 1 July 2020</w:t>
      </w:r>
      <w:r w:rsidR="00C52B4C" w:rsidRPr="00DD1D90">
        <w:rPr>
          <w:rFonts w:eastAsia="Calibri"/>
          <w:lang w:eastAsia="en-US"/>
        </w:rPr>
        <w:t xml:space="preserve">. </w:t>
      </w:r>
      <w:r w:rsidR="006E6995" w:rsidRPr="00DD1D90">
        <w:rPr>
          <w:rFonts w:eastAsia="Calibri"/>
          <w:lang w:eastAsia="en-US"/>
        </w:rPr>
        <w:t xml:space="preserve">For entities with reporting periods that align with financial years, this means that the amendments will apply from their </w:t>
      </w:r>
      <w:r w:rsidR="00954DD5">
        <w:rPr>
          <w:rFonts w:eastAsia="Calibri"/>
          <w:lang w:eastAsia="en-US"/>
        </w:rPr>
        <w:t>annual report</w:t>
      </w:r>
      <w:r w:rsidR="006E6995" w:rsidRPr="00DD1D90">
        <w:rPr>
          <w:rFonts w:eastAsia="Calibri"/>
          <w:lang w:eastAsia="en-US"/>
        </w:rPr>
        <w:t xml:space="preserve"> prepared for the 1 July 20</w:t>
      </w:r>
      <w:r w:rsidR="009435DB">
        <w:rPr>
          <w:rFonts w:eastAsia="Calibri"/>
          <w:lang w:eastAsia="en-US"/>
        </w:rPr>
        <w:t>20</w:t>
      </w:r>
      <w:r w:rsidR="006E6995" w:rsidRPr="00DD1D90">
        <w:rPr>
          <w:rFonts w:eastAsia="Calibri"/>
          <w:lang w:eastAsia="en-US"/>
        </w:rPr>
        <w:t xml:space="preserve"> to 30 June 202</w:t>
      </w:r>
      <w:r w:rsidR="009435DB">
        <w:rPr>
          <w:rFonts w:eastAsia="Calibri"/>
          <w:lang w:eastAsia="en-US"/>
        </w:rPr>
        <w:t xml:space="preserve">1 </w:t>
      </w:r>
      <w:r w:rsidR="006E6995" w:rsidRPr="00DD1D90">
        <w:rPr>
          <w:rFonts w:eastAsia="Calibri"/>
          <w:lang w:eastAsia="en-US"/>
        </w:rPr>
        <w:t xml:space="preserve">reporting period. For entities with reporting periods aligned to calendar years, this means that the amendments will apply from their </w:t>
      </w:r>
      <w:r w:rsidR="00954DD5">
        <w:rPr>
          <w:rFonts w:eastAsia="Calibri"/>
          <w:lang w:eastAsia="en-US"/>
        </w:rPr>
        <w:t xml:space="preserve">annual report </w:t>
      </w:r>
      <w:r w:rsidR="006E6995" w:rsidRPr="00DD1D90">
        <w:rPr>
          <w:rFonts w:eastAsia="Calibri"/>
          <w:lang w:eastAsia="en-US"/>
        </w:rPr>
        <w:t>prepared for the 1 January 202</w:t>
      </w:r>
      <w:r w:rsidR="009435DB">
        <w:rPr>
          <w:rFonts w:eastAsia="Calibri"/>
          <w:lang w:eastAsia="en-US"/>
        </w:rPr>
        <w:t>1</w:t>
      </w:r>
      <w:r w:rsidR="006E6995" w:rsidRPr="00DD1D90">
        <w:rPr>
          <w:rFonts w:eastAsia="Calibri"/>
          <w:lang w:eastAsia="en-US"/>
        </w:rPr>
        <w:t xml:space="preserve"> to 31 December 202</w:t>
      </w:r>
      <w:r w:rsidR="009435DB">
        <w:rPr>
          <w:rFonts w:eastAsia="Calibri"/>
          <w:lang w:eastAsia="en-US"/>
        </w:rPr>
        <w:t>1</w:t>
      </w:r>
      <w:r w:rsidR="006E6995" w:rsidRPr="00445636">
        <w:rPr>
          <w:rFonts w:eastAsia="Calibri"/>
          <w:lang w:eastAsia="en-US"/>
        </w:rPr>
        <w:t xml:space="preserve"> reporting period.</w:t>
      </w:r>
    </w:p>
    <w:p w14:paraId="420E7D08" w14:textId="56678023" w:rsidR="00FB017A" w:rsidRPr="0022328F" w:rsidRDefault="00FB017A" w:rsidP="002F2240"/>
    <w:p w14:paraId="42DB41B3" w14:textId="011073FC" w:rsidR="009A53D9" w:rsidRPr="00072977" w:rsidRDefault="009A53D9" w:rsidP="009A53D9">
      <w:pPr>
        <w:rPr>
          <w:b/>
        </w:rPr>
      </w:pPr>
      <w:r w:rsidRPr="00072977">
        <w:rPr>
          <w:b/>
        </w:rPr>
        <w:t>Item 18</w:t>
      </w:r>
      <w:r w:rsidR="00DA654A" w:rsidRPr="00072977">
        <w:rPr>
          <w:b/>
        </w:rPr>
        <w:t xml:space="preserve"> – Schedule 2</w:t>
      </w:r>
      <w:r w:rsidRPr="00072977">
        <w:rPr>
          <w:b/>
        </w:rPr>
        <w:t xml:space="preserve"> (table item dealing with PGPA Rule Reference </w:t>
      </w:r>
      <w:proofErr w:type="gramStart"/>
      <w:r w:rsidRPr="00072977">
        <w:rPr>
          <w:b/>
        </w:rPr>
        <w:t>17AG(</w:t>
      </w:r>
      <w:proofErr w:type="gramEnd"/>
      <w:r w:rsidRPr="00072977">
        <w:rPr>
          <w:b/>
        </w:rPr>
        <w:t>6))</w:t>
      </w:r>
    </w:p>
    <w:p w14:paraId="23B681F3" w14:textId="2D05E695" w:rsidR="009A53D9" w:rsidRPr="00072977" w:rsidRDefault="009A53D9" w:rsidP="00DA654A">
      <w:pPr>
        <w:rPr>
          <w:b/>
        </w:rPr>
      </w:pPr>
    </w:p>
    <w:p w14:paraId="6609BD87" w14:textId="7102B176" w:rsidR="00072977" w:rsidRPr="00063F58" w:rsidRDefault="00072977" w:rsidP="00072977">
      <w:r w:rsidRPr="00072977">
        <w:t>Item 18 omits “</w:t>
      </w:r>
      <w:r w:rsidRPr="00072977">
        <w:rPr>
          <w:i/>
        </w:rPr>
        <w:t>Commonwealth Procurement Rules</w:t>
      </w:r>
      <w:r w:rsidRPr="00072977">
        <w:t xml:space="preserve">” and substitutes “Commonwealth </w:t>
      </w:r>
      <w:r w:rsidRPr="004C56AF">
        <w:t>Procurement Rules”.</w:t>
      </w:r>
      <w:r>
        <w:t xml:space="preserve"> This item aligns the reference to the Commonwealth Procurement Rules with the new definition in section 4 of the PGPA Rule, inserted by item 1 of the Amending </w:t>
      </w:r>
      <w:r w:rsidRPr="00063F58">
        <w:t>Rule.</w:t>
      </w:r>
    </w:p>
    <w:p w14:paraId="67E45709" w14:textId="0F1F35EA" w:rsidR="009A53D9" w:rsidRPr="00063F58" w:rsidRDefault="009A53D9" w:rsidP="00DA654A">
      <w:pPr>
        <w:rPr>
          <w:b/>
        </w:rPr>
      </w:pPr>
    </w:p>
    <w:p w14:paraId="2C9E569E" w14:textId="29D21654" w:rsidR="009A53D9" w:rsidRPr="00063F58" w:rsidRDefault="009A53D9" w:rsidP="009A53D9">
      <w:pPr>
        <w:rPr>
          <w:b/>
        </w:rPr>
      </w:pPr>
      <w:r w:rsidRPr="00063F58">
        <w:rPr>
          <w:b/>
        </w:rPr>
        <w:t xml:space="preserve">Item 19 – Schedule 2 (table items dealing with PGPA </w:t>
      </w:r>
      <w:r w:rsidR="00072977" w:rsidRPr="00063F58">
        <w:rPr>
          <w:b/>
        </w:rPr>
        <w:t xml:space="preserve">Rule Reference </w:t>
      </w:r>
      <w:proofErr w:type="gramStart"/>
      <w:r w:rsidR="00072977" w:rsidRPr="00063F58">
        <w:rPr>
          <w:b/>
        </w:rPr>
        <w:t>17AG(</w:t>
      </w:r>
      <w:proofErr w:type="gramEnd"/>
      <w:r w:rsidR="00072977" w:rsidRPr="00063F58">
        <w:rPr>
          <w:b/>
        </w:rPr>
        <w:t>7)(a), 17AG(7)(b), 17AG(7)(c) and 17AG(7)(d))</w:t>
      </w:r>
    </w:p>
    <w:p w14:paraId="1D924988" w14:textId="745F1926" w:rsidR="00DA654A" w:rsidRPr="00063F58" w:rsidRDefault="00DA654A" w:rsidP="00DA654A"/>
    <w:p w14:paraId="045417BE" w14:textId="227883D1" w:rsidR="002F2240" w:rsidRPr="00063F58" w:rsidRDefault="009A53D9" w:rsidP="00C350AD">
      <w:r w:rsidRPr="00063F58">
        <w:t>Item 1</w:t>
      </w:r>
      <w:r w:rsidR="00072977" w:rsidRPr="00063F58">
        <w:t>9</w:t>
      </w:r>
      <w:r w:rsidR="00DA654A" w:rsidRPr="00063F58">
        <w:t xml:space="preserve"> </w:t>
      </w:r>
      <w:r w:rsidRPr="00063F58">
        <w:t>repeals and substitutes the table</w:t>
      </w:r>
      <w:r w:rsidR="00072977" w:rsidRPr="00063F58">
        <w:t xml:space="preserve"> in Schedule 2</w:t>
      </w:r>
      <w:r w:rsidRPr="00063F58">
        <w:t xml:space="preserve"> </w:t>
      </w:r>
      <w:r w:rsidR="008A4FF9" w:rsidRPr="00063F58">
        <w:t>to reflect the cha</w:t>
      </w:r>
      <w:r w:rsidR="002906CE" w:rsidRPr="00063F58">
        <w:t>nges made by the Amending Rule.</w:t>
      </w:r>
    </w:p>
    <w:p w14:paraId="3219C460" w14:textId="77777777" w:rsidR="002F2240" w:rsidRPr="00063F58" w:rsidRDefault="002F2240" w:rsidP="00C350AD"/>
    <w:p w14:paraId="29D6404D" w14:textId="156DEEE9" w:rsidR="003D332E" w:rsidRPr="0022328F" w:rsidRDefault="003D332E" w:rsidP="00063F58">
      <w:pPr>
        <w:spacing w:after="200" w:line="276" w:lineRule="auto"/>
        <w:sectPr w:rsidR="003D332E" w:rsidRPr="0022328F" w:rsidSect="003D332E">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135" w:left="1440" w:header="709" w:footer="556" w:gutter="0"/>
          <w:pgNumType w:start="1"/>
          <w:cols w:space="708"/>
          <w:docGrid w:linePitch="360"/>
        </w:sectPr>
      </w:pPr>
    </w:p>
    <w:p w14:paraId="1F48D2C5" w14:textId="77777777" w:rsidR="001F3558" w:rsidRPr="0022328F" w:rsidRDefault="001F3558" w:rsidP="001F3558">
      <w:pPr>
        <w:pStyle w:val="NoSpacing"/>
        <w:jc w:val="right"/>
        <w:rPr>
          <w:b/>
          <w:u w:val="single"/>
        </w:rPr>
      </w:pPr>
      <w:r w:rsidRPr="0022328F">
        <w:rPr>
          <w:b/>
          <w:u w:val="single"/>
        </w:rPr>
        <w:lastRenderedPageBreak/>
        <w:t>Attachment B</w:t>
      </w:r>
    </w:p>
    <w:p w14:paraId="47CA8B0F" w14:textId="77777777" w:rsidR="001F3558" w:rsidRPr="0022328F" w:rsidRDefault="001F3558" w:rsidP="001F3558">
      <w:pPr>
        <w:pStyle w:val="NoSpacing"/>
      </w:pPr>
    </w:p>
    <w:p w14:paraId="4045A0D5" w14:textId="77777777" w:rsidR="001F3558" w:rsidRPr="0022328F" w:rsidRDefault="001F3558" w:rsidP="001F3558">
      <w:pPr>
        <w:pStyle w:val="NoSpacing"/>
        <w:jc w:val="center"/>
        <w:rPr>
          <w:b/>
        </w:rPr>
      </w:pPr>
      <w:r w:rsidRPr="0022328F">
        <w:rPr>
          <w:b/>
        </w:rPr>
        <w:t>Statement of Compatibility with Human Rights</w:t>
      </w:r>
    </w:p>
    <w:p w14:paraId="4A37D1D0" w14:textId="77777777" w:rsidR="001F3558" w:rsidRPr="0022328F" w:rsidRDefault="001F3558" w:rsidP="001F3558">
      <w:pPr>
        <w:pStyle w:val="NoSpacing"/>
      </w:pPr>
    </w:p>
    <w:p w14:paraId="5A78E882" w14:textId="77777777" w:rsidR="001F3558" w:rsidRPr="0022328F" w:rsidRDefault="001F3558" w:rsidP="001F3558">
      <w:pPr>
        <w:pStyle w:val="NoSpacing"/>
        <w:rPr>
          <w:i/>
        </w:rPr>
      </w:pPr>
      <w:r w:rsidRPr="0022328F">
        <w:t xml:space="preserve">Prepared in accordance with Part 3 of the </w:t>
      </w:r>
      <w:r w:rsidRPr="0022328F">
        <w:rPr>
          <w:i/>
        </w:rPr>
        <w:t>Human Rights (Parliamentary Scrutiny) Act 2011</w:t>
      </w:r>
    </w:p>
    <w:p w14:paraId="6B7CBC29" w14:textId="77777777" w:rsidR="001F3558" w:rsidRPr="0022328F" w:rsidRDefault="001F3558" w:rsidP="001F3558">
      <w:pPr>
        <w:pStyle w:val="NoSpacing"/>
        <w:rPr>
          <w:i/>
        </w:rPr>
      </w:pPr>
    </w:p>
    <w:p w14:paraId="7E1E0E58" w14:textId="0A426730" w:rsidR="00E60A50" w:rsidRPr="00E60A50" w:rsidRDefault="001F3558" w:rsidP="00E60A50">
      <w:pPr>
        <w:pStyle w:val="NoSpacing"/>
        <w:rPr>
          <w:b/>
          <w:i/>
          <w:lang w:val="en-AU"/>
        </w:rPr>
      </w:pPr>
      <w:r w:rsidRPr="0022328F">
        <w:rPr>
          <w:b/>
          <w:i/>
        </w:rPr>
        <w:t xml:space="preserve">Public Governance, </w:t>
      </w:r>
      <w:r w:rsidR="00E60A50" w:rsidRPr="00E60A50">
        <w:rPr>
          <w:b/>
          <w:i/>
          <w:lang w:val="en-AU"/>
        </w:rPr>
        <w:t xml:space="preserve">Accountability Amendment </w:t>
      </w:r>
      <w:r w:rsidR="00067753" w:rsidRPr="004A44D8">
        <w:rPr>
          <w:b/>
          <w:i/>
        </w:rPr>
        <w:t>(Consultancy and Non-Consultancy Contract Expenditure Reporting)</w:t>
      </w:r>
      <w:r w:rsidR="00E60A50" w:rsidRPr="004A44D8">
        <w:rPr>
          <w:b/>
          <w:i/>
          <w:lang w:val="en-AU"/>
        </w:rPr>
        <w:t xml:space="preserve"> </w:t>
      </w:r>
      <w:r w:rsidR="00E60A50" w:rsidRPr="00E60A50">
        <w:rPr>
          <w:b/>
          <w:i/>
          <w:lang w:val="en-AU"/>
        </w:rPr>
        <w:t>Rules 2020</w:t>
      </w:r>
    </w:p>
    <w:p w14:paraId="037614ED" w14:textId="494C4287" w:rsidR="001F3558" w:rsidRPr="0022328F" w:rsidRDefault="001F3558" w:rsidP="001F3558">
      <w:pPr>
        <w:rPr>
          <w:b/>
        </w:rPr>
      </w:pPr>
    </w:p>
    <w:p w14:paraId="640D78F3" w14:textId="7B34A8D3" w:rsidR="001F3558" w:rsidRPr="00E60A50" w:rsidRDefault="001F3558" w:rsidP="00E60A50">
      <w:pPr>
        <w:rPr>
          <w:b/>
          <w:i/>
        </w:rPr>
      </w:pPr>
      <w:r w:rsidRPr="0022328F">
        <w:t xml:space="preserve">The </w:t>
      </w:r>
      <w:r w:rsidR="00E60A50" w:rsidRPr="00E60A50">
        <w:rPr>
          <w:i/>
          <w:lang w:bidi="en-US"/>
        </w:rPr>
        <w:t xml:space="preserve">Public Governance, </w:t>
      </w:r>
      <w:r w:rsidR="00E60A50" w:rsidRPr="00E60A50">
        <w:rPr>
          <w:i/>
        </w:rPr>
        <w:t xml:space="preserve">Accountability Amendment </w:t>
      </w:r>
      <w:r w:rsidR="00067753">
        <w:rPr>
          <w:i/>
        </w:rPr>
        <w:t>(Consultancy and Non-Consultancy Contract Expenditure Reporting)</w:t>
      </w:r>
      <w:r w:rsidR="00067753" w:rsidRPr="0022328F">
        <w:rPr>
          <w:i/>
        </w:rPr>
        <w:t xml:space="preserve"> </w:t>
      </w:r>
      <w:r w:rsidR="00E60A50" w:rsidRPr="00E60A50">
        <w:rPr>
          <w:i/>
        </w:rPr>
        <w:t>Rules 2020</w:t>
      </w:r>
      <w:r w:rsidR="00E60A50">
        <w:rPr>
          <w:b/>
          <w:i/>
        </w:rPr>
        <w:t xml:space="preserve"> </w:t>
      </w:r>
      <w:r w:rsidR="00C87EC3">
        <w:t>(the Amendment</w:t>
      </w:r>
      <w:r w:rsidRPr="0022328F">
        <w:t xml:space="preserve"> Rule</w:t>
      </w:r>
      <w:r w:rsidR="00C87EC3">
        <w:t>s</w:t>
      </w:r>
      <w:r w:rsidRPr="0022328F">
        <w:t xml:space="preserve">) </w:t>
      </w:r>
      <w:r w:rsidR="00376229" w:rsidRPr="0022328F">
        <w:t>are</w:t>
      </w:r>
      <w:r w:rsidRPr="0022328F">
        <w:t xml:space="preserve"> compatible with the human rights and freedoms recognised or declared in the international instruments listed in section 3 of the </w:t>
      </w:r>
      <w:r w:rsidRPr="0022328F">
        <w:rPr>
          <w:i/>
        </w:rPr>
        <w:t>Human Rights (Parliamentary Scrutiny) Act 2011.</w:t>
      </w:r>
    </w:p>
    <w:p w14:paraId="73E5EC99" w14:textId="77777777" w:rsidR="001F3558" w:rsidRPr="0022328F" w:rsidRDefault="001F3558" w:rsidP="001F3558">
      <w:pPr>
        <w:rPr>
          <w:b/>
        </w:rPr>
      </w:pPr>
    </w:p>
    <w:p w14:paraId="56B2A01E" w14:textId="77777777" w:rsidR="001F3558" w:rsidRPr="0022328F" w:rsidRDefault="001F3558" w:rsidP="001F3558">
      <w:pPr>
        <w:rPr>
          <w:b/>
        </w:rPr>
      </w:pPr>
      <w:r w:rsidRPr="0022328F">
        <w:rPr>
          <w:b/>
        </w:rPr>
        <w:t>Overview of the Amending Rule</w:t>
      </w:r>
    </w:p>
    <w:p w14:paraId="1DB58687" w14:textId="77777777" w:rsidR="001F3558" w:rsidRPr="0022328F" w:rsidRDefault="001F3558" w:rsidP="001F3558">
      <w:pPr>
        <w:rPr>
          <w:b/>
        </w:rPr>
      </w:pPr>
    </w:p>
    <w:p w14:paraId="57F6A489" w14:textId="77777777" w:rsidR="001F3558" w:rsidRPr="0022328F" w:rsidRDefault="001F3558" w:rsidP="001F3558">
      <w:r w:rsidRPr="0022328F">
        <w:t xml:space="preserve">The </w:t>
      </w:r>
      <w:r w:rsidRPr="0022328F">
        <w:rPr>
          <w:i/>
        </w:rPr>
        <w:t>Public Governance, Performance and Accountability Act 2013</w:t>
      </w:r>
      <w:r w:rsidRPr="0022328F">
        <w:t xml:space="preserve"> (PGPA Act) establishes a framework for regulating resource management by the Commonwealth and relevant entities. Section 101 of the PGPA Act provides that the Finance Minister may make rules by legislative instrument to prescribe matters giving effect to the Act.</w:t>
      </w:r>
    </w:p>
    <w:p w14:paraId="2C12FE27" w14:textId="77777777" w:rsidR="001F3558" w:rsidRPr="0022328F" w:rsidRDefault="001F3558" w:rsidP="001F3558"/>
    <w:p w14:paraId="4B75B718" w14:textId="5263E298" w:rsidR="0094110A" w:rsidRPr="0022328F" w:rsidRDefault="00C87EC3" w:rsidP="0094110A">
      <w:r>
        <w:t>The Amendment</w:t>
      </w:r>
      <w:r w:rsidR="0094110A" w:rsidRPr="0022328F">
        <w:t xml:space="preserve"> Rule</w:t>
      </w:r>
      <w:r>
        <w:t>s amend</w:t>
      </w:r>
      <w:r w:rsidR="0094110A" w:rsidRPr="0022328F">
        <w:t xml:space="preserve"> the PGPA Rule to implement </w:t>
      </w:r>
      <w:r w:rsidR="00376229" w:rsidRPr="0022328F">
        <w:t>Recommendation 38 of the</w:t>
      </w:r>
      <w:r w:rsidR="0094110A" w:rsidRPr="0022328F">
        <w:t xml:space="preserve"> Independent Review into the operation of the PGPA Act and Rule. The amendments are in relation to: </w:t>
      </w:r>
    </w:p>
    <w:p w14:paraId="56F6BD91" w14:textId="77777777" w:rsidR="00C226FC" w:rsidRDefault="00C226FC" w:rsidP="00C226FC">
      <w:pPr>
        <w:pStyle w:val="ListParagraph"/>
        <w:numPr>
          <w:ilvl w:val="0"/>
          <w:numId w:val="21"/>
        </w:numPr>
      </w:pPr>
      <w:r w:rsidRPr="0022328F">
        <w:t xml:space="preserve">the number of and expenditure on new </w:t>
      </w:r>
      <w:r w:rsidRPr="00EF194D">
        <w:rPr>
          <w:lang w:val="en-AU"/>
        </w:rPr>
        <w:t>reportable non</w:t>
      </w:r>
      <w:r w:rsidRPr="00EF194D">
        <w:rPr>
          <w:lang w:val="en-AU"/>
        </w:rPr>
        <w:noBreakHyphen/>
        <w:t>consultancy contracts</w:t>
      </w:r>
      <w:r w:rsidRPr="00EF194D">
        <w:t xml:space="preserve">, the number of and expenditure on ongoing </w:t>
      </w:r>
      <w:r w:rsidRPr="00EF194D">
        <w:rPr>
          <w:lang w:val="en-AU"/>
        </w:rPr>
        <w:t>reportable non</w:t>
      </w:r>
      <w:r w:rsidRPr="00EF194D">
        <w:rPr>
          <w:lang w:val="en-AU"/>
        </w:rPr>
        <w:noBreakHyphen/>
        <w:t>consultancy contracts</w:t>
      </w:r>
      <w:r w:rsidRPr="00EF194D">
        <w:t xml:space="preserve">; </w:t>
      </w:r>
    </w:p>
    <w:p w14:paraId="52D338F1" w14:textId="77777777" w:rsidR="00C226FC" w:rsidRPr="0022328F" w:rsidRDefault="00C226FC" w:rsidP="00C226FC">
      <w:pPr>
        <w:pStyle w:val="ListParagraph"/>
        <w:numPr>
          <w:ilvl w:val="0"/>
          <w:numId w:val="21"/>
        </w:numPr>
      </w:pPr>
      <w:r w:rsidRPr="0022328F">
        <w:t xml:space="preserve">the number of and expenditure on new </w:t>
      </w:r>
      <w:r w:rsidRPr="00EF194D">
        <w:rPr>
          <w:lang w:val="en-AU"/>
        </w:rPr>
        <w:t>reportable consultancy contracts</w:t>
      </w:r>
      <w:r w:rsidRPr="00EF194D">
        <w:t xml:space="preserve">, the number of and expenditure on ongoing </w:t>
      </w:r>
      <w:r w:rsidRPr="00EF194D">
        <w:rPr>
          <w:lang w:val="en-AU"/>
        </w:rPr>
        <w:t>reportable consultancy contracts</w:t>
      </w:r>
      <w:r w:rsidRPr="00EF194D">
        <w:t>; and</w:t>
      </w:r>
    </w:p>
    <w:p w14:paraId="0C3C6A84" w14:textId="77777777" w:rsidR="00C226FC" w:rsidRPr="0022328F" w:rsidRDefault="00C226FC" w:rsidP="00C226FC">
      <w:pPr>
        <w:pStyle w:val="ListParagraph"/>
        <w:numPr>
          <w:ilvl w:val="0"/>
          <w:numId w:val="21"/>
        </w:numPr>
      </w:pPr>
      <w:proofErr w:type="spellStart"/>
      <w:proofErr w:type="gramStart"/>
      <w:r w:rsidRPr="00C30D36">
        <w:t>organisations</w:t>
      </w:r>
      <w:proofErr w:type="spellEnd"/>
      <w:proofErr w:type="gramEnd"/>
      <w:r w:rsidRPr="00C30D36">
        <w:t xml:space="preserve"> receiving amounts under reportable consultancy contracts </w:t>
      </w:r>
      <w:r>
        <w:t>or</w:t>
      </w:r>
      <w:r w:rsidRPr="00C30D36">
        <w:t xml:space="preserve"> reportable non</w:t>
      </w:r>
      <w:r>
        <w:noBreakHyphen/>
      </w:r>
      <w:r w:rsidRPr="00C30D36">
        <w:t>consultancy contract</w:t>
      </w:r>
      <w:r>
        <w:t>s</w:t>
      </w:r>
      <w:r w:rsidRPr="0022328F">
        <w:rPr>
          <w:rFonts w:cstheme="minorHAnsi"/>
        </w:rPr>
        <w:t>.</w:t>
      </w:r>
    </w:p>
    <w:p w14:paraId="03C49BAF" w14:textId="382E9094" w:rsidR="001F3558" w:rsidRPr="0022328F" w:rsidRDefault="001F3558" w:rsidP="001F3558">
      <w:pPr>
        <w:rPr>
          <w:b/>
        </w:rPr>
      </w:pPr>
    </w:p>
    <w:p w14:paraId="28952BCB" w14:textId="77777777" w:rsidR="001F3558" w:rsidRPr="0022328F" w:rsidRDefault="001F3558" w:rsidP="001F3558">
      <w:pPr>
        <w:rPr>
          <w:b/>
        </w:rPr>
      </w:pPr>
      <w:r w:rsidRPr="0022328F">
        <w:rPr>
          <w:b/>
        </w:rPr>
        <w:t>Human rights implications</w:t>
      </w:r>
    </w:p>
    <w:p w14:paraId="7DBDCC74" w14:textId="77777777" w:rsidR="001F3558" w:rsidRPr="0022328F" w:rsidRDefault="001F3558" w:rsidP="001F3558">
      <w:pPr>
        <w:rPr>
          <w:b/>
        </w:rPr>
      </w:pPr>
    </w:p>
    <w:p w14:paraId="74089D5F" w14:textId="6684D509" w:rsidR="0094110A" w:rsidRPr="0022328F" w:rsidRDefault="00C87EC3" w:rsidP="001F3558">
      <w:pPr>
        <w:pStyle w:val="Default"/>
        <w:rPr>
          <w:rFonts w:eastAsia="Times New Roman"/>
          <w:color w:val="auto"/>
          <w:lang w:eastAsia="en-AU"/>
        </w:rPr>
      </w:pPr>
      <w:r>
        <w:rPr>
          <w:rFonts w:eastAsia="Times New Roman"/>
          <w:color w:val="auto"/>
          <w:lang w:eastAsia="en-AU"/>
        </w:rPr>
        <w:t>The Amendment</w:t>
      </w:r>
      <w:r w:rsidR="00376229" w:rsidRPr="0022328F">
        <w:rPr>
          <w:rFonts w:eastAsia="Times New Roman"/>
          <w:color w:val="auto"/>
          <w:lang w:eastAsia="en-AU"/>
        </w:rPr>
        <w:t xml:space="preserve"> Rule</w:t>
      </w:r>
      <w:r>
        <w:rPr>
          <w:rFonts w:eastAsia="Times New Roman"/>
          <w:color w:val="auto"/>
          <w:lang w:eastAsia="en-AU"/>
        </w:rPr>
        <w:t>s do</w:t>
      </w:r>
      <w:r w:rsidR="00376229" w:rsidRPr="0022328F">
        <w:rPr>
          <w:rFonts w:eastAsia="Times New Roman"/>
          <w:color w:val="auto"/>
          <w:lang w:eastAsia="en-AU"/>
        </w:rPr>
        <w:t xml:space="preserve"> not engage any of the applicable rights or freedoms. </w:t>
      </w:r>
    </w:p>
    <w:p w14:paraId="099564A8" w14:textId="6939355D" w:rsidR="001F3558" w:rsidRPr="0022328F" w:rsidRDefault="001F3558" w:rsidP="001F3558">
      <w:pPr>
        <w:pStyle w:val="Default"/>
        <w:rPr>
          <w:color w:val="auto"/>
        </w:rPr>
      </w:pPr>
    </w:p>
    <w:p w14:paraId="43432EAA" w14:textId="77777777" w:rsidR="001F3558" w:rsidRPr="0022328F" w:rsidRDefault="001F3558" w:rsidP="001F3558">
      <w:pPr>
        <w:rPr>
          <w:b/>
        </w:rPr>
      </w:pPr>
      <w:r w:rsidRPr="0022328F">
        <w:rPr>
          <w:b/>
        </w:rPr>
        <w:t>Conclusion</w:t>
      </w:r>
    </w:p>
    <w:p w14:paraId="0361FAFD" w14:textId="77777777" w:rsidR="001F3558" w:rsidRPr="0022328F" w:rsidRDefault="001F3558" w:rsidP="001F3558">
      <w:pPr>
        <w:rPr>
          <w:b/>
        </w:rPr>
      </w:pPr>
    </w:p>
    <w:p w14:paraId="60E67D79" w14:textId="2E3C375A" w:rsidR="001F3558" w:rsidRPr="0022328F" w:rsidRDefault="00C87EC3" w:rsidP="001F3558">
      <w:r>
        <w:t>The Amendment</w:t>
      </w:r>
      <w:r w:rsidR="001F3558" w:rsidRPr="0022328F">
        <w:t xml:space="preserve"> Rule</w:t>
      </w:r>
      <w:r>
        <w:t>s are</w:t>
      </w:r>
      <w:bookmarkStart w:id="0" w:name="_GoBack"/>
      <w:bookmarkEnd w:id="0"/>
      <w:r w:rsidR="00376229" w:rsidRPr="0022328F">
        <w:t xml:space="preserve"> compatible with human rights as they do not raise any human rights issues</w:t>
      </w:r>
      <w:r w:rsidR="001F3558" w:rsidRPr="0022328F">
        <w:t>.</w:t>
      </w:r>
    </w:p>
    <w:p w14:paraId="05686254" w14:textId="77777777" w:rsidR="001F3558" w:rsidRPr="0022328F" w:rsidRDefault="001F3558" w:rsidP="001F3558"/>
    <w:p w14:paraId="1090DC0D" w14:textId="77777777" w:rsidR="001F3558" w:rsidRPr="0022328F" w:rsidRDefault="001F3558" w:rsidP="001F3558">
      <w:pPr>
        <w:pStyle w:val="paranumbering0"/>
        <w:spacing w:before="0" w:beforeAutospacing="0" w:after="0" w:afterAutospacing="0"/>
        <w:jc w:val="center"/>
        <w:rPr>
          <w:b/>
        </w:rPr>
      </w:pPr>
    </w:p>
    <w:p w14:paraId="37443CE5" w14:textId="6CA8C594" w:rsidR="001F3558" w:rsidRPr="0022328F" w:rsidRDefault="001F3558" w:rsidP="00BA0AB9">
      <w:pPr>
        <w:pStyle w:val="paranumbering0"/>
        <w:spacing w:before="0" w:beforeAutospacing="0" w:after="0" w:afterAutospacing="0"/>
        <w:rPr>
          <w:b/>
        </w:rPr>
      </w:pPr>
    </w:p>
    <w:p w14:paraId="78DA3553" w14:textId="740242AF" w:rsidR="001F3558" w:rsidRPr="0022328F" w:rsidRDefault="001F3558" w:rsidP="00BA0AB9">
      <w:pPr>
        <w:pStyle w:val="paranumbering0"/>
        <w:spacing w:before="0" w:beforeAutospacing="0" w:after="0" w:afterAutospacing="0"/>
        <w:jc w:val="center"/>
        <w:rPr>
          <w:b/>
        </w:rPr>
      </w:pPr>
      <w:r w:rsidRPr="0022328F">
        <w:rPr>
          <w:b/>
        </w:rPr>
        <w:t xml:space="preserve">Senator the Hon Mathias </w:t>
      </w:r>
      <w:proofErr w:type="spellStart"/>
      <w:r w:rsidRPr="0022328F">
        <w:rPr>
          <w:b/>
        </w:rPr>
        <w:t>Cormann</w:t>
      </w:r>
      <w:proofErr w:type="spellEnd"/>
    </w:p>
    <w:sectPr w:rsidR="001F3558" w:rsidRPr="0022328F" w:rsidSect="00701BAE">
      <w:pgSz w:w="11906" w:h="16838" w:code="9"/>
      <w:pgMar w:top="1440" w:right="1440" w:bottom="1135" w:left="1440" w:header="709" w:footer="5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2DCB8" w14:textId="77777777" w:rsidR="0009429E" w:rsidRDefault="0009429E" w:rsidP="00063C9E">
      <w:r>
        <w:separator/>
      </w:r>
    </w:p>
  </w:endnote>
  <w:endnote w:type="continuationSeparator" w:id="0">
    <w:p w14:paraId="341F4585" w14:textId="77777777" w:rsidR="0009429E" w:rsidRDefault="0009429E" w:rsidP="0006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7377" w14:textId="77777777" w:rsidR="009008CB" w:rsidRDefault="00900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728997"/>
      <w:docPartObj>
        <w:docPartGallery w:val="Page Numbers (Bottom of Page)"/>
        <w:docPartUnique/>
      </w:docPartObj>
    </w:sdtPr>
    <w:sdtEndPr>
      <w:rPr>
        <w:noProof/>
      </w:rPr>
    </w:sdtEndPr>
    <w:sdtContent>
      <w:p w14:paraId="3C572D37" w14:textId="04D489EB" w:rsidR="00DA3598" w:rsidRDefault="00CE5698" w:rsidP="00701BAE">
        <w:pPr>
          <w:pStyle w:val="Footer"/>
          <w:jc w:val="center"/>
        </w:pPr>
        <w:r>
          <w:fldChar w:fldCharType="begin"/>
        </w:r>
        <w:r>
          <w:instrText xml:space="preserve"> PAGE   \* MERGEFORMAT </w:instrText>
        </w:r>
        <w:r>
          <w:fldChar w:fldCharType="separate"/>
        </w:r>
        <w:r w:rsidR="00C87EC3">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F98D" w14:textId="77777777" w:rsidR="009008CB" w:rsidRDefault="00900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F3F45" w14:textId="77777777" w:rsidR="0009429E" w:rsidRDefault="0009429E" w:rsidP="00063C9E">
      <w:r>
        <w:separator/>
      </w:r>
    </w:p>
  </w:footnote>
  <w:footnote w:type="continuationSeparator" w:id="0">
    <w:p w14:paraId="61381449" w14:textId="77777777" w:rsidR="0009429E" w:rsidRDefault="0009429E" w:rsidP="0006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DDE7" w14:textId="77777777" w:rsidR="009008CB" w:rsidRDefault="00900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FB0A4" w14:textId="02123EAE" w:rsidR="00DA3598" w:rsidRDefault="00DA3598" w:rsidP="0004505E">
    <w:pPr>
      <w:pStyle w:val="Header"/>
      <w:tabs>
        <w:tab w:val="left" w:pos="497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4AD49" w14:textId="2BC3C695" w:rsidR="00DA3598" w:rsidRDefault="00DA35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213"/>
    <w:multiLevelType w:val="hybridMultilevel"/>
    <w:tmpl w:val="0FAEFC3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2E53CD9"/>
    <w:multiLevelType w:val="hybridMultilevel"/>
    <w:tmpl w:val="124C3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37808"/>
    <w:multiLevelType w:val="hybridMultilevel"/>
    <w:tmpl w:val="5336B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438A4"/>
    <w:multiLevelType w:val="hybridMultilevel"/>
    <w:tmpl w:val="5EBE1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C639A"/>
    <w:multiLevelType w:val="hybridMultilevel"/>
    <w:tmpl w:val="7826B848"/>
    <w:lvl w:ilvl="0" w:tplc="BF129D3C">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EB704A"/>
    <w:multiLevelType w:val="hybridMultilevel"/>
    <w:tmpl w:val="38F6B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BF72B8"/>
    <w:multiLevelType w:val="hybridMultilevel"/>
    <w:tmpl w:val="A740B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F31406"/>
    <w:multiLevelType w:val="hybridMultilevel"/>
    <w:tmpl w:val="AF0A8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B2DF8"/>
    <w:multiLevelType w:val="hybridMultilevel"/>
    <w:tmpl w:val="81F41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E82F7A"/>
    <w:multiLevelType w:val="hybridMultilevel"/>
    <w:tmpl w:val="6F04771E"/>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420D72"/>
    <w:multiLevelType w:val="hybridMultilevel"/>
    <w:tmpl w:val="FB1E4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A53D38"/>
    <w:multiLevelType w:val="hybridMultilevel"/>
    <w:tmpl w:val="7752169C"/>
    <w:lvl w:ilvl="0" w:tplc="0C09001B">
      <w:start w:val="1"/>
      <w:numFmt w:val="lowerRoman"/>
      <w:lvlText w:val="%1."/>
      <w:lvlJc w:val="righ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12" w15:restartNumberingAfterBreak="0">
    <w:nsid w:val="2F5C1B26"/>
    <w:multiLevelType w:val="hybridMultilevel"/>
    <w:tmpl w:val="7B16A0D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 w15:restartNumberingAfterBreak="0">
    <w:nsid w:val="30D339E6"/>
    <w:multiLevelType w:val="hybridMultilevel"/>
    <w:tmpl w:val="BDDC2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1B0695"/>
    <w:multiLevelType w:val="hybridMultilevel"/>
    <w:tmpl w:val="508C6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DD2E37"/>
    <w:multiLevelType w:val="hybridMultilevel"/>
    <w:tmpl w:val="3C6A0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BC0D99"/>
    <w:multiLevelType w:val="hybridMultilevel"/>
    <w:tmpl w:val="0C6264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B15A90"/>
    <w:multiLevelType w:val="hybridMultilevel"/>
    <w:tmpl w:val="0456C2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7C5DC8"/>
    <w:multiLevelType w:val="hybridMultilevel"/>
    <w:tmpl w:val="24D2F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9B7CAD"/>
    <w:multiLevelType w:val="hybridMultilevel"/>
    <w:tmpl w:val="76CC0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749F1"/>
    <w:multiLevelType w:val="multilevel"/>
    <w:tmpl w:val="B6BA7F0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D566C8"/>
    <w:multiLevelType w:val="hybridMultilevel"/>
    <w:tmpl w:val="C06A2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D6CB6"/>
    <w:multiLevelType w:val="hybridMultilevel"/>
    <w:tmpl w:val="8ECCC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222A7D"/>
    <w:multiLevelType w:val="hybridMultilevel"/>
    <w:tmpl w:val="D4205C12"/>
    <w:lvl w:ilvl="0" w:tplc="B4E8CCBC">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8D305F"/>
    <w:multiLevelType w:val="hybridMultilevel"/>
    <w:tmpl w:val="D68A2DA4"/>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5" w15:restartNumberingAfterBreak="0">
    <w:nsid w:val="43D205A4"/>
    <w:multiLevelType w:val="hybridMultilevel"/>
    <w:tmpl w:val="1EDE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09226F"/>
    <w:multiLevelType w:val="hybridMultilevel"/>
    <w:tmpl w:val="648E22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48CA28B9"/>
    <w:multiLevelType w:val="hybridMultilevel"/>
    <w:tmpl w:val="DD5CC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44696E"/>
    <w:multiLevelType w:val="hybridMultilevel"/>
    <w:tmpl w:val="F2DA1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A82E43"/>
    <w:multiLevelType w:val="hybridMultilevel"/>
    <w:tmpl w:val="E9E45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7D15EF"/>
    <w:multiLevelType w:val="hybridMultilevel"/>
    <w:tmpl w:val="673CE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A71BA9"/>
    <w:multiLevelType w:val="hybridMultilevel"/>
    <w:tmpl w:val="C06C6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962765"/>
    <w:multiLevelType w:val="hybridMultilevel"/>
    <w:tmpl w:val="0E88D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6837AB"/>
    <w:multiLevelType w:val="hybridMultilevel"/>
    <w:tmpl w:val="21F877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B743B6"/>
    <w:multiLevelType w:val="hybridMultilevel"/>
    <w:tmpl w:val="A1FCB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4F7D97"/>
    <w:multiLevelType w:val="hybridMultilevel"/>
    <w:tmpl w:val="D4347B4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71BA3D4F"/>
    <w:multiLevelType w:val="hybridMultilevel"/>
    <w:tmpl w:val="E95C3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9148A8"/>
    <w:multiLevelType w:val="hybridMultilevel"/>
    <w:tmpl w:val="199011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4B6062"/>
    <w:multiLevelType w:val="hybridMultilevel"/>
    <w:tmpl w:val="D95E9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4A42C8"/>
    <w:multiLevelType w:val="hybridMultilevel"/>
    <w:tmpl w:val="8C148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25"/>
  </w:num>
  <w:num w:numId="5">
    <w:abstractNumId w:val="34"/>
  </w:num>
  <w:num w:numId="6">
    <w:abstractNumId w:val="23"/>
  </w:num>
  <w:num w:numId="7">
    <w:abstractNumId w:val="11"/>
  </w:num>
  <w:num w:numId="8">
    <w:abstractNumId w:val="11"/>
  </w:num>
  <w:num w:numId="9">
    <w:abstractNumId w:val="17"/>
  </w:num>
  <w:num w:numId="10">
    <w:abstractNumId w:val="16"/>
  </w:num>
  <w:num w:numId="11">
    <w:abstractNumId w:val="37"/>
  </w:num>
  <w:num w:numId="12">
    <w:abstractNumId w:val="24"/>
  </w:num>
  <w:num w:numId="13">
    <w:abstractNumId w:val="26"/>
  </w:num>
  <w:num w:numId="14">
    <w:abstractNumId w:val="14"/>
  </w:num>
  <w:num w:numId="15">
    <w:abstractNumId w:val="6"/>
  </w:num>
  <w:num w:numId="16">
    <w:abstractNumId w:val="33"/>
  </w:num>
  <w:num w:numId="17">
    <w:abstractNumId w:val="19"/>
  </w:num>
  <w:num w:numId="18">
    <w:abstractNumId w:val="20"/>
  </w:num>
  <w:num w:numId="19">
    <w:abstractNumId w:val="9"/>
  </w:num>
  <w:num w:numId="20">
    <w:abstractNumId w:val="30"/>
  </w:num>
  <w:num w:numId="21">
    <w:abstractNumId w:val="36"/>
  </w:num>
  <w:num w:numId="22">
    <w:abstractNumId w:val="35"/>
  </w:num>
  <w:num w:numId="23">
    <w:abstractNumId w:val="0"/>
  </w:num>
  <w:num w:numId="24">
    <w:abstractNumId w:val="21"/>
  </w:num>
  <w:num w:numId="25">
    <w:abstractNumId w:val="27"/>
  </w:num>
  <w:num w:numId="26">
    <w:abstractNumId w:val="39"/>
  </w:num>
  <w:num w:numId="27">
    <w:abstractNumId w:val="15"/>
  </w:num>
  <w:num w:numId="28">
    <w:abstractNumId w:val="5"/>
  </w:num>
  <w:num w:numId="29">
    <w:abstractNumId w:val="12"/>
  </w:num>
  <w:num w:numId="30">
    <w:abstractNumId w:val="32"/>
  </w:num>
  <w:num w:numId="31">
    <w:abstractNumId w:val="3"/>
  </w:num>
  <w:num w:numId="32">
    <w:abstractNumId w:val="7"/>
  </w:num>
  <w:num w:numId="33">
    <w:abstractNumId w:val="18"/>
  </w:num>
  <w:num w:numId="34">
    <w:abstractNumId w:val="8"/>
  </w:num>
  <w:num w:numId="35">
    <w:abstractNumId w:val="38"/>
  </w:num>
  <w:num w:numId="36">
    <w:abstractNumId w:val="29"/>
  </w:num>
  <w:num w:numId="37">
    <w:abstractNumId w:val="1"/>
  </w:num>
  <w:num w:numId="38">
    <w:abstractNumId w:val="13"/>
  </w:num>
  <w:num w:numId="39">
    <w:abstractNumId w:val="31"/>
  </w:num>
  <w:num w:numId="40">
    <w:abstractNumId w:val="2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F9"/>
    <w:rsid w:val="0000087E"/>
    <w:rsid w:val="0000138A"/>
    <w:rsid w:val="0000562B"/>
    <w:rsid w:val="00006A61"/>
    <w:rsid w:val="0001177B"/>
    <w:rsid w:val="000120CE"/>
    <w:rsid w:val="0001402B"/>
    <w:rsid w:val="00015B31"/>
    <w:rsid w:val="00016690"/>
    <w:rsid w:val="00016FBD"/>
    <w:rsid w:val="00017136"/>
    <w:rsid w:val="00017DC5"/>
    <w:rsid w:val="0002009E"/>
    <w:rsid w:val="000200CF"/>
    <w:rsid w:val="000209F7"/>
    <w:rsid w:val="00020BD0"/>
    <w:rsid w:val="000215F8"/>
    <w:rsid w:val="000236C9"/>
    <w:rsid w:val="00024813"/>
    <w:rsid w:val="00024D0A"/>
    <w:rsid w:val="00025954"/>
    <w:rsid w:val="00025D05"/>
    <w:rsid w:val="0002702A"/>
    <w:rsid w:val="00027364"/>
    <w:rsid w:val="000274FF"/>
    <w:rsid w:val="00027A9C"/>
    <w:rsid w:val="00030505"/>
    <w:rsid w:val="000305FA"/>
    <w:rsid w:val="00031029"/>
    <w:rsid w:val="00031D99"/>
    <w:rsid w:val="0003356E"/>
    <w:rsid w:val="00034E46"/>
    <w:rsid w:val="00035D54"/>
    <w:rsid w:val="00035EF5"/>
    <w:rsid w:val="00037964"/>
    <w:rsid w:val="000379B4"/>
    <w:rsid w:val="0004136D"/>
    <w:rsid w:val="00041918"/>
    <w:rsid w:val="00041CB2"/>
    <w:rsid w:val="000428F2"/>
    <w:rsid w:val="00043203"/>
    <w:rsid w:val="0004341B"/>
    <w:rsid w:val="000437A3"/>
    <w:rsid w:val="0004505E"/>
    <w:rsid w:val="000455C1"/>
    <w:rsid w:val="00045614"/>
    <w:rsid w:val="000467A0"/>
    <w:rsid w:val="00046E11"/>
    <w:rsid w:val="000502DB"/>
    <w:rsid w:val="00050309"/>
    <w:rsid w:val="0005039A"/>
    <w:rsid w:val="00052146"/>
    <w:rsid w:val="000523EC"/>
    <w:rsid w:val="00052A24"/>
    <w:rsid w:val="00053970"/>
    <w:rsid w:val="00055BA8"/>
    <w:rsid w:val="0005763C"/>
    <w:rsid w:val="00057EFE"/>
    <w:rsid w:val="00061A48"/>
    <w:rsid w:val="00061E47"/>
    <w:rsid w:val="000626E9"/>
    <w:rsid w:val="0006315A"/>
    <w:rsid w:val="00063C9E"/>
    <w:rsid w:val="00063F58"/>
    <w:rsid w:val="00066049"/>
    <w:rsid w:val="00067753"/>
    <w:rsid w:val="00070FB9"/>
    <w:rsid w:val="0007164D"/>
    <w:rsid w:val="00071BAD"/>
    <w:rsid w:val="00072616"/>
    <w:rsid w:val="00072977"/>
    <w:rsid w:val="00072B13"/>
    <w:rsid w:val="0007310C"/>
    <w:rsid w:val="0007329E"/>
    <w:rsid w:val="00075BE7"/>
    <w:rsid w:val="00075C01"/>
    <w:rsid w:val="00076717"/>
    <w:rsid w:val="00077283"/>
    <w:rsid w:val="00077F72"/>
    <w:rsid w:val="00080FB6"/>
    <w:rsid w:val="00082367"/>
    <w:rsid w:val="00082A3E"/>
    <w:rsid w:val="0008306F"/>
    <w:rsid w:val="000836F6"/>
    <w:rsid w:val="00085A0E"/>
    <w:rsid w:val="00085AB1"/>
    <w:rsid w:val="00087AF6"/>
    <w:rsid w:val="00092FDA"/>
    <w:rsid w:val="000935B0"/>
    <w:rsid w:val="00093C26"/>
    <w:rsid w:val="0009429E"/>
    <w:rsid w:val="00095F54"/>
    <w:rsid w:val="0009611E"/>
    <w:rsid w:val="000962A2"/>
    <w:rsid w:val="000973E1"/>
    <w:rsid w:val="00097451"/>
    <w:rsid w:val="00097ABA"/>
    <w:rsid w:val="00097F1F"/>
    <w:rsid w:val="00097F3F"/>
    <w:rsid w:val="000A2A3A"/>
    <w:rsid w:val="000A2CE1"/>
    <w:rsid w:val="000A2ECA"/>
    <w:rsid w:val="000A3D7F"/>
    <w:rsid w:val="000A4A9B"/>
    <w:rsid w:val="000A4DCB"/>
    <w:rsid w:val="000A54AE"/>
    <w:rsid w:val="000A5D83"/>
    <w:rsid w:val="000A6332"/>
    <w:rsid w:val="000A65C2"/>
    <w:rsid w:val="000A7D59"/>
    <w:rsid w:val="000B083A"/>
    <w:rsid w:val="000B100B"/>
    <w:rsid w:val="000B19A3"/>
    <w:rsid w:val="000B2AD3"/>
    <w:rsid w:val="000B2CD2"/>
    <w:rsid w:val="000B31ED"/>
    <w:rsid w:val="000B391C"/>
    <w:rsid w:val="000B3984"/>
    <w:rsid w:val="000B438B"/>
    <w:rsid w:val="000B4868"/>
    <w:rsid w:val="000B486E"/>
    <w:rsid w:val="000B4ED1"/>
    <w:rsid w:val="000B5A84"/>
    <w:rsid w:val="000B6EB5"/>
    <w:rsid w:val="000C1416"/>
    <w:rsid w:val="000C2231"/>
    <w:rsid w:val="000C2A3C"/>
    <w:rsid w:val="000C2B50"/>
    <w:rsid w:val="000C33DA"/>
    <w:rsid w:val="000C44C6"/>
    <w:rsid w:val="000C53C3"/>
    <w:rsid w:val="000D1159"/>
    <w:rsid w:val="000D1B54"/>
    <w:rsid w:val="000D2900"/>
    <w:rsid w:val="000D3732"/>
    <w:rsid w:val="000D3914"/>
    <w:rsid w:val="000D43C8"/>
    <w:rsid w:val="000D5752"/>
    <w:rsid w:val="000D5E62"/>
    <w:rsid w:val="000D640B"/>
    <w:rsid w:val="000D6E0E"/>
    <w:rsid w:val="000D76E9"/>
    <w:rsid w:val="000E148C"/>
    <w:rsid w:val="000E2AE8"/>
    <w:rsid w:val="000E42C5"/>
    <w:rsid w:val="000E4D7F"/>
    <w:rsid w:val="000E5345"/>
    <w:rsid w:val="000E78DA"/>
    <w:rsid w:val="000E7EA8"/>
    <w:rsid w:val="000F12E4"/>
    <w:rsid w:val="000F1448"/>
    <w:rsid w:val="000F1863"/>
    <w:rsid w:val="000F1883"/>
    <w:rsid w:val="000F1F13"/>
    <w:rsid w:val="000F23DF"/>
    <w:rsid w:val="000F2CB7"/>
    <w:rsid w:val="000F37EC"/>
    <w:rsid w:val="000F3FE4"/>
    <w:rsid w:val="000F410B"/>
    <w:rsid w:val="000F4255"/>
    <w:rsid w:val="000F42A0"/>
    <w:rsid w:val="000F44BA"/>
    <w:rsid w:val="001000C4"/>
    <w:rsid w:val="00101F19"/>
    <w:rsid w:val="00102DD5"/>
    <w:rsid w:val="00103439"/>
    <w:rsid w:val="00105655"/>
    <w:rsid w:val="0010579B"/>
    <w:rsid w:val="001057DA"/>
    <w:rsid w:val="00105AD5"/>
    <w:rsid w:val="00105FB4"/>
    <w:rsid w:val="00107AA9"/>
    <w:rsid w:val="00107E33"/>
    <w:rsid w:val="00110858"/>
    <w:rsid w:val="0011126F"/>
    <w:rsid w:val="001117F4"/>
    <w:rsid w:val="00111F31"/>
    <w:rsid w:val="00111FEC"/>
    <w:rsid w:val="00116878"/>
    <w:rsid w:val="001168C2"/>
    <w:rsid w:val="00117EC8"/>
    <w:rsid w:val="00122856"/>
    <w:rsid w:val="00122BDA"/>
    <w:rsid w:val="00125FF4"/>
    <w:rsid w:val="00130C06"/>
    <w:rsid w:val="001311F0"/>
    <w:rsid w:val="00131D4A"/>
    <w:rsid w:val="00131FD7"/>
    <w:rsid w:val="00132F8A"/>
    <w:rsid w:val="001340F9"/>
    <w:rsid w:val="001344B5"/>
    <w:rsid w:val="00134D92"/>
    <w:rsid w:val="0013533A"/>
    <w:rsid w:val="00135D7E"/>
    <w:rsid w:val="001367DE"/>
    <w:rsid w:val="0014138C"/>
    <w:rsid w:val="00141FE8"/>
    <w:rsid w:val="0014294F"/>
    <w:rsid w:val="00142C28"/>
    <w:rsid w:val="00145624"/>
    <w:rsid w:val="00145E67"/>
    <w:rsid w:val="00147325"/>
    <w:rsid w:val="00147703"/>
    <w:rsid w:val="001517DB"/>
    <w:rsid w:val="00152C36"/>
    <w:rsid w:val="00153315"/>
    <w:rsid w:val="001543F6"/>
    <w:rsid w:val="001553B7"/>
    <w:rsid w:val="00155D89"/>
    <w:rsid w:val="00156676"/>
    <w:rsid w:val="00160EC1"/>
    <w:rsid w:val="00164A68"/>
    <w:rsid w:val="0016582E"/>
    <w:rsid w:val="001661B7"/>
    <w:rsid w:val="00166317"/>
    <w:rsid w:val="00166488"/>
    <w:rsid w:val="00167D04"/>
    <w:rsid w:val="00167DE0"/>
    <w:rsid w:val="00171EF0"/>
    <w:rsid w:val="00174A68"/>
    <w:rsid w:val="00174A9E"/>
    <w:rsid w:val="00174B1D"/>
    <w:rsid w:val="00174BA7"/>
    <w:rsid w:val="001758EE"/>
    <w:rsid w:val="00175E81"/>
    <w:rsid w:val="001762E1"/>
    <w:rsid w:val="001763BA"/>
    <w:rsid w:val="00176E66"/>
    <w:rsid w:val="00176FFE"/>
    <w:rsid w:val="0017738E"/>
    <w:rsid w:val="001777C2"/>
    <w:rsid w:val="001778AF"/>
    <w:rsid w:val="00181B25"/>
    <w:rsid w:val="00182A0F"/>
    <w:rsid w:val="00183C30"/>
    <w:rsid w:val="00184F2E"/>
    <w:rsid w:val="001859D5"/>
    <w:rsid w:val="00187EAE"/>
    <w:rsid w:val="0019170E"/>
    <w:rsid w:val="00192235"/>
    <w:rsid w:val="001926F2"/>
    <w:rsid w:val="00192BF3"/>
    <w:rsid w:val="001933F6"/>
    <w:rsid w:val="001936BE"/>
    <w:rsid w:val="00193EEA"/>
    <w:rsid w:val="0019405E"/>
    <w:rsid w:val="001942C8"/>
    <w:rsid w:val="001944E4"/>
    <w:rsid w:val="00194A27"/>
    <w:rsid w:val="0019502E"/>
    <w:rsid w:val="00196B57"/>
    <w:rsid w:val="001A08DE"/>
    <w:rsid w:val="001A12D0"/>
    <w:rsid w:val="001A1B8F"/>
    <w:rsid w:val="001A2C93"/>
    <w:rsid w:val="001A2E7A"/>
    <w:rsid w:val="001A2FB3"/>
    <w:rsid w:val="001A3CEF"/>
    <w:rsid w:val="001A47E9"/>
    <w:rsid w:val="001A4917"/>
    <w:rsid w:val="001A59B4"/>
    <w:rsid w:val="001A5B13"/>
    <w:rsid w:val="001A6249"/>
    <w:rsid w:val="001A6323"/>
    <w:rsid w:val="001A6C88"/>
    <w:rsid w:val="001A77C4"/>
    <w:rsid w:val="001B017E"/>
    <w:rsid w:val="001B01F0"/>
    <w:rsid w:val="001B0E11"/>
    <w:rsid w:val="001B1033"/>
    <w:rsid w:val="001B122D"/>
    <w:rsid w:val="001B1DE8"/>
    <w:rsid w:val="001B2C4F"/>
    <w:rsid w:val="001B473A"/>
    <w:rsid w:val="001B52F2"/>
    <w:rsid w:val="001B5B8E"/>
    <w:rsid w:val="001B7375"/>
    <w:rsid w:val="001B782E"/>
    <w:rsid w:val="001C0468"/>
    <w:rsid w:val="001C0C5D"/>
    <w:rsid w:val="001C0DFD"/>
    <w:rsid w:val="001C2194"/>
    <w:rsid w:val="001C3839"/>
    <w:rsid w:val="001D0C07"/>
    <w:rsid w:val="001D0D82"/>
    <w:rsid w:val="001D1390"/>
    <w:rsid w:val="001D419F"/>
    <w:rsid w:val="001D4D1B"/>
    <w:rsid w:val="001D6672"/>
    <w:rsid w:val="001D66FE"/>
    <w:rsid w:val="001D707A"/>
    <w:rsid w:val="001D7161"/>
    <w:rsid w:val="001D7A67"/>
    <w:rsid w:val="001E01E7"/>
    <w:rsid w:val="001E0BDF"/>
    <w:rsid w:val="001E1B51"/>
    <w:rsid w:val="001E1C6F"/>
    <w:rsid w:val="001E2290"/>
    <w:rsid w:val="001E2495"/>
    <w:rsid w:val="001E3D9D"/>
    <w:rsid w:val="001E40EA"/>
    <w:rsid w:val="001E500D"/>
    <w:rsid w:val="001E62FD"/>
    <w:rsid w:val="001E78EC"/>
    <w:rsid w:val="001E7C02"/>
    <w:rsid w:val="001F02C4"/>
    <w:rsid w:val="001F0897"/>
    <w:rsid w:val="001F14AF"/>
    <w:rsid w:val="001F31E2"/>
    <w:rsid w:val="001F3558"/>
    <w:rsid w:val="001F465D"/>
    <w:rsid w:val="001F74E0"/>
    <w:rsid w:val="00201DA9"/>
    <w:rsid w:val="002021CE"/>
    <w:rsid w:val="00202352"/>
    <w:rsid w:val="00202399"/>
    <w:rsid w:val="0020244E"/>
    <w:rsid w:val="00203112"/>
    <w:rsid w:val="002034DF"/>
    <w:rsid w:val="002038B4"/>
    <w:rsid w:val="002038E5"/>
    <w:rsid w:val="00203ADD"/>
    <w:rsid w:val="00204BE6"/>
    <w:rsid w:val="0020635C"/>
    <w:rsid w:val="0020679A"/>
    <w:rsid w:val="00210582"/>
    <w:rsid w:val="00211094"/>
    <w:rsid w:val="0021123D"/>
    <w:rsid w:val="002117C2"/>
    <w:rsid w:val="00212BD9"/>
    <w:rsid w:val="00213D7B"/>
    <w:rsid w:val="00214860"/>
    <w:rsid w:val="002149E8"/>
    <w:rsid w:val="00214C47"/>
    <w:rsid w:val="00215279"/>
    <w:rsid w:val="00215EC2"/>
    <w:rsid w:val="00217F16"/>
    <w:rsid w:val="00221768"/>
    <w:rsid w:val="00221DAB"/>
    <w:rsid w:val="002220E6"/>
    <w:rsid w:val="0022227A"/>
    <w:rsid w:val="0022238D"/>
    <w:rsid w:val="002225FB"/>
    <w:rsid w:val="0022328F"/>
    <w:rsid w:val="00223352"/>
    <w:rsid w:val="00225D8B"/>
    <w:rsid w:val="00227FDC"/>
    <w:rsid w:val="002307E1"/>
    <w:rsid w:val="002317C4"/>
    <w:rsid w:val="00232081"/>
    <w:rsid w:val="002346F4"/>
    <w:rsid w:val="002360E8"/>
    <w:rsid w:val="00237271"/>
    <w:rsid w:val="00237A18"/>
    <w:rsid w:val="00241A61"/>
    <w:rsid w:val="00241F66"/>
    <w:rsid w:val="0024227E"/>
    <w:rsid w:val="002427DC"/>
    <w:rsid w:val="00242DCE"/>
    <w:rsid w:val="0024386B"/>
    <w:rsid w:val="00243B3D"/>
    <w:rsid w:val="00244D35"/>
    <w:rsid w:val="00244EC4"/>
    <w:rsid w:val="002453AB"/>
    <w:rsid w:val="002464A5"/>
    <w:rsid w:val="0025195A"/>
    <w:rsid w:val="00252E5C"/>
    <w:rsid w:val="002539B4"/>
    <w:rsid w:val="00253D00"/>
    <w:rsid w:val="00254F43"/>
    <w:rsid w:val="00255AF3"/>
    <w:rsid w:val="00256FE4"/>
    <w:rsid w:val="002573BB"/>
    <w:rsid w:val="00257B3A"/>
    <w:rsid w:val="002610DA"/>
    <w:rsid w:val="0026304C"/>
    <w:rsid w:val="0026427D"/>
    <w:rsid w:val="00264EED"/>
    <w:rsid w:val="00265A16"/>
    <w:rsid w:val="00265C8C"/>
    <w:rsid w:val="00267075"/>
    <w:rsid w:val="002670F4"/>
    <w:rsid w:val="002673F1"/>
    <w:rsid w:val="002707FB"/>
    <w:rsid w:val="0027154E"/>
    <w:rsid w:val="00272E52"/>
    <w:rsid w:val="00274435"/>
    <w:rsid w:val="0027520E"/>
    <w:rsid w:val="00275443"/>
    <w:rsid w:val="00275B02"/>
    <w:rsid w:val="002767A4"/>
    <w:rsid w:val="002800CE"/>
    <w:rsid w:val="0028236D"/>
    <w:rsid w:val="0028638D"/>
    <w:rsid w:val="00287C86"/>
    <w:rsid w:val="002906CE"/>
    <w:rsid w:val="00291511"/>
    <w:rsid w:val="00292D30"/>
    <w:rsid w:val="00293442"/>
    <w:rsid w:val="00294B3F"/>
    <w:rsid w:val="00294D1C"/>
    <w:rsid w:val="00294FBA"/>
    <w:rsid w:val="00296A1E"/>
    <w:rsid w:val="00297FF0"/>
    <w:rsid w:val="002A0F8F"/>
    <w:rsid w:val="002A21F2"/>
    <w:rsid w:val="002A2651"/>
    <w:rsid w:val="002A365B"/>
    <w:rsid w:val="002A3A53"/>
    <w:rsid w:val="002A3BC9"/>
    <w:rsid w:val="002A7EDE"/>
    <w:rsid w:val="002B005C"/>
    <w:rsid w:val="002B0D32"/>
    <w:rsid w:val="002B11A6"/>
    <w:rsid w:val="002B264E"/>
    <w:rsid w:val="002B31E5"/>
    <w:rsid w:val="002B46AE"/>
    <w:rsid w:val="002B4B18"/>
    <w:rsid w:val="002B531A"/>
    <w:rsid w:val="002B5EC1"/>
    <w:rsid w:val="002B705A"/>
    <w:rsid w:val="002C1FAE"/>
    <w:rsid w:val="002C2383"/>
    <w:rsid w:val="002C2AD3"/>
    <w:rsid w:val="002C34DF"/>
    <w:rsid w:val="002C509B"/>
    <w:rsid w:val="002C534F"/>
    <w:rsid w:val="002C56CD"/>
    <w:rsid w:val="002C699B"/>
    <w:rsid w:val="002C7B17"/>
    <w:rsid w:val="002D0562"/>
    <w:rsid w:val="002D2219"/>
    <w:rsid w:val="002D241B"/>
    <w:rsid w:val="002D3D3C"/>
    <w:rsid w:val="002D45E6"/>
    <w:rsid w:val="002D4BFA"/>
    <w:rsid w:val="002D5218"/>
    <w:rsid w:val="002D6705"/>
    <w:rsid w:val="002D76F1"/>
    <w:rsid w:val="002E06CD"/>
    <w:rsid w:val="002E1E6D"/>
    <w:rsid w:val="002E41C8"/>
    <w:rsid w:val="002E464D"/>
    <w:rsid w:val="002E4A4F"/>
    <w:rsid w:val="002E4B31"/>
    <w:rsid w:val="002E4C10"/>
    <w:rsid w:val="002E4CAE"/>
    <w:rsid w:val="002E518C"/>
    <w:rsid w:val="002E725A"/>
    <w:rsid w:val="002F0593"/>
    <w:rsid w:val="002F0D29"/>
    <w:rsid w:val="002F0DB1"/>
    <w:rsid w:val="002F201B"/>
    <w:rsid w:val="002F2240"/>
    <w:rsid w:val="002F35FC"/>
    <w:rsid w:val="002F3E1A"/>
    <w:rsid w:val="002F3F7A"/>
    <w:rsid w:val="002F5B33"/>
    <w:rsid w:val="002F74AD"/>
    <w:rsid w:val="003018F0"/>
    <w:rsid w:val="00301A16"/>
    <w:rsid w:val="0030226A"/>
    <w:rsid w:val="0030381B"/>
    <w:rsid w:val="003045BC"/>
    <w:rsid w:val="00304A1C"/>
    <w:rsid w:val="00305C2C"/>
    <w:rsid w:val="00306B69"/>
    <w:rsid w:val="00307571"/>
    <w:rsid w:val="0031066F"/>
    <w:rsid w:val="003109EC"/>
    <w:rsid w:val="00312786"/>
    <w:rsid w:val="00313747"/>
    <w:rsid w:val="00314EDE"/>
    <w:rsid w:val="00315045"/>
    <w:rsid w:val="00315D4B"/>
    <w:rsid w:val="003161BF"/>
    <w:rsid w:val="003178F8"/>
    <w:rsid w:val="00320255"/>
    <w:rsid w:val="00320C94"/>
    <w:rsid w:val="0032123A"/>
    <w:rsid w:val="00321933"/>
    <w:rsid w:val="00322DF1"/>
    <w:rsid w:val="00324025"/>
    <w:rsid w:val="00324561"/>
    <w:rsid w:val="00324AF2"/>
    <w:rsid w:val="00324F39"/>
    <w:rsid w:val="00325624"/>
    <w:rsid w:val="00325FD5"/>
    <w:rsid w:val="003263B5"/>
    <w:rsid w:val="00326E83"/>
    <w:rsid w:val="00327FE5"/>
    <w:rsid w:val="00330183"/>
    <w:rsid w:val="00330338"/>
    <w:rsid w:val="00330C85"/>
    <w:rsid w:val="00330FB9"/>
    <w:rsid w:val="00331DA7"/>
    <w:rsid w:val="00332724"/>
    <w:rsid w:val="00334D0B"/>
    <w:rsid w:val="0033726B"/>
    <w:rsid w:val="00337A28"/>
    <w:rsid w:val="003413B5"/>
    <w:rsid w:val="0034206A"/>
    <w:rsid w:val="003426B7"/>
    <w:rsid w:val="00342CA2"/>
    <w:rsid w:val="00342DD2"/>
    <w:rsid w:val="00345585"/>
    <w:rsid w:val="0034564C"/>
    <w:rsid w:val="00346199"/>
    <w:rsid w:val="003465B6"/>
    <w:rsid w:val="00346A5E"/>
    <w:rsid w:val="00346F1D"/>
    <w:rsid w:val="00347A00"/>
    <w:rsid w:val="0035011E"/>
    <w:rsid w:val="0035026F"/>
    <w:rsid w:val="00350579"/>
    <w:rsid w:val="00352766"/>
    <w:rsid w:val="00354382"/>
    <w:rsid w:val="00354FB7"/>
    <w:rsid w:val="00355019"/>
    <w:rsid w:val="003570EA"/>
    <w:rsid w:val="00357B52"/>
    <w:rsid w:val="00357DEF"/>
    <w:rsid w:val="0036135A"/>
    <w:rsid w:val="00361B7C"/>
    <w:rsid w:val="003620B0"/>
    <w:rsid w:val="00363243"/>
    <w:rsid w:val="003639EE"/>
    <w:rsid w:val="003653B0"/>
    <w:rsid w:val="003661C2"/>
    <w:rsid w:val="0037018B"/>
    <w:rsid w:val="0037026E"/>
    <w:rsid w:val="003708B8"/>
    <w:rsid w:val="003710CA"/>
    <w:rsid w:val="003711E9"/>
    <w:rsid w:val="00371321"/>
    <w:rsid w:val="00371574"/>
    <w:rsid w:val="00371BD2"/>
    <w:rsid w:val="00372C7B"/>
    <w:rsid w:val="00375C75"/>
    <w:rsid w:val="00376204"/>
    <w:rsid w:val="00376229"/>
    <w:rsid w:val="003765D9"/>
    <w:rsid w:val="003772E2"/>
    <w:rsid w:val="00380AE8"/>
    <w:rsid w:val="003812EA"/>
    <w:rsid w:val="00381964"/>
    <w:rsid w:val="0038298F"/>
    <w:rsid w:val="00383793"/>
    <w:rsid w:val="00384B22"/>
    <w:rsid w:val="00385EF6"/>
    <w:rsid w:val="003875A7"/>
    <w:rsid w:val="00387766"/>
    <w:rsid w:val="00387CD3"/>
    <w:rsid w:val="003900FF"/>
    <w:rsid w:val="003903EF"/>
    <w:rsid w:val="003916BA"/>
    <w:rsid w:val="00391979"/>
    <w:rsid w:val="0039227C"/>
    <w:rsid w:val="00392EF1"/>
    <w:rsid w:val="00393B66"/>
    <w:rsid w:val="00393DDB"/>
    <w:rsid w:val="00395155"/>
    <w:rsid w:val="00396775"/>
    <w:rsid w:val="00396A7F"/>
    <w:rsid w:val="003A0090"/>
    <w:rsid w:val="003A07A5"/>
    <w:rsid w:val="003A0A31"/>
    <w:rsid w:val="003A16BB"/>
    <w:rsid w:val="003A1787"/>
    <w:rsid w:val="003A2761"/>
    <w:rsid w:val="003A36F3"/>
    <w:rsid w:val="003A4C24"/>
    <w:rsid w:val="003A4C51"/>
    <w:rsid w:val="003A73FB"/>
    <w:rsid w:val="003A7470"/>
    <w:rsid w:val="003A760B"/>
    <w:rsid w:val="003B0E86"/>
    <w:rsid w:val="003B2D12"/>
    <w:rsid w:val="003B33F4"/>
    <w:rsid w:val="003B5300"/>
    <w:rsid w:val="003B5426"/>
    <w:rsid w:val="003B6E5D"/>
    <w:rsid w:val="003B7B9E"/>
    <w:rsid w:val="003B7D39"/>
    <w:rsid w:val="003C1231"/>
    <w:rsid w:val="003C3251"/>
    <w:rsid w:val="003C33B8"/>
    <w:rsid w:val="003C4DF6"/>
    <w:rsid w:val="003C5F33"/>
    <w:rsid w:val="003C5FC3"/>
    <w:rsid w:val="003C76D7"/>
    <w:rsid w:val="003C7A02"/>
    <w:rsid w:val="003D00A7"/>
    <w:rsid w:val="003D189C"/>
    <w:rsid w:val="003D332E"/>
    <w:rsid w:val="003D4FC8"/>
    <w:rsid w:val="003D4FE0"/>
    <w:rsid w:val="003D5689"/>
    <w:rsid w:val="003D5A7E"/>
    <w:rsid w:val="003D7B87"/>
    <w:rsid w:val="003E018E"/>
    <w:rsid w:val="003E07D6"/>
    <w:rsid w:val="003E0C9C"/>
    <w:rsid w:val="003E1CF8"/>
    <w:rsid w:val="003E331E"/>
    <w:rsid w:val="003E64F9"/>
    <w:rsid w:val="003E6A13"/>
    <w:rsid w:val="003E7B14"/>
    <w:rsid w:val="003E7BB4"/>
    <w:rsid w:val="003E7C11"/>
    <w:rsid w:val="003E7C8A"/>
    <w:rsid w:val="003F0270"/>
    <w:rsid w:val="003F18BE"/>
    <w:rsid w:val="003F3802"/>
    <w:rsid w:val="003F39D8"/>
    <w:rsid w:val="003F3EA8"/>
    <w:rsid w:val="003F663F"/>
    <w:rsid w:val="003F7605"/>
    <w:rsid w:val="00400008"/>
    <w:rsid w:val="00400828"/>
    <w:rsid w:val="00401647"/>
    <w:rsid w:val="00401A60"/>
    <w:rsid w:val="00401ED8"/>
    <w:rsid w:val="00402881"/>
    <w:rsid w:val="004038DD"/>
    <w:rsid w:val="004043FA"/>
    <w:rsid w:val="00404F25"/>
    <w:rsid w:val="004061A6"/>
    <w:rsid w:val="0040786A"/>
    <w:rsid w:val="00407DE1"/>
    <w:rsid w:val="00411117"/>
    <w:rsid w:val="00411BB0"/>
    <w:rsid w:val="00411DA0"/>
    <w:rsid w:val="004124BB"/>
    <w:rsid w:val="00412E9A"/>
    <w:rsid w:val="0041313F"/>
    <w:rsid w:val="0041410B"/>
    <w:rsid w:val="0041464B"/>
    <w:rsid w:val="00414BC1"/>
    <w:rsid w:val="00415075"/>
    <w:rsid w:val="00415313"/>
    <w:rsid w:val="004160F3"/>
    <w:rsid w:val="004164EB"/>
    <w:rsid w:val="00416C74"/>
    <w:rsid w:val="004204B2"/>
    <w:rsid w:val="00420558"/>
    <w:rsid w:val="00420B58"/>
    <w:rsid w:val="00421DA5"/>
    <w:rsid w:val="00422B59"/>
    <w:rsid w:val="00422DEC"/>
    <w:rsid w:val="004230A1"/>
    <w:rsid w:val="004238EE"/>
    <w:rsid w:val="00424471"/>
    <w:rsid w:val="0042468B"/>
    <w:rsid w:val="00425107"/>
    <w:rsid w:val="004307B6"/>
    <w:rsid w:val="00431599"/>
    <w:rsid w:val="00431B99"/>
    <w:rsid w:val="00432638"/>
    <w:rsid w:val="00432AAB"/>
    <w:rsid w:val="004330A7"/>
    <w:rsid w:val="00433FED"/>
    <w:rsid w:val="00435B5A"/>
    <w:rsid w:val="00435F84"/>
    <w:rsid w:val="004368A7"/>
    <w:rsid w:val="00437ACF"/>
    <w:rsid w:val="004403BB"/>
    <w:rsid w:val="004407B6"/>
    <w:rsid w:val="00440E78"/>
    <w:rsid w:val="00441894"/>
    <w:rsid w:val="00442724"/>
    <w:rsid w:val="004436FE"/>
    <w:rsid w:val="0044615C"/>
    <w:rsid w:val="00446623"/>
    <w:rsid w:val="00446AEF"/>
    <w:rsid w:val="0044702A"/>
    <w:rsid w:val="00447091"/>
    <w:rsid w:val="00447F6C"/>
    <w:rsid w:val="00451665"/>
    <w:rsid w:val="004518A1"/>
    <w:rsid w:val="00452D3A"/>
    <w:rsid w:val="0045522D"/>
    <w:rsid w:val="004559B4"/>
    <w:rsid w:val="00456099"/>
    <w:rsid w:val="00456A96"/>
    <w:rsid w:val="00456F6C"/>
    <w:rsid w:val="0046026A"/>
    <w:rsid w:val="00460480"/>
    <w:rsid w:val="00460793"/>
    <w:rsid w:val="00461256"/>
    <w:rsid w:val="00462054"/>
    <w:rsid w:val="0046279E"/>
    <w:rsid w:val="00464A8B"/>
    <w:rsid w:val="00464E36"/>
    <w:rsid w:val="00465389"/>
    <w:rsid w:val="00466717"/>
    <w:rsid w:val="004668D5"/>
    <w:rsid w:val="004709BB"/>
    <w:rsid w:val="00470F90"/>
    <w:rsid w:val="004710C8"/>
    <w:rsid w:val="0047165B"/>
    <w:rsid w:val="004722A2"/>
    <w:rsid w:val="00472378"/>
    <w:rsid w:val="0047254D"/>
    <w:rsid w:val="00472F3F"/>
    <w:rsid w:val="00474F8B"/>
    <w:rsid w:val="0047573D"/>
    <w:rsid w:val="00480908"/>
    <w:rsid w:val="0048117F"/>
    <w:rsid w:val="00481FA8"/>
    <w:rsid w:val="00482B5E"/>
    <w:rsid w:val="00482C9F"/>
    <w:rsid w:val="00486DEB"/>
    <w:rsid w:val="00486E2C"/>
    <w:rsid w:val="004877BB"/>
    <w:rsid w:val="00491B5D"/>
    <w:rsid w:val="00493F66"/>
    <w:rsid w:val="00494036"/>
    <w:rsid w:val="00494B3E"/>
    <w:rsid w:val="00495BFB"/>
    <w:rsid w:val="00496DED"/>
    <w:rsid w:val="00497454"/>
    <w:rsid w:val="004A0F06"/>
    <w:rsid w:val="004A1F1B"/>
    <w:rsid w:val="004A32FF"/>
    <w:rsid w:val="004A44D8"/>
    <w:rsid w:val="004A5BD2"/>
    <w:rsid w:val="004A5FBC"/>
    <w:rsid w:val="004A6CCC"/>
    <w:rsid w:val="004A7090"/>
    <w:rsid w:val="004B0F58"/>
    <w:rsid w:val="004B14CB"/>
    <w:rsid w:val="004B18CE"/>
    <w:rsid w:val="004B24D1"/>
    <w:rsid w:val="004B29B8"/>
    <w:rsid w:val="004B3077"/>
    <w:rsid w:val="004B339C"/>
    <w:rsid w:val="004B33BE"/>
    <w:rsid w:val="004B3705"/>
    <w:rsid w:val="004B3BC6"/>
    <w:rsid w:val="004B41E7"/>
    <w:rsid w:val="004B44A2"/>
    <w:rsid w:val="004B4986"/>
    <w:rsid w:val="004B4BE0"/>
    <w:rsid w:val="004B5F98"/>
    <w:rsid w:val="004B6201"/>
    <w:rsid w:val="004B6664"/>
    <w:rsid w:val="004B68A9"/>
    <w:rsid w:val="004B6B5D"/>
    <w:rsid w:val="004B78A5"/>
    <w:rsid w:val="004B7A7B"/>
    <w:rsid w:val="004C1081"/>
    <w:rsid w:val="004C21A7"/>
    <w:rsid w:val="004C2503"/>
    <w:rsid w:val="004C4026"/>
    <w:rsid w:val="004C403F"/>
    <w:rsid w:val="004C5151"/>
    <w:rsid w:val="004C54ED"/>
    <w:rsid w:val="004C56AF"/>
    <w:rsid w:val="004C5856"/>
    <w:rsid w:val="004C6568"/>
    <w:rsid w:val="004C7FCD"/>
    <w:rsid w:val="004D059A"/>
    <w:rsid w:val="004D14CB"/>
    <w:rsid w:val="004D23B2"/>
    <w:rsid w:val="004D3015"/>
    <w:rsid w:val="004D4019"/>
    <w:rsid w:val="004D5760"/>
    <w:rsid w:val="004D5DF8"/>
    <w:rsid w:val="004D6363"/>
    <w:rsid w:val="004D64BA"/>
    <w:rsid w:val="004D6929"/>
    <w:rsid w:val="004D727B"/>
    <w:rsid w:val="004D7BD1"/>
    <w:rsid w:val="004D7EB0"/>
    <w:rsid w:val="004E2AE3"/>
    <w:rsid w:val="004E34E4"/>
    <w:rsid w:val="004E3E72"/>
    <w:rsid w:val="004E49B1"/>
    <w:rsid w:val="004E4AD1"/>
    <w:rsid w:val="004E54DC"/>
    <w:rsid w:val="004E56E2"/>
    <w:rsid w:val="004E6ED9"/>
    <w:rsid w:val="004F0A75"/>
    <w:rsid w:val="004F338B"/>
    <w:rsid w:val="004F34AB"/>
    <w:rsid w:val="004F401C"/>
    <w:rsid w:val="004F49A5"/>
    <w:rsid w:val="004F573E"/>
    <w:rsid w:val="004F7E90"/>
    <w:rsid w:val="00500BA5"/>
    <w:rsid w:val="005011AD"/>
    <w:rsid w:val="00501CDD"/>
    <w:rsid w:val="00501D0A"/>
    <w:rsid w:val="00501E38"/>
    <w:rsid w:val="00503CCA"/>
    <w:rsid w:val="00504A6E"/>
    <w:rsid w:val="0050535F"/>
    <w:rsid w:val="005054A8"/>
    <w:rsid w:val="005057E9"/>
    <w:rsid w:val="005100A5"/>
    <w:rsid w:val="00511393"/>
    <w:rsid w:val="0051153F"/>
    <w:rsid w:val="0051182D"/>
    <w:rsid w:val="00511CFF"/>
    <w:rsid w:val="005127E7"/>
    <w:rsid w:val="00512A98"/>
    <w:rsid w:val="005149B0"/>
    <w:rsid w:val="00515507"/>
    <w:rsid w:val="00515663"/>
    <w:rsid w:val="00516634"/>
    <w:rsid w:val="005175BE"/>
    <w:rsid w:val="00517AE1"/>
    <w:rsid w:val="0052002F"/>
    <w:rsid w:val="00520CB2"/>
    <w:rsid w:val="00520D23"/>
    <w:rsid w:val="00522DAE"/>
    <w:rsid w:val="00524272"/>
    <w:rsid w:val="0052493C"/>
    <w:rsid w:val="0052537E"/>
    <w:rsid w:val="005255A5"/>
    <w:rsid w:val="00525CB3"/>
    <w:rsid w:val="00526CFD"/>
    <w:rsid w:val="00527185"/>
    <w:rsid w:val="0053130F"/>
    <w:rsid w:val="0053211B"/>
    <w:rsid w:val="00532E58"/>
    <w:rsid w:val="005345CA"/>
    <w:rsid w:val="00535D85"/>
    <w:rsid w:val="00535DF5"/>
    <w:rsid w:val="00537150"/>
    <w:rsid w:val="00540136"/>
    <w:rsid w:val="005401B6"/>
    <w:rsid w:val="00540E57"/>
    <w:rsid w:val="00541592"/>
    <w:rsid w:val="00541D81"/>
    <w:rsid w:val="00541E48"/>
    <w:rsid w:val="005425A7"/>
    <w:rsid w:val="00542E7D"/>
    <w:rsid w:val="0054316D"/>
    <w:rsid w:val="00543750"/>
    <w:rsid w:val="00543771"/>
    <w:rsid w:val="00544F03"/>
    <w:rsid w:val="005473A7"/>
    <w:rsid w:val="005476E2"/>
    <w:rsid w:val="00547872"/>
    <w:rsid w:val="00547E92"/>
    <w:rsid w:val="00550720"/>
    <w:rsid w:val="005508ED"/>
    <w:rsid w:val="005521B0"/>
    <w:rsid w:val="00552ED8"/>
    <w:rsid w:val="00553029"/>
    <w:rsid w:val="00554520"/>
    <w:rsid w:val="00555186"/>
    <w:rsid w:val="0055623C"/>
    <w:rsid w:val="00557342"/>
    <w:rsid w:val="00561302"/>
    <w:rsid w:val="00562496"/>
    <w:rsid w:val="005630F2"/>
    <w:rsid w:val="005631F4"/>
    <w:rsid w:val="00563508"/>
    <w:rsid w:val="00564621"/>
    <w:rsid w:val="00564D49"/>
    <w:rsid w:val="00566197"/>
    <w:rsid w:val="005671F9"/>
    <w:rsid w:val="0056722B"/>
    <w:rsid w:val="00571095"/>
    <w:rsid w:val="0057258D"/>
    <w:rsid w:val="005727D3"/>
    <w:rsid w:val="005732B9"/>
    <w:rsid w:val="005733B9"/>
    <w:rsid w:val="00573556"/>
    <w:rsid w:val="00573CA3"/>
    <w:rsid w:val="00576B68"/>
    <w:rsid w:val="00576E09"/>
    <w:rsid w:val="00577155"/>
    <w:rsid w:val="0057717E"/>
    <w:rsid w:val="005844CE"/>
    <w:rsid w:val="0058552C"/>
    <w:rsid w:val="00585CB1"/>
    <w:rsid w:val="005863C0"/>
    <w:rsid w:val="00586A24"/>
    <w:rsid w:val="00587DB3"/>
    <w:rsid w:val="00592196"/>
    <w:rsid w:val="00592C2B"/>
    <w:rsid w:val="00593465"/>
    <w:rsid w:val="005935B6"/>
    <w:rsid w:val="005935EE"/>
    <w:rsid w:val="0059381A"/>
    <w:rsid w:val="005951A7"/>
    <w:rsid w:val="00595D23"/>
    <w:rsid w:val="00597C86"/>
    <w:rsid w:val="005A0131"/>
    <w:rsid w:val="005A0D82"/>
    <w:rsid w:val="005A5762"/>
    <w:rsid w:val="005A66F9"/>
    <w:rsid w:val="005B0F4E"/>
    <w:rsid w:val="005B1C52"/>
    <w:rsid w:val="005B1EA7"/>
    <w:rsid w:val="005B2D1C"/>
    <w:rsid w:val="005B31A6"/>
    <w:rsid w:val="005B3766"/>
    <w:rsid w:val="005B467E"/>
    <w:rsid w:val="005B4E77"/>
    <w:rsid w:val="005B4EC5"/>
    <w:rsid w:val="005B7F5F"/>
    <w:rsid w:val="005C058C"/>
    <w:rsid w:val="005C08E8"/>
    <w:rsid w:val="005C09AE"/>
    <w:rsid w:val="005C15A0"/>
    <w:rsid w:val="005C24DE"/>
    <w:rsid w:val="005C3790"/>
    <w:rsid w:val="005C3EFF"/>
    <w:rsid w:val="005C50D0"/>
    <w:rsid w:val="005C5E00"/>
    <w:rsid w:val="005C5E76"/>
    <w:rsid w:val="005C6B7F"/>
    <w:rsid w:val="005C7017"/>
    <w:rsid w:val="005D0FC6"/>
    <w:rsid w:val="005D1E72"/>
    <w:rsid w:val="005D312C"/>
    <w:rsid w:val="005D3CB9"/>
    <w:rsid w:val="005D63E3"/>
    <w:rsid w:val="005D67FB"/>
    <w:rsid w:val="005D68D2"/>
    <w:rsid w:val="005D6F59"/>
    <w:rsid w:val="005E08B2"/>
    <w:rsid w:val="005E11A0"/>
    <w:rsid w:val="005E34DA"/>
    <w:rsid w:val="005E34FC"/>
    <w:rsid w:val="005E3771"/>
    <w:rsid w:val="005E3C2A"/>
    <w:rsid w:val="005E4F95"/>
    <w:rsid w:val="005E5613"/>
    <w:rsid w:val="005E5A0F"/>
    <w:rsid w:val="005E789B"/>
    <w:rsid w:val="005F0FAB"/>
    <w:rsid w:val="005F181B"/>
    <w:rsid w:val="005F47C2"/>
    <w:rsid w:val="005F5244"/>
    <w:rsid w:val="005F561B"/>
    <w:rsid w:val="005F5BAA"/>
    <w:rsid w:val="005F72CD"/>
    <w:rsid w:val="005F7F53"/>
    <w:rsid w:val="00600B7A"/>
    <w:rsid w:val="006011DB"/>
    <w:rsid w:val="006012CF"/>
    <w:rsid w:val="0060283F"/>
    <w:rsid w:val="0060302C"/>
    <w:rsid w:val="00603FBB"/>
    <w:rsid w:val="006041E5"/>
    <w:rsid w:val="00604A10"/>
    <w:rsid w:val="00604B42"/>
    <w:rsid w:val="00605AC8"/>
    <w:rsid w:val="00605D32"/>
    <w:rsid w:val="006068E2"/>
    <w:rsid w:val="006068ED"/>
    <w:rsid w:val="00610743"/>
    <w:rsid w:val="006114A7"/>
    <w:rsid w:val="0061247A"/>
    <w:rsid w:val="00612E32"/>
    <w:rsid w:val="00614B14"/>
    <w:rsid w:val="00614FAB"/>
    <w:rsid w:val="00615FBC"/>
    <w:rsid w:val="00616335"/>
    <w:rsid w:val="00617588"/>
    <w:rsid w:val="00617EB2"/>
    <w:rsid w:val="00622BBE"/>
    <w:rsid w:val="00622E16"/>
    <w:rsid w:val="006231A4"/>
    <w:rsid w:val="00625552"/>
    <w:rsid w:val="00625AF4"/>
    <w:rsid w:val="006265DD"/>
    <w:rsid w:val="00626BFD"/>
    <w:rsid w:val="00627CE0"/>
    <w:rsid w:val="006314AD"/>
    <w:rsid w:val="00631662"/>
    <w:rsid w:val="00633011"/>
    <w:rsid w:val="006356F1"/>
    <w:rsid w:val="00635CD2"/>
    <w:rsid w:val="0063630B"/>
    <w:rsid w:val="00636F71"/>
    <w:rsid w:val="00637BB4"/>
    <w:rsid w:val="00637DF8"/>
    <w:rsid w:val="0064042E"/>
    <w:rsid w:val="006419D1"/>
    <w:rsid w:val="00643328"/>
    <w:rsid w:val="006441E7"/>
    <w:rsid w:val="0064758D"/>
    <w:rsid w:val="00647A9C"/>
    <w:rsid w:val="0065121B"/>
    <w:rsid w:val="0065144E"/>
    <w:rsid w:val="00653AD7"/>
    <w:rsid w:val="00653CFB"/>
    <w:rsid w:val="0065424E"/>
    <w:rsid w:val="00654E77"/>
    <w:rsid w:val="00655B79"/>
    <w:rsid w:val="00655E5E"/>
    <w:rsid w:val="00656840"/>
    <w:rsid w:val="00657200"/>
    <w:rsid w:val="00657B2C"/>
    <w:rsid w:val="006600D9"/>
    <w:rsid w:val="006609CE"/>
    <w:rsid w:val="0066107E"/>
    <w:rsid w:val="00661982"/>
    <w:rsid w:val="00661FB3"/>
    <w:rsid w:val="006627A3"/>
    <w:rsid w:val="00662F91"/>
    <w:rsid w:val="00664653"/>
    <w:rsid w:val="00664B42"/>
    <w:rsid w:val="006654F7"/>
    <w:rsid w:val="006655BD"/>
    <w:rsid w:val="006656A0"/>
    <w:rsid w:val="00666FEC"/>
    <w:rsid w:val="006677EB"/>
    <w:rsid w:val="00670C9E"/>
    <w:rsid w:val="00672B7E"/>
    <w:rsid w:val="006737BD"/>
    <w:rsid w:val="00673AE4"/>
    <w:rsid w:val="00674311"/>
    <w:rsid w:val="006749F9"/>
    <w:rsid w:val="00675CCC"/>
    <w:rsid w:val="0067666C"/>
    <w:rsid w:val="00676D19"/>
    <w:rsid w:val="00677A86"/>
    <w:rsid w:val="00677D56"/>
    <w:rsid w:val="006800A1"/>
    <w:rsid w:val="006802DC"/>
    <w:rsid w:val="006809C5"/>
    <w:rsid w:val="00680C17"/>
    <w:rsid w:val="00680E69"/>
    <w:rsid w:val="00680ED8"/>
    <w:rsid w:val="006847E9"/>
    <w:rsid w:val="00684BDD"/>
    <w:rsid w:val="00686C58"/>
    <w:rsid w:val="00687425"/>
    <w:rsid w:val="006877D5"/>
    <w:rsid w:val="00687D43"/>
    <w:rsid w:val="0069011E"/>
    <w:rsid w:val="00692B91"/>
    <w:rsid w:val="00692EB0"/>
    <w:rsid w:val="00693275"/>
    <w:rsid w:val="00694183"/>
    <w:rsid w:val="006943B7"/>
    <w:rsid w:val="0069492C"/>
    <w:rsid w:val="00695724"/>
    <w:rsid w:val="00696D10"/>
    <w:rsid w:val="006970AD"/>
    <w:rsid w:val="006978B8"/>
    <w:rsid w:val="006979BA"/>
    <w:rsid w:val="006A0E51"/>
    <w:rsid w:val="006A150A"/>
    <w:rsid w:val="006A1591"/>
    <w:rsid w:val="006A1958"/>
    <w:rsid w:val="006A36B1"/>
    <w:rsid w:val="006A39E8"/>
    <w:rsid w:val="006A3A4A"/>
    <w:rsid w:val="006A3AB6"/>
    <w:rsid w:val="006A3BCC"/>
    <w:rsid w:val="006A6327"/>
    <w:rsid w:val="006A66BD"/>
    <w:rsid w:val="006A737A"/>
    <w:rsid w:val="006A7D7D"/>
    <w:rsid w:val="006B0D75"/>
    <w:rsid w:val="006B1218"/>
    <w:rsid w:val="006B1BF7"/>
    <w:rsid w:val="006B1DDF"/>
    <w:rsid w:val="006B4397"/>
    <w:rsid w:val="006B4E6B"/>
    <w:rsid w:val="006B5F38"/>
    <w:rsid w:val="006B6C0B"/>
    <w:rsid w:val="006B7092"/>
    <w:rsid w:val="006B775A"/>
    <w:rsid w:val="006C0923"/>
    <w:rsid w:val="006C0B55"/>
    <w:rsid w:val="006C0C5A"/>
    <w:rsid w:val="006C0D64"/>
    <w:rsid w:val="006C2519"/>
    <w:rsid w:val="006C3F12"/>
    <w:rsid w:val="006C4985"/>
    <w:rsid w:val="006C4F9C"/>
    <w:rsid w:val="006C5847"/>
    <w:rsid w:val="006C5EC9"/>
    <w:rsid w:val="006C6525"/>
    <w:rsid w:val="006C6928"/>
    <w:rsid w:val="006C7637"/>
    <w:rsid w:val="006D050E"/>
    <w:rsid w:val="006D0C94"/>
    <w:rsid w:val="006D0CBB"/>
    <w:rsid w:val="006D2341"/>
    <w:rsid w:val="006D2A1D"/>
    <w:rsid w:val="006D5437"/>
    <w:rsid w:val="006D5D52"/>
    <w:rsid w:val="006D7AC4"/>
    <w:rsid w:val="006E0058"/>
    <w:rsid w:val="006E2A37"/>
    <w:rsid w:val="006E332E"/>
    <w:rsid w:val="006E37DB"/>
    <w:rsid w:val="006E3865"/>
    <w:rsid w:val="006E3995"/>
    <w:rsid w:val="006E529E"/>
    <w:rsid w:val="006E55F8"/>
    <w:rsid w:val="006E671B"/>
    <w:rsid w:val="006E6995"/>
    <w:rsid w:val="006F07D4"/>
    <w:rsid w:val="006F3AB2"/>
    <w:rsid w:val="006F3EF7"/>
    <w:rsid w:val="006F3FDA"/>
    <w:rsid w:val="006F41BE"/>
    <w:rsid w:val="006F4803"/>
    <w:rsid w:val="006F4E0D"/>
    <w:rsid w:val="006F5260"/>
    <w:rsid w:val="006F5331"/>
    <w:rsid w:val="006F6F86"/>
    <w:rsid w:val="006F7D5C"/>
    <w:rsid w:val="006F7F63"/>
    <w:rsid w:val="00700BFB"/>
    <w:rsid w:val="00701BAE"/>
    <w:rsid w:val="0070241D"/>
    <w:rsid w:val="00702666"/>
    <w:rsid w:val="007028BE"/>
    <w:rsid w:val="00702D11"/>
    <w:rsid w:val="007036DD"/>
    <w:rsid w:val="007044CF"/>
    <w:rsid w:val="00704D1B"/>
    <w:rsid w:val="00705219"/>
    <w:rsid w:val="00706594"/>
    <w:rsid w:val="007072D2"/>
    <w:rsid w:val="0071005E"/>
    <w:rsid w:val="00711EFC"/>
    <w:rsid w:val="007122BE"/>
    <w:rsid w:val="00712306"/>
    <w:rsid w:val="0071301D"/>
    <w:rsid w:val="00713090"/>
    <w:rsid w:val="00713106"/>
    <w:rsid w:val="0071364A"/>
    <w:rsid w:val="007138EC"/>
    <w:rsid w:val="0071395D"/>
    <w:rsid w:val="00713B27"/>
    <w:rsid w:val="00713FA3"/>
    <w:rsid w:val="0071486F"/>
    <w:rsid w:val="00714F43"/>
    <w:rsid w:val="00715B21"/>
    <w:rsid w:val="00716020"/>
    <w:rsid w:val="0071668D"/>
    <w:rsid w:val="00716869"/>
    <w:rsid w:val="00720C1B"/>
    <w:rsid w:val="0072130D"/>
    <w:rsid w:val="00721542"/>
    <w:rsid w:val="00722A90"/>
    <w:rsid w:val="00722EFA"/>
    <w:rsid w:val="007236CC"/>
    <w:rsid w:val="00723F62"/>
    <w:rsid w:val="00724F00"/>
    <w:rsid w:val="00725080"/>
    <w:rsid w:val="007276CA"/>
    <w:rsid w:val="00727D83"/>
    <w:rsid w:val="00730B73"/>
    <w:rsid w:val="00731386"/>
    <w:rsid w:val="00731E21"/>
    <w:rsid w:val="00732255"/>
    <w:rsid w:val="00733A11"/>
    <w:rsid w:val="00734501"/>
    <w:rsid w:val="0073570A"/>
    <w:rsid w:val="0073768B"/>
    <w:rsid w:val="00740BD1"/>
    <w:rsid w:val="0074182C"/>
    <w:rsid w:val="00741A5A"/>
    <w:rsid w:val="007425CB"/>
    <w:rsid w:val="00743BAC"/>
    <w:rsid w:val="00743CE3"/>
    <w:rsid w:val="00746410"/>
    <w:rsid w:val="00746A1F"/>
    <w:rsid w:val="00747C2E"/>
    <w:rsid w:val="007506BA"/>
    <w:rsid w:val="007527CC"/>
    <w:rsid w:val="00752BF6"/>
    <w:rsid w:val="00753E0E"/>
    <w:rsid w:val="00754212"/>
    <w:rsid w:val="007544A8"/>
    <w:rsid w:val="007553C2"/>
    <w:rsid w:val="0075565B"/>
    <w:rsid w:val="00755D9A"/>
    <w:rsid w:val="00755EAC"/>
    <w:rsid w:val="00756595"/>
    <w:rsid w:val="00756625"/>
    <w:rsid w:val="007569C0"/>
    <w:rsid w:val="007571A7"/>
    <w:rsid w:val="00760435"/>
    <w:rsid w:val="00760C65"/>
    <w:rsid w:val="00761103"/>
    <w:rsid w:val="00762077"/>
    <w:rsid w:val="007620EB"/>
    <w:rsid w:val="00763CC6"/>
    <w:rsid w:val="00764C5A"/>
    <w:rsid w:val="007659B6"/>
    <w:rsid w:val="00765ED8"/>
    <w:rsid w:val="007661A0"/>
    <w:rsid w:val="00766294"/>
    <w:rsid w:val="007675DC"/>
    <w:rsid w:val="007678E9"/>
    <w:rsid w:val="00767A75"/>
    <w:rsid w:val="007710B0"/>
    <w:rsid w:val="00771849"/>
    <w:rsid w:val="00774B35"/>
    <w:rsid w:val="007758BD"/>
    <w:rsid w:val="00776EAE"/>
    <w:rsid w:val="00780592"/>
    <w:rsid w:val="007824B9"/>
    <w:rsid w:val="0078466E"/>
    <w:rsid w:val="00784672"/>
    <w:rsid w:val="00785AE3"/>
    <w:rsid w:val="00787A69"/>
    <w:rsid w:val="00790FFD"/>
    <w:rsid w:val="007923D8"/>
    <w:rsid w:val="0079285F"/>
    <w:rsid w:val="00792DEB"/>
    <w:rsid w:val="0079327D"/>
    <w:rsid w:val="00793D3B"/>
    <w:rsid w:val="00793E5B"/>
    <w:rsid w:val="00794988"/>
    <w:rsid w:val="0079509E"/>
    <w:rsid w:val="007966F0"/>
    <w:rsid w:val="007967FF"/>
    <w:rsid w:val="00796E97"/>
    <w:rsid w:val="007A1F4E"/>
    <w:rsid w:val="007A1F66"/>
    <w:rsid w:val="007A270C"/>
    <w:rsid w:val="007A2B1F"/>
    <w:rsid w:val="007A3E78"/>
    <w:rsid w:val="007A6F11"/>
    <w:rsid w:val="007B000E"/>
    <w:rsid w:val="007B0126"/>
    <w:rsid w:val="007B114A"/>
    <w:rsid w:val="007B135C"/>
    <w:rsid w:val="007B20CE"/>
    <w:rsid w:val="007B23A5"/>
    <w:rsid w:val="007B2A41"/>
    <w:rsid w:val="007B315B"/>
    <w:rsid w:val="007B3498"/>
    <w:rsid w:val="007B3ECC"/>
    <w:rsid w:val="007B4FAD"/>
    <w:rsid w:val="007B5451"/>
    <w:rsid w:val="007B573A"/>
    <w:rsid w:val="007B6140"/>
    <w:rsid w:val="007B6E27"/>
    <w:rsid w:val="007C0C1F"/>
    <w:rsid w:val="007C14A4"/>
    <w:rsid w:val="007C282E"/>
    <w:rsid w:val="007C297B"/>
    <w:rsid w:val="007C3B16"/>
    <w:rsid w:val="007C410C"/>
    <w:rsid w:val="007C5FCC"/>
    <w:rsid w:val="007C6BBA"/>
    <w:rsid w:val="007D15F5"/>
    <w:rsid w:val="007D1725"/>
    <w:rsid w:val="007D239D"/>
    <w:rsid w:val="007D2776"/>
    <w:rsid w:val="007D3962"/>
    <w:rsid w:val="007D3B7E"/>
    <w:rsid w:val="007E0017"/>
    <w:rsid w:val="007E0F33"/>
    <w:rsid w:val="007E2796"/>
    <w:rsid w:val="007E2D1E"/>
    <w:rsid w:val="007E3261"/>
    <w:rsid w:val="007E41E0"/>
    <w:rsid w:val="007E4456"/>
    <w:rsid w:val="007E5CF0"/>
    <w:rsid w:val="007E5D24"/>
    <w:rsid w:val="007F012A"/>
    <w:rsid w:val="007F02AE"/>
    <w:rsid w:val="007F1749"/>
    <w:rsid w:val="007F1AB4"/>
    <w:rsid w:val="007F2602"/>
    <w:rsid w:val="007F4823"/>
    <w:rsid w:val="007F4E10"/>
    <w:rsid w:val="007F5CCC"/>
    <w:rsid w:val="007F61A7"/>
    <w:rsid w:val="007F66BE"/>
    <w:rsid w:val="007F6750"/>
    <w:rsid w:val="007F7A54"/>
    <w:rsid w:val="007F7E25"/>
    <w:rsid w:val="008000D7"/>
    <w:rsid w:val="00800372"/>
    <w:rsid w:val="00800651"/>
    <w:rsid w:val="00800AE8"/>
    <w:rsid w:val="00801400"/>
    <w:rsid w:val="008014C6"/>
    <w:rsid w:val="00801BDD"/>
    <w:rsid w:val="00801F4A"/>
    <w:rsid w:val="00802934"/>
    <w:rsid w:val="00802D0C"/>
    <w:rsid w:val="008038F4"/>
    <w:rsid w:val="00803BBA"/>
    <w:rsid w:val="00803C8E"/>
    <w:rsid w:val="008105BD"/>
    <w:rsid w:val="00811ED8"/>
    <w:rsid w:val="00812514"/>
    <w:rsid w:val="00813851"/>
    <w:rsid w:val="00813DEF"/>
    <w:rsid w:val="00814301"/>
    <w:rsid w:val="00816816"/>
    <w:rsid w:val="00816AE1"/>
    <w:rsid w:val="00817AB9"/>
    <w:rsid w:val="00820E8F"/>
    <w:rsid w:val="00820F76"/>
    <w:rsid w:val="00822361"/>
    <w:rsid w:val="00823351"/>
    <w:rsid w:val="00824924"/>
    <w:rsid w:val="0082577C"/>
    <w:rsid w:val="0082638D"/>
    <w:rsid w:val="008266F2"/>
    <w:rsid w:val="00826D39"/>
    <w:rsid w:val="00827235"/>
    <w:rsid w:val="008332CE"/>
    <w:rsid w:val="00833337"/>
    <w:rsid w:val="00833AD3"/>
    <w:rsid w:val="00835499"/>
    <w:rsid w:val="00835A38"/>
    <w:rsid w:val="00835C07"/>
    <w:rsid w:val="008406F9"/>
    <w:rsid w:val="008409A8"/>
    <w:rsid w:val="00840D5A"/>
    <w:rsid w:val="00842E86"/>
    <w:rsid w:val="0084304D"/>
    <w:rsid w:val="00843BB4"/>
    <w:rsid w:val="00844CDD"/>
    <w:rsid w:val="0084659D"/>
    <w:rsid w:val="0084707F"/>
    <w:rsid w:val="00847269"/>
    <w:rsid w:val="0085292F"/>
    <w:rsid w:val="008529ED"/>
    <w:rsid w:val="008536B9"/>
    <w:rsid w:val="00853CBC"/>
    <w:rsid w:val="008571A1"/>
    <w:rsid w:val="008572F1"/>
    <w:rsid w:val="00857F64"/>
    <w:rsid w:val="008624A0"/>
    <w:rsid w:val="00862711"/>
    <w:rsid w:val="00862789"/>
    <w:rsid w:val="00863C58"/>
    <w:rsid w:val="008666A3"/>
    <w:rsid w:val="00866DA4"/>
    <w:rsid w:val="00866EC0"/>
    <w:rsid w:val="00867E7A"/>
    <w:rsid w:val="00871812"/>
    <w:rsid w:val="00871C6D"/>
    <w:rsid w:val="0087265B"/>
    <w:rsid w:val="00872B98"/>
    <w:rsid w:val="00872C0D"/>
    <w:rsid w:val="008733F1"/>
    <w:rsid w:val="0087651A"/>
    <w:rsid w:val="00876756"/>
    <w:rsid w:val="008769C1"/>
    <w:rsid w:val="00877589"/>
    <w:rsid w:val="00881914"/>
    <w:rsid w:val="00883C73"/>
    <w:rsid w:val="0088438B"/>
    <w:rsid w:val="008854BF"/>
    <w:rsid w:val="0088616F"/>
    <w:rsid w:val="00887F29"/>
    <w:rsid w:val="0089125E"/>
    <w:rsid w:val="0089167F"/>
    <w:rsid w:val="00891D5D"/>
    <w:rsid w:val="00893113"/>
    <w:rsid w:val="008936C4"/>
    <w:rsid w:val="00893777"/>
    <w:rsid w:val="0089693F"/>
    <w:rsid w:val="008969A7"/>
    <w:rsid w:val="00897268"/>
    <w:rsid w:val="008A09E3"/>
    <w:rsid w:val="008A0D54"/>
    <w:rsid w:val="008A1D4A"/>
    <w:rsid w:val="008A264E"/>
    <w:rsid w:val="008A2A77"/>
    <w:rsid w:val="008A2AEB"/>
    <w:rsid w:val="008A4FF9"/>
    <w:rsid w:val="008A5B54"/>
    <w:rsid w:val="008A5EF9"/>
    <w:rsid w:val="008A7F38"/>
    <w:rsid w:val="008A7F9E"/>
    <w:rsid w:val="008B14D8"/>
    <w:rsid w:val="008B1B47"/>
    <w:rsid w:val="008B2A52"/>
    <w:rsid w:val="008B37A6"/>
    <w:rsid w:val="008B3AB2"/>
    <w:rsid w:val="008B418F"/>
    <w:rsid w:val="008B4D54"/>
    <w:rsid w:val="008B6818"/>
    <w:rsid w:val="008B6B7E"/>
    <w:rsid w:val="008B7330"/>
    <w:rsid w:val="008C0D07"/>
    <w:rsid w:val="008C0D0F"/>
    <w:rsid w:val="008C10B7"/>
    <w:rsid w:val="008C13D7"/>
    <w:rsid w:val="008C14CC"/>
    <w:rsid w:val="008C2308"/>
    <w:rsid w:val="008C2DD3"/>
    <w:rsid w:val="008C3650"/>
    <w:rsid w:val="008C5046"/>
    <w:rsid w:val="008C5225"/>
    <w:rsid w:val="008C62F5"/>
    <w:rsid w:val="008D09EA"/>
    <w:rsid w:val="008D162B"/>
    <w:rsid w:val="008D1FC4"/>
    <w:rsid w:val="008D325D"/>
    <w:rsid w:val="008D3C9E"/>
    <w:rsid w:val="008D65B8"/>
    <w:rsid w:val="008D7618"/>
    <w:rsid w:val="008D7B7B"/>
    <w:rsid w:val="008E1301"/>
    <w:rsid w:val="008E1886"/>
    <w:rsid w:val="008E1EB1"/>
    <w:rsid w:val="008E2052"/>
    <w:rsid w:val="008E21BE"/>
    <w:rsid w:val="008E25ED"/>
    <w:rsid w:val="008E2C5E"/>
    <w:rsid w:val="008E3C89"/>
    <w:rsid w:val="008E53CC"/>
    <w:rsid w:val="008E5D68"/>
    <w:rsid w:val="008E661B"/>
    <w:rsid w:val="008E6D0E"/>
    <w:rsid w:val="008E6D13"/>
    <w:rsid w:val="008F1A60"/>
    <w:rsid w:val="008F28BC"/>
    <w:rsid w:val="008F294B"/>
    <w:rsid w:val="008F34F9"/>
    <w:rsid w:val="008F4473"/>
    <w:rsid w:val="008F4AFC"/>
    <w:rsid w:val="008F4B06"/>
    <w:rsid w:val="008F713B"/>
    <w:rsid w:val="009008CB"/>
    <w:rsid w:val="00900D77"/>
    <w:rsid w:val="00901AA9"/>
    <w:rsid w:val="00902F85"/>
    <w:rsid w:val="009033E6"/>
    <w:rsid w:val="00903C05"/>
    <w:rsid w:val="0090404E"/>
    <w:rsid w:val="0090509F"/>
    <w:rsid w:val="00907136"/>
    <w:rsid w:val="009111CB"/>
    <w:rsid w:val="00911D32"/>
    <w:rsid w:val="00912887"/>
    <w:rsid w:val="009129D5"/>
    <w:rsid w:val="00913A3F"/>
    <w:rsid w:val="00913EA5"/>
    <w:rsid w:val="00914523"/>
    <w:rsid w:val="00914878"/>
    <w:rsid w:val="00915153"/>
    <w:rsid w:val="009162EE"/>
    <w:rsid w:val="009164A5"/>
    <w:rsid w:val="009167F8"/>
    <w:rsid w:val="00916DF0"/>
    <w:rsid w:val="0092016A"/>
    <w:rsid w:val="00921836"/>
    <w:rsid w:val="00922147"/>
    <w:rsid w:val="009221E9"/>
    <w:rsid w:val="00922287"/>
    <w:rsid w:val="00922409"/>
    <w:rsid w:val="00922860"/>
    <w:rsid w:val="00923096"/>
    <w:rsid w:val="00924D8C"/>
    <w:rsid w:val="00924E9B"/>
    <w:rsid w:val="0092586C"/>
    <w:rsid w:val="00926E15"/>
    <w:rsid w:val="0093093F"/>
    <w:rsid w:val="009310CF"/>
    <w:rsid w:val="0093158F"/>
    <w:rsid w:val="00931D93"/>
    <w:rsid w:val="00932730"/>
    <w:rsid w:val="00933199"/>
    <w:rsid w:val="00933630"/>
    <w:rsid w:val="00933B88"/>
    <w:rsid w:val="00934E7A"/>
    <w:rsid w:val="0093591A"/>
    <w:rsid w:val="00935E33"/>
    <w:rsid w:val="00936B42"/>
    <w:rsid w:val="00936F51"/>
    <w:rsid w:val="009378E9"/>
    <w:rsid w:val="009400B1"/>
    <w:rsid w:val="00940AC3"/>
    <w:rsid w:val="00940BA2"/>
    <w:rsid w:val="00940E38"/>
    <w:rsid w:val="00940FD5"/>
    <w:rsid w:val="0094110A"/>
    <w:rsid w:val="009417E2"/>
    <w:rsid w:val="00941BDB"/>
    <w:rsid w:val="009435C1"/>
    <w:rsid w:val="009435DB"/>
    <w:rsid w:val="009438E0"/>
    <w:rsid w:val="00943B4D"/>
    <w:rsid w:val="0094491F"/>
    <w:rsid w:val="00944EF4"/>
    <w:rsid w:val="00945890"/>
    <w:rsid w:val="00950CAB"/>
    <w:rsid w:val="009515B6"/>
    <w:rsid w:val="0095282E"/>
    <w:rsid w:val="009531A0"/>
    <w:rsid w:val="0095357A"/>
    <w:rsid w:val="009539D5"/>
    <w:rsid w:val="00953D4D"/>
    <w:rsid w:val="00954DD5"/>
    <w:rsid w:val="00954E7F"/>
    <w:rsid w:val="00955368"/>
    <w:rsid w:val="0095610E"/>
    <w:rsid w:val="009563C9"/>
    <w:rsid w:val="0095740E"/>
    <w:rsid w:val="0095758F"/>
    <w:rsid w:val="0096025D"/>
    <w:rsid w:val="00960D4E"/>
    <w:rsid w:val="00960F8F"/>
    <w:rsid w:val="00961727"/>
    <w:rsid w:val="0096513E"/>
    <w:rsid w:val="00965D89"/>
    <w:rsid w:val="009670E1"/>
    <w:rsid w:val="00967ED6"/>
    <w:rsid w:val="009722E4"/>
    <w:rsid w:val="009736EB"/>
    <w:rsid w:val="0097395E"/>
    <w:rsid w:val="00974044"/>
    <w:rsid w:val="009765B3"/>
    <w:rsid w:val="00981D5E"/>
    <w:rsid w:val="00982751"/>
    <w:rsid w:val="0098298E"/>
    <w:rsid w:val="00982F01"/>
    <w:rsid w:val="00984728"/>
    <w:rsid w:val="00984CCD"/>
    <w:rsid w:val="009850EE"/>
    <w:rsid w:val="009851B5"/>
    <w:rsid w:val="009851F5"/>
    <w:rsid w:val="00985569"/>
    <w:rsid w:val="00985A34"/>
    <w:rsid w:val="00990295"/>
    <w:rsid w:val="009915BE"/>
    <w:rsid w:val="009922DC"/>
    <w:rsid w:val="00993912"/>
    <w:rsid w:val="00993B4D"/>
    <w:rsid w:val="009945E4"/>
    <w:rsid w:val="00994ADE"/>
    <w:rsid w:val="00996223"/>
    <w:rsid w:val="009964C7"/>
    <w:rsid w:val="00996818"/>
    <w:rsid w:val="00996A40"/>
    <w:rsid w:val="00996F99"/>
    <w:rsid w:val="00996FB9"/>
    <w:rsid w:val="0099755F"/>
    <w:rsid w:val="00997607"/>
    <w:rsid w:val="009A016F"/>
    <w:rsid w:val="009A060D"/>
    <w:rsid w:val="009A1202"/>
    <w:rsid w:val="009A1575"/>
    <w:rsid w:val="009A1AA9"/>
    <w:rsid w:val="009A35BF"/>
    <w:rsid w:val="009A4300"/>
    <w:rsid w:val="009A53D9"/>
    <w:rsid w:val="009A6775"/>
    <w:rsid w:val="009A6CC8"/>
    <w:rsid w:val="009A73EB"/>
    <w:rsid w:val="009A7D9B"/>
    <w:rsid w:val="009B06E6"/>
    <w:rsid w:val="009B0DEA"/>
    <w:rsid w:val="009B17D1"/>
    <w:rsid w:val="009B1D75"/>
    <w:rsid w:val="009B2201"/>
    <w:rsid w:val="009B2300"/>
    <w:rsid w:val="009B27D8"/>
    <w:rsid w:val="009B3F5F"/>
    <w:rsid w:val="009B40FB"/>
    <w:rsid w:val="009C01DC"/>
    <w:rsid w:val="009C1C87"/>
    <w:rsid w:val="009C2351"/>
    <w:rsid w:val="009C26C6"/>
    <w:rsid w:val="009C27C9"/>
    <w:rsid w:val="009C2D6E"/>
    <w:rsid w:val="009C4366"/>
    <w:rsid w:val="009C44AE"/>
    <w:rsid w:val="009C5207"/>
    <w:rsid w:val="009C67ED"/>
    <w:rsid w:val="009C682E"/>
    <w:rsid w:val="009C6B49"/>
    <w:rsid w:val="009C6EBD"/>
    <w:rsid w:val="009C745F"/>
    <w:rsid w:val="009C7461"/>
    <w:rsid w:val="009C7ACF"/>
    <w:rsid w:val="009D056B"/>
    <w:rsid w:val="009D157E"/>
    <w:rsid w:val="009D167D"/>
    <w:rsid w:val="009D2206"/>
    <w:rsid w:val="009D29F4"/>
    <w:rsid w:val="009D2C3E"/>
    <w:rsid w:val="009D3602"/>
    <w:rsid w:val="009D3879"/>
    <w:rsid w:val="009D3E5D"/>
    <w:rsid w:val="009D52C3"/>
    <w:rsid w:val="009D538F"/>
    <w:rsid w:val="009D63BB"/>
    <w:rsid w:val="009D73B4"/>
    <w:rsid w:val="009E0361"/>
    <w:rsid w:val="009E0B46"/>
    <w:rsid w:val="009E0E9A"/>
    <w:rsid w:val="009E1535"/>
    <w:rsid w:val="009E1787"/>
    <w:rsid w:val="009E1BB1"/>
    <w:rsid w:val="009E22FD"/>
    <w:rsid w:val="009E2357"/>
    <w:rsid w:val="009E2864"/>
    <w:rsid w:val="009E30ED"/>
    <w:rsid w:val="009E4B0D"/>
    <w:rsid w:val="009E53CA"/>
    <w:rsid w:val="009E60DE"/>
    <w:rsid w:val="009E6743"/>
    <w:rsid w:val="009E6BF4"/>
    <w:rsid w:val="009E7EEC"/>
    <w:rsid w:val="009F1E43"/>
    <w:rsid w:val="009F25AA"/>
    <w:rsid w:val="009F2E6A"/>
    <w:rsid w:val="009F4EA3"/>
    <w:rsid w:val="009F68FE"/>
    <w:rsid w:val="009F69AF"/>
    <w:rsid w:val="009F6A21"/>
    <w:rsid w:val="00A001D4"/>
    <w:rsid w:val="00A018CB"/>
    <w:rsid w:val="00A03864"/>
    <w:rsid w:val="00A04FAA"/>
    <w:rsid w:val="00A0611E"/>
    <w:rsid w:val="00A0651C"/>
    <w:rsid w:val="00A06A55"/>
    <w:rsid w:val="00A10E84"/>
    <w:rsid w:val="00A11EBD"/>
    <w:rsid w:val="00A12186"/>
    <w:rsid w:val="00A13878"/>
    <w:rsid w:val="00A138C1"/>
    <w:rsid w:val="00A1674A"/>
    <w:rsid w:val="00A16792"/>
    <w:rsid w:val="00A168AF"/>
    <w:rsid w:val="00A172DD"/>
    <w:rsid w:val="00A2077F"/>
    <w:rsid w:val="00A20A6B"/>
    <w:rsid w:val="00A21581"/>
    <w:rsid w:val="00A22460"/>
    <w:rsid w:val="00A230C5"/>
    <w:rsid w:val="00A23255"/>
    <w:rsid w:val="00A23E50"/>
    <w:rsid w:val="00A259FC"/>
    <w:rsid w:val="00A26C9E"/>
    <w:rsid w:val="00A30A02"/>
    <w:rsid w:val="00A30A9D"/>
    <w:rsid w:val="00A315D0"/>
    <w:rsid w:val="00A31D0A"/>
    <w:rsid w:val="00A326FB"/>
    <w:rsid w:val="00A347D6"/>
    <w:rsid w:val="00A355FC"/>
    <w:rsid w:val="00A362D4"/>
    <w:rsid w:val="00A36AB8"/>
    <w:rsid w:val="00A40029"/>
    <w:rsid w:val="00A40040"/>
    <w:rsid w:val="00A41B9A"/>
    <w:rsid w:val="00A4282D"/>
    <w:rsid w:val="00A42A72"/>
    <w:rsid w:val="00A42C1B"/>
    <w:rsid w:val="00A4642F"/>
    <w:rsid w:val="00A471D5"/>
    <w:rsid w:val="00A476E1"/>
    <w:rsid w:val="00A47973"/>
    <w:rsid w:val="00A501C0"/>
    <w:rsid w:val="00A50245"/>
    <w:rsid w:val="00A50CA1"/>
    <w:rsid w:val="00A50E73"/>
    <w:rsid w:val="00A514E9"/>
    <w:rsid w:val="00A515DE"/>
    <w:rsid w:val="00A51624"/>
    <w:rsid w:val="00A51A41"/>
    <w:rsid w:val="00A51D77"/>
    <w:rsid w:val="00A5238A"/>
    <w:rsid w:val="00A538F9"/>
    <w:rsid w:val="00A53D36"/>
    <w:rsid w:val="00A541E8"/>
    <w:rsid w:val="00A55020"/>
    <w:rsid w:val="00A5562F"/>
    <w:rsid w:val="00A558BC"/>
    <w:rsid w:val="00A5601C"/>
    <w:rsid w:val="00A56DAA"/>
    <w:rsid w:val="00A6027C"/>
    <w:rsid w:val="00A61574"/>
    <w:rsid w:val="00A6326A"/>
    <w:rsid w:val="00A650CC"/>
    <w:rsid w:val="00A6516F"/>
    <w:rsid w:val="00A653AC"/>
    <w:rsid w:val="00A65538"/>
    <w:rsid w:val="00A655B3"/>
    <w:rsid w:val="00A6638C"/>
    <w:rsid w:val="00A669F6"/>
    <w:rsid w:val="00A676D0"/>
    <w:rsid w:val="00A7024D"/>
    <w:rsid w:val="00A72B84"/>
    <w:rsid w:val="00A72BAA"/>
    <w:rsid w:val="00A7316C"/>
    <w:rsid w:val="00A759C8"/>
    <w:rsid w:val="00A77B9F"/>
    <w:rsid w:val="00A80771"/>
    <w:rsid w:val="00A819E3"/>
    <w:rsid w:val="00A81A21"/>
    <w:rsid w:val="00A8233D"/>
    <w:rsid w:val="00A82805"/>
    <w:rsid w:val="00A82DBB"/>
    <w:rsid w:val="00A83EB5"/>
    <w:rsid w:val="00A84608"/>
    <w:rsid w:val="00A8487E"/>
    <w:rsid w:val="00A84A7E"/>
    <w:rsid w:val="00A84E73"/>
    <w:rsid w:val="00A86D2A"/>
    <w:rsid w:val="00A87CFC"/>
    <w:rsid w:val="00A9007D"/>
    <w:rsid w:val="00A919E0"/>
    <w:rsid w:val="00A91B21"/>
    <w:rsid w:val="00A93905"/>
    <w:rsid w:val="00A941FA"/>
    <w:rsid w:val="00A94C54"/>
    <w:rsid w:val="00A95FCF"/>
    <w:rsid w:val="00A97BAE"/>
    <w:rsid w:val="00AA0FF2"/>
    <w:rsid w:val="00AA1941"/>
    <w:rsid w:val="00AA1948"/>
    <w:rsid w:val="00AA2243"/>
    <w:rsid w:val="00AA28CD"/>
    <w:rsid w:val="00AA2BDA"/>
    <w:rsid w:val="00AA3423"/>
    <w:rsid w:val="00AA3B8A"/>
    <w:rsid w:val="00AA42B4"/>
    <w:rsid w:val="00AA78BD"/>
    <w:rsid w:val="00AB08D3"/>
    <w:rsid w:val="00AB0D21"/>
    <w:rsid w:val="00AB104B"/>
    <w:rsid w:val="00AB12E9"/>
    <w:rsid w:val="00AB155D"/>
    <w:rsid w:val="00AB19E8"/>
    <w:rsid w:val="00AB3051"/>
    <w:rsid w:val="00AB3260"/>
    <w:rsid w:val="00AB4C7A"/>
    <w:rsid w:val="00AB57F4"/>
    <w:rsid w:val="00AB5ED6"/>
    <w:rsid w:val="00AB78B6"/>
    <w:rsid w:val="00AB7F64"/>
    <w:rsid w:val="00AC05F2"/>
    <w:rsid w:val="00AC0F29"/>
    <w:rsid w:val="00AC1590"/>
    <w:rsid w:val="00AC1BC7"/>
    <w:rsid w:val="00AC2169"/>
    <w:rsid w:val="00AC24E8"/>
    <w:rsid w:val="00AC5A05"/>
    <w:rsid w:val="00AC6528"/>
    <w:rsid w:val="00AC6ED6"/>
    <w:rsid w:val="00AD0AC3"/>
    <w:rsid w:val="00AD0D23"/>
    <w:rsid w:val="00AD2EC5"/>
    <w:rsid w:val="00AD3BCB"/>
    <w:rsid w:val="00AD420D"/>
    <w:rsid w:val="00AD5055"/>
    <w:rsid w:val="00AD5CC5"/>
    <w:rsid w:val="00AD6108"/>
    <w:rsid w:val="00AD6F9E"/>
    <w:rsid w:val="00AE171F"/>
    <w:rsid w:val="00AE1CC5"/>
    <w:rsid w:val="00AE2C10"/>
    <w:rsid w:val="00AE2CF3"/>
    <w:rsid w:val="00AE498F"/>
    <w:rsid w:val="00AE5C2E"/>
    <w:rsid w:val="00AF1784"/>
    <w:rsid w:val="00AF17E8"/>
    <w:rsid w:val="00AF1A1B"/>
    <w:rsid w:val="00AF2309"/>
    <w:rsid w:val="00AF2623"/>
    <w:rsid w:val="00AF2926"/>
    <w:rsid w:val="00AF53AB"/>
    <w:rsid w:val="00AF5914"/>
    <w:rsid w:val="00B00C60"/>
    <w:rsid w:val="00B01966"/>
    <w:rsid w:val="00B01E4B"/>
    <w:rsid w:val="00B032BC"/>
    <w:rsid w:val="00B036C3"/>
    <w:rsid w:val="00B03ADE"/>
    <w:rsid w:val="00B03F9D"/>
    <w:rsid w:val="00B043B1"/>
    <w:rsid w:val="00B0463D"/>
    <w:rsid w:val="00B04DEA"/>
    <w:rsid w:val="00B05A8D"/>
    <w:rsid w:val="00B05DE0"/>
    <w:rsid w:val="00B05F77"/>
    <w:rsid w:val="00B05F93"/>
    <w:rsid w:val="00B062EF"/>
    <w:rsid w:val="00B073A9"/>
    <w:rsid w:val="00B1126D"/>
    <w:rsid w:val="00B11BEB"/>
    <w:rsid w:val="00B12D16"/>
    <w:rsid w:val="00B13F16"/>
    <w:rsid w:val="00B13FC1"/>
    <w:rsid w:val="00B1693F"/>
    <w:rsid w:val="00B17B5A"/>
    <w:rsid w:val="00B20237"/>
    <w:rsid w:val="00B20F9C"/>
    <w:rsid w:val="00B21125"/>
    <w:rsid w:val="00B22324"/>
    <w:rsid w:val="00B22E34"/>
    <w:rsid w:val="00B23468"/>
    <w:rsid w:val="00B237AA"/>
    <w:rsid w:val="00B276F3"/>
    <w:rsid w:val="00B3023B"/>
    <w:rsid w:val="00B3039C"/>
    <w:rsid w:val="00B307D7"/>
    <w:rsid w:val="00B31CD7"/>
    <w:rsid w:val="00B3206F"/>
    <w:rsid w:val="00B328BF"/>
    <w:rsid w:val="00B338B0"/>
    <w:rsid w:val="00B33EB3"/>
    <w:rsid w:val="00B3490A"/>
    <w:rsid w:val="00B3798A"/>
    <w:rsid w:val="00B40106"/>
    <w:rsid w:val="00B404E4"/>
    <w:rsid w:val="00B40693"/>
    <w:rsid w:val="00B45182"/>
    <w:rsid w:val="00B45752"/>
    <w:rsid w:val="00B45913"/>
    <w:rsid w:val="00B4669C"/>
    <w:rsid w:val="00B46853"/>
    <w:rsid w:val="00B468BD"/>
    <w:rsid w:val="00B470B2"/>
    <w:rsid w:val="00B47942"/>
    <w:rsid w:val="00B5026F"/>
    <w:rsid w:val="00B5058A"/>
    <w:rsid w:val="00B51F4C"/>
    <w:rsid w:val="00B522D0"/>
    <w:rsid w:val="00B56222"/>
    <w:rsid w:val="00B56948"/>
    <w:rsid w:val="00B576F8"/>
    <w:rsid w:val="00B57D33"/>
    <w:rsid w:val="00B6195F"/>
    <w:rsid w:val="00B62C2A"/>
    <w:rsid w:val="00B64B47"/>
    <w:rsid w:val="00B64B8F"/>
    <w:rsid w:val="00B64E14"/>
    <w:rsid w:val="00B65E25"/>
    <w:rsid w:val="00B66569"/>
    <w:rsid w:val="00B67B45"/>
    <w:rsid w:val="00B7082C"/>
    <w:rsid w:val="00B7090F"/>
    <w:rsid w:val="00B74AD7"/>
    <w:rsid w:val="00B75FE0"/>
    <w:rsid w:val="00B761A9"/>
    <w:rsid w:val="00B76DE0"/>
    <w:rsid w:val="00B76E0D"/>
    <w:rsid w:val="00B77445"/>
    <w:rsid w:val="00B77911"/>
    <w:rsid w:val="00B80525"/>
    <w:rsid w:val="00B80B90"/>
    <w:rsid w:val="00B80CE1"/>
    <w:rsid w:val="00B80CE5"/>
    <w:rsid w:val="00B8129E"/>
    <w:rsid w:val="00B81850"/>
    <w:rsid w:val="00B828F6"/>
    <w:rsid w:val="00B82A1D"/>
    <w:rsid w:val="00B83DDB"/>
    <w:rsid w:val="00B8461D"/>
    <w:rsid w:val="00B8482D"/>
    <w:rsid w:val="00B91D8C"/>
    <w:rsid w:val="00B923D7"/>
    <w:rsid w:val="00B95DCC"/>
    <w:rsid w:val="00B96267"/>
    <w:rsid w:val="00B96983"/>
    <w:rsid w:val="00B9723B"/>
    <w:rsid w:val="00B97E38"/>
    <w:rsid w:val="00BA0150"/>
    <w:rsid w:val="00BA0AB9"/>
    <w:rsid w:val="00BA0E7B"/>
    <w:rsid w:val="00BA2EE5"/>
    <w:rsid w:val="00BA38B7"/>
    <w:rsid w:val="00BA51BC"/>
    <w:rsid w:val="00BA584A"/>
    <w:rsid w:val="00BA7152"/>
    <w:rsid w:val="00BA79B8"/>
    <w:rsid w:val="00BB0EAA"/>
    <w:rsid w:val="00BB23B4"/>
    <w:rsid w:val="00BB2ACA"/>
    <w:rsid w:val="00BB2F3C"/>
    <w:rsid w:val="00BB3627"/>
    <w:rsid w:val="00BB48E0"/>
    <w:rsid w:val="00BB48F4"/>
    <w:rsid w:val="00BB4A65"/>
    <w:rsid w:val="00BB4CC3"/>
    <w:rsid w:val="00BB4FDF"/>
    <w:rsid w:val="00BB68ED"/>
    <w:rsid w:val="00BB6968"/>
    <w:rsid w:val="00BC2BDF"/>
    <w:rsid w:val="00BC37ED"/>
    <w:rsid w:val="00BC3AB9"/>
    <w:rsid w:val="00BC4462"/>
    <w:rsid w:val="00BC4F69"/>
    <w:rsid w:val="00BC5437"/>
    <w:rsid w:val="00BC546B"/>
    <w:rsid w:val="00BC5B33"/>
    <w:rsid w:val="00BC5FDA"/>
    <w:rsid w:val="00BC67F1"/>
    <w:rsid w:val="00BC69D7"/>
    <w:rsid w:val="00BC6E1F"/>
    <w:rsid w:val="00BC70B1"/>
    <w:rsid w:val="00BC72F4"/>
    <w:rsid w:val="00BC7636"/>
    <w:rsid w:val="00BC7641"/>
    <w:rsid w:val="00BC7715"/>
    <w:rsid w:val="00BC79F3"/>
    <w:rsid w:val="00BD0988"/>
    <w:rsid w:val="00BD0D42"/>
    <w:rsid w:val="00BD3314"/>
    <w:rsid w:val="00BD4E3C"/>
    <w:rsid w:val="00BD53BA"/>
    <w:rsid w:val="00BD5F20"/>
    <w:rsid w:val="00BD64D7"/>
    <w:rsid w:val="00BD652A"/>
    <w:rsid w:val="00BD6598"/>
    <w:rsid w:val="00BD65A8"/>
    <w:rsid w:val="00BD6D11"/>
    <w:rsid w:val="00BD7068"/>
    <w:rsid w:val="00BD7678"/>
    <w:rsid w:val="00BE0C91"/>
    <w:rsid w:val="00BE0D74"/>
    <w:rsid w:val="00BE0FF6"/>
    <w:rsid w:val="00BE1409"/>
    <w:rsid w:val="00BE24E7"/>
    <w:rsid w:val="00BE2A62"/>
    <w:rsid w:val="00BE349A"/>
    <w:rsid w:val="00BE3694"/>
    <w:rsid w:val="00BE49C0"/>
    <w:rsid w:val="00BE6CAF"/>
    <w:rsid w:val="00BE73ED"/>
    <w:rsid w:val="00BE79E8"/>
    <w:rsid w:val="00BF0216"/>
    <w:rsid w:val="00BF05BE"/>
    <w:rsid w:val="00BF0A1E"/>
    <w:rsid w:val="00BF3F01"/>
    <w:rsid w:val="00BF4AF3"/>
    <w:rsid w:val="00BF4E9D"/>
    <w:rsid w:val="00BF5224"/>
    <w:rsid w:val="00BF524E"/>
    <w:rsid w:val="00BF5CE2"/>
    <w:rsid w:val="00BF63E8"/>
    <w:rsid w:val="00BF6BA6"/>
    <w:rsid w:val="00BF6F06"/>
    <w:rsid w:val="00BF6F7A"/>
    <w:rsid w:val="00C003C6"/>
    <w:rsid w:val="00C00742"/>
    <w:rsid w:val="00C02474"/>
    <w:rsid w:val="00C04EBB"/>
    <w:rsid w:val="00C05381"/>
    <w:rsid w:val="00C0679A"/>
    <w:rsid w:val="00C0779C"/>
    <w:rsid w:val="00C07899"/>
    <w:rsid w:val="00C07BDB"/>
    <w:rsid w:val="00C07CA4"/>
    <w:rsid w:val="00C10F5A"/>
    <w:rsid w:val="00C114A3"/>
    <w:rsid w:val="00C117C5"/>
    <w:rsid w:val="00C1234C"/>
    <w:rsid w:val="00C13B9C"/>
    <w:rsid w:val="00C13CE6"/>
    <w:rsid w:val="00C13D84"/>
    <w:rsid w:val="00C15743"/>
    <w:rsid w:val="00C15D14"/>
    <w:rsid w:val="00C162AD"/>
    <w:rsid w:val="00C16C9B"/>
    <w:rsid w:val="00C17A99"/>
    <w:rsid w:val="00C20398"/>
    <w:rsid w:val="00C226FC"/>
    <w:rsid w:val="00C22912"/>
    <w:rsid w:val="00C259A5"/>
    <w:rsid w:val="00C26090"/>
    <w:rsid w:val="00C3030F"/>
    <w:rsid w:val="00C30423"/>
    <w:rsid w:val="00C322B0"/>
    <w:rsid w:val="00C32AEE"/>
    <w:rsid w:val="00C34C95"/>
    <w:rsid w:val="00C350AD"/>
    <w:rsid w:val="00C35472"/>
    <w:rsid w:val="00C359A1"/>
    <w:rsid w:val="00C359FF"/>
    <w:rsid w:val="00C37466"/>
    <w:rsid w:val="00C37508"/>
    <w:rsid w:val="00C37B28"/>
    <w:rsid w:val="00C41BBE"/>
    <w:rsid w:val="00C41CC4"/>
    <w:rsid w:val="00C447AA"/>
    <w:rsid w:val="00C44A6B"/>
    <w:rsid w:val="00C4507A"/>
    <w:rsid w:val="00C451C2"/>
    <w:rsid w:val="00C469C2"/>
    <w:rsid w:val="00C52300"/>
    <w:rsid w:val="00C52790"/>
    <w:rsid w:val="00C52B4C"/>
    <w:rsid w:val="00C52D85"/>
    <w:rsid w:val="00C5312C"/>
    <w:rsid w:val="00C54B6D"/>
    <w:rsid w:val="00C55113"/>
    <w:rsid w:val="00C56657"/>
    <w:rsid w:val="00C5690E"/>
    <w:rsid w:val="00C5692C"/>
    <w:rsid w:val="00C57611"/>
    <w:rsid w:val="00C57FAB"/>
    <w:rsid w:val="00C60FD8"/>
    <w:rsid w:val="00C61540"/>
    <w:rsid w:val="00C61FE2"/>
    <w:rsid w:val="00C63B9D"/>
    <w:rsid w:val="00C6463A"/>
    <w:rsid w:val="00C653C0"/>
    <w:rsid w:val="00C660C2"/>
    <w:rsid w:val="00C670B3"/>
    <w:rsid w:val="00C70022"/>
    <w:rsid w:val="00C70352"/>
    <w:rsid w:val="00C71E29"/>
    <w:rsid w:val="00C7266B"/>
    <w:rsid w:val="00C7327A"/>
    <w:rsid w:val="00C7376E"/>
    <w:rsid w:val="00C743CF"/>
    <w:rsid w:val="00C74CF1"/>
    <w:rsid w:val="00C74E78"/>
    <w:rsid w:val="00C75876"/>
    <w:rsid w:val="00C75A77"/>
    <w:rsid w:val="00C76A6E"/>
    <w:rsid w:val="00C80099"/>
    <w:rsid w:val="00C81337"/>
    <w:rsid w:val="00C81C15"/>
    <w:rsid w:val="00C82275"/>
    <w:rsid w:val="00C83B21"/>
    <w:rsid w:val="00C83B66"/>
    <w:rsid w:val="00C84245"/>
    <w:rsid w:val="00C8613C"/>
    <w:rsid w:val="00C866BD"/>
    <w:rsid w:val="00C86B26"/>
    <w:rsid w:val="00C87EC3"/>
    <w:rsid w:val="00C87ED5"/>
    <w:rsid w:val="00C9094E"/>
    <w:rsid w:val="00C911F1"/>
    <w:rsid w:val="00C91E06"/>
    <w:rsid w:val="00C92FCB"/>
    <w:rsid w:val="00C937E5"/>
    <w:rsid w:val="00C93B00"/>
    <w:rsid w:val="00C94987"/>
    <w:rsid w:val="00C9514F"/>
    <w:rsid w:val="00C95604"/>
    <w:rsid w:val="00C956F2"/>
    <w:rsid w:val="00C96471"/>
    <w:rsid w:val="00C96595"/>
    <w:rsid w:val="00C978C2"/>
    <w:rsid w:val="00CA0D8A"/>
    <w:rsid w:val="00CA16AF"/>
    <w:rsid w:val="00CA1936"/>
    <w:rsid w:val="00CA4058"/>
    <w:rsid w:val="00CA49F7"/>
    <w:rsid w:val="00CA54EE"/>
    <w:rsid w:val="00CA7A54"/>
    <w:rsid w:val="00CB0300"/>
    <w:rsid w:val="00CB0BA0"/>
    <w:rsid w:val="00CB136F"/>
    <w:rsid w:val="00CB2723"/>
    <w:rsid w:val="00CB515A"/>
    <w:rsid w:val="00CB603F"/>
    <w:rsid w:val="00CC00C9"/>
    <w:rsid w:val="00CC06A0"/>
    <w:rsid w:val="00CC0EE8"/>
    <w:rsid w:val="00CC112D"/>
    <w:rsid w:val="00CC240B"/>
    <w:rsid w:val="00CC33B3"/>
    <w:rsid w:val="00CC4765"/>
    <w:rsid w:val="00CC5681"/>
    <w:rsid w:val="00CC5BFD"/>
    <w:rsid w:val="00CC779D"/>
    <w:rsid w:val="00CC7D6A"/>
    <w:rsid w:val="00CD04A1"/>
    <w:rsid w:val="00CD0F7A"/>
    <w:rsid w:val="00CD1168"/>
    <w:rsid w:val="00CD15EE"/>
    <w:rsid w:val="00CD1CA9"/>
    <w:rsid w:val="00CD2042"/>
    <w:rsid w:val="00CD25C7"/>
    <w:rsid w:val="00CD26D8"/>
    <w:rsid w:val="00CD284C"/>
    <w:rsid w:val="00CD2D4A"/>
    <w:rsid w:val="00CD4173"/>
    <w:rsid w:val="00CD4760"/>
    <w:rsid w:val="00CD4925"/>
    <w:rsid w:val="00CD5D7B"/>
    <w:rsid w:val="00CD6297"/>
    <w:rsid w:val="00CD6635"/>
    <w:rsid w:val="00CD685D"/>
    <w:rsid w:val="00CD6FB8"/>
    <w:rsid w:val="00CE077E"/>
    <w:rsid w:val="00CE0F76"/>
    <w:rsid w:val="00CE2743"/>
    <w:rsid w:val="00CE41C3"/>
    <w:rsid w:val="00CE4492"/>
    <w:rsid w:val="00CE49FB"/>
    <w:rsid w:val="00CE5698"/>
    <w:rsid w:val="00CE5C4B"/>
    <w:rsid w:val="00CE7BBB"/>
    <w:rsid w:val="00CF1100"/>
    <w:rsid w:val="00CF1191"/>
    <w:rsid w:val="00CF11EC"/>
    <w:rsid w:val="00CF1AB4"/>
    <w:rsid w:val="00CF45BA"/>
    <w:rsid w:val="00CF7CA5"/>
    <w:rsid w:val="00D0440D"/>
    <w:rsid w:val="00D053C7"/>
    <w:rsid w:val="00D063A6"/>
    <w:rsid w:val="00D06934"/>
    <w:rsid w:val="00D06942"/>
    <w:rsid w:val="00D07EE8"/>
    <w:rsid w:val="00D132C5"/>
    <w:rsid w:val="00D137A8"/>
    <w:rsid w:val="00D14169"/>
    <w:rsid w:val="00D15C3C"/>
    <w:rsid w:val="00D169C0"/>
    <w:rsid w:val="00D173D0"/>
    <w:rsid w:val="00D174D2"/>
    <w:rsid w:val="00D20109"/>
    <w:rsid w:val="00D20779"/>
    <w:rsid w:val="00D20920"/>
    <w:rsid w:val="00D224DB"/>
    <w:rsid w:val="00D23A1F"/>
    <w:rsid w:val="00D23D36"/>
    <w:rsid w:val="00D2425F"/>
    <w:rsid w:val="00D24BF5"/>
    <w:rsid w:val="00D25025"/>
    <w:rsid w:val="00D25CAE"/>
    <w:rsid w:val="00D26ADC"/>
    <w:rsid w:val="00D3160C"/>
    <w:rsid w:val="00D31E83"/>
    <w:rsid w:val="00D33681"/>
    <w:rsid w:val="00D337B9"/>
    <w:rsid w:val="00D33928"/>
    <w:rsid w:val="00D33E30"/>
    <w:rsid w:val="00D34F9C"/>
    <w:rsid w:val="00D35F0A"/>
    <w:rsid w:val="00D3619E"/>
    <w:rsid w:val="00D3685A"/>
    <w:rsid w:val="00D400AD"/>
    <w:rsid w:val="00D4118C"/>
    <w:rsid w:val="00D43B4D"/>
    <w:rsid w:val="00D45457"/>
    <w:rsid w:val="00D458FC"/>
    <w:rsid w:val="00D4657C"/>
    <w:rsid w:val="00D4675D"/>
    <w:rsid w:val="00D46A7A"/>
    <w:rsid w:val="00D46FC1"/>
    <w:rsid w:val="00D475A1"/>
    <w:rsid w:val="00D47865"/>
    <w:rsid w:val="00D47D13"/>
    <w:rsid w:val="00D511EB"/>
    <w:rsid w:val="00D513B7"/>
    <w:rsid w:val="00D52B05"/>
    <w:rsid w:val="00D536C5"/>
    <w:rsid w:val="00D54BAC"/>
    <w:rsid w:val="00D5539C"/>
    <w:rsid w:val="00D5619C"/>
    <w:rsid w:val="00D56439"/>
    <w:rsid w:val="00D5708A"/>
    <w:rsid w:val="00D60714"/>
    <w:rsid w:val="00D60B34"/>
    <w:rsid w:val="00D60C97"/>
    <w:rsid w:val="00D60CAE"/>
    <w:rsid w:val="00D62A11"/>
    <w:rsid w:val="00D63B14"/>
    <w:rsid w:val="00D63E0A"/>
    <w:rsid w:val="00D64361"/>
    <w:rsid w:val="00D64838"/>
    <w:rsid w:val="00D65FCD"/>
    <w:rsid w:val="00D67530"/>
    <w:rsid w:val="00D67F41"/>
    <w:rsid w:val="00D67F5B"/>
    <w:rsid w:val="00D71ABD"/>
    <w:rsid w:val="00D71F3E"/>
    <w:rsid w:val="00D720BB"/>
    <w:rsid w:val="00D72AC1"/>
    <w:rsid w:val="00D73735"/>
    <w:rsid w:val="00D739FC"/>
    <w:rsid w:val="00D74927"/>
    <w:rsid w:val="00D74E8E"/>
    <w:rsid w:val="00D75483"/>
    <w:rsid w:val="00D756E7"/>
    <w:rsid w:val="00D75E5B"/>
    <w:rsid w:val="00D76579"/>
    <w:rsid w:val="00D77526"/>
    <w:rsid w:val="00D77A5E"/>
    <w:rsid w:val="00D77A92"/>
    <w:rsid w:val="00D77FA8"/>
    <w:rsid w:val="00D8100A"/>
    <w:rsid w:val="00D82D56"/>
    <w:rsid w:val="00D8339E"/>
    <w:rsid w:val="00D84CCB"/>
    <w:rsid w:val="00D85109"/>
    <w:rsid w:val="00D853ED"/>
    <w:rsid w:val="00D859E2"/>
    <w:rsid w:val="00D86D26"/>
    <w:rsid w:val="00D86DE8"/>
    <w:rsid w:val="00D87553"/>
    <w:rsid w:val="00D9069A"/>
    <w:rsid w:val="00D90AFD"/>
    <w:rsid w:val="00D914F0"/>
    <w:rsid w:val="00D91D21"/>
    <w:rsid w:val="00D92911"/>
    <w:rsid w:val="00D92E3E"/>
    <w:rsid w:val="00D93D0D"/>
    <w:rsid w:val="00D94460"/>
    <w:rsid w:val="00D94887"/>
    <w:rsid w:val="00D94EBE"/>
    <w:rsid w:val="00D960E8"/>
    <w:rsid w:val="00D97576"/>
    <w:rsid w:val="00D97C50"/>
    <w:rsid w:val="00DA055B"/>
    <w:rsid w:val="00DA05D8"/>
    <w:rsid w:val="00DA0872"/>
    <w:rsid w:val="00DA1152"/>
    <w:rsid w:val="00DA164C"/>
    <w:rsid w:val="00DA2273"/>
    <w:rsid w:val="00DA2A39"/>
    <w:rsid w:val="00DA2E77"/>
    <w:rsid w:val="00DA2F2B"/>
    <w:rsid w:val="00DA30F3"/>
    <w:rsid w:val="00DA3445"/>
    <w:rsid w:val="00DA3598"/>
    <w:rsid w:val="00DA4208"/>
    <w:rsid w:val="00DA4418"/>
    <w:rsid w:val="00DA654A"/>
    <w:rsid w:val="00DA6A95"/>
    <w:rsid w:val="00DA71FE"/>
    <w:rsid w:val="00DA76D7"/>
    <w:rsid w:val="00DA7777"/>
    <w:rsid w:val="00DB06B2"/>
    <w:rsid w:val="00DB4883"/>
    <w:rsid w:val="00DB7BC2"/>
    <w:rsid w:val="00DB7BD6"/>
    <w:rsid w:val="00DC2412"/>
    <w:rsid w:val="00DC25AA"/>
    <w:rsid w:val="00DC2FF6"/>
    <w:rsid w:val="00DC398C"/>
    <w:rsid w:val="00DC3C41"/>
    <w:rsid w:val="00DC4B8E"/>
    <w:rsid w:val="00DC51B8"/>
    <w:rsid w:val="00DC57BF"/>
    <w:rsid w:val="00DC5934"/>
    <w:rsid w:val="00DC5D95"/>
    <w:rsid w:val="00DC797F"/>
    <w:rsid w:val="00DC7A07"/>
    <w:rsid w:val="00DC7C2A"/>
    <w:rsid w:val="00DD0038"/>
    <w:rsid w:val="00DD0194"/>
    <w:rsid w:val="00DD06B1"/>
    <w:rsid w:val="00DD0B56"/>
    <w:rsid w:val="00DD1D90"/>
    <w:rsid w:val="00DD2D65"/>
    <w:rsid w:val="00DD3981"/>
    <w:rsid w:val="00DD3A94"/>
    <w:rsid w:val="00DD416C"/>
    <w:rsid w:val="00DD4384"/>
    <w:rsid w:val="00DD451B"/>
    <w:rsid w:val="00DE1674"/>
    <w:rsid w:val="00DE2CC5"/>
    <w:rsid w:val="00DE38F4"/>
    <w:rsid w:val="00DE482A"/>
    <w:rsid w:val="00DE616E"/>
    <w:rsid w:val="00DE77D3"/>
    <w:rsid w:val="00DE7D88"/>
    <w:rsid w:val="00DF03F2"/>
    <w:rsid w:val="00DF0B32"/>
    <w:rsid w:val="00DF0EAB"/>
    <w:rsid w:val="00DF33A0"/>
    <w:rsid w:val="00DF35BC"/>
    <w:rsid w:val="00DF42D8"/>
    <w:rsid w:val="00DF768B"/>
    <w:rsid w:val="00E01247"/>
    <w:rsid w:val="00E01841"/>
    <w:rsid w:val="00E01C76"/>
    <w:rsid w:val="00E02272"/>
    <w:rsid w:val="00E02A41"/>
    <w:rsid w:val="00E02A4B"/>
    <w:rsid w:val="00E032B1"/>
    <w:rsid w:val="00E0350D"/>
    <w:rsid w:val="00E03971"/>
    <w:rsid w:val="00E047C6"/>
    <w:rsid w:val="00E05AFB"/>
    <w:rsid w:val="00E060F6"/>
    <w:rsid w:val="00E11245"/>
    <w:rsid w:val="00E12A8C"/>
    <w:rsid w:val="00E14623"/>
    <w:rsid w:val="00E16003"/>
    <w:rsid w:val="00E16CB0"/>
    <w:rsid w:val="00E173A8"/>
    <w:rsid w:val="00E212C2"/>
    <w:rsid w:val="00E23E03"/>
    <w:rsid w:val="00E24D09"/>
    <w:rsid w:val="00E24EE5"/>
    <w:rsid w:val="00E25EEE"/>
    <w:rsid w:val="00E26F4C"/>
    <w:rsid w:val="00E3051D"/>
    <w:rsid w:val="00E307AC"/>
    <w:rsid w:val="00E309C7"/>
    <w:rsid w:val="00E30F3A"/>
    <w:rsid w:val="00E31DEC"/>
    <w:rsid w:val="00E32947"/>
    <w:rsid w:val="00E32EBE"/>
    <w:rsid w:val="00E33902"/>
    <w:rsid w:val="00E37F27"/>
    <w:rsid w:val="00E40B5A"/>
    <w:rsid w:val="00E42488"/>
    <w:rsid w:val="00E42B2A"/>
    <w:rsid w:val="00E438FF"/>
    <w:rsid w:val="00E44076"/>
    <w:rsid w:val="00E44372"/>
    <w:rsid w:val="00E45EDA"/>
    <w:rsid w:val="00E45F2A"/>
    <w:rsid w:val="00E46884"/>
    <w:rsid w:val="00E474B0"/>
    <w:rsid w:val="00E5123D"/>
    <w:rsid w:val="00E52905"/>
    <w:rsid w:val="00E52B65"/>
    <w:rsid w:val="00E53821"/>
    <w:rsid w:val="00E53964"/>
    <w:rsid w:val="00E540CD"/>
    <w:rsid w:val="00E54461"/>
    <w:rsid w:val="00E5546D"/>
    <w:rsid w:val="00E57909"/>
    <w:rsid w:val="00E57B26"/>
    <w:rsid w:val="00E57BD0"/>
    <w:rsid w:val="00E57C0D"/>
    <w:rsid w:val="00E60365"/>
    <w:rsid w:val="00E60A50"/>
    <w:rsid w:val="00E60FE5"/>
    <w:rsid w:val="00E62146"/>
    <w:rsid w:val="00E62894"/>
    <w:rsid w:val="00E63D14"/>
    <w:rsid w:val="00E65037"/>
    <w:rsid w:val="00E65710"/>
    <w:rsid w:val="00E67DD3"/>
    <w:rsid w:val="00E70024"/>
    <w:rsid w:val="00E70CEA"/>
    <w:rsid w:val="00E713DA"/>
    <w:rsid w:val="00E7189E"/>
    <w:rsid w:val="00E72A70"/>
    <w:rsid w:val="00E73932"/>
    <w:rsid w:val="00E7425F"/>
    <w:rsid w:val="00E7468A"/>
    <w:rsid w:val="00E74812"/>
    <w:rsid w:val="00E74E14"/>
    <w:rsid w:val="00E758D4"/>
    <w:rsid w:val="00E76A60"/>
    <w:rsid w:val="00E76E16"/>
    <w:rsid w:val="00E77A1D"/>
    <w:rsid w:val="00E77CA6"/>
    <w:rsid w:val="00E80375"/>
    <w:rsid w:val="00E80DE4"/>
    <w:rsid w:val="00E80EA4"/>
    <w:rsid w:val="00E81146"/>
    <w:rsid w:val="00E8174E"/>
    <w:rsid w:val="00E83498"/>
    <w:rsid w:val="00E83C9B"/>
    <w:rsid w:val="00E862C4"/>
    <w:rsid w:val="00E86C8D"/>
    <w:rsid w:val="00E86EBE"/>
    <w:rsid w:val="00E8768D"/>
    <w:rsid w:val="00E907A1"/>
    <w:rsid w:val="00E9204D"/>
    <w:rsid w:val="00E9228A"/>
    <w:rsid w:val="00E94CA6"/>
    <w:rsid w:val="00E94F78"/>
    <w:rsid w:val="00E96000"/>
    <w:rsid w:val="00E976F6"/>
    <w:rsid w:val="00E97E45"/>
    <w:rsid w:val="00EA000A"/>
    <w:rsid w:val="00EA01C6"/>
    <w:rsid w:val="00EA1143"/>
    <w:rsid w:val="00EA162E"/>
    <w:rsid w:val="00EA227C"/>
    <w:rsid w:val="00EA319B"/>
    <w:rsid w:val="00EA4D94"/>
    <w:rsid w:val="00EA4ECB"/>
    <w:rsid w:val="00EA6C95"/>
    <w:rsid w:val="00EB0897"/>
    <w:rsid w:val="00EB1AAB"/>
    <w:rsid w:val="00EB1B49"/>
    <w:rsid w:val="00EB201A"/>
    <w:rsid w:val="00EB2584"/>
    <w:rsid w:val="00EB3871"/>
    <w:rsid w:val="00EB3ED0"/>
    <w:rsid w:val="00EB4044"/>
    <w:rsid w:val="00EB47BA"/>
    <w:rsid w:val="00EB5309"/>
    <w:rsid w:val="00EB54F3"/>
    <w:rsid w:val="00EB6031"/>
    <w:rsid w:val="00EB674E"/>
    <w:rsid w:val="00EB7E2F"/>
    <w:rsid w:val="00EC05DE"/>
    <w:rsid w:val="00EC14C2"/>
    <w:rsid w:val="00EC18D2"/>
    <w:rsid w:val="00EC1DFB"/>
    <w:rsid w:val="00EC1F20"/>
    <w:rsid w:val="00EC2F00"/>
    <w:rsid w:val="00EC43E4"/>
    <w:rsid w:val="00EC4730"/>
    <w:rsid w:val="00EC6CCE"/>
    <w:rsid w:val="00EC6FBD"/>
    <w:rsid w:val="00EC6FEB"/>
    <w:rsid w:val="00EC7CB9"/>
    <w:rsid w:val="00ED095E"/>
    <w:rsid w:val="00ED1FF3"/>
    <w:rsid w:val="00ED237A"/>
    <w:rsid w:val="00ED2585"/>
    <w:rsid w:val="00ED2888"/>
    <w:rsid w:val="00ED2C44"/>
    <w:rsid w:val="00ED2E25"/>
    <w:rsid w:val="00ED3A9C"/>
    <w:rsid w:val="00EE00AC"/>
    <w:rsid w:val="00EE0602"/>
    <w:rsid w:val="00EE24A9"/>
    <w:rsid w:val="00EE24EE"/>
    <w:rsid w:val="00EE4B12"/>
    <w:rsid w:val="00EE5426"/>
    <w:rsid w:val="00EE5D69"/>
    <w:rsid w:val="00EE61FC"/>
    <w:rsid w:val="00EE682A"/>
    <w:rsid w:val="00EE686F"/>
    <w:rsid w:val="00EE6A94"/>
    <w:rsid w:val="00EE7EF7"/>
    <w:rsid w:val="00EE7F06"/>
    <w:rsid w:val="00EF194D"/>
    <w:rsid w:val="00EF22F6"/>
    <w:rsid w:val="00EF28EC"/>
    <w:rsid w:val="00EF327E"/>
    <w:rsid w:val="00EF3B97"/>
    <w:rsid w:val="00EF4D9E"/>
    <w:rsid w:val="00EF538A"/>
    <w:rsid w:val="00EF5EA0"/>
    <w:rsid w:val="00EF5F06"/>
    <w:rsid w:val="00EF6487"/>
    <w:rsid w:val="00F0024D"/>
    <w:rsid w:val="00F0029C"/>
    <w:rsid w:val="00F007B4"/>
    <w:rsid w:val="00F015DF"/>
    <w:rsid w:val="00F01E43"/>
    <w:rsid w:val="00F020B9"/>
    <w:rsid w:val="00F02649"/>
    <w:rsid w:val="00F03706"/>
    <w:rsid w:val="00F070C6"/>
    <w:rsid w:val="00F10456"/>
    <w:rsid w:val="00F1066A"/>
    <w:rsid w:val="00F1298D"/>
    <w:rsid w:val="00F131F4"/>
    <w:rsid w:val="00F1354F"/>
    <w:rsid w:val="00F13778"/>
    <w:rsid w:val="00F13FED"/>
    <w:rsid w:val="00F1452A"/>
    <w:rsid w:val="00F14958"/>
    <w:rsid w:val="00F1539D"/>
    <w:rsid w:val="00F155A1"/>
    <w:rsid w:val="00F15891"/>
    <w:rsid w:val="00F17CE0"/>
    <w:rsid w:val="00F200A4"/>
    <w:rsid w:val="00F200EA"/>
    <w:rsid w:val="00F20375"/>
    <w:rsid w:val="00F203B5"/>
    <w:rsid w:val="00F207B2"/>
    <w:rsid w:val="00F22664"/>
    <w:rsid w:val="00F22922"/>
    <w:rsid w:val="00F24D6C"/>
    <w:rsid w:val="00F251E9"/>
    <w:rsid w:val="00F25211"/>
    <w:rsid w:val="00F254D8"/>
    <w:rsid w:val="00F254E5"/>
    <w:rsid w:val="00F26D6B"/>
    <w:rsid w:val="00F276EA"/>
    <w:rsid w:val="00F32F09"/>
    <w:rsid w:val="00F34189"/>
    <w:rsid w:val="00F35207"/>
    <w:rsid w:val="00F3560B"/>
    <w:rsid w:val="00F35D7E"/>
    <w:rsid w:val="00F3720E"/>
    <w:rsid w:val="00F3757C"/>
    <w:rsid w:val="00F37AB0"/>
    <w:rsid w:val="00F42343"/>
    <w:rsid w:val="00F43BB5"/>
    <w:rsid w:val="00F43C4E"/>
    <w:rsid w:val="00F458FA"/>
    <w:rsid w:val="00F45B28"/>
    <w:rsid w:val="00F4632A"/>
    <w:rsid w:val="00F469CA"/>
    <w:rsid w:val="00F508C6"/>
    <w:rsid w:val="00F51A12"/>
    <w:rsid w:val="00F51F87"/>
    <w:rsid w:val="00F5265D"/>
    <w:rsid w:val="00F54501"/>
    <w:rsid w:val="00F54B9D"/>
    <w:rsid w:val="00F5508A"/>
    <w:rsid w:val="00F550DC"/>
    <w:rsid w:val="00F550E4"/>
    <w:rsid w:val="00F5559D"/>
    <w:rsid w:val="00F573CA"/>
    <w:rsid w:val="00F573DC"/>
    <w:rsid w:val="00F57F49"/>
    <w:rsid w:val="00F57F79"/>
    <w:rsid w:val="00F621D2"/>
    <w:rsid w:val="00F64AAF"/>
    <w:rsid w:val="00F64C9E"/>
    <w:rsid w:val="00F70745"/>
    <w:rsid w:val="00F72560"/>
    <w:rsid w:val="00F728D7"/>
    <w:rsid w:val="00F72E79"/>
    <w:rsid w:val="00F7362A"/>
    <w:rsid w:val="00F77A66"/>
    <w:rsid w:val="00F80966"/>
    <w:rsid w:val="00F80A17"/>
    <w:rsid w:val="00F80D98"/>
    <w:rsid w:val="00F81909"/>
    <w:rsid w:val="00F81FF1"/>
    <w:rsid w:val="00F83821"/>
    <w:rsid w:val="00F84350"/>
    <w:rsid w:val="00F85950"/>
    <w:rsid w:val="00F85D49"/>
    <w:rsid w:val="00F86A98"/>
    <w:rsid w:val="00F87261"/>
    <w:rsid w:val="00F87E70"/>
    <w:rsid w:val="00F908DA"/>
    <w:rsid w:val="00F921BD"/>
    <w:rsid w:val="00F9610C"/>
    <w:rsid w:val="00F9685A"/>
    <w:rsid w:val="00F96A1F"/>
    <w:rsid w:val="00F97D28"/>
    <w:rsid w:val="00FA0439"/>
    <w:rsid w:val="00FA0619"/>
    <w:rsid w:val="00FA06AC"/>
    <w:rsid w:val="00FA0FDA"/>
    <w:rsid w:val="00FA11B6"/>
    <w:rsid w:val="00FA23FB"/>
    <w:rsid w:val="00FA3909"/>
    <w:rsid w:val="00FA401E"/>
    <w:rsid w:val="00FA4A00"/>
    <w:rsid w:val="00FA4F52"/>
    <w:rsid w:val="00FA5469"/>
    <w:rsid w:val="00FA58F2"/>
    <w:rsid w:val="00FA6B3B"/>
    <w:rsid w:val="00FA6E99"/>
    <w:rsid w:val="00FA76A8"/>
    <w:rsid w:val="00FA7A30"/>
    <w:rsid w:val="00FB017A"/>
    <w:rsid w:val="00FB07B3"/>
    <w:rsid w:val="00FB445D"/>
    <w:rsid w:val="00FB60D2"/>
    <w:rsid w:val="00FB6C93"/>
    <w:rsid w:val="00FB718C"/>
    <w:rsid w:val="00FB78FF"/>
    <w:rsid w:val="00FB7969"/>
    <w:rsid w:val="00FB7DEC"/>
    <w:rsid w:val="00FC04EF"/>
    <w:rsid w:val="00FC2C59"/>
    <w:rsid w:val="00FC42B4"/>
    <w:rsid w:val="00FC4489"/>
    <w:rsid w:val="00FC52F4"/>
    <w:rsid w:val="00FC56D3"/>
    <w:rsid w:val="00FC56DB"/>
    <w:rsid w:val="00FC77B4"/>
    <w:rsid w:val="00FC79D8"/>
    <w:rsid w:val="00FC7E65"/>
    <w:rsid w:val="00FD0288"/>
    <w:rsid w:val="00FD06EA"/>
    <w:rsid w:val="00FD1ED9"/>
    <w:rsid w:val="00FD1F6D"/>
    <w:rsid w:val="00FD1FA7"/>
    <w:rsid w:val="00FD36B1"/>
    <w:rsid w:val="00FD3CDE"/>
    <w:rsid w:val="00FD5274"/>
    <w:rsid w:val="00FD59AB"/>
    <w:rsid w:val="00FD6BF2"/>
    <w:rsid w:val="00FE0579"/>
    <w:rsid w:val="00FE0609"/>
    <w:rsid w:val="00FE073A"/>
    <w:rsid w:val="00FE0E3E"/>
    <w:rsid w:val="00FE2D10"/>
    <w:rsid w:val="00FE4588"/>
    <w:rsid w:val="00FE5098"/>
    <w:rsid w:val="00FE56A9"/>
    <w:rsid w:val="00FE58C3"/>
    <w:rsid w:val="00FE5BC3"/>
    <w:rsid w:val="00FE6228"/>
    <w:rsid w:val="00FE645C"/>
    <w:rsid w:val="00FE67BA"/>
    <w:rsid w:val="00FE67DF"/>
    <w:rsid w:val="00FE6D75"/>
    <w:rsid w:val="00FE6EE9"/>
    <w:rsid w:val="00FE7CE3"/>
    <w:rsid w:val="00FF0EDC"/>
    <w:rsid w:val="00FF1F33"/>
    <w:rsid w:val="00FF2174"/>
    <w:rsid w:val="00FF23AB"/>
    <w:rsid w:val="00FF2F23"/>
    <w:rsid w:val="00FF3127"/>
    <w:rsid w:val="00FF37B2"/>
    <w:rsid w:val="00FF42B4"/>
    <w:rsid w:val="00FF5CBF"/>
    <w:rsid w:val="00FF65BC"/>
    <w:rsid w:val="00FF6C6A"/>
    <w:rsid w:val="00FF6DF8"/>
    <w:rsid w:val="00FF7356"/>
    <w:rsid w:val="00FF7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075AA9"/>
  <w15:docId w15:val="{F5D8C7B3-91B8-48F7-812D-A6984DCA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8B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3E64F9"/>
    <w:pPr>
      <w:spacing w:before="480"/>
      <w:contextualSpacing/>
      <w:outlineLvl w:val="0"/>
    </w:pPr>
    <w:rPr>
      <w:rFonts w:asciiTheme="majorHAnsi" w:eastAsiaTheme="majorEastAsia" w:hAnsiTheme="majorHAnsi" w:cstheme="majorBidi"/>
      <w:b/>
      <w:bCs/>
      <w:sz w:val="28"/>
      <w:szCs w:val="28"/>
      <w:lang w:val="en-US" w:eastAsia="en-US" w:bidi="en-US"/>
    </w:rPr>
  </w:style>
  <w:style w:type="paragraph" w:styleId="Heading2">
    <w:name w:val="heading 2"/>
    <w:basedOn w:val="Normal"/>
    <w:next w:val="Normal"/>
    <w:link w:val="Heading2Char"/>
    <w:uiPriority w:val="9"/>
    <w:semiHidden/>
    <w:unhideWhenUsed/>
    <w:qFormat/>
    <w:rsid w:val="00997607"/>
    <w:pPr>
      <w:keepNext/>
      <w:keepLines/>
      <w:spacing w:before="200"/>
      <w:outlineLvl w:val="1"/>
    </w:pPr>
    <w:rPr>
      <w:rFonts w:asciiTheme="majorHAnsi" w:eastAsiaTheme="majorEastAsia" w:hAnsiTheme="majorHAnsi" w:cstheme="majorBidi"/>
      <w:b/>
      <w:bCs/>
      <w:color w:val="4F81BD" w:themeColor="accent1"/>
      <w:sz w:val="26"/>
      <w:szCs w:val="26"/>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4F9"/>
    <w:rPr>
      <w:rFonts w:asciiTheme="majorHAnsi" w:eastAsiaTheme="majorEastAsia" w:hAnsiTheme="majorHAnsi" w:cstheme="majorBidi"/>
      <w:b/>
      <w:bCs/>
      <w:sz w:val="28"/>
      <w:szCs w:val="28"/>
      <w:lang w:val="en-US" w:bidi="en-US"/>
    </w:rPr>
  </w:style>
  <w:style w:type="paragraph" w:customStyle="1" w:styleId="ParaNumbering">
    <w:name w:val="Para Numbering"/>
    <w:basedOn w:val="Normal"/>
    <w:rsid w:val="00D513B7"/>
    <w:pPr>
      <w:tabs>
        <w:tab w:val="num" w:pos="360"/>
        <w:tab w:val="left" w:pos="567"/>
      </w:tabs>
      <w:spacing w:line="240" w:lineRule="atLeast"/>
    </w:pPr>
    <w:rPr>
      <w:szCs w:val="20"/>
      <w:lang w:eastAsia="en-US"/>
    </w:rPr>
  </w:style>
  <w:style w:type="paragraph" w:styleId="ListParagraph">
    <w:name w:val="List Paragraph"/>
    <w:aliases w:val="NFP GP Bulleted List,List Paragraph1,Recommendation,List Paragraph11"/>
    <w:basedOn w:val="Normal"/>
    <w:link w:val="ListParagraphChar"/>
    <w:uiPriority w:val="34"/>
    <w:qFormat/>
    <w:rsid w:val="00D513B7"/>
    <w:pPr>
      <w:ind w:left="720"/>
      <w:contextualSpacing/>
    </w:pPr>
    <w:rPr>
      <w:rFonts w:eastAsiaTheme="minorEastAsia"/>
      <w:lang w:val="en-US" w:eastAsia="en-US" w:bidi="en-US"/>
    </w:rPr>
  </w:style>
  <w:style w:type="paragraph" w:styleId="NoSpacing">
    <w:name w:val="No Spacing"/>
    <w:uiPriority w:val="1"/>
    <w:qFormat/>
    <w:rsid w:val="00776EAE"/>
    <w:pPr>
      <w:spacing w:after="0" w:line="240" w:lineRule="auto"/>
    </w:pPr>
    <w:rPr>
      <w:rFonts w:ascii="Times New Roman" w:eastAsiaTheme="minorEastAsia" w:hAnsi="Times New Roman" w:cs="Times New Roman"/>
      <w:sz w:val="24"/>
      <w:szCs w:val="24"/>
      <w:lang w:val="en-US" w:bidi="en-US"/>
    </w:rPr>
  </w:style>
  <w:style w:type="character" w:customStyle="1" w:styleId="Heading2Char">
    <w:name w:val="Heading 2 Char"/>
    <w:basedOn w:val="DefaultParagraphFont"/>
    <w:link w:val="Heading2"/>
    <w:uiPriority w:val="9"/>
    <w:semiHidden/>
    <w:rsid w:val="00997607"/>
    <w:rPr>
      <w:rFonts w:asciiTheme="majorHAnsi" w:eastAsiaTheme="majorEastAsia" w:hAnsiTheme="majorHAnsi" w:cstheme="majorBidi"/>
      <w:b/>
      <w:bCs/>
      <w:color w:val="4F81BD" w:themeColor="accent1"/>
      <w:sz w:val="26"/>
      <w:szCs w:val="26"/>
      <w:lang w:val="en-US" w:bidi="en-US"/>
    </w:rPr>
  </w:style>
  <w:style w:type="paragraph" w:customStyle="1" w:styleId="paranumbering0">
    <w:name w:val="paranumbering"/>
    <w:basedOn w:val="Normal"/>
    <w:uiPriority w:val="99"/>
    <w:rsid w:val="00997607"/>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A51D77"/>
    <w:rPr>
      <w:sz w:val="16"/>
      <w:szCs w:val="16"/>
    </w:rPr>
  </w:style>
  <w:style w:type="paragraph" w:styleId="CommentText">
    <w:name w:val="annotation text"/>
    <w:basedOn w:val="Normal"/>
    <w:link w:val="CommentTextChar"/>
    <w:uiPriority w:val="99"/>
    <w:unhideWhenUsed/>
    <w:rsid w:val="00A51D77"/>
    <w:rPr>
      <w:rFonts w:eastAsiaTheme="minorEastAsia"/>
      <w:sz w:val="20"/>
      <w:szCs w:val="20"/>
      <w:lang w:val="en-US" w:eastAsia="en-US" w:bidi="en-US"/>
    </w:rPr>
  </w:style>
  <w:style w:type="character" w:customStyle="1" w:styleId="CommentTextChar">
    <w:name w:val="Comment Text Char"/>
    <w:basedOn w:val="DefaultParagraphFont"/>
    <w:link w:val="CommentText"/>
    <w:uiPriority w:val="99"/>
    <w:rsid w:val="00A51D77"/>
    <w:rPr>
      <w:rFonts w:ascii="Times New Roman" w:eastAsiaTheme="minorEastAsia" w:hAnsi="Times New Roman" w:cs="Times New Roman"/>
      <w:sz w:val="20"/>
      <w:szCs w:val="20"/>
      <w:lang w:val="en-US" w:bidi="en-US"/>
    </w:rPr>
  </w:style>
  <w:style w:type="paragraph" w:styleId="BalloonText">
    <w:name w:val="Balloon Text"/>
    <w:basedOn w:val="Normal"/>
    <w:link w:val="BalloonTextChar"/>
    <w:uiPriority w:val="99"/>
    <w:semiHidden/>
    <w:unhideWhenUsed/>
    <w:rsid w:val="00A51D77"/>
    <w:rPr>
      <w:rFonts w:ascii="Tahoma" w:eastAsiaTheme="minorEastAsia" w:hAnsi="Tahoma" w:cs="Tahoma"/>
      <w:sz w:val="16"/>
      <w:szCs w:val="16"/>
      <w:lang w:val="en-US" w:eastAsia="en-US" w:bidi="en-US"/>
    </w:rPr>
  </w:style>
  <w:style w:type="character" w:customStyle="1" w:styleId="BalloonTextChar">
    <w:name w:val="Balloon Text Char"/>
    <w:basedOn w:val="DefaultParagraphFont"/>
    <w:link w:val="BalloonText"/>
    <w:uiPriority w:val="99"/>
    <w:semiHidden/>
    <w:rsid w:val="00A51D77"/>
    <w:rPr>
      <w:rFonts w:ascii="Tahoma" w:eastAsiaTheme="minorEastAsia" w:hAnsi="Tahoma" w:cs="Tahoma"/>
      <w:sz w:val="16"/>
      <w:szCs w:val="16"/>
      <w:lang w:val="en-US" w:bidi="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A6027C"/>
    <w:rPr>
      <w:rFonts w:ascii="Times New Roman" w:eastAsiaTheme="minorEastAsia" w:hAnsi="Times New Roman" w:cs="Times New Roman"/>
      <w:sz w:val="24"/>
      <w:szCs w:val="24"/>
      <w:lang w:val="en-US" w:bidi="en-US"/>
    </w:rPr>
  </w:style>
  <w:style w:type="paragraph" w:styleId="Header">
    <w:name w:val="header"/>
    <w:basedOn w:val="Normal"/>
    <w:link w:val="HeaderChar"/>
    <w:uiPriority w:val="99"/>
    <w:unhideWhenUsed/>
    <w:rsid w:val="00063C9E"/>
    <w:pPr>
      <w:tabs>
        <w:tab w:val="center" w:pos="4513"/>
        <w:tab w:val="right" w:pos="9026"/>
      </w:tabs>
    </w:pPr>
    <w:rPr>
      <w:rFonts w:eastAsiaTheme="minorEastAsia"/>
      <w:lang w:val="en-US" w:eastAsia="en-US" w:bidi="en-US"/>
    </w:rPr>
  </w:style>
  <w:style w:type="character" w:customStyle="1" w:styleId="HeaderChar">
    <w:name w:val="Header Char"/>
    <w:basedOn w:val="DefaultParagraphFont"/>
    <w:link w:val="Header"/>
    <w:uiPriority w:val="99"/>
    <w:rsid w:val="00063C9E"/>
    <w:rPr>
      <w:rFonts w:ascii="Times New Roman" w:eastAsiaTheme="minorEastAsia" w:hAnsi="Times New Roman" w:cs="Times New Roman"/>
      <w:sz w:val="24"/>
      <w:szCs w:val="24"/>
      <w:lang w:val="en-US" w:bidi="en-US"/>
    </w:rPr>
  </w:style>
  <w:style w:type="paragraph" w:styleId="Footer">
    <w:name w:val="footer"/>
    <w:basedOn w:val="Normal"/>
    <w:link w:val="FooterChar"/>
    <w:uiPriority w:val="99"/>
    <w:unhideWhenUsed/>
    <w:rsid w:val="00063C9E"/>
    <w:pPr>
      <w:tabs>
        <w:tab w:val="center" w:pos="4513"/>
        <w:tab w:val="right" w:pos="9026"/>
      </w:tabs>
    </w:pPr>
    <w:rPr>
      <w:rFonts w:eastAsiaTheme="minorEastAsia"/>
      <w:lang w:val="en-US" w:eastAsia="en-US" w:bidi="en-US"/>
    </w:rPr>
  </w:style>
  <w:style w:type="character" w:customStyle="1" w:styleId="FooterChar">
    <w:name w:val="Footer Char"/>
    <w:basedOn w:val="DefaultParagraphFont"/>
    <w:link w:val="Footer"/>
    <w:uiPriority w:val="99"/>
    <w:rsid w:val="00063C9E"/>
    <w:rPr>
      <w:rFonts w:ascii="Times New Roman" w:eastAsiaTheme="minorEastAsia" w:hAnsi="Times New Roman" w:cs="Times New Roman"/>
      <w:sz w:val="24"/>
      <w:szCs w:val="24"/>
      <w:lang w:val="en-US" w:bidi="en-US"/>
    </w:rPr>
  </w:style>
  <w:style w:type="character" w:customStyle="1" w:styleId="apple-converted-space">
    <w:name w:val="apple-converted-space"/>
    <w:basedOn w:val="DefaultParagraphFont"/>
    <w:rsid w:val="00F203B5"/>
  </w:style>
  <w:style w:type="paragraph" w:styleId="CommentSubject">
    <w:name w:val="annotation subject"/>
    <w:basedOn w:val="CommentText"/>
    <w:next w:val="CommentText"/>
    <w:link w:val="CommentSubjectChar"/>
    <w:uiPriority w:val="99"/>
    <w:semiHidden/>
    <w:unhideWhenUsed/>
    <w:rsid w:val="00296A1E"/>
    <w:rPr>
      <w:rFonts w:eastAsia="Times New Roman"/>
      <w:b/>
      <w:bCs/>
      <w:lang w:val="en-AU" w:eastAsia="en-AU" w:bidi="ar-SA"/>
    </w:rPr>
  </w:style>
  <w:style w:type="character" w:customStyle="1" w:styleId="CommentSubjectChar">
    <w:name w:val="Comment Subject Char"/>
    <w:basedOn w:val="CommentTextChar"/>
    <w:link w:val="CommentSubject"/>
    <w:uiPriority w:val="99"/>
    <w:semiHidden/>
    <w:rsid w:val="00296A1E"/>
    <w:rPr>
      <w:rFonts w:ascii="Times New Roman" w:eastAsia="Times New Roman" w:hAnsi="Times New Roman" w:cs="Times New Roman"/>
      <w:b/>
      <w:bCs/>
      <w:sz w:val="20"/>
      <w:szCs w:val="20"/>
      <w:lang w:val="en-US" w:eastAsia="en-AU" w:bidi="en-US"/>
    </w:rPr>
  </w:style>
  <w:style w:type="character" w:customStyle="1" w:styleId="chardivno">
    <w:name w:val="chardivno"/>
    <w:basedOn w:val="DefaultParagraphFont"/>
    <w:rsid w:val="00661982"/>
  </w:style>
  <w:style w:type="paragraph" w:customStyle="1" w:styleId="paragraph">
    <w:name w:val="paragraph"/>
    <w:aliases w:val="a"/>
    <w:basedOn w:val="Normal"/>
    <w:rsid w:val="002D3D3C"/>
    <w:pPr>
      <w:tabs>
        <w:tab w:val="right" w:pos="1531"/>
      </w:tabs>
      <w:spacing w:before="40"/>
      <w:ind w:left="1644" w:hanging="1644"/>
    </w:pPr>
    <w:rPr>
      <w:sz w:val="22"/>
      <w:szCs w:val="20"/>
    </w:rPr>
  </w:style>
  <w:style w:type="paragraph" w:customStyle="1" w:styleId="paragraphsub">
    <w:name w:val="paragraph(sub)"/>
    <w:aliases w:val="aa"/>
    <w:basedOn w:val="Normal"/>
    <w:rsid w:val="00595D23"/>
    <w:pPr>
      <w:tabs>
        <w:tab w:val="right" w:pos="1985"/>
      </w:tabs>
      <w:spacing w:before="40"/>
      <w:ind w:left="2098" w:hanging="2098"/>
    </w:pPr>
    <w:rPr>
      <w:sz w:val="22"/>
      <w:szCs w:val="20"/>
    </w:rPr>
  </w:style>
  <w:style w:type="paragraph" w:customStyle="1" w:styleId="SubsectionHead">
    <w:name w:val="SubsectionHead"/>
    <w:aliases w:val="ssh"/>
    <w:basedOn w:val="Normal"/>
    <w:next w:val="Normal"/>
    <w:rsid w:val="006B0D75"/>
    <w:pPr>
      <w:keepNext/>
      <w:keepLines/>
      <w:spacing w:before="240"/>
      <w:ind w:left="1134"/>
    </w:pPr>
    <w:rPr>
      <w:i/>
      <w:sz w:val="22"/>
      <w:szCs w:val="20"/>
    </w:rPr>
  </w:style>
  <w:style w:type="paragraph" w:customStyle="1" w:styleId="Default">
    <w:name w:val="Default"/>
    <w:rsid w:val="008F713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F713B"/>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F713B"/>
    <w:rPr>
      <w:sz w:val="20"/>
      <w:szCs w:val="20"/>
    </w:rPr>
  </w:style>
  <w:style w:type="character" w:styleId="FootnoteReference">
    <w:name w:val="footnote reference"/>
    <w:basedOn w:val="DefaultParagraphFont"/>
    <w:uiPriority w:val="99"/>
    <w:semiHidden/>
    <w:unhideWhenUsed/>
    <w:rsid w:val="008F713B"/>
    <w:rPr>
      <w:vertAlign w:val="superscript"/>
    </w:rPr>
  </w:style>
  <w:style w:type="paragraph" w:customStyle="1" w:styleId="ActHead5">
    <w:name w:val="ActHead 5"/>
    <w:aliases w:val="s"/>
    <w:basedOn w:val="Normal"/>
    <w:next w:val="Normal"/>
    <w:link w:val="ActHead5Char"/>
    <w:qFormat/>
    <w:rsid w:val="009310CF"/>
    <w:pPr>
      <w:keepNext/>
      <w:keepLines/>
      <w:spacing w:before="280"/>
      <w:ind w:left="1134" w:hanging="1134"/>
      <w:outlineLvl w:val="4"/>
    </w:pPr>
    <w:rPr>
      <w:b/>
      <w:kern w:val="28"/>
      <w:szCs w:val="20"/>
    </w:rPr>
  </w:style>
  <w:style w:type="character" w:customStyle="1" w:styleId="CharSectno">
    <w:name w:val="CharSectno"/>
    <w:basedOn w:val="DefaultParagraphFont"/>
    <w:qFormat/>
    <w:rsid w:val="009310CF"/>
  </w:style>
  <w:style w:type="character" w:customStyle="1" w:styleId="ActHead5Char">
    <w:name w:val="ActHead 5 Char"/>
    <w:aliases w:val="s Char"/>
    <w:link w:val="ActHead5"/>
    <w:rsid w:val="009310CF"/>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437ACF"/>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A0D82"/>
    <w:rPr>
      <w:color w:val="0000FF" w:themeColor="hyperlink"/>
      <w:u w:val="single"/>
    </w:rPr>
  </w:style>
  <w:style w:type="character" w:customStyle="1" w:styleId="CharPartText">
    <w:name w:val="CharPartText"/>
    <w:basedOn w:val="DefaultParagraphFont"/>
    <w:uiPriority w:val="1"/>
    <w:qFormat/>
    <w:rsid w:val="00C52B4C"/>
  </w:style>
  <w:style w:type="character" w:styleId="FollowedHyperlink">
    <w:name w:val="FollowedHyperlink"/>
    <w:basedOn w:val="DefaultParagraphFont"/>
    <w:uiPriority w:val="99"/>
    <w:semiHidden/>
    <w:unhideWhenUsed/>
    <w:rsid w:val="000F12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1374">
      <w:bodyDiv w:val="1"/>
      <w:marLeft w:val="0"/>
      <w:marRight w:val="0"/>
      <w:marTop w:val="0"/>
      <w:marBottom w:val="0"/>
      <w:divBdr>
        <w:top w:val="none" w:sz="0" w:space="0" w:color="auto"/>
        <w:left w:val="none" w:sz="0" w:space="0" w:color="auto"/>
        <w:bottom w:val="none" w:sz="0" w:space="0" w:color="auto"/>
        <w:right w:val="none" w:sz="0" w:space="0" w:color="auto"/>
      </w:divBdr>
      <w:divsChild>
        <w:div w:id="898050311">
          <w:marLeft w:val="0"/>
          <w:marRight w:val="0"/>
          <w:marTop w:val="0"/>
          <w:marBottom w:val="0"/>
          <w:divBdr>
            <w:top w:val="none" w:sz="0" w:space="0" w:color="auto"/>
            <w:left w:val="none" w:sz="0" w:space="0" w:color="auto"/>
            <w:bottom w:val="none" w:sz="0" w:space="0" w:color="auto"/>
            <w:right w:val="none" w:sz="0" w:space="0" w:color="auto"/>
          </w:divBdr>
          <w:divsChild>
            <w:div w:id="869951950">
              <w:marLeft w:val="0"/>
              <w:marRight w:val="0"/>
              <w:marTop w:val="0"/>
              <w:marBottom w:val="0"/>
              <w:divBdr>
                <w:top w:val="none" w:sz="0" w:space="0" w:color="auto"/>
                <w:left w:val="none" w:sz="0" w:space="0" w:color="auto"/>
                <w:bottom w:val="none" w:sz="0" w:space="0" w:color="auto"/>
                <w:right w:val="none" w:sz="0" w:space="0" w:color="auto"/>
              </w:divBdr>
              <w:divsChild>
                <w:div w:id="887378718">
                  <w:marLeft w:val="0"/>
                  <w:marRight w:val="0"/>
                  <w:marTop w:val="0"/>
                  <w:marBottom w:val="0"/>
                  <w:divBdr>
                    <w:top w:val="none" w:sz="0" w:space="0" w:color="auto"/>
                    <w:left w:val="none" w:sz="0" w:space="0" w:color="auto"/>
                    <w:bottom w:val="none" w:sz="0" w:space="0" w:color="auto"/>
                    <w:right w:val="none" w:sz="0" w:space="0" w:color="auto"/>
                  </w:divBdr>
                  <w:divsChild>
                    <w:div w:id="2040011385">
                      <w:marLeft w:val="0"/>
                      <w:marRight w:val="0"/>
                      <w:marTop w:val="0"/>
                      <w:marBottom w:val="0"/>
                      <w:divBdr>
                        <w:top w:val="none" w:sz="0" w:space="0" w:color="auto"/>
                        <w:left w:val="none" w:sz="0" w:space="0" w:color="auto"/>
                        <w:bottom w:val="none" w:sz="0" w:space="0" w:color="auto"/>
                        <w:right w:val="none" w:sz="0" w:space="0" w:color="auto"/>
                      </w:divBdr>
                      <w:divsChild>
                        <w:div w:id="1372918905">
                          <w:marLeft w:val="0"/>
                          <w:marRight w:val="0"/>
                          <w:marTop w:val="0"/>
                          <w:marBottom w:val="0"/>
                          <w:divBdr>
                            <w:top w:val="none" w:sz="0" w:space="0" w:color="auto"/>
                            <w:left w:val="none" w:sz="0" w:space="0" w:color="auto"/>
                            <w:bottom w:val="none" w:sz="0" w:space="0" w:color="auto"/>
                            <w:right w:val="none" w:sz="0" w:space="0" w:color="auto"/>
                          </w:divBdr>
                          <w:divsChild>
                            <w:div w:id="143545726">
                              <w:marLeft w:val="0"/>
                              <w:marRight w:val="0"/>
                              <w:marTop w:val="0"/>
                              <w:marBottom w:val="0"/>
                              <w:divBdr>
                                <w:top w:val="none" w:sz="0" w:space="0" w:color="auto"/>
                                <w:left w:val="none" w:sz="0" w:space="0" w:color="auto"/>
                                <w:bottom w:val="none" w:sz="0" w:space="0" w:color="auto"/>
                                <w:right w:val="none" w:sz="0" w:space="0" w:color="auto"/>
                              </w:divBdr>
                              <w:divsChild>
                                <w:div w:id="971911598">
                                  <w:marLeft w:val="0"/>
                                  <w:marRight w:val="0"/>
                                  <w:marTop w:val="0"/>
                                  <w:marBottom w:val="0"/>
                                  <w:divBdr>
                                    <w:top w:val="none" w:sz="0" w:space="0" w:color="auto"/>
                                    <w:left w:val="none" w:sz="0" w:space="0" w:color="auto"/>
                                    <w:bottom w:val="none" w:sz="0" w:space="0" w:color="auto"/>
                                    <w:right w:val="none" w:sz="0" w:space="0" w:color="auto"/>
                                  </w:divBdr>
                                  <w:divsChild>
                                    <w:div w:id="1417553784">
                                      <w:marLeft w:val="0"/>
                                      <w:marRight w:val="0"/>
                                      <w:marTop w:val="0"/>
                                      <w:marBottom w:val="0"/>
                                      <w:divBdr>
                                        <w:top w:val="none" w:sz="0" w:space="0" w:color="auto"/>
                                        <w:left w:val="none" w:sz="0" w:space="0" w:color="auto"/>
                                        <w:bottom w:val="none" w:sz="0" w:space="0" w:color="auto"/>
                                        <w:right w:val="none" w:sz="0" w:space="0" w:color="auto"/>
                                      </w:divBdr>
                                      <w:divsChild>
                                        <w:div w:id="792793622">
                                          <w:marLeft w:val="0"/>
                                          <w:marRight w:val="0"/>
                                          <w:marTop w:val="0"/>
                                          <w:marBottom w:val="0"/>
                                          <w:divBdr>
                                            <w:top w:val="none" w:sz="0" w:space="0" w:color="auto"/>
                                            <w:left w:val="none" w:sz="0" w:space="0" w:color="auto"/>
                                            <w:bottom w:val="none" w:sz="0" w:space="0" w:color="auto"/>
                                            <w:right w:val="none" w:sz="0" w:space="0" w:color="auto"/>
                                          </w:divBdr>
                                          <w:divsChild>
                                            <w:div w:id="1130317283">
                                              <w:marLeft w:val="0"/>
                                              <w:marRight w:val="0"/>
                                              <w:marTop w:val="0"/>
                                              <w:marBottom w:val="0"/>
                                              <w:divBdr>
                                                <w:top w:val="none" w:sz="0" w:space="0" w:color="auto"/>
                                                <w:left w:val="none" w:sz="0" w:space="0" w:color="auto"/>
                                                <w:bottom w:val="none" w:sz="0" w:space="0" w:color="auto"/>
                                                <w:right w:val="none" w:sz="0" w:space="0" w:color="auto"/>
                                              </w:divBdr>
                                              <w:divsChild>
                                                <w:div w:id="1539002615">
                                                  <w:marLeft w:val="0"/>
                                                  <w:marRight w:val="0"/>
                                                  <w:marTop w:val="0"/>
                                                  <w:marBottom w:val="0"/>
                                                  <w:divBdr>
                                                    <w:top w:val="none" w:sz="0" w:space="0" w:color="auto"/>
                                                    <w:left w:val="none" w:sz="0" w:space="0" w:color="auto"/>
                                                    <w:bottom w:val="none" w:sz="0" w:space="0" w:color="auto"/>
                                                    <w:right w:val="none" w:sz="0" w:space="0" w:color="auto"/>
                                                  </w:divBdr>
                                                  <w:divsChild>
                                                    <w:div w:id="1163817464">
                                                      <w:marLeft w:val="0"/>
                                                      <w:marRight w:val="0"/>
                                                      <w:marTop w:val="0"/>
                                                      <w:marBottom w:val="0"/>
                                                      <w:divBdr>
                                                        <w:top w:val="none" w:sz="0" w:space="0" w:color="auto"/>
                                                        <w:left w:val="none" w:sz="0" w:space="0" w:color="auto"/>
                                                        <w:bottom w:val="none" w:sz="0" w:space="0" w:color="auto"/>
                                                        <w:right w:val="none" w:sz="0" w:space="0" w:color="auto"/>
                                                      </w:divBdr>
                                                      <w:divsChild>
                                                        <w:div w:id="4569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107256">
      <w:bodyDiv w:val="1"/>
      <w:marLeft w:val="0"/>
      <w:marRight w:val="0"/>
      <w:marTop w:val="0"/>
      <w:marBottom w:val="0"/>
      <w:divBdr>
        <w:top w:val="none" w:sz="0" w:space="0" w:color="auto"/>
        <w:left w:val="none" w:sz="0" w:space="0" w:color="auto"/>
        <w:bottom w:val="none" w:sz="0" w:space="0" w:color="auto"/>
        <w:right w:val="none" w:sz="0" w:space="0" w:color="auto"/>
      </w:divBdr>
    </w:div>
    <w:div w:id="285936557">
      <w:bodyDiv w:val="1"/>
      <w:marLeft w:val="0"/>
      <w:marRight w:val="0"/>
      <w:marTop w:val="0"/>
      <w:marBottom w:val="0"/>
      <w:divBdr>
        <w:top w:val="none" w:sz="0" w:space="0" w:color="auto"/>
        <w:left w:val="none" w:sz="0" w:space="0" w:color="auto"/>
        <w:bottom w:val="none" w:sz="0" w:space="0" w:color="auto"/>
        <w:right w:val="none" w:sz="0" w:space="0" w:color="auto"/>
      </w:divBdr>
    </w:div>
    <w:div w:id="522138053">
      <w:bodyDiv w:val="1"/>
      <w:marLeft w:val="0"/>
      <w:marRight w:val="0"/>
      <w:marTop w:val="0"/>
      <w:marBottom w:val="0"/>
      <w:divBdr>
        <w:top w:val="none" w:sz="0" w:space="0" w:color="auto"/>
        <w:left w:val="none" w:sz="0" w:space="0" w:color="auto"/>
        <w:bottom w:val="none" w:sz="0" w:space="0" w:color="auto"/>
        <w:right w:val="none" w:sz="0" w:space="0" w:color="auto"/>
      </w:divBdr>
    </w:div>
    <w:div w:id="637881125">
      <w:bodyDiv w:val="1"/>
      <w:marLeft w:val="0"/>
      <w:marRight w:val="0"/>
      <w:marTop w:val="0"/>
      <w:marBottom w:val="0"/>
      <w:divBdr>
        <w:top w:val="none" w:sz="0" w:space="0" w:color="auto"/>
        <w:left w:val="none" w:sz="0" w:space="0" w:color="auto"/>
        <w:bottom w:val="none" w:sz="0" w:space="0" w:color="auto"/>
        <w:right w:val="none" w:sz="0" w:space="0" w:color="auto"/>
      </w:divBdr>
      <w:divsChild>
        <w:div w:id="79639940">
          <w:marLeft w:val="0"/>
          <w:marRight w:val="0"/>
          <w:marTop w:val="0"/>
          <w:marBottom w:val="0"/>
          <w:divBdr>
            <w:top w:val="none" w:sz="0" w:space="0" w:color="auto"/>
            <w:left w:val="none" w:sz="0" w:space="0" w:color="auto"/>
            <w:bottom w:val="none" w:sz="0" w:space="0" w:color="auto"/>
            <w:right w:val="none" w:sz="0" w:space="0" w:color="auto"/>
          </w:divBdr>
          <w:divsChild>
            <w:div w:id="218513459">
              <w:marLeft w:val="0"/>
              <w:marRight w:val="0"/>
              <w:marTop w:val="0"/>
              <w:marBottom w:val="0"/>
              <w:divBdr>
                <w:top w:val="none" w:sz="0" w:space="0" w:color="auto"/>
                <w:left w:val="none" w:sz="0" w:space="0" w:color="auto"/>
                <w:bottom w:val="none" w:sz="0" w:space="0" w:color="auto"/>
                <w:right w:val="none" w:sz="0" w:space="0" w:color="auto"/>
              </w:divBdr>
              <w:divsChild>
                <w:div w:id="845436404">
                  <w:marLeft w:val="0"/>
                  <w:marRight w:val="0"/>
                  <w:marTop w:val="0"/>
                  <w:marBottom w:val="0"/>
                  <w:divBdr>
                    <w:top w:val="none" w:sz="0" w:space="0" w:color="auto"/>
                    <w:left w:val="none" w:sz="0" w:space="0" w:color="auto"/>
                    <w:bottom w:val="none" w:sz="0" w:space="0" w:color="auto"/>
                    <w:right w:val="none" w:sz="0" w:space="0" w:color="auto"/>
                  </w:divBdr>
                  <w:divsChild>
                    <w:div w:id="248855958">
                      <w:marLeft w:val="0"/>
                      <w:marRight w:val="0"/>
                      <w:marTop w:val="0"/>
                      <w:marBottom w:val="0"/>
                      <w:divBdr>
                        <w:top w:val="none" w:sz="0" w:space="0" w:color="auto"/>
                        <w:left w:val="none" w:sz="0" w:space="0" w:color="auto"/>
                        <w:bottom w:val="none" w:sz="0" w:space="0" w:color="auto"/>
                        <w:right w:val="none" w:sz="0" w:space="0" w:color="auto"/>
                      </w:divBdr>
                      <w:divsChild>
                        <w:div w:id="63726349">
                          <w:marLeft w:val="0"/>
                          <w:marRight w:val="0"/>
                          <w:marTop w:val="0"/>
                          <w:marBottom w:val="0"/>
                          <w:divBdr>
                            <w:top w:val="none" w:sz="0" w:space="0" w:color="auto"/>
                            <w:left w:val="none" w:sz="0" w:space="0" w:color="auto"/>
                            <w:bottom w:val="none" w:sz="0" w:space="0" w:color="auto"/>
                            <w:right w:val="none" w:sz="0" w:space="0" w:color="auto"/>
                          </w:divBdr>
                          <w:divsChild>
                            <w:div w:id="2088066361">
                              <w:marLeft w:val="0"/>
                              <w:marRight w:val="0"/>
                              <w:marTop w:val="0"/>
                              <w:marBottom w:val="0"/>
                              <w:divBdr>
                                <w:top w:val="none" w:sz="0" w:space="0" w:color="auto"/>
                                <w:left w:val="none" w:sz="0" w:space="0" w:color="auto"/>
                                <w:bottom w:val="none" w:sz="0" w:space="0" w:color="auto"/>
                                <w:right w:val="none" w:sz="0" w:space="0" w:color="auto"/>
                              </w:divBdr>
                              <w:divsChild>
                                <w:div w:id="106850158">
                                  <w:marLeft w:val="0"/>
                                  <w:marRight w:val="0"/>
                                  <w:marTop w:val="0"/>
                                  <w:marBottom w:val="0"/>
                                  <w:divBdr>
                                    <w:top w:val="none" w:sz="0" w:space="0" w:color="auto"/>
                                    <w:left w:val="none" w:sz="0" w:space="0" w:color="auto"/>
                                    <w:bottom w:val="none" w:sz="0" w:space="0" w:color="auto"/>
                                    <w:right w:val="none" w:sz="0" w:space="0" w:color="auto"/>
                                  </w:divBdr>
                                  <w:divsChild>
                                    <w:div w:id="324169045">
                                      <w:marLeft w:val="0"/>
                                      <w:marRight w:val="0"/>
                                      <w:marTop w:val="0"/>
                                      <w:marBottom w:val="0"/>
                                      <w:divBdr>
                                        <w:top w:val="none" w:sz="0" w:space="0" w:color="auto"/>
                                        <w:left w:val="none" w:sz="0" w:space="0" w:color="auto"/>
                                        <w:bottom w:val="none" w:sz="0" w:space="0" w:color="auto"/>
                                        <w:right w:val="none" w:sz="0" w:space="0" w:color="auto"/>
                                      </w:divBdr>
                                      <w:divsChild>
                                        <w:div w:id="151799119">
                                          <w:marLeft w:val="0"/>
                                          <w:marRight w:val="0"/>
                                          <w:marTop w:val="0"/>
                                          <w:marBottom w:val="0"/>
                                          <w:divBdr>
                                            <w:top w:val="none" w:sz="0" w:space="0" w:color="auto"/>
                                            <w:left w:val="none" w:sz="0" w:space="0" w:color="auto"/>
                                            <w:bottom w:val="none" w:sz="0" w:space="0" w:color="auto"/>
                                            <w:right w:val="none" w:sz="0" w:space="0" w:color="auto"/>
                                          </w:divBdr>
                                          <w:divsChild>
                                            <w:div w:id="290017836">
                                              <w:marLeft w:val="0"/>
                                              <w:marRight w:val="0"/>
                                              <w:marTop w:val="0"/>
                                              <w:marBottom w:val="0"/>
                                              <w:divBdr>
                                                <w:top w:val="none" w:sz="0" w:space="0" w:color="auto"/>
                                                <w:left w:val="none" w:sz="0" w:space="0" w:color="auto"/>
                                                <w:bottom w:val="none" w:sz="0" w:space="0" w:color="auto"/>
                                                <w:right w:val="none" w:sz="0" w:space="0" w:color="auto"/>
                                              </w:divBdr>
                                              <w:divsChild>
                                                <w:div w:id="1883204853">
                                                  <w:marLeft w:val="0"/>
                                                  <w:marRight w:val="0"/>
                                                  <w:marTop w:val="0"/>
                                                  <w:marBottom w:val="0"/>
                                                  <w:divBdr>
                                                    <w:top w:val="none" w:sz="0" w:space="0" w:color="auto"/>
                                                    <w:left w:val="none" w:sz="0" w:space="0" w:color="auto"/>
                                                    <w:bottom w:val="none" w:sz="0" w:space="0" w:color="auto"/>
                                                    <w:right w:val="none" w:sz="0" w:space="0" w:color="auto"/>
                                                  </w:divBdr>
                                                  <w:divsChild>
                                                    <w:div w:id="732889818">
                                                      <w:marLeft w:val="0"/>
                                                      <w:marRight w:val="0"/>
                                                      <w:marTop w:val="0"/>
                                                      <w:marBottom w:val="0"/>
                                                      <w:divBdr>
                                                        <w:top w:val="none" w:sz="0" w:space="0" w:color="auto"/>
                                                        <w:left w:val="none" w:sz="0" w:space="0" w:color="auto"/>
                                                        <w:bottom w:val="none" w:sz="0" w:space="0" w:color="auto"/>
                                                        <w:right w:val="none" w:sz="0" w:space="0" w:color="auto"/>
                                                      </w:divBdr>
                                                      <w:divsChild>
                                                        <w:div w:id="4028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082990">
      <w:bodyDiv w:val="1"/>
      <w:marLeft w:val="0"/>
      <w:marRight w:val="0"/>
      <w:marTop w:val="0"/>
      <w:marBottom w:val="0"/>
      <w:divBdr>
        <w:top w:val="none" w:sz="0" w:space="0" w:color="auto"/>
        <w:left w:val="none" w:sz="0" w:space="0" w:color="auto"/>
        <w:bottom w:val="none" w:sz="0" w:space="0" w:color="auto"/>
        <w:right w:val="none" w:sz="0" w:space="0" w:color="auto"/>
      </w:divBdr>
    </w:div>
    <w:div w:id="736167456">
      <w:bodyDiv w:val="1"/>
      <w:marLeft w:val="0"/>
      <w:marRight w:val="0"/>
      <w:marTop w:val="0"/>
      <w:marBottom w:val="0"/>
      <w:divBdr>
        <w:top w:val="none" w:sz="0" w:space="0" w:color="auto"/>
        <w:left w:val="none" w:sz="0" w:space="0" w:color="auto"/>
        <w:bottom w:val="none" w:sz="0" w:space="0" w:color="auto"/>
        <w:right w:val="none" w:sz="0" w:space="0" w:color="auto"/>
      </w:divBdr>
    </w:div>
    <w:div w:id="756026209">
      <w:bodyDiv w:val="1"/>
      <w:marLeft w:val="0"/>
      <w:marRight w:val="0"/>
      <w:marTop w:val="0"/>
      <w:marBottom w:val="0"/>
      <w:divBdr>
        <w:top w:val="none" w:sz="0" w:space="0" w:color="auto"/>
        <w:left w:val="none" w:sz="0" w:space="0" w:color="auto"/>
        <w:bottom w:val="none" w:sz="0" w:space="0" w:color="auto"/>
        <w:right w:val="none" w:sz="0" w:space="0" w:color="auto"/>
      </w:divBdr>
    </w:div>
    <w:div w:id="954482232">
      <w:bodyDiv w:val="1"/>
      <w:marLeft w:val="0"/>
      <w:marRight w:val="0"/>
      <w:marTop w:val="0"/>
      <w:marBottom w:val="0"/>
      <w:divBdr>
        <w:top w:val="none" w:sz="0" w:space="0" w:color="auto"/>
        <w:left w:val="none" w:sz="0" w:space="0" w:color="auto"/>
        <w:bottom w:val="none" w:sz="0" w:space="0" w:color="auto"/>
        <w:right w:val="none" w:sz="0" w:space="0" w:color="auto"/>
      </w:divBdr>
      <w:divsChild>
        <w:div w:id="1494252147">
          <w:marLeft w:val="0"/>
          <w:marRight w:val="0"/>
          <w:marTop w:val="0"/>
          <w:marBottom w:val="0"/>
          <w:divBdr>
            <w:top w:val="none" w:sz="0" w:space="0" w:color="auto"/>
            <w:left w:val="none" w:sz="0" w:space="0" w:color="auto"/>
            <w:bottom w:val="none" w:sz="0" w:space="0" w:color="auto"/>
            <w:right w:val="none" w:sz="0" w:space="0" w:color="auto"/>
          </w:divBdr>
          <w:divsChild>
            <w:div w:id="2082557229">
              <w:marLeft w:val="0"/>
              <w:marRight w:val="0"/>
              <w:marTop w:val="0"/>
              <w:marBottom w:val="0"/>
              <w:divBdr>
                <w:top w:val="none" w:sz="0" w:space="0" w:color="auto"/>
                <w:left w:val="none" w:sz="0" w:space="0" w:color="auto"/>
                <w:bottom w:val="none" w:sz="0" w:space="0" w:color="auto"/>
                <w:right w:val="none" w:sz="0" w:space="0" w:color="auto"/>
              </w:divBdr>
              <w:divsChild>
                <w:div w:id="1305430575">
                  <w:marLeft w:val="0"/>
                  <w:marRight w:val="0"/>
                  <w:marTop w:val="0"/>
                  <w:marBottom w:val="0"/>
                  <w:divBdr>
                    <w:top w:val="none" w:sz="0" w:space="0" w:color="auto"/>
                    <w:left w:val="none" w:sz="0" w:space="0" w:color="auto"/>
                    <w:bottom w:val="none" w:sz="0" w:space="0" w:color="auto"/>
                    <w:right w:val="none" w:sz="0" w:space="0" w:color="auto"/>
                  </w:divBdr>
                  <w:divsChild>
                    <w:div w:id="259459592">
                      <w:marLeft w:val="0"/>
                      <w:marRight w:val="0"/>
                      <w:marTop w:val="0"/>
                      <w:marBottom w:val="0"/>
                      <w:divBdr>
                        <w:top w:val="none" w:sz="0" w:space="0" w:color="auto"/>
                        <w:left w:val="none" w:sz="0" w:space="0" w:color="auto"/>
                        <w:bottom w:val="none" w:sz="0" w:space="0" w:color="auto"/>
                        <w:right w:val="none" w:sz="0" w:space="0" w:color="auto"/>
                      </w:divBdr>
                      <w:divsChild>
                        <w:div w:id="950939892">
                          <w:marLeft w:val="0"/>
                          <w:marRight w:val="0"/>
                          <w:marTop w:val="0"/>
                          <w:marBottom w:val="0"/>
                          <w:divBdr>
                            <w:top w:val="none" w:sz="0" w:space="0" w:color="auto"/>
                            <w:left w:val="none" w:sz="0" w:space="0" w:color="auto"/>
                            <w:bottom w:val="none" w:sz="0" w:space="0" w:color="auto"/>
                            <w:right w:val="none" w:sz="0" w:space="0" w:color="auto"/>
                          </w:divBdr>
                          <w:divsChild>
                            <w:div w:id="585192375">
                              <w:marLeft w:val="0"/>
                              <w:marRight w:val="0"/>
                              <w:marTop w:val="0"/>
                              <w:marBottom w:val="0"/>
                              <w:divBdr>
                                <w:top w:val="none" w:sz="0" w:space="0" w:color="auto"/>
                                <w:left w:val="none" w:sz="0" w:space="0" w:color="auto"/>
                                <w:bottom w:val="none" w:sz="0" w:space="0" w:color="auto"/>
                                <w:right w:val="none" w:sz="0" w:space="0" w:color="auto"/>
                              </w:divBdr>
                              <w:divsChild>
                                <w:div w:id="1218324093">
                                  <w:marLeft w:val="0"/>
                                  <w:marRight w:val="0"/>
                                  <w:marTop w:val="0"/>
                                  <w:marBottom w:val="0"/>
                                  <w:divBdr>
                                    <w:top w:val="none" w:sz="0" w:space="0" w:color="auto"/>
                                    <w:left w:val="none" w:sz="0" w:space="0" w:color="auto"/>
                                    <w:bottom w:val="none" w:sz="0" w:space="0" w:color="auto"/>
                                    <w:right w:val="none" w:sz="0" w:space="0" w:color="auto"/>
                                  </w:divBdr>
                                  <w:divsChild>
                                    <w:div w:id="1780879106">
                                      <w:marLeft w:val="0"/>
                                      <w:marRight w:val="0"/>
                                      <w:marTop w:val="0"/>
                                      <w:marBottom w:val="0"/>
                                      <w:divBdr>
                                        <w:top w:val="none" w:sz="0" w:space="0" w:color="auto"/>
                                        <w:left w:val="none" w:sz="0" w:space="0" w:color="auto"/>
                                        <w:bottom w:val="none" w:sz="0" w:space="0" w:color="auto"/>
                                        <w:right w:val="none" w:sz="0" w:space="0" w:color="auto"/>
                                      </w:divBdr>
                                      <w:divsChild>
                                        <w:div w:id="1097823553">
                                          <w:marLeft w:val="0"/>
                                          <w:marRight w:val="0"/>
                                          <w:marTop w:val="0"/>
                                          <w:marBottom w:val="0"/>
                                          <w:divBdr>
                                            <w:top w:val="none" w:sz="0" w:space="0" w:color="auto"/>
                                            <w:left w:val="none" w:sz="0" w:space="0" w:color="auto"/>
                                            <w:bottom w:val="none" w:sz="0" w:space="0" w:color="auto"/>
                                            <w:right w:val="none" w:sz="0" w:space="0" w:color="auto"/>
                                          </w:divBdr>
                                          <w:divsChild>
                                            <w:div w:id="1691370299">
                                              <w:marLeft w:val="0"/>
                                              <w:marRight w:val="0"/>
                                              <w:marTop w:val="0"/>
                                              <w:marBottom w:val="0"/>
                                              <w:divBdr>
                                                <w:top w:val="none" w:sz="0" w:space="0" w:color="auto"/>
                                                <w:left w:val="none" w:sz="0" w:space="0" w:color="auto"/>
                                                <w:bottom w:val="none" w:sz="0" w:space="0" w:color="auto"/>
                                                <w:right w:val="none" w:sz="0" w:space="0" w:color="auto"/>
                                              </w:divBdr>
                                              <w:divsChild>
                                                <w:div w:id="1984381602">
                                                  <w:marLeft w:val="0"/>
                                                  <w:marRight w:val="0"/>
                                                  <w:marTop w:val="0"/>
                                                  <w:marBottom w:val="0"/>
                                                  <w:divBdr>
                                                    <w:top w:val="none" w:sz="0" w:space="0" w:color="auto"/>
                                                    <w:left w:val="none" w:sz="0" w:space="0" w:color="auto"/>
                                                    <w:bottom w:val="none" w:sz="0" w:space="0" w:color="auto"/>
                                                    <w:right w:val="none" w:sz="0" w:space="0" w:color="auto"/>
                                                  </w:divBdr>
                                                  <w:divsChild>
                                                    <w:div w:id="1328749730">
                                                      <w:marLeft w:val="0"/>
                                                      <w:marRight w:val="0"/>
                                                      <w:marTop w:val="0"/>
                                                      <w:marBottom w:val="0"/>
                                                      <w:divBdr>
                                                        <w:top w:val="none" w:sz="0" w:space="0" w:color="auto"/>
                                                        <w:left w:val="none" w:sz="0" w:space="0" w:color="auto"/>
                                                        <w:bottom w:val="none" w:sz="0" w:space="0" w:color="auto"/>
                                                        <w:right w:val="none" w:sz="0" w:space="0" w:color="auto"/>
                                                      </w:divBdr>
                                                      <w:divsChild>
                                                        <w:div w:id="12237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9750186">
      <w:bodyDiv w:val="1"/>
      <w:marLeft w:val="0"/>
      <w:marRight w:val="0"/>
      <w:marTop w:val="0"/>
      <w:marBottom w:val="0"/>
      <w:divBdr>
        <w:top w:val="none" w:sz="0" w:space="0" w:color="auto"/>
        <w:left w:val="none" w:sz="0" w:space="0" w:color="auto"/>
        <w:bottom w:val="none" w:sz="0" w:space="0" w:color="auto"/>
        <w:right w:val="none" w:sz="0" w:space="0" w:color="auto"/>
      </w:divBdr>
    </w:div>
    <w:div w:id="1034503648">
      <w:bodyDiv w:val="1"/>
      <w:marLeft w:val="0"/>
      <w:marRight w:val="0"/>
      <w:marTop w:val="0"/>
      <w:marBottom w:val="0"/>
      <w:divBdr>
        <w:top w:val="none" w:sz="0" w:space="0" w:color="auto"/>
        <w:left w:val="none" w:sz="0" w:space="0" w:color="auto"/>
        <w:bottom w:val="none" w:sz="0" w:space="0" w:color="auto"/>
        <w:right w:val="none" w:sz="0" w:space="0" w:color="auto"/>
      </w:divBdr>
    </w:div>
    <w:div w:id="1296831934">
      <w:bodyDiv w:val="1"/>
      <w:marLeft w:val="0"/>
      <w:marRight w:val="0"/>
      <w:marTop w:val="0"/>
      <w:marBottom w:val="0"/>
      <w:divBdr>
        <w:top w:val="none" w:sz="0" w:space="0" w:color="auto"/>
        <w:left w:val="none" w:sz="0" w:space="0" w:color="auto"/>
        <w:bottom w:val="none" w:sz="0" w:space="0" w:color="auto"/>
        <w:right w:val="none" w:sz="0" w:space="0" w:color="auto"/>
      </w:divBdr>
    </w:div>
    <w:div w:id="1437554408">
      <w:bodyDiv w:val="1"/>
      <w:marLeft w:val="0"/>
      <w:marRight w:val="0"/>
      <w:marTop w:val="0"/>
      <w:marBottom w:val="0"/>
      <w:divBdr>
        <w:top w:val="none" w:sz="0" w:space="0" w:color="auto"/>
        <w:left w:val="none" w:sz="0" w:space="0" w:color="auto"/>
        <w:bottom w:val="none" w:sz="0" w:space="0" w:color="auto"/>
        <w:right w:val="none" w:sz="0" w:space="0" w:color="auto"/>
      </w:divBdr>
    </w:div>
    <w:div w:id="1488595576">
      <w:bodyDiv w:val="1"/>
      <w:marLeft w:val="0"/>
      <w:marRight w:val="0"/>
      <w:marTop w:val="0"/>
      <w:marBottom w:val="0"/>
      <w:divBdr>
        <w:top w:val="none" w:sz="0" w:space="0" w:color="auto"/>
        <w:left w:val="none" w:sz="0" w:space="0" w:color="auto"/>
        <w:bottom w:val="none" w:sz="0" w:space="0" w:color="auto"/>
        <w:right w:val="none" w:sz="0" w:space="0" w:color="auto"/>
      </w:divBdr>
    </w:div>
    <w:div w:id="1504315802">
      <w:bodyDiv w:val="1"/>
      <w:marLeft w:val="0"/>
      <w:marRight w:val="0"/>
      <w:marTop w:val="0"/>
      <w:marBottom w:val="0"/>
      <w:divBdr>
        <w:top w:val="none" w:sz="0" w:space="0" w:color="auto"/>
        <w:left w:val="none" w:sz="0" w:space="0" w:color="auto"/>
        <w:bottom w:val="none" w:sz="0" w:space="0" w:color="auto"/>
        <w:right w:val="none" w:sz="0" w:space="0" w:color="auto"/>
      </w:divBdr>
    </w:div>
    <w:div w:id="1542471498">
      <w:bodyDiv w:val="1"/>
      <w:marLeft w:val="0"/>
      <w:marRight w:val="0"/>
      <w:marTop w:val="0"/>
      <w:marBottom w:val="0"/>
      <w:divBdr>
        <w:top w:val="none" w:sz="0" w:space="0" w:color="auto"/>
        <w:left w:val="none" w:sz="0" w:space="0" w:color="auto"/>
        <w:bottom w:val="none" w:sz="0" w:space="0" w:color="auto"/>
        <w:right w:val="none" w:sz="0" w:space="0" w:color="auto"/>
      </w:divBdr>
    </w:div>
    <w:div w:id="1763527940">
      <w:bodyDiv w:val="1"/>
      <w:marLeft w:val="0"/>
      <w:marRight w:val="0"/>
      <w:marTop w:val="0"/>
      <w:marBottom w:val="0"/>
      <w:divBdr>
        <w:top w:val="none" w:sz="0" w:space="0" w:color="auto"/>
        <w:left w:val="none" w:sz="0" w:space="0" w:color="auto"/>
        <w:bottom w:val="none" w:sz="0" w:space="0" w:color="auto"/>
        <w:right w:val="none" w:sz="0" w:space="0" w:color="auto"/>
      </w:divBdr>
    </w:div>
    <w:div w:id="200188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enders.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finance.gov.au/government/procurement/commonwealth-procurement-ru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eaec612-449c-4f02-bff7-1edcfe83088c" xsi:nil="true"/>
    <_dlc_DocIdUrl xmlns="9eaec612-449c-4f02-bff7-1edcfe83088c">
      <Url xsi:nil="true"/>
      <Description xsi:nil="true"/>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2B5A5-9AFC-48AE-AFEE-6EFE8FFEE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ec612-449c-4f02-bff7-1edcfe830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46E35-58D2-4412-B937-AECA6E99E7D6}">
  <ds:schemaRefs>
    <ds:schemaRef ds:uri="http://schemas.microsoft.com/sharepoint/v3/contenttype/forms"/>
  </ds:schemaRefs>
</ds:datastoreItem>
</file>

<file path=customXml/itemProps3.xml><?xml version="1.0" encoding="utf-8"?>
<ds:datastoreItem xmlns:ds="http://schemas.openxmlformats.org/officeDocument/2006/customXml" ds:itemID="{7F872270-0EF6-4172-9678-DA4F47868E2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9eaec612-449c-4f02-bff7-1edcfe83088c"/>
    <ds:schemaRef ds:uri="http://www.w3.org/XML/1998/namespace"/>
  </ds:schemaRefs>
</ds:datastoreItem>
</file>

<file path=customXml/itemProps4.xml><?xml version="1.0" encoding="utf-8"?>
<ds:datastoreItem xmlns:ds="http://schemas.openxmlformats.org/officeDocument/2006/customXml" ds:itemID="{77B1212B-E5D9-406A-8DA6-650254E64AAA}">
  <ds:schemaRefs>
    <ds:schemaRef ds:uri="http://schemas.microsoft.com/sharepoint/events"/>
  </ds:schemaRefs>
</ds:datastoreItem>
</file>

<file path=customXml/itemProps5.xml><?xml version="1.0" encoding="utf-8"?>
<ds:datastoreItem xmlns:ds="http://schemas.openxmlformats.org/officeDocument/2006/customXml" ds:itemID="{21CC40B0-0FC4-4A6F-9D0A-146318B3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8C2BD1F2</Template>
  <TotalTime>26</TotalTime>
  <Pages>7</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McCarron</dc:creator>
  <cp:lastModifiedBy>McCarron, Kathleen</cp:lastModifiedBy>
  <cp:revision>11</cp:revision>
  <cp:lastPrinted>2019-09-23T03:18:00Z</cp:lastPrinted>
  <dcterms:created xsi:type="dcterms:W3CDTF">2020-05-18T00:03:00Z</dcterms:created>
  <dcterms:modified xsi:type="dcterms:W3CDTF">2020-05-19T23:52:00Z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_dlc_DocIdItemGuid">
    <vt:lpwstr>c4bd42bb-2fae-477e-8dfc-e219490efc4b</vt:lpwstr>
  </property>
</Properties>
</file>