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61CF" w14:textId="77777777" w:rsidR="00A419EA" w:rsidRDefault="00ED081D" w:rsidP="009A530B">
      <w:pPr>
        <w:spacing w:before="100" w:beforeAutospacing="1" w:after="100" w:afterAutospacing="1"/>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7A143476" w14:textId="77777777" w:rsidR="00B60F0C" w:rsidRPr="00625284" w:rsidRDefault="00B60F0C" w:rsidP="00B60F0C">
      <w:pPr>
        <w:jc w:val="center"/>
        <w:rPr>
          <w:rFonts w:ascii="Times New Roman" w:hAnsi="Times New Roman"/>
          <w:bCs/>
          <w:i/>
          <w:iCs/>
          <w:szCs w:val="24"/>
        </w:rPr>
      </w:pPr>
      <w:r w:rsidRPr="00625284">
        <w:rPr>
          <w:rFonts w:ascii="Times New Roman" w:hAnsi="Times New Roman"/>
          <w:bCs/>
          <w:i/>
          <w:iCs/>
          <w:szCs w:val="24"/>
        </w:rPr>
        <w:t>Therapeutic Goods Act 1989</w:t>
      </w:r>
    </w:p>
    <w:p w14:paraId="742D9337" w14:textId="1C69C3E5" w:rsidR="00EF1F18" w:rsidRPr="008727AB" w:rsidRDefault="00EF1F18" w:rsidP="009A530B">
      <w:pPr>
        <w:spacing w:before="100" w:beforeAutospacing="1" w:after="100" w:afterAutospacing="1"/>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9766DD">
        <w:rPr>
          <w:rFonts w:ascii="Times New Roman" w:eastAsia="Times New Roman" w:hAnsi="Times New Roman" w:cs="Times New Roman"/>
          <w:bCs/>
          <w:i/>
          <w:sz w:val="24"/>
          <w:szCs w:val="24"/>
          <w:lang w:eastAsia="en-AU"/>
        </w:rPr>
        <w:t>2</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20</w:t>
      </w:r>
    </w:p>
    <w:p w14:paraId="1375AB08"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w:t>
      </w:r>
      <w:proofErr w:type="gramStart"/>
      <w:r>
        <w:rPr>
          <w:rFonts w:ascii="Times New Roman" w:eastAsia="Times New Roman" w:hAnsi="Times New Roman" w:cs="Times New Roman"/>
          <w:sz w:val="24"/>
          <w:szCs w:val="24"/>
          <w:lang w:eastAsia="en-AU"/>
        </w:rPr>
        <w:t xml:space="preserve">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roofErr w:type="gramEnd"/>
      <w:r>
        <w:rPr>
          <w:rFonts w:ascii="Times New Roman" w:eastAsia="Times New Roman" w:hAnsi="Times New Roman" w:cs="Times New Roman"/>
          <w:sz w:val="24"/>
          <w:szCs w:val="24"/>
          <w:lang w:eastAsia="en-AU"/>
        </w:rPr>
        <w:t>.</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26BB of the Act relevantly provides that the Minister of Health </w:t>
      </w:r>
      <w:proofErr w:type="gramStart"/>
      <w:r>
        <w:rPr>
          <w:rFonts w:ascii="Times New Roman" w:eastAsia="Times New Roman" w:hAnsi="Times New Roman" w:cs="Times New Roman"/>
          <w:sz w:val="24"/>
          <w:szCs w:val="24"/>
          <w:lang w:eastAsia="en-AU"/>
        </w:rPr>
        <w:t>may, by legislative instrument, make</w:t>
      </w:r>
      <w:proofErr w:type="gramEnd"/>
      <w:r>
        <w:rPr>
          <w:rFonts w:ascii="Times New Roman" w:eastAsia="Times New Roman" w:hAnsi="Times New Roman" w:cs="Times New Roman"/>
          <w:sz w:val="24"/>
          <w:szCs w:val="24"/>
          <w:lang w:eastAsia="en-AU"/>
        </w:rPr>
        <w:t xml:space="preserv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 xml:space="preserve">under section 26BB of the Act </w:t>
      </w:r>
      <w:proofErr w:type="gramStart"/>
      <w:r>
        <w:rPr>
          <w:rFonts w:ascii="Times New Roman" w:eastAsia="Times New Roman" w:hAnsi="Times New Roman" w:cs="Times New Roman"/>
          <w:sz w:val="24"/>
          <w:szCs w:val="24"/>
          <w:lang w:eastAsia="en-AU"/>
        </w:rPr>
        <w:t>are designed</w:t>
      </w:r>
      <w:proofErr w:type="gramEnd"/>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7A3935A8"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Determination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E96741">
        <w:rPr>
          <w:rFonts w:ascii="Times New Roman" w:eastAsia="Times New Roman" w:hAnsi="Times New Roman" w:cs="Times New Roman"/>
          <w:i/>
          <w:sz w:val="24"/>
          <w:szCs w:val="24"/>
          <w:lang w:eastAsia="en-AU"/>
        </w:rPr>
        <w:t>1</w:t>
      </w:r>
      <w:r w:rsidRPr="004E05C9">
        <w:rPr>
          <w:rFonts w:ascii="Times New Roman" w:eastAsia="Times New Roman" w:hAnsi="Times New Roman" w:cs="Times New Roman"/>
          <w:i/>
          <w:sz w:val="24"/>
          <w:szCs w:val="24"/>
          <w:lang w:eastAsia="en-AU"/>
        </w:rPr>
        <w:t>) 20</w:t>
      </w:r>
      <w:r w:rsidR="00E96741">
        <w:rPr>
          <w:rFonts w:ascii="Times New Roman" w:eastAsia="Times New Roman" w:hAnsi="Times New Roman" w:cs="Times New Roman"/>
          <w:i/>
          <w:sz w:val="24"/>
          <w:szCs w:val="24"/>
          <w:lang w:eastAsia="en-AU"/>
        </w:rPr>
        <w:t>20</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 xml:space="preserve">. </w:t>
      </w:r>
    </w:p>
    <w:p w14:paraId="013E1782" w14:textId="77777777" w:rsidR="00EF1F18" w:rsidRPr="00B028DC" w:rsidRDefault="00EF1F18" w:rsidP="009A530B">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46189311"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are considered </w:t>
      </w:r>
      <w:proofErr w:type="gramStart"/>
      <w:r w:rsidRPr="00D4773E">
        <w:rPr>
          <w:rFonts w:ascii="Times New Roman" w:eastAsia="Times New Roman" w:hAnsi="Times New Roman" w:cs="Times New Roman"/>
          <w:sz w:val="24"/>
          <w:szCs w:val="24"/>
          <w:lang w:eastAsia="en-AU"/>
        </w:rPr>
        <w:t>to be low</w:t>
      </w:r>
      <w:proofErr w:type="gramEnd"/>
      <w:r w:rsidRPr="00D4773E">
        <w:rPr>
          <w:rFonts w:ascii="Times New Roman" w:eastAsia="Times New Roman" w:hAnsi="Times New Roman" w:cs="Times New Roman"/>
          <w:sz w:val="24"/>
          <w:szCs w:val="24"/>
          <w:lang w:eastAsia="en-AU"/>
        </w:rPr>
        <w:t xml:space="preserve"> risk and are not individually evaluated before those medicines are listed. </w:t>
      </w:r>
      <w:proofErr w:type="gramStart"/>
      <w:r w:rsidRPr="00D4773E">
        <w:rPr>
          <w:rFonts w:ascii="Times New Roman" w:eastAsia="Times New Roman" w:hAnsi="Times New Roman" w:cs="Times New Roman"/>
          <w:sz w:val="24"/>
          <w:szCs w:val="24"/>
          <w:lang w:eastAsia="en-AU"/>
        </w:rPr>
        <w:t xml:space="preserve">Medicines that are listed in the Register under section 26AE of the Act are also considered to be low risk, but are evaluated in relation to whether the efficacy of the medicine for the purposes for which it is to be used has been satisfactorily established (these purposes are </w:t>
      </w:r>
      <w:r w:rsidRPr="00D4773E">
        <w:rPr>
          <w:rFonts w:ascii="Times New Roman" w:eastAsia="Times New Roman" w:hAnsi="Times New Roman" w:cs="Times New Roman"/>
          <w:sz w:val="24"/>
          <w:szCs w:val="24"/>
          <w:lang w:eastAsia="en-AU"/>
        </w:rPr>
        <w:lastRenderedPageBreak/>
        <w:t>specific efficacy claims for which the sponsor of the medicine holds supporting evidence).</w:t>
      </w:r>
      <w:proofErr w:type="gramEnd"/>
      <w:r w:rsidR="00B60F0C">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When listed under section 26AE, these listed medicines </w:t>
      </w:r>
      <w:proofErr w:type="gramStart"/>
      <w:r w:rsidRPr="00D4773E">
        <w:rPr>
          <w:rFonts w:ascii="Times New Roman" w:eastAsia="Times New Roman" w:hAnsi="Times New Roman" w:cs="Times New Roman"/>
          <w:sz w:val="24"/>
          <w:szCs w:val="24"/>
          <w:lang w:eastAsia="en-AU"/>
        </w:rPr>
        <w:t>are commonly referred</w:t>
      </w:r>
      <w:proofErr w:type="gramEnd"/>
      <w:r w:rsidRPr="00D4773E">
        <w:rPr>
          <w:rFonts w:ascii="Times New Roman" w:eastAsia="Times New Roman" w:hAnsi="Times New Roman" w:cs="Times New Roman"/>
          <w:sz w:val="24"/>
          <w:szCs w:val="24"/>
          <w:lang w:eastAsia="en-AU"/>
        </w:rPr>
        <w:t xml:space="preserve"> to as ‘assessed listed medicines’.</w:t>
      </w:r>
    </w:p>
    <w:p w14:paraId="37CEDFE6"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 26A and 26AE may only contain ingredients from an approved list of ingredients that </w:t>
      </w:r>
      <w:proofErr w:type="gramStart"/>
      <w:r w:rsidRPr="00D4773E">
        <w:rPr>
          <w:rFonts w:ascii="Times New Roman" w:eastAsia="Times New Roman" w:hAnsi="Times New Roman" w:cs="Times New Roman"/>
          <w:sz w:val="24"/>
          <w:szCs w:val="24"/>
          <w:lang w:eastAsia="en-AU"/>
        </w:rPr>
        <w:t>have been evaluated</w:t>
      </w:r>
      <w:proofErr w:type="gramEnd"/>
      <w:r w:rsidRPr="00D4773E">
        <w:rPr>
          <w:rFonts w:ascii="Times New Roman" w:eastAsia="Times New Roman" w:hAnsi="Times New Roman" w:cs="Times New Roman"/>
          <w:sz w:val="24"/>
          <w:szCs w:val="24"/>
          <w:lang w:eastAsia="en-AU"/>
        </w:rPr>
        <w:t xml:space="preserve"> in relation to their quality and safety and suitability for use in such medicines. 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 xml:space="preserve">only use indications (statements of therapeutic use) from a list of pre-approved </w:t>
      </w:r>
      <w:proofErr w:type="gramStart"/>
      <w:r w:rsidRPr="00D4773E">
        <w:rPr>
          <w:rFonts w:ascii="Times New Roman" w:eastAsia="Times New Roman" w:hAnsi="Times New Roman" w:cs="Times New Roman"/>
          <w:sz w:val="24"/>
          <w:szCs w:val="24"/>
          <w:lang w:eastAsia="en-AU"/>
        </w:rPr>
        <w:t>low level</w:t>
      </w:r>
      <w:proofErr w:type="gramEnd"/>
      <w:r w:rsidRPr="00D4773E">
        <w:rPr>
          <w:rFonts w:ascii="Times New Roman" w:eastAsia="Times New Roman" w:hAnsi="Times New Roman" w:cs="Times New Roman"/>
          <w:sz w:val="24"/>
          <w:szCs w:val="24"/>
          <w:lang w:eastAsia="en-AU"/>
        </w:rPr>
        <w:t xml:space="preserve"> indications to ensure that these products do not overstate their therapeutic benefits.</w:t>
      </w:r>
    </w:p>
    <w:p w14:paraId="16704F00"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proofErr w:type="gramStart"/>
      <w:r w:rsidRPr="00D4773E">
        <w:rPr>
          <w:rFonts w:ascii="Times New Roman" w:eastAsia="Times New Roman" w:hAnsi="Times New Roman" w:cs="Times New Roman"/>
          <w:sz w:val="24"/>
          <w:szCs w:val="24"/>
          <w:lang w:eastAsia="en-AU"/>
        </w:rPr>
        <w:t>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proofErr w:type="gramEnd"/>
      <w:r w:rsidRPr="00D4773E">
        <w:rPr>
          <w:rFonts w:ascii="Times New Roman" w:eastAsia="Times New Roman" w:hAnsi="Times New Roman" w:cs="Times New Roman"/>
          <w:sz w:val="24"/>
          <w:szCs w:val="24"/>
          <w:lang w:eastAsia="en-AU"/>
        </w:rPr>
        <w:t xml:space="preserve"> Paragraphs </w:t>
      </w:r>
      <w:proofErr w:type="gramStart"/>
      <w:r w:rsidRPr="00D4773E">
        <w:rPr>
          <w:rFonts w:ascii="Times New Roman" w:eastAsia="Times New Roman" w:hAnsi="Times New Roman" w:cs="Times New Roman"/>
          <w:sz w:val="24"/>
          <w:szCs w:val="24"/>
          <w:lang w:eastAsia="en-AU"/>
        </w:rPr>
        <w:t>26AB(</w:t>
      </w:r>
      <w:proofErr w:type="gramEnd"/>
      <w:r w:rsidRPr="00D4773E">
        <w:rPr>
          <w:rFonts w:ascii="Times New Roman" w:eastAsia="Times New Roman" w:hAnsi="Times New Roman" w:cs="Times New Roman"/>
          <w:sz w:val="24"/>
          <w:szCs w:val="24"/>
          <w:lang w:eastAsia="en-AU"/>
        </w:rPr>
        <w:t>2)(d) and (e) contain equivalent certification requirements for applicants seeking marketing approval in relation to assessed listed medicines. A listed (or assessed listed) medicine may be cancelled from the Register if it appears to the Secretary that such a certification is incorrect.</w:t>
      </w:r>
    </w:p>
    <w:p w14:paraId="6D9381AC"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proofErr w:type="gramStart"/>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roofErr w:type="gramEnd"/>
    </w:p>
    <w:p w14:paraId="4EE2990C" w14:textId="5BA6F8D4" w:rsidR="00D4773E" w:rsidRDefault="00226F3C" w:rsidP="00D4773E">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determinations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section 26BB are</w:t>
      </w:r>
      <w:r w:rsidR="00D4773E" w:rsidRPr="00D4773E">
        <w:rPr>
          <w:rFonts w:ascii="Times New Roman" w:eastAsia="Times New Roman" w:hAnsi="Times New Roman" w:cs="Times New Roman"/>
          <w:sz w:val="24"/>
          <w:szCs w:val="24"/>
          <w:lang w:eastAsia="en-AU"/>
        </w:rPr>
        <w:t xml:space="preserve"> 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w:t>
      </w:r>
      <w:proofErr w:type="gramStart"/>
      <w:r>
        <w:rPr>
          <w:rFonts w:ascii="Times New Roman" w:eastAsia="Times New Roman" w:hAnsi="Times New Roman" w:cs="Times New Roman"/>
          <w:sz w:val="24"/>
          <w:szCs w:val="24"/>
          <w:lang w:eastAsia="en-AU"/>
        </w:rPr>
        <w:t>may be used</w:t>
      </w:r>
      <w:proofErr w:type="gramEnd"/>
      <w:r>
        <w:rPr>
          <w:rFonts w:ascii="Times New Roman" w:eastAsia="Times New Roman" w:hAnsi="Times New Roman" w:cs="Times New Roman"/>
          <w:sz w:val="24"/>
          <w:szCs w:val="24"/>
          <w:lang w:eastAsia="en-AU"/>
        </w:rPr>
        <w:t xml:space="preserve">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2B026CDA" w14:textId="33F8974E" w:rsidR="00A4560C" w:rsidRPr="00A4560C" w:rsidRDefault="00A4560C" w:rsidP="00AF44AF">
      <w:pPr>
        <w:spacing w:before="100" w:beforeAutospacing="1" w:after="100" w:afterAutospacing="1"/>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proofErr w:type="gramStart"/>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w:t>
      </w:r>
      <w:proofErr w:type="gramEnd"/>
      <w:r w:rsidR="007C503B">
        <w:rPr>
          <w:rFonts w:ascii="Times New Roman" w:eastAsia="Times New Roman" w:hAnsi="Times New Roman" w:cs="Times New Roman"/>
          <w:sz w:val="24"/>
          <w:szCs w:val="24"/>
          <w:lang w:eastAsia="en-AU"/>
        </w:rPr>
        <w:t xml:space="preserve">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w:t>
      </w:r>
      <w:r w:rsidR="007C503B">
        <w:rPr>
          <w:rFonts w:ascii="Times New Roman" w:eastAsia="Times New Roman" w:hAnsi="Times New Roman" w:cs="Times New Roman"/>
          <w:sz w:val="24"/>
          <w:szCs w:val="24"/>
          <w:lang w:eastAsia="en-AU"/>
        </w:rPr>
        <w:t xml:space="preserve"> to</w:t>
      </w:r>
      <w:r w:rsidRPr="00A4560C">
        <w:rPr>
          <w:rFonts w:ascii="Times New Roman" w:eastAsia="Times New Roman" w:hAnsi="Times New Roman" w:cs="Times New Roman"/>
          <w:sz w:val="24"/>
          <w:szCs w:val="24"/>
          <w:lang w:eastAsia="en-AU"/>
        </w:rPr>
        <w:t>, for example:</w:t>
      </w:r>
    </w:p>
    <w:p w14:paraId="1716BFC3" w14:textId="62D153A4"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lastRenderedPageBreak/>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AF44AF">
      <w:pPr>
        <w:pStyle w:val="ListParagraph"/>
        <w:numPr>
          <w:ilvl w:val="0"/>
          <w:numId w:val="11"/>
        </w:numPr>
        <w:spacing w:before="120" w:beforeAutospacing="0" w:after="120" w:afterAutospacing="0" w:line="276" w:lineRule="auto"/>
        <w:ind w:left="714" w:hanging="357"/>
      </w:pPr>
      <w:proofErr w:type="gramStart"/>
      <w:r w:rsidRPr="00AF44AF">
        <w:t>the</w:t>
      </w:r>
      <w:proofErr w:type="gramEnd"/>
      <w:r w:rsidRPr="00AF44AF">
        <w:t xml:space="preserve"> inclusion of relevant safety information on product labels, for example, allergen advice or advice about the use of medicine containing the ingredient for susceptible members of the population such as children and pregnant women.</w:t>
      </w:r>
    </w:p>
    <w:p w14:paraId="5B4C9B44" w14:textId="77777777" w:rsidR="007445FE" w:rsidRDefault="007445FE" w:rsidP="00DF0880">
      <w:pPr>
        <w:spacing w:after="0"/>
        <w:contextualSpacing/>
        <w:rPr>
          <w:rFonts w:ascii="Times New Roman" w:eastAsia="Times New Roman" w:hAnsi="Times New Roman" w:cs="Times New Roman"/>
          <w:sz w:val="24"/>
          <w:szCs w:val="24"/>
          <w:lang w:eastAsia="en-AU"/>
        </w:rPr>
      </w:pPr>
    </w:p>
    <w:p w14:paraId="1C9706BC" w14:textId="4B83B151" w:rsidR="006D4AB8" w:rsidRDefault="006D4AB8" w:rsidP="004761AE">
      <w:pPr>
        <w:keepNext/>
        <w:spacing w:before="100" w:beforeAutospacing="1" w:after="100" w:afterAutospacing="1"/>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09706BA6" w14:textId="3DBC7BCC" w:rsidR="00032FAE" w:rsidRPr="006D254A" w:rsidRDefault="00032FAE" w:rsidP="00032FAE">
      <w:pPr>
        <w:pStyle w:val="ListParagraph"/>
        <w:keepNext/>
        <w:numPr>
          <w:ilvl w:val="0"/>
          <w:numId w:val="11"/>
        </w:numPr>
        <w:spacing w:before="120" w:beforeAutospacing="0" w:after="120" w:afterAutospacing="0" w:line="276" w:lineRule="auto"/>
        <w:ind w:left="1066" w:hanging="357"/>
      </w:pPr>
      <w:r w:rsidRPr="006D254A">
        <w:t xml:space="preserve">introduction of </w:t>
      </w:r>
      <w:r w:rsidR="001C3292">
        <w:t>8</w:t>
      </w:r>
      <w:r w:rsidRPr="006D254A">
        <w:t xml:space="preserve"> new ingredients for use in listed and assessed listed medicines:</w:t>
      </w:r>
    </w:p>
    <w:p w14:paraId="38DE6A64" w14:textId="77777777" w:rsidR="00032FAE" w:rsidRPr="006D254A" w:rsidRDefault="00032FAE" w:rsidP="00032FAE">
      <w:pPr>
        <w:pStyle w:val="ListParagraph"/>
        <w:keepNext/>
        <w:numPr>
          <w:ilvl w:val="1"/>
          <w:numId w:val="11"/>
        </w:numPr>
        <w:spacing w:before="120" w:beforeAutospacing="0" w:after="120" w:afterAutospacing="0" w:line="276" w:lineRule="auto"/>
        <w:ind w:left="1434" w:hanging="357"/>
      </w:pPr>
      <w:r w:rsidRPr="006D254A">
        <w:t>1,2,3,4,4a,5,8,8a-octahydro-2,2,6,8-tetramethyl-1-naphthalenol;</w:t>
      </w:r>
    </w:p>
    <w:p w14:paraId="47A442D0" w14:textId="77777777" w:rsidR="00032FAE" w:rsidRPr="006D254A" w:rsidRDefault="00032FAE" w:rsidP="00032FAE">
      <w:pPr>
        <w:pStyle w:val="ListParagraph"/>
        <w:keepNext/>
        <w:numPr>
          <w:ilvl w:val="1"/>
          <w:numId w:val="11"/>
        </w:numPr>
        <w:spacing w:before="120" w:beforeAutospacing="0" w:after="120" w:afterAutospacing="0" w:line="276" w:lineRule="auto"/>
        <w:ind w:left="1434" w:hanging="357"/>
      </w:pPr>
      <w:r w:rsidRPr="006D254A">
        <w:t>2-methyldecanal;</w:t>
      </w:r>
    </w:p>
    <w:p w14:paraId="03A40028" w14:textId="77777777" w:rsidR="00032FAE" w:rsidRPr="006D254A" w:rsidRDefault="00032FAE" w:rsidP="00032FAE">
      <w:pPr>
        <w:pStyle w:val="ListParagraph"/>
        <w:keepNext/>
        <w:numPr>
          <w:ilvl w:val="1"/>
          <w:numId w:val="11"/>
        </w:numPr>
        <w:spacing w:before="120" w:beforeAutospacing="0" w:after="120" w:afterAutospacing="0" w:line="276" w:lineRule="auto"/>
        <w:ind w:left="1434" w:hanging="357"/>
      </w:pPr>
      <w:proofErr w:type="spellStart"/>
      <w:r w:rsidRPr="006D254A">
        <w:t>acetoxydihydrodicyclopentadiene</w:t>
      </w:r>
      <w:proofErr w:type="spellEnd"/>
      <w:r w:rsidRPr="006D254A">
        <w:t>;</w:t>
      </w:r>
    </w:p>
    <w:p w14:paraId="45A6A2CC" w14:textId="77777777" w:rsidR="00032FAE" w:rsidRPr="006D254A" w:rsidRDefault="00032FAE" w:rsidP="00032FAE">
      <w:pPr>
        <w:pStyle w:val="ListParagraph"/>
        <w:keepNext/>
        <w:numPr>
          <w:ilvl w:val="1"/>
          <w:numId w:val="11"/>
        </w:numPr>
        <w:spacing w:before="120" w:beforeAutospacing="0" w:after="120" w:afterAutospacing="0" w:line="276" w:lineRule="auto"/>
        <w:ind w:left="1434" w:hanging="357"/>
      </w:pPr>
      <w:proofErr w:type="spellStart"/>
      <w:r w:rsidRPr="006D254A">
        <w:t>bis-stearyl</w:t>
      </w:r>
      <w:proofErr w:type="spellEnd"/>
      <w:r w:rsidRPr="006D254A">
        <w:t xml:space="preserve"> </w:t>
      </w:r>
      <w:proofErr w:type="spellStart"/>
      <w:r w:rsidRPr="006D254A">
        <w:t>dimeticone</w:t>
      </w:r>
      <w:proofErr w:type="spellEnd"/>
      <w:r w:rsidRPr="006D254A">
        <w:t>;</w:t>
      </w:r>
    </w:p>
    <w:p w14:paraId="24C042A7" w14:textId="77777777" w:rsidR="00032FAE" w:rsidRPr="006D254A" w:rsidRDefault="00032FAE" w:rsidP="00032FAE">
      <w:pPr>
        <w:pStyle w:val="ListParagraph"/>
        <w:keepNext/>
        <w:numPr>
          <w:ilvl w:val="1"/>
          <w:numId w:val="11"/>
        </w:numPr>
        <w:spacing w:before="120" w:beforeAutospacing="0" w:after="120" w:afterAutospacing="0" w:line="276" w:lineRule="auto"/>
        <w:ind w:left="1434" w:hanging="357"/>
      </w:pPr>
      <w:r w:rsidRPr="006D254A">
        <w:t>bittern;</w:t>
      </w:r>
    </w:p>
    <w:p w14:paraId="7EC9D2A3" w14:textId="02E61EC6" w:rsidR="00032FAE" w:rsidRPr="006D254A" w:rsidRDefault="00032FAE" w:rsidP="00032FAE">
      <w:pPr>
        <w:pStyle w:val="ListParagraph"/>
        <w:keepNext/>
        <w:numPr>
          <w:ilvl w:val="1"/>
          <w:numId w:val="11"/>
        </w:numPr>
        <w:spacing w:before="120" w:beforeAutospacing="0" w:after="120" w:afterAutospacing="0" w:line="276" w:lineRule="auto"/>
        <w:ind w:left="1434" w:hanging="357"/>
      </w:pPr>
      <w:r w:rsidRPr="006D254A">
        <w:t>partially dehydrated liquid sorbitol;</w:t>
      </w:r>
    </w:p>
    <w:p w14:paraId="3C9850B9" w14:textId="000D0967" w:rsidR="00DE6363" w:rsidRDefault="00032FAE" w:rsidP="00032FAE">
      <w:pPr>
        <w:pStyle w:val="ListParagraph"/>
        <w:numPr>
          <w:ilvl w:val="1"/>
          <w:numId w:val="11"/>
        </w:numPr>
        <w:spacing w:before="120" w:beforeAutospacing="0" w:after="120" w:afterAutospacing="0" w:line="276" w:lineRule="auto"/>
      </w:pPr>
      <w:proofErr w:type="spellStart"/>
      <w:r w:rsidRPr="006D254A">
        <w:t>stearyl</w:t>
      </w:r>
      <w:proofErr w:type="spellEnd"/>
      <w:r w:rsidRPr="006D254A">
        <w:t xml:space="preserve"> </w:t>
      </w:r>
      <w:proofErr w:type="spellStart"/>
      <w:r w:rsidRPr="006D254A">
        <w:t>behenate</w:t>
      </w:r>
      <w:proofErr w:type="spellEnd"/>
      <w:r w:rsidR="00247B5E">
        <w:t>; and</w:t>
      </w:r>
    </w:p>
    <w:p w14:paraId="1FA2AC7B" w14:textId="50B93518" w:rsidR="00032FAE" w:rsidRPr="006D254A" w:rsidRDefault="00DE6363" w:rsidP="00032FAE">
      <w:pPr>
        <w:pStyle w:val="ListParagraph"/>
        <w:numPr>
          <w:ilvl w:val="1"/>
          <w:numId w:val="11"/>
        </w:numPr>
        <w:spacing w:before="120" w:beforeAutospacing="0" w:after="120" w:afterAutospacing="0" w:line="276" w:lineRule="auto"/>
      </w:pPr>
      <w:proofErr w:type="spellStart"/>
      <w:r w:rsidRPr="00247B5E">
        <w:rPr>
          <w:i/>
        </w:rPr>
        <w:t>Callitrus</w:t>
      </w:r>
      <w:proofErr w:type="spellEnd"/>
      <w:r w:rsidRPr="00247B5E">
        <w:rPr>
          <w:i/>
        </w:rPr>
        <w:t xml:space="preserve"> </w:t>
      </w:r>
      <w:proofErr w:type="spellStart"/>
      <w:r w:rsidRPr="00247B5E">
        <w:rPr>
          <w:i/>
        </w:rPr>
        <w:t>columellaris</w:t>
      </w:r>
      <w:proofErr w:type="spellEnd"/>
      <w:r>
        <w:t xml:space="preserve"> subsp. </w:t>
      </w:r>
      <w:proofErr w:type="spellStart"/>
      <w:r w:rsidRPr="00247B5E">
        <w:rPr>
          <w:i/>
        </w:rPr>
        <w:t>intr</w:t>
      </w:r>
      <w:r w:rsidR="004F2366">
        <w:rPr>
          <w:i/>
        </w:rPr>
        <w:t>a</w:t>
      </w:r>
      <w:r w:rsidRPr="00247B5E">
        <w:rPr>
          <w:i/>
        </w:rPr>
        <w:t>tropica</w:t>
      </w:r>
      <w:proofErr w:type="spellEnd"/>
      <w:r w:rsidR="00247B5E">
        <w:t>;</w:t>
      </w:r>
    </w:p>
    <w:p w14:paraId="297A41A1" w14:textId="208CEA95" w:rsidR="00DB09C5" w:rsidRPr="006D254A" w:rsidRDefault="00DB09C5" w:rsidP="00DB09C5">
      <w:pPr>
        <w:pStyle w:val="ListParagraph"/>
        <w:numPr>
          <w:ilvl w:val="0"/>
          <w:numId w:val="11"/>
        </w:numPr>
        <w:spacing w:before="120" w:beforeAutospacing="0" w:after="120" w:afterAutospacing="0" w:line="276" w:lineRule="auto"/>
        <w:ind w:left="714" w:hanging="357"/>
      </w:pPr>
      <w:r>
        <w:t xml:space="preserve">less restrictive </w:t>
      </w:r>
      <w:r w:rsidRPr="006D254A">
        <w:t xml:space="preserve">changes to </w:t>
      </w:r>
      <w:r>
        <w:t xml:space="preserve">2 </w:t>
      </w:r>
      <w:r w:rsidRPr="006D254A">
        <w:t xml:space="preserve">ingredients </w:t>
      </w:r>
      <w:r>
        <w:t>(</w:t>
      </w:r>
      <w:proofErr w:type="spellStart"/>
      <w:r w:rsidRPr="006D254A">
        <w:rPr>
          <w:i/>
        </w:rPr>
        <w:t>Tagetes</w:t>
      </w:r>
      <w:proofErr w:type="spellEnd"/>
      <w:r w:rsidRPr="006D254A">
        <w:rPr>
          <w:i/>
        </w:rPr>
        <w:t xml:space="preserve"> </w:t>
      </w:r>
      <w:proofErr w:type="spellStart"/>
      <w:r w:rsidRPr="006D254A">
        <w:rPr>
          <w:i/>
        </w:rPr>
        <w:t>erecta</w:t>
      </w:r>
      <w:proofErr w:type="spellEnd"/>
      <w:r w:rsidRPr="006D254A">
        <w:t xml:space="preserve"> and benzyl </w:t>
      </w:r>
      <w:proofErr w:type="spellStart"/>
      <w:r w:rsidRPr="006D254A">
        <w:t>cinnamate</w:t>
      </w:r>
      <w:proofErr w:type="spellEnd"/>
      <w:r>
        <w:t>), which reflect the previously established availability of the ingredients</w:t>
      </w:r>
      <w:r w:rsidRPr="006D254A">
        <w:t>;</w:t>
      </w:r>
    </w:p>
    <w:p w14:paraId="3EBFA880" w14:textId="66BC34EC" w:rsidR="00032FAE" w:rsidRPr="006D254A" w:rsidRDefault="00032FAE" w:rsidP="00032FAE">
      <w:pPr>
        <w:pStyle w:val="ListParagraph"/>
        <w:numPr>
          <w:ilvl w:val="0"/>
          <w:numId w:val="11"/>
        </w:numPr>
        <w:spacing w:before="120" w:beforeAutospacing="0" w:after="120" w:afterAutospacing="0" w:line="276" w:lineRule="auto"/>
        <w:ind w:left="714" w:hanging="357"/>
      </w:pPr>
      <w:r w:rsidRPr="006D254A">
        <w:t xml:space="preserve">removal of expired transition period provisions for </w:t>
      </w:r>
      <w:r w:rsidRPr="006D254A">
        <w:rPr>
          <w:i/>
        </w:rPr>
        <w:t>Andrographis paniculata</w:t>
      </w:r>
      <w:r w:rsidRPr="006D254A">
        <w:t>;</w:t>
      </w:r>
    </w:p>
    <w:p w14:paraId="519814FA" w14:textId="6C36ABB0" w:rsidR="00032FAE" w:rsidRPr="006D254A" w:rsidRDefault="00DB09C5" w:rsidP="00032FAE">
      <w:pPr>
        <w:pStyle w:val="ListParagraph"/>
        <w:numPr>
          <w:ilvl w:val="0"/>
          <w:numId w:val="11"/>
        </w:numPr>
        <w:spacing w:before="120" w:beforeAutospacing="0" w:after="120" w:afterAutospacing="0" w:line="276" w:lineRule="auto"/>
        <w:ind w:left="714" w:hanging="357"/>
      </w:pPr>
      <w:r>
        <w:rPr>
          <w:color w:val="000000"/>
          <w:shd w:val="clear" w:color="auto" w:fill="FFFFFF"/>
        </w:rPr>
        <w:lastRenderedPageBreak/>
        <w:t xml:space="preserve">clarification of the requirements for </w:t>
      </w:r>
      <w:r w:rsidR="00032FAE">
        <w:rPr>
          <w:color w:val="000000"/>
          <w:shd w:val="clear" w:color="auto" w:fill="FFFFFF"/>
        </w:rPr>
        <w:t>‘</w:t>
      </w:r>
      <w:r w:rsidR="00032FAE" w:rsidRPr="006D254A">
        <w:t>hydrolysed wheat protein</w:t>
      </w:r>
      <w:r w:rsidR="00032FAE">
        <w:rPr>
          <w:color w:val="000000"/>
          <w:shd w:val="clear" w:color="auto" w:fill="FFFFFF"/>
        </w:rPr>
        <w:t>’ for consistency with other gluten-containing ingredients and applicable standards relating to medicine labelling</w:t>
      </w:r>
      <w:r w:rsidR="00032FAE" w:rsidRPr="006D254A">
        <w:t xml:space="preserve">; </w:t>
      </w:r>
    </w:p>
    <w:p w14:paraId="52699662" w14:textId="08657434" w:rsidR="00032FAE" w:rsidRDefault="00032FAE" w:rsidP="00032FAE">
      <w:pPr>
        <w:pStyle w:val="ListParagraph"/>
        <w:numPr>
          <w:ilvl w:val="0"/>
          <w:numId w:val="11"/>
        </w:numPr>
        <w:spacing w:before="120" w:beforeAutospacing="0" w:after="120" w:afterAutospacing="0" w:line="276" w:lineRule="auto"/>
        <w:ind w:left="714" w:hanging="357"/>
      </w:pPr>
      <w:r>
        <w:t xml:space="preserve">clarification of </w:t>
      </w:r>
      <w:r w:rsidRPr="006D254A">
        <w:t xml:space="preserve">the requirements for </w:t>
      </w:r>
      <w:r w:rsidRPr="006D254A">
        <w:rPr>
          <w:i/>
        </w:rPr>
        <w:t>Thymus vulgaris</w:t>
      </w:r>
      <w:r w:rsidRPr="006D254A">
        <w:t xml:space="preserve">, </w:t>
      </w:r>
      <w:r w:rsidRPr="006D254A">
        <w:rPr>
          <w:i/>
        </w:rPr>
        <w:t xml:space="preserve">Thymus vulgaris </w:t>
      </w:r>
      <w:r w:rsidRPr="006D254A">
        <w:t xml:space="preserve">MIS, </w:t>
      </w:r>
      <w:r w:rsidRPr="006D254A">
        <w:rPr>
          <w:i/>
        </w:rPr>
        <w:t xml:space="preserve">Thymus </w:t>
      </w:r>
      <w:proofErr w:type="spellStart"/>
      <w:r w:rsidRPr="006D254A">
        <w:rPr>
          <w:i/>
        </w:rPr>
        <w:t>zygis</w:t>
      </w:r>
      <w:proofErr w:type="spellEnd"/>
      <w:r w:rsidRPr="006D254A">
        <w:t xml:space="preserve"> and </w:t>
      </w:r>
      <w:proofErr w:type="spellStart"/>
      <w:r w:rsidRPr="006D254A">
        <w:rPr>
          <w:i/>
        </w:rPr>
        <w:t>Illicium</w:t>
      </w:r>
      <w:proofErr w:type="spellEnd"/>
      <w:r w:rsidRPr="006D254A">
        <w:rPr>
          <w:i/>
        </w:rPr>
        <w:t xml:space="preserve"> </w:t>
      </w:r>
      <w:proofErr w:type="spellStart"/>
      <w:r w:rsidRPr="006D254A">
        <w:rPr>
          <w:i/>
        </w:rPr>
        <w:t>verum</w:t>
      </w:r>
      <w:proofErr w:type="spellEnd"/>
      <w:r w:rsidRPr="006D254A">
        <w:t xml:space="preserve"> </w:t>
      </w:r>
      <w:r>
        <w:t>for consistency</w:t>
      </w:r>
      <w:r w:rsidRPr="006D254A">
        <w:t xml:space="preserve"> with </w:t>
      </w:r>
      <w:r>
        <w:t>the Poisons Standard</w:t>
      </w:r>
      <w:r w:rsidR="001C3292">
        <w:t>; and</w:t>
      </w:r>
    </w:p>
    <w:p w14:paraId="287F9DE0" w14:textId="08196FFA" w:rsidR="00ED137F" w:rsidRPr="006D254A" w:rsidRDefault="00ED137F" w:rsidP="00032FAE">
      <w:pPr>
        <w:pStyle w:val="ListParagraph"/>
        <w:numPr>
          <w:ilvl w:val="0"/>
          <w:numId w:val="11"/>
        </w:numPr>
        <w:spacing w:before="120" w:beforeAutospacing="0" w:after="120" w:afterAutospacing="0" w:line="276" w:lineRule="auto"/>
        <w:ind w:left="714" w:hanging="357"/>
      </w:pPr>
      <w:proofErr w:type="gramStart"/>
      <w:r>
        <w:t>removal</w:t>
      </w:r>
      <w:proofErr w:type="gramEnd"/>
      <w:r>
        <w:t xml:space="preserve"> of the ingredient </w:t>
      </w:r>
      <w:r w:rsidR="00114578">
        <w:t>‘</w:t>
      </w:r>
      <w:r>
        <w:t>violet leaves</w:t>
      </w:r>
      <w:r w:rsidR="00114578">
        <w:t>’</w:t>
      </w:r>
      <w:r>
        <w:t xml:space="preserve"> </w:t>
      </w:r>
      <w:r w:rsidR="00247B5E">
        <w:t>as</w:t>
      </w:r>
      <w:r>
        <w:t xml:space="preserve"> it is </w:t>
      </w:r>
      <w:r w:rsidR="00114578">
        <w:t>a</w:t>
      </w:r>
      <w:r>
        <w:t xml:space="preserve"> synonym of </w:t>
      </w:r>
      <w:r w:rsidR="00247B5E">
        <w:t xml:space="preserve">an existing ingredient on the former Determination, </w:t>
      </w:r>
      <w:r w:rsidR="00114578">
        <w:t>‘</w:t>
      </w:r>
      <w:r>
        <w:t>violet leaf absolute</w:t>
      </w:r>
      <w:r w:rsidR="00114578">
        <w:t>’</w:t>
      </w:r>
      <w:r w:rsidR="001C3292">
        <w:t>.</w:t>
      </w:r>
    </w:p>
    <w:p w14:paraId="43BACDC7" w14:textId="5E12CF4E" w:rsidR="00EF1F18" w:rsidRDefault="00EF1F18" w:rsidP="0015421F">
      <w:pPr>
        <w:spacing w:before="100" w:beforeAutospacing="1" w:after="100" w:afterAutospacing="1"/>
        <w:rPr>
          <w:rFonts w:ascii="Times New Roman" w:eastAsia="Times New Roman" w:hAnsi="Times New Roman" w:cs="Times New Roman"/>
          <w:sz w:val="24"/>
          <w:szCs w:val="24"/>
          <w:lang w:eastAsia="en-AU"/>
        </w:rPr>
      </w:pPr>
      <w:r w:rsidRPr="00B028DC">
        <w:rPr>
          <w:rFonts w:ascii="Times New Roman" w:eastAsia="Times New Roman" w:hAnsi="Times New Roman" w:cs="Times New Roman"/>
          <w:b/>
          <w:bCs/>
          <w:sz w:val="24"/>
          <w:szCs w:val="24"/>
          <w:lang w:eastAsia="en-AU"/>
        </w:rPr>
        <w:t>C</w:t>
      </w:r>
      <w:r w:rsidR="00E1152E" w:rsidRPr="00B028DC">
        <w:rPr>
          <w:rFonts w:ascii="Times New Roman" w:eastAsia="Times New Roman" w:hAnsi="Times New Roman" w:cs="Times New Roman"/>
          <w:b/>
          <w:bCs/>
          <w:sz w:val="24"/>
          <w:szCs w:val="24"/>
          <w:lang w:eastAsia="en-AU"/>
        </w:rPr>
        <w:t>onsultation</w:t>
      </w:r>
      <w:r w:rsidRPr="00B028DC">
        <w:rPr>
          <w:rFonts w:ascii="Times New Roman" w:eastAsia="Times New Roman" w:hAnsi="Times New Roman" w:cs="Times New Roman"/>
          <w:sz w:val="24"/>
          <w:szCs w:val="24"/>
          <w:lang w:eastAsia="en-AU"/>
        </w:rPr>
        <w:t> </w:t>
      </w:r>
    </w:p>
    <w:p w14:paraId="5CDCF156" w14:textId="64A28653" w:rsidR="006161DC" w:rsidRDefault="004E03D6" w:rsidP="00032FAE">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Pr="007F3304">
        <w:rPr>
          <w:rFonts w:ascii="Times New Roman" w:eastAsia="Times New Roman" w:hAnsi="Times New Roman" w:cs="Times New Roman"/>
          <w:sz w:val="24"/>
          <w:szCs w:val="24"/>
          <w:lang w:eastAsia="en-AU"/>
        </w:rPr>
        <w:t xml:space="preserve"> ingredients </w:t>
      </w:r>
      <w:r w:rsidR="00032FAE" w:rsidRPr="00032FAE">
        <w:rPr>
          <w:rFonts w:ascii="Times New Roman" w:eastAsia="Times New Roman" w:hAnsi="Times New Roman" w:cs="Times New Roman"/>
          <w:sz w:val="24"/>
          <w:szCs w:val="24"/>
          <w:lang w:eastAsia="en-AU"/>
        </w:rPr>
        <w:t>1,2,3,4,4a,5,8,8a-octahydro-2,2</w:t>
      </w:r>
      <w:r w:rsidR="00032FAE">
        <w:rPr>
          <w:rFonts w:ascii="Times New Roman" w:eastAsia="Times New Roman" w:hAnsi="Times New Roman" w:cs="Times New Roman"/>
          <w:sz w:val="24"/>
          <w:szCs w:val="24"/>
          <w:lang w:eastAsia="en-AU"/>
        </w:rPr>
        <w:t xml:space="preserve">,6,8-tetramethyl-1-naphthalenol, 2-methyldecanal, </w:t>
      </w:r>
      <w:proofErr w:type="spellStart"/>
      <w:r w:rsidR="00032FAE">
        <w:rPr>
          <w:rFonts w:ascii="Times New Roman" w:eastAsia="Times New Roman" w:hAnsi="Times New Roman" w:cs="Times New Roman"/>
          <w:sz w:val="24"/>
          <w:szCs w:val="24"/>
          <w:lang w:eastAsia="en-AU"/>
        </w:rPr>
        <w:t>acetoxydihydrodicyclopentadiene</w:t>
      </w:r>
      <w:proofErr w:type="spellEnd"/>
      <w:r w:rsidR="00032FAE">
        <w:rPr>
          <w:rFonts w:ascii="Times New Roman" w:eastAsia="Times New Roman" w:hAnsi="Times New Roman" w:cs="Times New Roman"/>
          <w:sz w:val="24"/>
          <w:szCs w:val="24"/>
          <w:lang w:eastAsia="en-AU"/>
        </w:rPr>
        <w:t xml:space="preserve">, </w:t>
      </w:r>
      <w:proofErr w:type="spellStart"/>
      <w:r w:rsidR="00032FAE">
        <w:rPr>
          <w:rFonts w:ascii="Times New Roman" w:eastAsia="Times New Roman" w:hAnsi="Times New Roman" w:cs="Times New Roman"/>
          <w:sz w:val="24"/>
          <w:szCs w:val="24"/>
          <w:lang w:eastAsia="en-AU"/>
        </w:rPr>
        <w:t>bis-stearyl</w:t>
      </w:r>
      <w:proofErr w:type="spellEnd"/>
      <w:r w:rsidR="00032FAE">
        <w:rPr>
          <w:rFonts w:ascii="Times New Roman" w:eastAsia="Times New Roman" w:hAnsi="Times New Roman" w:cs="Times New Roman"/>
          <w:sz w:val="24"/>
          <w:szCs w:val="24"/>
          <w:lang w:eastAsia="en-AU"/>
        </w:rPr>
        <w:t xml:space="preserve"> </w:t>
      </w:r>
      <w:proofErr w:type="spellStart"/>
      <w:r w:rsidR="00032FAE">
        <w:rPr>
          <w:rFonts w:ascii="Times New Roman" w:eastAsia="Times New Roman" w:hAnsi="Times New Roman" w:cs="Times New Roman"/>
          <w:sz w:val="24"/>
          <w:szCs w:val="24"/>
          <w:lang w:eastAsia="en-AU"/>
        </w:rPr>
        <w:t>dimeticone</w:t>
      </w:r>
      <w:proofErr w:type="spellEnd"/>
      <w:r w:rsidR="00032FAE">
        <w:rPr>
          <w:rFonts w:ascii="Times New Roman" w:eastAsia="Times New Roman" w:hAnsi="Times New Roman" w:cs="Times New Roman"/>
          <w:sz w:val="24"/>
          <w:szCs w:val="24"/>
          <w:lang w:eastAsia="en-AU"/>
        </w:rPr>
        <w:t xml:space="preserve">, bittern, </w:t>
      </w:r>
      <w:proofErr w:type="spellStart"/>
      <w:r w:rsidR="001B2279" w:rsidRPr="001B2279">
        <w:rPr>
          <w:rFonts w:ascii="Times New Roman" w:eastAsia="Times New Roman" w:hAnsi="Times New Roman" w:cs="Times New Roman"/>
          <w:i/>
          <w:sz w:val="24"/>
          <w:szCs w:val="24"/>
          <w:lang w:eastAsia="en-AU"/>
        </w:rPr>
        <w:t>Callitrus</w:t>
      </w:r>
      <w:proofErr w:type="spellEnd"/>
      <w:r w:rsidR="001B2279" w:rsidRPr="001B2279">
        <w:rPr>
          <w:rFonts w:ascii="Times New Roman" w:eastAsia="Times New Roman" w:hAnsi="Times New Roman" w:cs="Times New Roman"/>
          <w:i/>
          <w:sz w:val="24"/>
          <w:szCs w:val="24"/>
          <w:lang w:eastAsia="en-AU"/>
        </w:rPr>
        <w:t xml:space="preserve"> </w:t>
      </w:r>
      <w:proofErr w:type="spellStart"/>
      <w:r w:rsidR="001B2279" w:rsidRPr="001B2279">
        <w:rPr>
          <w:rFonts w:ascii="Times New Roman" w:eastAsia="Times New Roman" w:hAnsi="Times New Roman" w:cs="Times New Roman"/>
          <w:i/>
          <w:sz w:val="24"/>
          <w:szCs w:val="24"/>
          <w:lang w:eastAsia="en-AU"/>
        </w:rPr>
        <w:t>columellaris</w:t>
      </w:r>
      <w:proofErr w:type="spellEnd"/>
      <w:r w:rsidR="001B2279" w:rsidRPr="001B2279">
        <w:rPr>
          <w:rFonts w:ascii="Times New Roman" w:eastAsia="Times New Roman" w:hAnsi="Times New Roman" w:cs="Times New Roman"/>
          <w:sz w:val="24"/>
          <w:szCs w:val="24"/>
          <w:lang w:eastAsia="en-AU"/>
        </w:rPr>
        <w:t xml:space="preserve"> subsp. </w:t>
      </w:r>
      <w:proofErr w:type="spellStart"/>
      <w:r w:rsidR="001B2279" w:rsidRPr="001B2279">
        <w:rPr>
          <w:rFonts w:ascii="Times New Roman" w:eastAsia="Times New Roman" w:hAnsi="Times New Roman" w:cs="Times New Roman"/>
          <w:i/>
          <w:sz w:val="24"/>
          <w:szCs w:val="24"/>
          <w:lang w:eastAsia="en-AU"/>
        </w:rPr>
        <w:t>intratropica</w:t>
      </w:r>
      <w:proofErr w:type="spellEnd"/>
      <w:r w:rsidR="001B2279">
        <w:rPr>
          <w:rFonts w:ascii="Times New Roman" w:eastAsia="Times New Roman" w:hAnsi="Times New Roman" w:cs="Times New Roman"/>
          <w:sz w:val="24"/>
          <w:szCs w:val="24"/>
          <w:lang w:eastAsia="en-AU"/>
        </w:rPr>
        <w:t>,</w:t>
      </w:r>
      <w:r w:rsidR="001B2279" w:rsidRPr="001B2279">
        <w:rPr>
          <w:rFonts w:ascii="Times New Roman" w:eastAsia="Times New Roman" w:hAnsi="Times New Roman" w:cs="Times New Roman"/>
          <w:sz w:val="24"/>
          <w:szCs w:val="24"/>
          <w:lang w:eastAsia="en-AU"/>
        </w:rPr>
        <w:t xml:space="preserve"> </w:t>
      </w:r>
      <w:r w:rsidR="00032FAE">
        <w:rPr>
          <w:rFonts w:ascii="Times New Roman" w:eastAsia="Times New Roman" w:hAnsi="Times New Roman" w:cs="Times New Roman"/>
          <w:sz w:val="24"/>
          <w:szCs w:val="24"/>
          <w:lang w:eastAsia="en-AU"/>
        </w:rPr>
        <w:t>p</w:t>
      </w:r>
      <w:r w:rsidR="00032FAE" w:rsidRPr="00032FAE">
        <w:rPr>
          <w:rFonts w:ascii="Times New Roman" w:eastAsia="Times New Roman" w:hAnsi="Times New Roman" w:cs="Times New Roman"/>
          <w:sz w:val="24"/>
          <w:szCs w:val="24"/>
          <w:lang w:eastAsia="en-AU"/>
        </w:rPr>
        <w:t>artially dehydrated liquid sorbitol</w:t>
      </w:r>
      <w:r w:rsidR="00ED2878">
        <w:rPr>
          <w:rFonts w:ascii="Times New Roman" w:eastAsia="Times New Roman" w:hAnsi="Times New Roman" w:cs="Times New Roman"/>
          <w:sz w:val="24"/>
          <w:szCs w:val="24"/>
          <w:lang w:eastAsia="en-AU"/>
        </w:rPr>
        <w:t>,</w:t>
      </w:r>
      <w:r w:rsidR="00032FAE" w:rsidRPr="00032FAE">
        <w:rPr>
          <w:rFonts w:ascii="Times New Roman" w:eastAsia="Times New Roman" w:hAnsi="Times New Roman" w:cs="Times New Roman"/>
          <w:sz w:val="24"/>
          <w:szCs w:val="24"/>
          <w:lang w:eastAsia="en-AU"/>
        </w:rPr>
        <w:t xml:space="preserve"> and</w:t>
      </w:r>
      <w:r w:rsidR="00032FAE">
        <w:rPr>
          <w:rFonts w:ascii="Times New Roman" w:eastAsia="Times New Roman" w:hAnsi="Times New Roman" w:cs="Times New Roman"/>
          <w:sz w:val="24"/>
          <w:szCs w:val="24"/>
          <w:lang w:eastAsia="en-AU"/>
        </w:rPr>
        <w:t xml:space="preserve"> </w:t>
      </w:r>
      <w:proofErr w:type="spellStart"/>
      <w:r w:rsidR="00032FAE" w:rsidRPr="00032FAE">
        <w:rPr>
          <w:rFonts w:ascii="Times New Roman" w:eastAsia="Times New Roman" w:hAnsi="Times New Roman" w:cs="Times New Roman"/>
          <w:sz w:val="24"/>
          <w:szCs w:val="24"/>
          <w:lang w:eastAsia="en-AU"/>
        </w:rPr>
        <w:t>stearyl</w:t>
      </w:r>
      <w:proofErr w:type="spellEnd"/>
      <w:r w:rsidR="00032FAE" w:rsidRPr="00032FAE">
        <w:rPr>
          <w:rFonts w:ascii="Times New Roman" w:eastAsia="Times New Roman" w:hAnsi="Times New Roman" w:cs="Times New Roman"/>
          <w:sz w:val="24"/>
          <w:szCs w:val="24"/>
          <w:lang w:eastAsia="en-AU"/>
        </w:rPr>
        <w:t xml:space="preserve"> </w:t>
      </w:r>
      <w:proofErr w:type="spellStart"/>
      <w:r w:rsidR="00032FAE" w:rsidRPr="00032FAE">
        <w:rPr>
          <w:rFonts w:ascii="Times New Roman" w:eastAsia="Times New Roman" w:hAnsi="Times New Roman" w:cs="Times New Roman"/>
          <w:sz w:val="24"/>
          <w:szCs w:val="24"/>
          <w:lang w:eastAsia="en-AU"/>
        </w:rPr>
        <w:t>behenate</w:t>
      </w:r>
      <w:proofErr w:type="spellEnd"/>
      <w:r w:rsidR="00032FA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were </w:t>
      </w:r>
      <w:r w:rsidRPr="007F3304">
        <w:rPr>
          <w:rFonts w:ascii="Times New Roman" w:eastAsia="Times New Roman" w:hAnsi="Times New Roman" w:cs="Times New Roman"/>
          <w:sz w:val="24"/>
          <w:szCs w:val="24"/>
          <w:lang w:eastAsia="en-AU"/>
        </w:rPr>
        <w:t>the subject of</w:t>
      </w:r>
      <w:r w:rsidR="00D3180C">
        <w:rPr>
          <w:rFonts w:ascii="Times New Roman" w:eastAsia="Times New Roman" w:hAnsi="Times New Roman" w:cs="Times New Roman"/>
          <w:sz w:val="24"/>
          <w:szCs w:val="24"/>
          <w:lang w:eastAsia="en-AU"/>
        </w:rPr>
        <w:t xml:space="preserve"> applications</w:t>
      </w:r>
      <w:r w:rsidRPr="007F3304">
        <w:rPr>
          <w:rFonts w:ascii="Times New Roman" w:eastAsia="Times New Roman" w:hAnsi="Times New Roman" w:cs="Times New Roman"/>
          <w:sz w:val="24"/>
          <w:szCs w:val="24"/>
          <w:lang w:eastAsia="en-AU"/>
        </w:rPr>
        <w:t xml:space="preserve"> to the Secretary </w:t>
      </w:r>
      <w:r w:rsidR="00092EDD">
        <w:rPr>
          <w:rFonts w:ascii="Times New Roman" w:eastAsia="Times New Roman" w:hAnsi="Times New Roman" w:cs="Times New Roman"/>
          <w:sz w:val="24"/>
          <w:szCs w:val="24"/>
          <w:lang w:eastAsia="en-AU"/>
        </w:rPr>
        <w:t>to authorise the use of those ingredients.  The TGA engaged with those applicants in relation to those measures, in connection with those applications</w:t>
      </w:r>
      <w:r w:rsidRPr="007F3304">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14:paraId="6FE3DE93" w14:textId="681FE4F1" w:rsidR="006161DC" w:rsidRPr="00247B5E" w:rsidRDefault="006161DC">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Prior to the first Determination made under section 26BB of the Act, the ingredients </w:t>
      </w:r>
      <w:proofErr w:type="spellStart"/>
      <w:r w:rsidRPr="006161DC">
        <w:rPr>
          <w:rFonts w:ascii="Times New Roman" w:eastAsia="Times New Roman" w:hAnsi="Times New Roman" w:cs="Times New Roman"/>
          <w:i/>
          <w:sz w:val="24"/>
          <w:szCs w:val="24"/>
          <w:lang w:eastAsia="en-AU"/>
        </w:rPr>
        <w:t>Tagetes</w:t>
      </w:r>
      <w:proofErr w:type="spellEnd"/>
      <w:r w:rsidRPr="006161DC">
        <w:rPr>
          <w:rFonts w:ascii="Times New Roman" w:eastAsia="Times New Roman" w:hAnsi="Times New Roman" w:cs="Times New Roman"/>
          <w:i/>
          <w:sz w:val="24"/>
          <w:szCs w:val="24"/>
          <w:lang w:eastAsia="en-AU"/>
        </w:rPr>
        <w:t xml:space="preserve"> </w:t>
      </w:r>
      <w:proofErr w:type="spellStart"/>
      <w:r w:rsidRPr="006161DC">
        <w:rPr>
          <w:rFonts w:ascii="Times New Roman" w:eastAsia="Times New Roman" w:hAnsi="Times New Roman" w:cs="Times New Roman"/>
          <w:i/>
          <w:sz w:val="24"/>
          <w:szCs w:val="24"/>
          <w:lang w:eastAsia="en-AU"/>
        </w:rPr>
        <w:t>erecta</w:t>
      </w:r>
      <w:proofErr w:type="spellEnd"/>
      <w:r w:rsidRPr="006161DC">
        <w:rPr>
          <w:rFonts w:ascii="Times New Roman" w:eastAsia="Times New Roman" w:hAnsi="Times New Roman" w:cs="Times New Roman"/>
          <w:sz w:val="24"/>
          <w:szCs w:val="24"/>
          <w:lang w:eastAsia="en-AU"/>
        </w:rPr>
        <w:t xml:space="preserve"> and benzyl </w:t>
      </w:r>
      <w:proofErr w:type="spellStart"/>
      <w:r w:rsidRPr="006161DC">
        <w:rPr>
          <w:rFonts w:ascii="Times New Roman" w:eastAsia="Times New Roman" w:hAnsi="Times New Roman" w:cs="Times New Roman"/>
          <w:sz w:val="24"/>
          <w:szCs w:val="24"/>
          <w:lang w:eastAsia="en-AU"/>
        </w:rPr>
        <w:t>cinnamate</w:t>
      </w:r>
      <w:proofErr w:type="spellEnd"/>
      <w:r w:rsidRPr="006161DC" w:rsidDel="00FA708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had been available for use in listed medicines as part of proprietary ingredient formulations for use as flavouring. </w:t>
      </w:r>
      <w:r w:rsidR="00D25D18">
        <w:rPr>
          <w:rFonts w:ascii="Times New Roman" w:eastAsia="Times New Roman" w:hAnsi="Times New Roman" w:cs="Times New Roman"/>
          <w:sz w:val="24"/>
          <w:szCs w:val="24"/>
          <w:lang w:eastAsia="en-AU"/>
        </w:rPr>
        <w:t>In late 2019, t</w:t>
      </w:r>
      <w:r>
        <w:rPr>
          <w:rFonts w:ascii="Times New Roman" w:eastAsia="Times New Roman" w:hAnsi="Times New Roman" w:cs="Times New Roman"/>
          <w:sz w:val="24"/>
          <w:szCs w:val="24"/>
          <w:lang w:eastAsia="en-AU"/>
        </w:rPr>
        <w:t xml:space="preserve">he TGA </w:t>
      </w:r>
      <w:r w:rsidR="00D25D18">
        <w:rPr>
          <w:rFonts w:ascii="Times New Roman" w:eastAsia="Times New Roman" w:hAnsi="Times New Roman" w:cs="Times New Roman"/>
          <w:sz w:val="24"/>
          <w:szCs w:val="24"/>
          <w:lang w:eastAsia="en-AU"/>
        </w:rPr>
        <w:t xml:space="preserve">became aware of the continued use of these ingredients in listed medicines that was not in-line with the former Determination. In response, the TGA </w:t>
      </w:r>
      <w:r>
        <w:rPr>
          <w:rFonts w:ascii="Times New Roman" w:eastAsia="Times New Roman" w:hAnsi="Times New Roman" w:cs="Times New Roman"/>
          <w:sz w:val="24"/>
          <w:szCs w:val="24"/>
          <w:lang w:eastAsia="en-AU"/>
        </w:rPr>
        <w:t xml:space="preserve">conducted a review of the ingredients and established </w:t>
      </w:r>
      <w:r w:rsidR="00D25D18">
        <w:rPr>
          <w:rFonts w:ascii="Times New Roman" w:eastAsia="Times New Roman" w:hAnsi="Times New Roman" w:cs="Times New Roman"/>
          <w:sz w:val="24"/>
          <w:szCs w:val="24"/>
          <w:lang w:eastAsia="en-AU"/>
        </w:rPr>
        <w:t>that the use in flavour formulations was of sufficiently low-risk, and appropriate for listed and assessed</w:t>
      </w:r>
      <w:r w:rsidR="00ED2878">
        <w:rPr>
          <w:rFonts w:ascii="Times New Roman" w:eastAsia="Times New Roman" w:hAnsi="Times New Roman" w:cs="Times New Roman"/>
          <w:sz w:val="24"/>
          <w:szCs w:val="24"/>
          <w:lang w:eastAsia="en-AU"/>
        </w:rPr>
        <w:t xml:space="preserve"> </w:t>
      </w:r>
      <w:r w:rsidR="00D25D18">
        <w:rPr>
          <w:rFonts w:ascii="Times New Roman" w:eastAsia="Times New Roman" w:hAnsi="Times New Roman" w:cs="Times New Roman"/>
          <w:sz w:val="24"/>
          <w:szCs w:val="24"/>
          <w:lang w:eastAsia="en-AU"/>
        </w:rPr>
        <w:t>listed medicines.</w:t>
      </w:r>
    </w:p>
    <w:p w14:paraId="406499FA" w14:textId="63E9DEAF" w:rsidR="00ED0E94" w:rsidRPr="00ED0E94" w:rsidRDefault="00ED0E94">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requirements for hydrolysed wheat protein, </w:t>
      </w:r>
      <w:r>
        <w:rPr>
          <w:rFonts w:ascii="Times New Roman" w:eastAsia="Times New Roman" w:hAnsi="Times New Roman" w:cs="Times New Roman"/>
          <w:i/>
          <w:sz w:val="24"/>
          <w:szCs w:val="24"/>
          <w:lang w:eastAsia="en-AU"/>
        </w:rPr>
        <w:t xml:space="preserve">Thymus vulgaris, Thymus vulgaris MIS, Thymus </w:t>
      </w:r>
      <w:proofErr w:type="spellStart"/>
      <w:r>
        <w:rPr>
          <w:rFonts w:ascii="Times New Roman" w:eastAsia="Times New Roman" w:hAnsi="Times New Roman" w:cs="Times New Roman"/>
          <w:i/>
          <w:sz w:val="24"/>
          <w:szCs w:val="24"/>
          <w:lang w:eastAsia="en-AU"/>
        </w:rPr>
        <w:t>zygis</w:t>
      </w:r>
      <w:proofErr w:type="spellEnd"/>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 xml:space="preserve">and </w:t>
      </w:r>
      <w:proofErr w:type="spellStart"/>
      <w:r>
        <w:rPr>
          <w:rFonts w:ascii="Times New Roman" w:eastAsia="Times New Roman" w:hAnsi="Times New Roman" w:cs="Times New Roman"/>
          <w:i/>
          <w:sz w:val="24"/>
          <w:szCs w:val="24"/>
          <w:lang w:eastAsia="en-AU"/>
        </w:rPr>
        <w:t>Illicium</w:t>
      </w:r>
      <w:proofErr w:type="spellEnd"/>
      <w:r>
        <w:rPr>
          <w:rFonts w:ascii="Times New Roman" w:eastAsia="Times New Roman" w:hAnsi="Times New Roman" w:cs="Times New Roman"/>
          <w:i/>
          <w:sz w:val="24"/>
          <w:szCs w:val="24"/>
          <w:lang w:eastAsia="en-AU"/>
        </w:rPr>
        <w:t xml:space="preserve"> </w:t>
      </w:r>
      <w:proofErr w:type="spellStart"/>
      <w:r>
        <w:rPr>
          <w:rFonts w:ascii="Times New Roman" w:eastAsia="Times New Roman" w:hAnsi="Times New Roman" w:cs="Times New Roman"/>
          <w:i/>
          <w:sz w:val="24"/>
          <w:szCs w:val="24"/>
          <w:lang w:eastAsia="en-AU"/>
        </w:rPr>
        <w:t>verum</w:t>
      </w:r>
      <w:proofErr w:type="spellEnd"/>
      <w:r>
        <w:rPr>
          <w:rFonts w:ascii="Times New Roman" w:eastAsia="Times New Roman" w:hAnsi="Times New Roman" w:cs="Times New Roman"/>
          <w:sz w:val="24"/>
          <w:szCs w:val="24"/>
          <w:lang w:eastAsia="en-AU"/>
        </w:rPr>
        <w:t xml:space="preserve"> in the former Determination </w:t>
      </w:r>
      <w:proofErr w:type="gramStart"/>
      <w:r>
        <w:rPr>
          <w:rFonts w:ascii="Times New Roman" w:eastAsia="Times New Roman" w:hAnsi="Times New Roman" w:cs="Times New Roman"/>
          <w:sz w:val="24"/>
          <w:szCs w:val="24"/>
          <w:lang w:eastAsia="en-AU"/>
        </w:rPr>
        <w:t>were assessed</w:t>
      </w:r>
      <w:proofErr w:type="gramEnd"/>
      <w:r>
        <w:rPr>
          <w:rFonts w:ascii="Times New Roman" w:eastAsia="Times New Roman" w:hAnsi="Times New Roman" w:cs="Times New Roman"/>
          <w:sz w:val="24"/>
          <w:szCs w:val="24"/>
          <w:lang w:eastAsia="en-AU"/>
        </w:rPr>
        <w:t xml:space="preserve"> following feedback provided to the TGA by sponsors. The requirements for </w:t>
      </w:r>
      <w:r w:rsidR="00910190">
        <w:rPr>
          <w:rFonts w:ascii="Times New Roman" w:eastAsia="Times New Roman" w:hAnsi="Times New Roman" w:cs="Times New Roman"/>
          <w:sz w:val="24"/>
          <w:szCs w:val="24"/>
          <w:lang w:eastAsia="en-AU"/>
        </w:rPr>
        <w:t>hydrolysed wheat protein in the Determination permit medicines to comply with whichever labelling order applies (TGO 69 or TGO 92)</w:t>
      </w:r>
      <w:r w:rsidR="00A0787D">
        <w:rPr>
          <w:rFonts w:ascii="Times New Roman" w:eastAsia="Times New Roman" w:hAnsi="Times New Roman" w:cs="Times New Roman"/>
          <w:sz w:val="24"/>
          <w:szCs w:val="24"/>
          <w:lang w:eastAsia="en-AU"/>
        </w:rPr>
        <w:t xml:space="preserve"> during the TGO 92 transition period</w:t>
      </w:r>
      <w:r w:rsidR="00910190">
        <w:rPr>
          <w:rFonts w:ascii="Times New Roman" w:eastAsia="Times New Roman" w:hAnsi="Times New Roman" w:cs="Times New Roman"/>
          <w:sz w:val="24"/>
          <w:szCs w:val="24"/>
          <w:lang w:eastAsia="en-AU"/>
        </w:rPr>
        <w:t xml:space="preserve">. The requirements for </w:t>
      </w:r>
      <w:r w:rsidR="00910190">
        <w:rPr>
          <w:rFonts w:ascii="Times New Roman" w:eastAsia="Times New Roman" w:hAnsi="Times New Roman" w:cs="Times New Roman"/>
          <w:i/>
          <w:sz w:val="24"/>
          <w:szCs w:val="24"/>
          <w:lang w:eastAsia="en-AU"/>
        </w:rPr>
        <w:t xml:space="preserve">Thymus vulgaris, Thymus vulgaris MIS, Thymus </w:t>
      </w:r>
      <w:proofErr w:type="spellStart"/>
      <w:r w:rsidR="00910190">
        <w:rPr>
          <w:rFonts w:ascii="Times New Roman" w:eastAsia="Times New Roman" w:hAnsi="Times New Roman" w:cs="Times New Roman"/>
          <w:i/>
          <w:sz w:val="24"/>
          <w:szCs w:val="24"/>
          <w:lang w:eastAsia="en-AU"/>
        </w:rPr>
        <w:t>zygis</w:t>
      </w:r>
      <w:proofErr w:type="spellEnd"/>
      <w:r w:rsidR="00910190">
        <w:rPr>
          <w:rFonts w:ascii="Times New Roman" w:eastAsia="Times New Roman" w:hAnsi="Times New Roman" w:cs="Times New Roman"/>
          <w:i/>
          <w:sz w:val="24"/>
          <w:szCs w:val="24"/>
          <w:lang w:eastAsia="en-AU"/>
        </w:rPr>
        <w:t xml:space="preserve"> </w:t>
      </w:r>
      <w:r w:rsidR="00910190">
        <w:rPr>
          <w:rFonts w:ascii="Times New Roman" w:eastAsia="Times New Roman" w:hAnsi="Times New Roman" w:cs="Times New Roman"/>
          <w:sz w:val="24"/>
          <w:szCs w:val="24"/>
          <w:lang w:eastAsia="en-AU"/>
        </w:rPr>
        <w:t xml:space="preserve">and </w:t>
      </w:r>
      <w:proofErr w:type="spellStart"/>
      <w:r w:rsidR="00910190">
        <w:rPr>
          <w:rFonts w:ascii="Times New Roman" w:eastAsia="Times New Roman" w:hAnsi="Times New Roman" w:cs="Times New Roman"/>
          <w:i/>
          <w:sz w:val="24"/>
          <w:szCs w:val="24"/>
          <w:lang w:eastAsia="en-AU"/>
        </w:rPr>
        <w:t>Illicium</w:t>
      </w:r>
      <w:proofErr w:type="spellEnd"/>
      <w:r w:rsidR="00910190">
        <w:rPr>
          <w:rFonts w:ascii="Times New Roman" w:eastAsia="Times New Roman" w:hAnsi="Times New Roman" w:cs="Times New Roman"/>
          <w:i/>
          <w:sz w:val="24"/>
          <w:szCs w:val="24"/>
          <w:lang w:eastAsia="en-AU"/>
        </w:rPr>
        <w:t xml:space="preserve"> </w:t>
      </w:r>
      <w:proofErr w:type="spellStart"/>
      <w:r w:rsidR="00910190">
        <w:rPr>
          <w:rFonts w:ascii="Times New Roman" w:eastAsia="Times New Roman" w:hAnsi="Times New Roman" w:cs="Times New Roman"/>
          <w:i/>
          <w:sz w:val="24"/>
          <w:szCs w:val="24"/>
          <w:lang w:eastAsia="en-AU"/>
        </w:rPr>
        <w:t>verum</w:t>
      </w:r>
      <w:proofErr w:type="spellEnd"/>
      <w:r w:rsidR="00910190">
        <w:rPr>
          <w:rFonts w:ascii="Times New Roman" w:eastAsia="Times New Roman" w:hAnsi="Times New Roman" w:cs="Times New Roman"/>
          <w:sz w:val="24"/>
          <w:szCs w:val="24"/>
          <w:lang w:eastAsia="en-AU"/>
        </w:rPr>
        <w:t xml:space="preserve"> in the Determination </w:t>
      </w:r>
      <w:r>
        <w:rPr>
          <w:rFonts w:ascii="Times New Roman" w:eastAsia="Times New Roman" w:hAnsi="Times New Roman" w:cs="Times New Roman"/>
          <w:sz w:val="24"/>
          <w:szCs w:val="24"/>
          <w:lang w:eastAsia="en-AU"/>
        </w:rPr>
        <w:t xml:space="preserve">permit medicines </w:t>
      </w:r>
      <w:r w:rsidR="00A0787D">
        <w:rPr>
          <w:rFonts w:ascii="Times New Roman" w:eastAsia="Times New Roman" w:hAnsi="Times New Roman" w:cs="Times New Roman"/>
          <w:sz w:val="24"/>
          <w:szCs w:val="24"/>
          <w:lang w:eastAsia="en-AU"/>
        </w:rPr>
        <w:t xml:space="preserve">to </w:t>
      </w:r>
      <w:r>
        <w:rPr>
          <w:rFonts w:ascii="Times New Roman" w:eastAsia="Times New Roman" w:hAnsi="Times New Roman" w:cs="Times New Roman"/>
          <w:sz w:val="24"/>
          <w:szCs w:val="24"/>
          <w:lang w:eastAsia="en-AU"/>
        </w:rPr>
        <w:t xml:space="preserve">align </w:t>
      </w:r>
      <w:r w:rsidR="00910190">
        <w:rPr>
          <w:rFonts w:ascii="Times New Roman" w:eastAsia="Times New Roman" w:hAnsi="Times New Roman" w:cs="Times New Roman"/>
          <w:sz w:val="24"/>
          <w:szCs w:val="24"/>
          <w:lang w:eastAsia="en-AU"/>
        </w:rPr>
        <w:t xml:space="preserve">more closely </w:t>
      </w:r>
      <w:r>
        <w:rPr>
          <w:rFonts w:ascii="Times New Roman" w:eastAsia="Times New Roman" w:hAnsi="Times New Roman" w:cs="Times New Roman"/>
          <w:sz w:val="24"/>
          <w:szCs w:val="24"/>
          <w:lang w:eastAsia="en-AU"/>
        </w:rPr>
        <w:t>with specifications in the</w:t>
      </w:r>
      <w:r w:rsidR="00910190">
        <w:rPr>
          <w:rFonts w:ascii="Times New Roman" w:eastAsia="Times New Roman" w:hAnsi="Times New Roman" w:cs="Times New Roman"/>
          <w:sz w:val="24"/>
          <w:szCs w:val="24"/>
          <w:lang w:eastAsia="en-AU"/>
        </w:rPr>
        <w:t xml:space="preserve"> Poisons Standard</w:t>
      </w:r>
      <w:r w:rsidRPr="007F3304">
        <w:rPr>
          <w:rFonts w:ascii="Times New Roman" w:eastAsia="Times New Roman" w:hAnsi="Times New Roman" w:cs="Times New Roman"/>
          <w:sz w:val="24"/>
          <w:szCs w:val="24"/>
          <w:lang w:eastAsia="en-AU"/>
        </w:rPr>
        <w:t>.</w:t>
      </w:r>
    </w:p>
    <w:p w14:paraId="71C5634A" w14:textId="30410ECF" w:rsidR="003E5AEA" w:rsidRPr="000011FE" w:rsidRDefault="003E5AEA">
      <w:pPr>
        <w:spacing w:before="100" w:beforeAutospacing="1" w:after="100" w:afterAutospacing="1"/>
        <w:rPr>
          <w:rFonts w:ascii="Times New Roman" w:eastAsia="Times New Roman" w:hAnsi="Times New Roman" w:cs="Times New Roman"/>
          <w:sz w:val="24"/>
          <w:szCs w:val="24"/>
          <w:lang w:eastAsia="en-AU"/>
        </w:rPr>
      </w:pPr>
      <w:proofErr w:type="gramStart"/>
      <w:r w:rsidRPr="00807896">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OBPR </w:t>
      </w:r>
      <w:r w:rsidRPr="00807896">
        <w:rPr>
          <w:rFonts w:ascii="Times New Roman" w:eastAsia="Times New Roman" w:hAnsi="Times New Roman" w:cs="Times New Roman"/>
          <w:sz w:val="24"/>
          <w:szCs w:val="24"/>
          <w:lang w:eastAsia="en-AU"/>
        </w:rPr>
        <w:t xml:space="preserve">has </w:t>
      </w:r>
      <w:r w:rsidR="00066CCA">
        <w:rPr>
          <w:rFonts w:ascii="Times New Roman" w:eastAsia="Times New Roman" w:hAnsi="Times New Roman" w:cs="Times New Roman"/>
          <w:sz w:val="24"/>
          <w:szCs w:val="24"/>
          <w:lang w:eastAsia="en-AU"/>
        </w:rPr>
        <w:t xml:space="preserve">also </w:t>
      </w:r>
      <w:r w:rsidRPr="00807896">
        <w:rPr>
          <w:rFonts w:ascii="Times New Roman" w:eastAsia="Times New Roman" w:hAnsi="Times New Roman" w:cs="Times New Roman"/>
          <w:sz w:val="24"/>
          <w:szCs w:val="24"/>
          <w:lang w:eastAsia="en-AU"/>
        </w:rPr>
        <w:t>previously advised that a regulatory impact statement is not required for updates to determinations made under section 26BB of the Act that are minor or machinery in nature</w:t>
      </w:r>
      <w:r>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w:t>
      </w:r>
      <w:r w:rsidRPr="00807896">
        <w:rPr>
          <w:rFonts w:ascii="Times New Roman" w:eastAsia="Times New Roman" w:hAnsi="Times New Roman" w:cs="Times New Roman"/>
          <w:sz w:val="24"/>
          <w:szCs w:val="24"/>
          <w:lang w:eastAsia="en-AU"/>
        </w:rPr>
        <w:lastRenderedPageBreak/>
        <w:t>requirements and ingredient names, changes to reflect scheduling decisions in the Poisons Standard or the outcomes of TGA safety evaluations where the regulatory impacts are minor or machinery in nature (OBPR references 14416, 20999 and 21645</w:t>
      </w:r>
      <w:r>
        <w:rPr>
          <w:rFonts w:ascii="Times New Roman" w:eastAsia="Times New Roman" w:hAnsi="Times New Roman" w:cs="Times New Roman"/>
          <w:sz w:val="24"/>
          <w:szCs w:val="24"/>
          <w:lang w:eastAsia="en-AU"/>
        </w:rPr>
        <w:t>).</w:t>
      </w:r>
      <w:proofErr w:type="gramEnd"/>
    </w:p>
    <w:p w14:paraId="7A00BF75" w14:textId="77777777" w:rsidR="0050197A" w:rsidRPr="00B94E86" w:rsidRDefault="0050197A" w:rsidP="001F063F">
      <w:pPr>
        <w:keepNext/>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09BDDD8C"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53E90904"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and to any subsequent amendments or editions. The intention in this Determination is therefore to adopt the defined meaning of the pharmacopoeia as set out in subsection 3(1) of the Act (an approach permitted by subsection 10(4) of the Act). That pharmacopoeia </w:t>
      </w:r>
      <w:proofErr w:type="gramStart"/>
      <w:r>
        <w:rPr>
          <w:rFonts w:ascii="Times New Roman" w:hAnsi="Times New Roman" w:cs="Times New Roman"/>
          <w:sz w:val="24"/>
          <w:szCs w:val="24"/>
        </w:rPr>
        <w:t>may be accessed</w:t>
      </w:r>
      <w:proofErr w:type="gramEnd"/>
      <w:r>
        <w:rPr>
          <w:rFonts w:ascii="Times New Roman" w:hAnsi="Times New Roman" w:cs="Times New Roman"/>
          <w:sz w:val="24"/>
          <w:szCs w:val="24"/>
        </w:rPr>
        <w:t xml:space="preserve"> from </w:t>
      </w:r>
      <w:hyperlink r:id="rId8"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9" w:history="1">
        <w:r w:rsidRPr="00BB66B5">
          <w:rPr>
            <w:rStyle w:val="Hyperlink"/>
            <w:rFonts w:ascii="Times New Roman" w:hAnsi="Times New Roman" w:cs="Times New Roman"/>
            <w:sz w:val="24"/>
            <w:szCs w:val="24"/>
          </w:rPr>
          <w:t>www.edqm.eu/en/european-pharmacopoeia-ph-eur-9th-edition</w:t>
        </w:r>
      </w:hyperlink>
      <w:r>
        <w:rPr>
          <w:rFonts w:ascii="Times New Roman" w:hAnsi="Times New Roman" w:cs="Times New Roman"/>
          <w:sz w:val="24"/>
          <w:szCs w:val="24"/>
        </w:rPr>
        <w:t xml:space="preserve"> and </w:t>
      </w:r>
      <w:hyperlink r:id="rId10"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 xml:space="preserve">. </w:t>
      </w:r>
    </w:p>
    <w:p w14:paraId="2E0BD165" w14:textId="77777777" w:rsidR="0050197A" w:rsidRPr="00D35938"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1" w:history="1">
        <w:r w:rsidRPr="00BB66B5">
          <w:rPr>
            <w:rStyle w:val="Hyperlink"/>
            <w:rFonts w:ascii="Times New Roman" w:hAnsi="Times New Roman" w:cs="Times New Roman"/>
            <w:sz w:val="24"/>
            <w:szCs w:val="24"/>
          </w:rPr>
          <w:t>www.online.foodchemicalscodex.org</w:t>
        </w:r>
      </w:hyperlink>
      <w:r>
        <w:rPr>
          <w:rFonts w:ascii="Times New Roman" w:hAnsi="Times New Roman" w:cs="Times New Roman"/>
          <w:sz w:val="24"/>
          <w:szCs w:val="24"/>
        </w:rPr>
        <w:t xml:space="preserve">). The intended manner of adoption of the FCC is also as it is in force or existing from time to time. </w:t>
      </w: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CF10D9">
        <w:rPr>
          <w:rStyle w:val="Hyperlink"/>
          <w:rFonts w:ascii="Times New Roman" w:hAnsi="Times New Roman" w:cs="Times New Roman"/>
          <w:i/>
          <w:sz w:val="24"/>
          <w:szCs w:val="24"/>
        </w:rPr>
        <w:t>Animal Products Act 1999</w:t>
      </w:r>
      <w:r>
        <w:rPr>
          <w:rStyle w:val="Hyperlink"/>
        </w:rPr>
        <w:t xml:space="preserve"> </w:t>
      </w:r>
      <w:r w:rsidRPr="00CF10D9">
        <w:rPr>
          <w:rStyle w:val="Hyperlink"/>
          <w:rFonts w:ascii="Times New Roman" w:hAnsi="Times New Roman" w:cs="Times New Roman"/>
          <w:sz w:val="24"/>
          <w:szCs w:val="24"/>
        </w:rPr>
        <w:t xml:space="preserve">and the </w:t>
      </w:r>
      <w:r w:rsidRPr="00CF10D9">
        <w:rPr>
          <w:rStyle w:val="Hyperlink"/>
          <w:rFonts w:ascii="Times New Roman" w:hAnsi="Times New Roman" w:cs="Times New Roman"/>
          <w:i/>
          <w:sz w:val="24"/>
          <w:szCs w:val="24"/>
        </w:rPr>
        <w:t>Animal Welfare Act 1999</w:t>
      </w:r>
      <w:r>
        <w:rPr>
          <w:rStyle w:val="Hyperlink"/>
          <w:rFonts w:ascii="Times New Roman" w:hAnsi="Times New Roman" w:cs="Times New Roman"/>
          <w:sz w:val="24"/>
          <w:szCs w:val="24"/>
        </w:rPr>
        <w:t xml:space="preserve"> </w:t>
      </w:r>
      <w:r>
        <w:rPr>
          <w:rFonts w:ascii="Times New Roman" w:hAnsi="Times New Roman" w:cs="Times New Roman"/>
          <w:sz w:val="24"/>
          <w:szCs w:val="24"/>
          <w:lang w:eastAsia="en-AU"/>
        </w:rPr>
        <w:t xml:space="preserve">of New Zealand on the same basis. These Acts are available </w:t>
      </w:r>
      <w:proofErr w:type="gramStart"/>
      <w:r>
        <w:rPr>
          <w:rFonts w:ascii="Times New Roman" w:hAnsi="Times New Roman" w:cs="Times New Roman"/>
          <w:sz w:val="24"/>
          <w:szCs w:val="24"/>
          <w:lang w:eastAsia="en-AU"/>
        </w:rPr>
        <w:t>for free</w:t>
      </w:r>
      <w:proofErr w:type="gramEnd"/>
      <w:r>
        <w:rPr>
          <w:rFonts w:ascii="Times New Roman" w:hAnsi="Times New Roman" w:cs="Times New Roman"/>
          <w:sz w:val="24"/>
          <w:szCs w:val="24"/>
          <w:lang w:eastAsia="en-AU"/>
        </w:rPr>
        <w:t xml:space="preserve"> from </w:t>
      </w:r>
      <w:hyperlink r:id="rId12" w:history="1">
        <w:r w:rsidRPr="00BB66B5">
          <w:rPr>
            <w:rStyle w:val="Hyperlink"/>
            <w:rFonts w:ascii="Times New Roman" w:hAnsi="Times New Roman" w:cs="Times New Roman"/>
            <w:sz w:val="24"/>
            <w:szCs w:val="24"/>
          </w:rPr>
          <w:t>www.legislation.govt.nz/</w:t>
        </w:r>
      </w:hyperlink>
      <w:r>
        <w:rPr>
          <w:rStyle w:val="Hyperlink"/>
        </w:rPr>
        <w:t>.</w:t>
      </w:r>
    </w:p>
    <w:p w14:paraId="166CDB99" w14:textId="77777777" w:rsidR="0050197A" w:rsidRPr="00950D68" w:rsidRDefault="0050197A" w:rsidP="0034672A">
      <w:pPr>
        <w:spacing w:before="100" w:beforeAutospacing="1" w:after="100" w:afterAutospacing="1"/>
        <w:rPr>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xml:space="preserve">’, dated 18 July 2001. This document is available </w:t>
      </w:r>
      <w:proofErr w:type="gramStart"/>
      <w:r>
        <w:rPr>
          <w:rFonts w:ascii="Times New Roman" w:hAnsi="Times New Roman" w:cs="Times New Roman"/>
          <w:sz w:val="24"/>
          <w:szCs w:val="24"/>
          <w:lang w:eastAsia="en-AU"/>
        </w:rPr>
        <w:t>for free</w:t>
      </w:r>
      <w:proofErr w:type="gramEnd"/>
      <w:r>
        <w:rPr>
          <w:rFonts w:ascii="Times New Roman" w:hAnsi="Times New Roman" w:cs="Times New Roman"/>
          <w:sz w:val="24"/>
          <w:szCs w:val="24"/>
          <w:lang w:eastAsia="en-AU"/>
        </w:rPr>
        <w:t xml:space="preserve"> from</w:t>
      </w:r>
      <w:r w:rsidRPr="00CC73D8">
        <w:rPr>
          <w:rFonts w:ascii="Times New Roman" w:hAnsi="Times New Roman" w:cs="Times New Roman"/>
          <w:sz w:val="24"/>
          <w:szCs w:val="24"/>
          <w:lang w:eastAsia="en-AU"/>
        </w:rPr>
        <w:t xml:space="preserve"> </w:t>
      </w:r>
      <w:hyperlink r:id="rId13"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69313021" w14:textId="2F359116"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lang w:eastAsia="en-AU"/>
        </w:rPr>
        <w:t xml:space="preserve">While unfortunately the pharmacopoeia and the FCC are not available </w:t>
      </w:r>
      <w:proofErr w:type="gramStart"/>
      <w:r>
        <w:rPr>
          <w:rFonts w:ascii="Times New Roman" w:hAnsi="Times New Roman" w:cs="Times New Roman"/>
          <w:sz w:val="24"/>
          <w:szCs w:val="24"/>
          <w:lang w:eastAsia="en-AU"/>
        </w:rPr>
        <w:t>for free</w:t>
      </w:r>
      <w:proofErr w:type="gramEnd"/>
      <w:r>
        <w:rPr>
          <w:rFonts w:ascii="Times New Roman" w:hAnsi="Times New Roman" w:cs="Times New Roman"/>
          <w:sz w:val="24"/>
          <w:szCs w:val="24"/>
          <w:lang w:eastAsia="en-AU"/>
        </w:rPr>
        <w:t>,</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Pr="009C06D8">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350BBCA7" w14:textId="69F28153" w:rsidR="00E715AB" w:rsidRPr="00B13B06" w:rsidRDefault="00E715AB" w:rsidP="00E715AB">
      <w:pPr>
        <w:spacing w:before="120" w:line="240" w:lineRule="auto"/>
        <w:rPr>
          <w:rFonts w:ascii="Times New Roman" w:hAnsi="Times New Roman" w:cs="Times New Roman"/>
          <w:sz w:val="24"/>
          <w:szCs w:val="24"/>
        </w:rPr>
      </w:pPr>
      <w:r w:rsidRPr="00CA165D">
        <w:rPr>
          <w:rFonts w:ascii="Times New Roman" w:hAnsi="Times New Roman" w:cs="Times New Roman"/>
          <w:sz w:val="24"/>
          <w:szCs w:val="24"/>
        </w:rPr>
        <w:lastRenderedPageBreak/>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 Symonston, ACT.</w:t>
      </w:r>
    </w:p>
    <w:p w14:paraId="1F1060FE" w14:textId="6D02EC35" w:rsidR="0050197A" w:rsidRDefault="0050197A" w:rsidP="0034672A">
      <w:pPr>
        <w:spacing w:before="100" w:beforeAutospacing="1" w:after="100" w:afterAutospacing="1"/>
        <w:rPr>
          <w:rFonts w:ascii="Times New Roman" w:hAnsi="Times New Roman" w:cs="Times New Roman"/>
          <w:sz w:val="24"/>
          <w:szCs w:val="24"/>
        </w:rPr>
      </w:pPr>
      <w:proofErr w:type="gramStart"/>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4"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w:t>
      </w:r>
      <w:proofErr w:type="gramEnd"/>
      <w:r w:rsidRPr="00B13B06">
        <w:rPr>
          <w:rFonts w:ascii="Times New Roman" w:hAnsi="Times New Roman" w:cs="Times New Roman"/>
          <w:sz w:val="24"/>
          <w:szCs w:val="24"/>
        </w:rPr>
        <w:t xml:space="preserve"> </w:t>
      </w:r>
      <w:proofErr w:type="gramStart"/>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 at a usual cost of $16.50 per request (enquiries should be made with local libraries, State libraries and the National Library).</w:t>
      </w:r>
      <w:proofErr w:type="gramEnd"/>
    </w:p>
    <w:p w14:paraId="5265C58B"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5"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 </w:t>
      </w:r>
    </w:p>
    <w:p w14:paraId="25583419" w14:textId="77777777" w:rsidR="0050197A" w:rsidRPr="00953BDD" w:rsidRDefault="0050197A" w:rsidP="0034672A">
      <w:pPr>
        <w:spacing w:before="100" w:beforeAutospacing="1" w:after="100" w:afterAutospacing="1"/>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43D36B50" w14:textId="77777777" w:rsidR="0050197A" w:rsidRPr="00953BDD" w:rsidRDefault="0050197A" w:rsidP="0034672A">
      <w:pPr>
        <w:spacing w:before="100" w:beforeAutospacing="1" w:after="100" w:afterAutospacing="1"/>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4F8CA9DD" w14:textId="0AB6B67A" w:rsidR="0029115B" w:rsidRDefault="0050197A" w:rsidP="0034672A">
      <w:pPr>
        <w:spacing w:before="100" w:beforeAutospacing="1" w:after="100" w:afterAutospacing="1" w:line="240" w:lineRule="auto"/>
        <w:jc w:val="both"/>
        <w:rPr>
          <w:rFonts w:ascii="Times New Roman" w:eastAsia="Times New Roman" w:hAnsi="Times New Roman" w:cs="Times New Roman"/>
          <w:b/>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and commences </w:t>
      </w:r>
      <w:r w:rsidR="00F111D7">
        <w:rPr>
          <w:rFonts w:ascii="Times New Roman" w:hAnsi="Times New Roman" w:cs="Times New Roman"/>
          <w:sz w:val="24"/>
          <w:szCs w:val="24"/>
        </w:rPr>
        <w:t xml:space="preserve">on </w:t>
      </w:r>
      <w:r w:rsidR="002B4F6A">
        <w:rPr>
          <w:rFonts w:ascii="Times New Roman" w:hAnsi="Times New Roman" w:cs="Times New Roman"/>
          <w:sz w:val="24"/>
          <w:szCs w:val="24"/>
        </w:rPr>
        <w:t>8 June</w:t>
      </w:r>
      <w:r w:rsidR="00F111D7">
        <w:rPr>
          <w:rFonts w:ascii="Times New Roman" w:hAnsi="Times New Roman" w:cs="Times New Roman"/>
          <w:sz w:val="24"/>
          <w:szCs w:val="24"/>
        </w:rPr>
        <w:t xml:space="preserve"> 2020</w:t>
      </w:r>
      <w:r>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1E8328A2"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FA7084">
        <w:rPr>
          <w:rFonts w:ascii="Times New Roman" w:eastAsia="Times New Roman" w:hAnsi="Times New Roman" w:cs="Times New Roman"/>
          <w:b/>
          <w:i/>
          <w:sz w:val="24"/>
          <w:szCs w:val="24"/>
          <w:lang w:eastAsia="en-AU"/>
        </w:rPr>
        <w:t>2</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20</w:t>
      </w:r>
    </w:p>
    <w:p w14:paraId="351A8BA8" w14:textId="77777777" w:rsid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1 Name</w:t>
      </w:r>
    </w:p>
    <w:p w14:paraId="566C8079" w14:textId="28BA9F2D"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FA7084">
        <w:rPr>
          <w:rFonts w:ascii="Times New Roman" w:eastAsia="Times New Roman" w:hAnsi="Times New Roman" w:cs="Times New Roman"/>
          <w:i/>
          <w:sz w:val="24"/>
          <w:szCs w:val="24"/>
          <w:lang w:eastAsia="en-AU"/>
        </w:rPr>
        <w:t>2</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20</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1B8996FF" w14:textId="77777777" w:rsidR="0040312B" w:rsidRP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 Commencement</w:t>
      </w:r>
    </w:p>
    <w:p w14:paraId="087283D7" w14:textId="37CD0136" w:rsidR="0050197A" w:rsidRDefault="0050197A" w:rsidP="0050197A">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Determination </w:t>
      </w:r>
      <w:proofErr w:type="gramStart"/>
      <w:r w:rsidR="00FB4355">
        <w:rPr>
          <w:rFonts w:ascii="Times New Roman" w:eastAsia="Times New Roman" w:hAnsi="Times New Roman" w:cs="Times New Roman"/>
          <w:sz w:val="24"/>
          <w:szCs w:val="24"/>
          <w:lang w:eastAsia="en-AU"/>
        </w:rPr>
        <w:t>commences</w:t>
      </w:r>
      <w:proofErr w:type="gramEnd"/>
      <w:r w:rsidR="00FB4355">
        <w:rPr>
          <w:rFonts w:ascii="Times New Roman" w:eastAsia="Times New Roman" w:hAnsi="Times New Roman" w:cs="Times New Roman"/>
          <w:sz w:val="24"/>
          <w:szCs w:val="24"/>
          <w:lang w:eastAsia="en-AU"/>
        </w:rPr>
        <w:t xml:space="preserve"> </w:t>
      </w:r>
      <w:r w:rsidR="00B830CE">
        <w:rPr>
          <w:rFonts w:ascii="Times New Roman" w:eastAsia="Times New Roman" w:hAnsi="Times New Roman" w:cs="Times New Roman"/>
          <w:sz w:val="24"/>
          <w:szCs w:val="24"/>
          <w:lang w:eastAsia="en-AU"/>
        </w:rPr>
        <w:t xml:space="preserve">on </w:t>
      </w:r>
      <w:r w:rsidR="001503DB">
        <w:rPr>
          <w:rFonts w:ascii="Times New Roman" w:eastAsia="Times New Roman" w:hAnsi="Times New Roman" w:cs="Times New Roman"/>
          <w:sz w:val="24"/>
          <w:szCs w:val="24"/>
          <w:lang w:eastAsia="en-AU"/>
        </w:rPr>
        <w:t>8 June</w:t>
      </w:r>
      <w:r w:rsidR="00B830CE">
        <w:rPr>
          <w:rFonts w:ascii="Times New Roman" w:eastAsia="Times New Roman" w:hAnsi="Times New Roman" w:cs="Times New Roman"/>
          <w:sz w:val="24"/>
          <w:szCs w:val="24"/>
          <w:lang w:eastAsia="en-AU"/>
        </w:rPr>
        <w:t xml:space="preserve"> 2020</w:t>
      </w:r>
      <w:r w:rsidRPr="0022707A">
        <w:rPr>
          <w:rFonts w:ascii="Times New Roman" w:eastAsia="Times New Roman" w:hAnsi="Times New Roman" w:cs="Times New Roman"/>
          <w:sz w:val="24"/>
          <w:szCs w:val="24"/>
          <w:lang w:eastAsia="en-AU"/>
        </w:rPr>
        <w:t>.</w:t>
      </w:r>
    </w:p>
    <w:p w14:paraId="0EEDC031" w14:textId="77777777" w:rsidR="0040312B" w:rsidRP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3 Authority</w:t>
      </w:r>
    </w:p>
    <w:p w14:paraId="51F2D730" w14:textId="7CF74916"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 xml:space="preserve">section </w:t>
      </w:r>
      <w:proofErr w:type="gramStart"/>
      <w:r>
        <w:rPr>
          <w:rFonts w:ascii="Times New Roman" w:eastAsia="Times New Roman" w:hAnsi="Times New Roman" w:cs="Times New Roman"/>
          <w:sz w:val="24"/>
          <w:szCs w:val="24"/>
          <w:lang w:eastAsia="en-AU"/>
        </w:rPr>
        <w:t>26B</w:t>
      </w:r>
      <w:r w:rsidR="001B7ED3">
        <w:rPr>
          <w:rFonts w:ascii="Times New Roman" w:eastAsia="Times New Roman" w:hAnsi="Times New Roman" w:cs="Times New Roman"/>
          <w:sz w:val="24"/>
          <w:szCs w:val="24"/>
          <w:lang w:eastAsia="en-AU"/>
        </w:rPr>
        <w:t>B(</w:t>
      </w:r>
      <w:proofErr w:type="gramEnd"/>
      <w:r w:rsidR="001B7ED3">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C363FE6" w14:textId="77777777" w:rsidR="0040312B" w:rsidRPr="00AE2E87"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Interpretation</w:t>
      </w:r>
    </w:p>
    <w:p w14:paraId="0D82FB5D" w14:textId="383CE956" w:rsidR="0091180B" w:rsidRPr="0091180B"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DCB529C" w14:textId="77777777" w:rsidR="0091180B" w:rsidRPr="0091180B"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The note to this section also makes it clear that a number of expressions used in the Determination have the same meaning as in the Act, for example ‘British Pharmacopoeia’, ‘European Pharmacopoeia’ and ‘United States Pharmacopeia-National Formulary’.</w:t>
      </w:r>
    </w:p>
    <w:p w14:paraId="783E573B" w14:textId="6B1AAD65" w:rsidR="00AE2E87" w:rsidRDefault="0091180B" w:rsidP="0091180B">
      <w:pPr>
        <w:spacing w:before="100" w:beforeAutospacing="1" w:after="100" w:afterAutospacing="1"/>
        <w:rPr>
          <w:rFonts w:ascii="Times New Roman" w:eastAsia="Times New Roman" w:hAnsi="Times New Roman" w:cs="Times New Roman"/>
          <w:sz w:val="24"/>
          <w:szCs w:val="24"/>
          <w:lang w:eastAsia="en-AU"/>
        </w:rPr>
      </w:pPr>
      <w:proofErr w:type="gramStart"/>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‘Indications’ or ‘Product Warning’, and are not required to be included on the label of the medicine.</w:t>
      </w:r>
      <w:proofErr w:type="gramEnd"/>
    </w:p>
    <w:p w14:paraId="0AA57C3B" w14:textId="77777777" w:rsidR="001B7ED3" w:rsidRPr="007B443E" w:rsidRDefault="001B7ED3" w:rsidP="001B7ED3">
      <w:pPr>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Permissible ingredients </w:t>
      </w:r>
    </w:p>
    <w:p w14:paraId="099B9869" w14:textId="77777777" w:rsidR="001B7ED3" w:rsidRDefault="001B7ED3" w:rsidP="001B7ED3">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This section provides that the ingredients specified in column 2 of the table in Schedule 1 to the Determination are specified for the purposes of paragraph </w:t>
      </w:r>
      <w:proofErr w:type="gramStart"/>
      <w:r>
        <w:rPr>
          <w:rFonts w:ascii="Times New Roman" w:eastAsia="Times New Roman" w:hAnsi="Times New Roman" w:cs="Times New Roman"/>
          <w:sz w:val="24"/>
          <w:szCs w:val="24"/>
          <w:lang w:eastAsia="en-AU"/>
        </w:rPr>
        <w:t>26BB(</w:t>
      </w:r>
      <w:proofErr w:type="gramEnd"/>
      <w:r>
        <w:rPr>
          <w:rFonts w:ascii="Times New Roman" w:eastAsia="Times New Roman" w:hAnsi="Times New Roman" w:cs="Times New Roman"/>
          <w:sz w:val="24"/>
          <w:szCs w:val="24"/>
          <w:lang w:eastAsia="en-AU"/>
        </w:rPr>
        <w:t xml:space="preserve">1)(a) of the Act. </w:t>
      </w:r>
    </w:p>
    <w:p w14:paraId="3132B7BB" w14:textId="77777777" w:rsidR="001B7ED3" w:rsidRPr="006B644D" w:rsidRDefault="001B7ED3" w:rsidP="001B7ED3">
      <w:pPr>
        <w:spacing w:before="240"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 xml:space="preserve">Section </w:t>
      </w:r>
      <w:proofErr w:type="gramStart"/>
      <w:r w:rsidRPr="006B644D">
        <w:rPr>
          <w:rFonts w:ascii="Times New Roman" w:eastAsia="Times New Roman" w:hAnsi="Times New Roman" w:cs="Times New Roman"/>
          <w:b/>
          <w:sz w:val="24"/>
          <w:szCs w:val="24"/>
          <w:lang w:eastAsia="en-AU"/>
        </w:rPr>
        <w:t>6</w:t>
      </w:r>
      <w:proofErr w:type="gramEnd"/>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01BF54A2" w14:textId="77777777" w:rsidR="001B7ED3" w:rsidRDefault="001B7ED3" w:rsidP="001B7ED3">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These include, for example, that the ingredient </w:t>
      </w:r>
      <w:proofErr w:type="gramStart"/>
      <w:r>
        <w:rPr>
          <w:rFonts w:ascii="Times New Roman" w:eastAsia="Times New Roman" w:hAnsi="Times New Roman" w:cs="Times New Roman"/>
          <w:sz w:val="24"/>
          <w:szCs w:val="24"/>
          <w:lang w:eastAsia="en-AU"/>
        </w:rPr>
        <w:t>must only be used</w:t>
      </w:r>
      <w:proofErr w:type="gramEnd"/>
      <w:r>
        <w:rPr>
          <w:rFonts w:ascii="Times New Roman" w:eastAsia="Times New Roman" w:hAnsi="Times New Roman" w:cs="Times New Roman"/>
          <w:sz w:val="24"/>
          <w:szCs w:val="24"/>
          <w:lang w:eastAsia="en-AU"/>
        </w:rPr>
        <w:t xml:space="preserve"> in a medicine for a purpose specified in relation to the ingredient in column 3 of that item.</w:t>
      </w:r>
    </w:p>
    <w:p w14:paraId="241E7A35" w14:textId="77777777" w:rsidR="001B7ED3" w:rsidRPr="007B443E" w:rsidRDefault="001B7ED3" w:rsidP="001B7ED3">
      <w:pPr>
        <w:keepNext/>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Repeals</w:t>
      </w:r>
    </w:p>
    <w:p w14:paraId="4043154E" w14:textId="77777777" w:rsidR="001B7ED3" w:rsidRDefault="001B7ED3" w:rsidP="001B7ED3">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each instrument that is specified in Schedule 2 to the Determination </w:t>
      </w:r>
      <w:proofErr w:type="gramStart"/>
      <w:r>
        <w:rPr>
          <w:rFonts w:ascii="Times New Roman" w:eastAsia="Times New Roman" w:hAnsi="Times New Roman" w:cs="Times New Roman"/>
          <w:sz w:val="24"/>
          <w:szCs w:val="24"/>
          <w:lang w:eastAsia="en-AU"/>
        </w:rPr>
        <w:t>is</w:t>
      </w:r>
      <w:proofErr w:type="gramEnd"/>
      <w:r>
        <w:rPr>
          <w:rFonts w:ascii="Times New Roman" w:eastAsia="Times New Roman" w:hAnsi="Times New Roman" w:cs="Times New Roman"/>
          <w:sz w:val="24"/>
          <w:szCs w:val="24"/>
          <w:lang w:eastAsia="en-AU"/>
        </w:rPr>
        <w:t xml:space="preserve"> repealed as set out in the applicable items in that Schedule.</w:t>
      </w:r>
    </w:p>
    <w:p w14:paraId="3AC09063" w14:textId="13D0598B" w:rsidR="00AE2E87" w:rsidRDefault="00AE2E87">
      <w:pPr>
        <w:spacing w:before="100" w:beforeAutospacing="1" w:after="100" w:afterAutospacing="1"/>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086FF46B" w14:textId="34C0F3D5" w:rsidR="00045C71" w:rsidRDefault="00CA2F70" w:rsidP="005F1175">
      <w:pPr>
        <w:spacing w:before="100" w:beforeAutospacing="1" w:after="100" w:afterAutospacing="1"/>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r>
        <w:rPr>
          <w:rFonts w:ascii="Times New Roman" w:eastAsia="Times New Roman" w:hAnsi="Times New Roman" w:cs="Times New Roman"/>
          <w:sz w:val="24"/>
          <w:szCs w:val="24"/>
          <w:lang w:eastAsia="en-AU"/>
        </w:rPr>
        <w:t xml:space="preserve"> </w:t>
      </w:r>
    </w:p>
    <w:p w14:paraId="023BE486" w14:textId="2EC5EE95" w:rsidR="00CA2F70" w:rsidRPr="00CA2F70" w:rsidRDefault="00CA2F70" w:rsidP="00CA2F70">
      <w:pPr>
        <w:spacing w:before="100" w:beforeAutospacing="1" w:after="100" w:afterAutospacing="1"/>
        <w:rPr>
          <w:rFonts w:ascii="Times New Roman" w:eastAsia="Times New Roman" w:hAnsi="Times New Roman" w:cs="Times New Roman"/>
          <w:sz w:val="24"/>
          <w:szCs w:val="24"/>
          <w:lang w:val="en-US" w:eastAsia="en-AU"/>
        </w:rPr>
      </w:pPr>
      <w:r w:rsidRPr="00CA2F70">
        <w:rPr>
          <w:rFonts w:ascii="Times New Roman" w:eastAsia="Times New Roman" w:hAnsi="Times New Roman" w:cs="Times New Roman"/>
          <w:b/>
          <w:bCs/>
          <w:sz w:val="24"/>
          <w:szCs w:val="24"/>
          <w:lang w:eastAsia="en-AU"/>
        </w:rPr>
        <w:t>Schedule 2 – Repeals</w:t>
      </w:r>
    </w:p>
    <w:p w14:paraId="09B08BCF" w14:textId="75B435DD" w:rsidR="00045C71" w:rsidRPr="00F111D7" w:rsidRDefault="00CA2F70" w:rsidP="00F111D7">
      <w:pPr>
        <w:spacing w:before="100" w:beforeAutospacing="1" w:after="100" w:afterAutospacing="1"/>
        <w:rPr>
          <w:rFonts w:ascii="Times New Roman" w:eastAsia="Times New Roman" w:hAnsi="Times New Roman" w:cs="Times New Roman"/>
          <w:sz w:val="24"/>
          <w:szCs w:val="24"/>
          <w:lang w:val="en-US" w:eastAsia="en-AU"/>
        </w:rPr>
      </w:pPr>
      <w:r w:rsidRPr="00CA2F70">
        <w:rPr>
          <w:rFonts w:ascii="Times New Roman" w:eastAsia="Times New Roman" w:hAnsi="Times New Roman" w:cs="Times New Roman"/>
          <w:sz w:val="24"/>
          <w:szCs w:val="24"/>
          <w:lang w:eastAsia="en-AU"/>
        </w:rPr>
        <w:t xml:space="preserve">This Schedule repeals the </w:t>
      </w:r>
      <w:r w:rsidRPr="00CA2F70">
        <w:rPr>
          <w:rFonts w:ascii="Times New Roman" w:eastAsia="Times New Roman" w:hAnsi="Times New Roman" w:cs="Times New Roman"/>
          <w:i/>
          <w:iCs/>
          <w:sz w:val="24"/>
          <w:szCs w:val="24"/>
          <w:lang w:eastAsia="en-AU"/>
        </w:rPr>
        <w:t>Therapeutic Goods (Permissible Ingredients) Determination (No. </w:t>
      </w:r>
      <w:r w:rsidR="00FA7084">
        <w:rPr>
          <w:rFonts w:ascii="Times New Roman" w:eastAsia="Times New Roman" w:hAnsi="Times New Roman" w:cs="Times New Roman"/>
          <w:i/>
          <w:iCs/>
          <w:sz w:val="24"/>
          <w:szCs w:val="24"/>
          <w:lang w:eastAsia="en-AU"/>
        </w:rPr>
        <w:t>1</w:t>
      </w:r>
      <w:r w:rsidRPr="00CA2F70">
        <w:rPr>
          <w:rFonts w:ascii="Times New Roman" w:eastAsia="Times New Roman" w:hAnsi="Times New Roman" w:cs="Times New Roman"/>
          <w:i/>
          <w:iCs/>
          <w:sz w:val="24"/>
          <w:szCs w:val="24"/>
          <w:lang w:eastAsia="en-AU"/>
        </w:rPr>
        <w:t>) 20</w:t>
      </w:r>
      <w:r w:rsidR="00FA7084">
        <w:rPr>
          <w:rFonts w:ascii="Times New Roman" w:eastAsia="Times New Roman" w:hAnsi="Times New Roman" w:cs="Times New Roman"/>
          <w:i/>
          <w:iCs/>
          <w:sz w:val="24"/>
          <w:szCs w:val="24"/>
          <w:lang w:eastAsia="en-AU"/>
        </w:rPr>
        <w:t>20</w:t>
      </w:r>
      <w:r w:rsidRPr="00CA2F70">
        <w:rPr>
          <w:rFonts w:ascii="Times New Roman" w:eastAsia="Times New Roman" w:hAnsi="Times New Roman" w:cs="Times New Roman"/>
          <w:i/>
          <w:iCs/>
          <w:sz w:val="24"/>
          <w:szCs w:val="24"/>
          <w:lang w:eastAsia="en-AU"/>
        </w:rPr>
        <w:t>.</w:t>
      </w: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34672A">
      <w:pPr>
        <w:spacing w:before="100" w:beforeAutospacing="1" w:after="100" w:afterAutospacing="1"/>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77777777" w:rsidR="00510EB5" w:rsidRDefault="00EF1F18" w:rsidP="00510EB5">
      <w:pPr>
        <w:spacing w:after="0"/>
        <w:jc w:val="center"/>
        <w:rPr>
          <w:rFonts w:ascii="Times New Roman" w:eastAsia="Times New Roman" w:hAnsi="Times New Roman" w:cs="Times New Roman"/>
          <w:sz w:val="24"/>
          <w:szCs w:val="24"/>
          <w:lang w:eastAsia="en-AU"/>
        </w:rPr>
      </w:pPr>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1D83548D"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FA7084">
        <w:rPr>
          <w:rFonts w:ascii="Times New Roman" w:eastAsia="Times New Roman" w:hAnsi="Times New Roman" w:cs="Times New Roman"/>
          <w:b/>
          <w:i/>
          <w:sz w:val="24"/>
          <w:szCs w:val="24"/>
          <w:lang w:eastAsia="en-AU"/>
        </w:rPr>
        <w:t>2</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20</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77777777"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524F630A"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FA7084">
        <w:rPr>
          <w:rFonts w:ascii="Times New Roman" w:eastAsia="Times New Roman" w:hAnsi="Times New Roman" w:cs="Times New Roman"/>
          <w:i/>
          <w:sz w:val="24"/>
          <w:szCs w:val="24"/>
          <w:lang w:eastAsia="en-AU"/>
        </w:rPr>
        <w:t>2</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20</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 xml:space="preserve">section </w:t>
      </w:r>
      <w:proofErr w:type="gramStart"/>
      <w:r>
        <w:rPr>
          <w:rFonts w:ascii="Times New Roman" w:eastAsia="Times New Roman" w:hAnsi="Times New Roman" w:cs="Times New Roman"/>
          <w:sz w:val="24"/>
          <w:szCs w:val="24"/>
          <w:lang w:eastAsia="en-AU"/>
        </w:rPr>
        <w:t>26B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w:t>
      </w:r>
      <w:proofErr w:type="gramEnd"/>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r w:rsidRPr="00A419EA">
        <w:rPr>
          <w:rFonts w:ascii="Times New Roman" w:eastAsia="Times New Roman" w:hAnsi="Times New Roman" w:cs="Times New Roman"/>
          <w:sz w:val="24"/>
          <w:szCs w:val="24"/>
          <w:lang w:eastAsia="en-AU"/>
        </w:rPr>
        <w:t xml:space="preserve"> </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291F6D54"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w:t>
      </w:r>
      <w:proofErr w:type="gramStart"/>
      <w:r w:rsidRPr="00D731D4">
        <w:rPr>
          <w:rFonts w:ascii="Times New Roman" w:eastAsia="Times New Roman" w:hAnsi="Times New Roman" w:cs="Times New Roman"/>
          <w:sz w:val="24"/>
          <w:szCs w:val="24"/>
          <w:lang w:eastAsia="en-AU"/>
        </w:rPr>
        <w:t>is listed</w:t>
      </w:r>
      <w:proofErr w:type="gramEnd"/>
      <w:r w:rsidRPr="00D731D4">
        <w:rPr>
          <w:rFonts w:ascii="Times New Roman" w:eastAsia="Times New Roman" w:hAnsi="Times New Roman" w:cs="Times New Roman"/>
          <w:sz w:val="24"/>
          <w:szCs w:val="24"/>
          <w:lang w:eastAsia="en-AU"/>
        </w:rPr>
        <w:t xml:space="preserve"> in the Australian Register of Therapeutic Goods (“the Register”) under section 26A or 26AE of the Act, and requirements in relation to the inclusion of those ingredients in such medicines. The instrument also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 xml:space="preserve">ngredients) Determination (No. </w:t>
      </w:r>
      <w:r w:rsidR="00E96741">
        <w:rPr>
          <w:rFonts w:ascii="Times New Roman" w:eastAsia="Times New Roman" w:hAnsi="Times New Roman" w:cs="Times New Roman"/>
          <w:i/>
          <w:iCs/>
          <w:sz w:val="24"/>
          <w:szCs w:val="24"/>
          <w:lang w:eastAsia="en-AU"/>
        </w:rPr>
        <w:t>1</w:t>
      </w:r>
      <w:r w:rsidRPr="00D731D4">
        <w:rPr>
          <w:rFonts w:ascii="Times New Roman" w:eastAsia="Times New Roman" w:hAnsi="Times New Roman" w:cs="Times New Roman"/>
          <w:i/>
          <w:iCs/>
          <w:sz w:val="24"/>
          <w:szCs w:val="24"/>
          <w:lang w:eastAsia="en-AU"/>
        </w:rPr>
        <w:t xml:space="preserve">) </w:t>
      </w:r>
      <w:r w:rsidR="00E96741" w:rsidRPr="00D731D4">
        <w:rPr>
          <w:rFonts w:ascii="Times New Roman" w:eastAsia="Times New Roman" w:hAnsi="Times New Roman" w:cs="Times New Roman"/>
          <w:sz w:val="24"/>
          <w:szCs w:val="24"/>
          <w:lang w:eastAsia="en-AU"/>
        </w:rPr>
        <w:t>20</w:t>
      </w:r>
      <w:r w:rsidR="00E96741">
        <w:rPr>
          <w:rFonts w:ascii="Times New Roman" w:eastAsia="Times New Roman" w:hAnsi="Times New Roman" w:cs="Times New Roman"/>
          <w:sz w:val="24"/>
          <w:szCs w:val="24"/>
          <w:lang w:eastAsia="en-AU"/>
        </w:rPr>
        <w:t>20</w:t>
      </w:r>
      <w:r w:rsidR="00E96741"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4E3871AC"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Medicines that are listed in the Register under section 26A of the Act are considered </w:t>
      </w:r>
      <w:proofErr w:type="gramStart"/>
      <w:r w:rsidRPr="00D731D4">
        <w:rPr>
          <w:rFonts w:ascii="Times New Roman" w:eastAsia="Times New Roman" w:hAnsi="Times New Roman" w:cs="Times New Roman"/>
          <w:sz w:val="24"/>
          <w:szCs w:val="24"/>
          <w:lang w:eastAsia="en-AU"/>
        </w:rPr>
        <w:t>to be low</w:t>
      </w:r>
      <w:proofErr w:type="gramEnd"/>
      <w:r w:rsidRPr="00D731D4">
        <w:rPr>
          <w:rFonts w:ascii="Times New Roman" w:eastAsia="Times New Roman" w:hAnsi="Times New Roman" w:cs="Times New Roman"/>
          <w:sz w:val="24"/>
          <w:szCs w:val="24"/>
          <w:lang w:eastAsia="en-AU"/>
        </w:rPr>
        <w:t xml:space="preserve"> risk and are not individually evaluated before they are listed. </w:t>
      </w:r>
      <w:proofErr w:type="gramStart"/>
      <w:r w:rsidRPr="00D731D4">
        <w:rPr>
          <w:rFonts w:ascii="Times New Roman" w:eastAsia="Times New Roman" w:hAnsi="Times New Roman" w:cs="Times New Roman"/>
          <w:sz w:val="24"/>
          <w:szCs w:val="24"/>
          <w:lang w:eastAsia="en-AU"/>
        </w:rPr>
        <w:t>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proofErr w:type="gramEnd"/>
      <w:r w:rsidRPr="00D731D4">
        <w:rPr>
          <w:rFonts w:ascii="Times New Roman" w:eastAsia="Times New Roman" w:hAnsi="Times New Roman" w:cs="Times New Roman"/>
          <w:sz w:val="24"/>
          <w:szCs w:val="24"/>
          <w:lang w:eastAsia="en-AU"/>
        </w:rPr>
        <w:t xml:space="preserve"> When listed under section 26AE, these listed medicines </w:t>
      </w:r>
      <w:proofErr w:type="gramStart"/>
      <w:r w:rsidRPr="00D731D4">
        <w:rPr>
          <w:rFonts w:ascii="Times New Roman" w:eastAsia="Times New Roman" w:hAnsi="Times New Roman" w:cs="Times New Roman"/>
          <w:sz w:val="24"/>
          <w:szCs w:val="24"/>
          <w:lang w:eastAsia="en-AU"/>
        </w:rPr>
        <w:t>are commonly referred</w:t>
      </w:r>
      <w:proofErr w:type="gramEnd"/>
      <w:r w:rsidRPr="00D731D4">
        <w:rPr>
          <w:rFonts w:ascii="Times New Roman" w:eastAsia="Times New Roman" w:hAnsi="Times New Roman" w:cs="Times New Roman"/>
          <w:sz w:val="24"/>
          <w:szCs w:val="24"/>
          <w:lang w:eastAsia="en-AU"/>
        </w:rPr>
        <w:t xml:space="preserve"> to as ‘assessed listed medicines’.</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4C210DB6"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In particular, listed medicines may only contain ingredients from an approved list of ingredients that </w:t>
      </w:r>
      <w:proofErr w:type="gramStart"/>
      <w:r w:rsidRPr="00D731D4">
        <w:rPr>
          <w:rFonts w:ascii="Times New Roman" w:eastAsia="Times New Roman" w:hAnsi="Times New Roman" w:cs="Times New Roman"/>
          <w:sz w:val="24"/>
          <w:szCs w:val="24"/>
          <w:lang w:eastAsia="en-AU"/>
        </w:rPr>
        <w:t>have been evaluated</w:t>
      </w:r>
      <w:proofErr w:type="gramEnd"/>
      <w:r w:rsidRPr="00D731D4">
        <w:rPr>
          <w:rFonts w:ascii="Times New Roman" w:eastAsia="Times New Roman" w:hAnsi="Times New Roman" w:cs="Times New Roman"/>
          <w:sz w:val="24"/>
          <w:szCs w:val="24"/>
          <w:lang w:eastAsia="en-AU"/>
        </w:rPr>
        <w:t xml:space="preserve">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320CED50"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proofErr w:type="gramStart"/>
      <w:r w:rsidRPr="00D731D4">
        <w:rPr>
          <w:rFonts w:ascii="Times New Roman" w:eastAsia="Times New Roman" w:hAnsi="Times New Roman" w:cs="Times New Roman"/>
          <w:sz w:val="24"/>
          <w:szCs w:val="24"/>
          <w:lang w:eastAsia="en-AU"/>
        </w:rPr>
        <w:t>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w:t>
      </w:r>
      <w:proofErr w:type="gramEnd"/>
      <w:r w:rsidRPr="00D731D4">
        <w:rPr>
          <w:rFonts w:ascii="Times New Roman" w:eastAsia="Times New Roman" w:hAnsi="Times New Roman" w:cs="Times New Roman"/>
          <w:sz w:val="24"/>
          <w:szCs w:val="24"/>
          <w:lang w:eastAsia="en-AU"/>
        </w:rPr>
        <w:t xml:space="preserve"> Paragraphs </w:t>
      </w:r>
      <w:proofErr w:type="gramStart"/>
      <w:r w:rsidRPr="00D731D4">
        <w:rPr>
          <w:rFonts w:ascii="Times New Roman" w:eastAsia="Times New Roman" w:hAnsi="Times New Roman" w:cs="Times New Roman"/>
          <w:sz w:val="24"/>
          <w:szCs w:val="24"/>
          <w:lang w:eastAsia="en-AU"/>
        </w:rPr>
        <w:t>26AB(</w:t>
      </w:r>
      <w:proofErr w:type="gramEnd"/>
      <w:r w:rsidRPr="00D731D4">
        <w:rPr>
          <w:rFonts w:ascii="Times New Roman" w:eastAsia="Times New Roman" w:hAnsi="Times New Roman" w:cs="Times New Roman"/>
          <w:sz w:val="24"/>
          <w:szCs w:val="24"/>
          <w:lang w:eastAsia="en-AU"/>
        </w:rPr>
        <w:t>2)(d) and (e) set out equivalent certification requirements for applicants seeking marketing approval for an assessed listed medicine. A listed (or 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67EE0D69"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7FAED2B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requirements imposed under the instrument principally relate to ensuring the quality and safety of the ingredient when used. Requirements may relate, for example, </w:t>
      </w:r>
      <w:proofErr w:type="gramStart"/>
      <w:r w:rsidRPr="00D731D4">
        <w:rPr>
          <w:rFonts w:ascii="Times New Roman" w:eastAsia="Times New Roman" w:hAnsi="Times New Roman" w:cs="Times New Roman"/>
          <w:sz w:val="24"/>
          <w:szCs w:val="24"/>
          <w:lang w:eastAsia="en-AU"/>
        </w:rPr>
        <w:t>to</w:t>
      </w:r>
      <w:proofErr w:type="gramEnd"/>
      <w:r w:rsidRPr="00D731D4">
        <w:rPr>
          <w:rFonts w:ascii="Times New Roman" w:eastAsia="Times New Roman" w:hAnsi="Times New Roman" w:cs="Times New Roman"/>
          <w:sz w:val="24"/>
          <w:szCs w:val="24"/>
          <w:lang w:eastAsia="en-AU"/>
        </w:rPr>
        <w:t>:</w:t>
      </w:r>
    </w:p>
    <w:p w14:paraId="3E1BC56F" w14:textId="6C8A965F"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lastRenderedPageBreak/>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proofErr w:type="gramStart"/>
      <w:r w:rsidRPr="00A521FE">
        <w:t>the</w:t>
      </w:r>
      <w:proofErr w:type="gramEnd"/>
      <w:r w:rsidRPr="00A521FE">
        <w:t xml:space="preserv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B43AAE4" w14:textId="3B9B7374" w:rsidR="003A7110" w:rsidRDefault="00D731D4" w:rsidP="00D731D4">
      <w:pPr>
        <w:autoSpaceDE w:val="0"/>
        <w:autoSpaceDN w:val="0"/>
        <w:adjustRightInd w:val="0"/>
        <w:spacing w:after="0"/>
        <w:rPr>
          <w:rFonts w:ascii="Times New Roman" w:eastAsia="Times New Roman" w:hAnsi="Times New Roman" w:cs="Times New Roman"/>
          <w:sz w:val="24"/>
          <w:szCs w:val="24"/>
          <w:lang w:eastAsia="en-AU"/>
        </w:rPr>
      </w:pPr>
      <w:r w:rsidRPr="00D731D4">
        <w:rPr>
          <w:rFonts w:ascii="Times New Roman" w:eastAsia="Times New Roman" w:hAnsi="Times New Roman" w:cs="Times New Roman"/>
          <w:sz w:val="24"/>
          <w:szCs w:val="24"/>
          <w:lang w:eastAsia="en-AU"/>
        </w:rPr>
        <w:t>The instrument repeals and replaces the former instrument, and incorporates a number of changes in comparison to the former instrument, including in particular:</w:t>
      </w:r>
    </w:p>
    <w:p w14:paraId="3A553A4E" w14:textId="2A9EEA1D" w:rsidR="007B76BB" w:rsidRPr="006D254A" w:rsidRDefault="007B76BB" w:rsidP="007B76BB">
      <w:pPr>
        <w:pStyle w:val="ListParagraph"/>
        <w:keepNext/>
        <w:numPr>
          <w:ilvl w:val="0"/>
          <w:numId w:val="11"/>
        </w:numPr>
        <w:spacing w:before="120" w:beforeAutospacing="0" w:after="120" w:afterAutospacing="0" w:line="276" w:lineRule="auto"/>
        <w:ind w:left="1066" w:hanging="357"/>
      </w:pPr>
      <w:r w:rsidRPr="006D254A">
        <w:t xml:space="preserve">introduction of </w:t>
      </w:r>
      <w:r w:rsidR="001C3292">
        <w:t>8</w:t>
      </w:r>
      <w:r w:rsidRPr="006D254A">
        <w:t xml:space="preserve"> new ingredients for use in listed and assessed listed medicines:</w:t>
      </w:r>
    </w:p>
    <w:p w14:paraId="72AA8D56" w14:textId="77777777" w:rsidR="007B76BB" w:rsidRPr="006D254A" w:rsidRDefault="007B76BB" w:rsidP="007B76BB">
      <w:pPr>
        <w:pStyle w:val="ListParagraph"/>
        <w:keepNext/>
        <w:numPr>
          <w:ilvl w:val="1"/>
          <w:numId w:val="11"/>
        </w:numPr>
        <w:spacing w:before="120" w:beforeAutospacing="0" w:after="120" w:afterAutospacing="0" w:line="276" w:lineRule="auto"/>
        <w:ind w:left="1434" w:hanging="357"/>
      </w:pPr>
      <w:r w:rsidRPr="006D254A">
        <w:t>1,2,3,4,4a,5,8,8a-octahydro-2,2,6,8-tetramethyl-1-naphthalenol;</w:t>
      </w:r>
    </w:p>
    <w:p w14:paraId="13FD15A1" w14:textId="77777777" w:rsidR="007B76BB" w:rsidRPr="006D254A" w:rsidRDefault="007B76BB" w:rsidP="007B76BB">
      <w:pPr>
        <w:pStyle w:val="ListParagraph"/>
        <w:keepNext/>
        <w:numPr>
          <w:ilvl w:val="1"/>
          <w:numId w:val="11"/>
        </w:numPr>
        <w:spacing w:before="120" w:beforeAutospacing="0" w:after="120" w:afterAutospacing="0" w:line="276" w:lineRule="auto"/>
        <w:ind w:left="1434" w:hanging="357"/>
      </w:pPr>
      <w:r w:rsidRPr="006D254A">
        <w:t>2-methyldecanal;</w:t>
      </w:r>
    </w:p>
    <w:p w14:paraId="6F337EDA" w14:textId="77777777" w:rsidR="007B76BB" w:rsidRPr="006D254A" w:rsidRDefault="007B76BB" w:rsidP="007B76BB">
      <w:pPr>
        <w:pStyle w:val="ListParagraph"/>
        <w:keepNext/>
        <w:numPr>
          <w:ilvl w:val="1"/>
          <w:numId w:val="11"/>
        </w:numPr>
        <w:spacing w:before="120" w:beforeAutospacing="0" w:after="120" w:afterAutospacing="0" w:line="276" w:lineRule="auto"/>
        <w:ind w:left="1434" w:hanging="357"/>
      </w:pPr>
      <w:proofErr w:type="spellStart"/>
      <w:r w:rsidRPr="006D254A">
        <w:t>acetoxydihydrodicyclopentadiene</w:t>
      </w:r>
      <w:proofErr w:type="spellEnd"/>
      <w:r w:rsidRPr="006D254A">
        <w:t>;</w:t>
      </w:r>
    </w:p>
    <w:p w14:paraId="25966855" w14:textId="77777777" w:rsidR="007B76BB" w:rsidRPr="006D254A" w:rsidRDefault="007B76BB" w:rsidP="007B76BB">
      <w:pPr>
        <w:pStyle w:val="ListParagraph"/>
        <w:keepNext/>
        <w:numPr>
          <w:ilvl w:val="1"/>
          <w:numId w:val="11"/>
        </w:numPr>
        <w:spacing w:before="120" w:beforeAutospacing="0" w:after="120" w:afterAutospacing="0" w:line="276" w:lineRule="auto"/>
        <w:ind w:left="1434" w:hanging="357"/>
      </w:pPr>
      <w:proofErr w:type="spellStart"/>
      <w:r w:rsidRPr="006D254A">
        <w:t>bis-stearyl</w:t>
      </w:r>
      <w:proofErr w:type="spellEnd"/>
      <w:r w:rsidRPr="006D254A">
        <w:t xml:space="preserve"> </w:t>
      </w:r>
      <w:proofErr w:type="spellStart"/>
      <w:r w:rsidRPr="006D254A">
        <w:t>dimeticone</w:t>
      </w:r>
      <w:proofErr w:type="spellEnd"/>
      <w:r w:rsidRPr="006D254A">
        <w:t>;</w:t>
      </w:r>
    </w:p>
    <w:p w14:paraId="162D5787" w14:textId="77777777" w:rsidR="007B76BB" w:rsidRPr="006D254A" w:rsidRDefault="007B76BB" w:rsidP="007B76BB">
      <w:pPr>
        <w:pStyle w:val="ListParagraph"/>
        <w:keepNext/>
        <w:numPr>
          <w:ilvl w:val="1"/>
          <w:numId w:val="11"/>
        </w:numPr>
        <w:spacing w:before="120" w:beforeAutospacing="0" w:after="120" w:afterAutospacing="0" w:line="276" w:lineRule="auto"/>
        <w:ind w:left="1434" w:hanging="357"/>
      </w:pPr>
      <w:r w:rsidRPr="006D254A">
        <w:t>bittern;</w:t>
      </w:r>
    </w:p>
    <w:p w14:paraId="648396EE" w14:textId="2D8817FA" w:rsidR="007B76BB" w:rsidRPr="006D254A" w:rsidRDefault="007B76BB" w:rsidP="007B76BB">
      <w:pPr>
        <w:pStyle w:val="ListParagraph"/>
        <w:keepNext/>
        <w:numPr>
          <w:ilvl w:val="1"/>
          <w:numId w:val="11"/>
        </w:numPr>
        <w:spacing w:before="120" w:beforeAutospacing="0" w:after="120" w:afterAutospacing="0" w:line="276" w:lineRule="auto"/>
        <w:ind w:left="1434" w:hanging="357"/>
      </w:pPr>
      <w:r w:rsidRPr="006D254A">
        <w:t>partially dehydrated liquid sorbitol;</w:t>
      </w:r>
    </w:p>
    <w:p w14:paraId="3EBF9E08" w14:textId="54A6AF50" w:rsidR="001C3292" w:rsidRDefault="007B76BB" w:rsidP="007B76BB">
      <w:pPr>
        <w:pStyle w:val="ListParagraph"/>
        <w:numPr>
          <w:ilvl w:val="1"/>
          <w:numId w:val="11"/>
        </w:numPr>
        <w:spacing w:before="120" w:beforeAutospacing="0" w:after="120" w:afterAutospacing="0" w:line="276" w:lineRule="auto"/>
      </w:pPr>
      <w:proofErr w:type="spellStart"/>
      <w:r w:rsidRPr="006D254A">
        <w:t>stearyl</w:t>
      </w:r>
      <w:proofErr w:type="spellEnd"/>
      <w:r w:rsidRPr="006D254A">
        <w:t xml:space="preserve"> </w:t>
      </w:r>
      <w:proofErr w:type="spellStart"/>
      <w:r w:rsidRPr="006D254A">
        <w:t>behenate</w:t>
      </w:r>
      <w:proofErr w:type="spellEnd"/>
      <w:r w:rsidR="00247B5E">
        <w:t>; and</w:t>
      </w:r>
    </w:p>
    <w:p w14:paraId="27420DD7" w14:textId="55D1C7B0" w:rsidR="007B76BB" w:rsidRPr="006D254A" w:rsidRDefault="001C3292" w:rsidP="001C3292">
      <w:pPr>
        <w:pStyle w:val="ListParagraph"/>
        <w:numPr>
          <w:ilvl w:val="1"/>
          <w:numId w:val="11"/>
        </w:numPr>
        <w:spacing w:before="120" w:beforeAutospacing="0" w:after="120" w:afterAutospacing="0" w:line="276" w:lineRule="auto"/>
      </w:pPr>
      <w:proofErr w:type="spellStart"/>
      <w:r w:rsidRPr="001811C4">
        <w:rPr>
          <w:i/>
        </w:rPr>
        <w:t>Callitrus</w:t>
      </w:r>
      <w:proofErr w:type="spellEnd"/>
      <w:r w:rsidRPr="001811C4">
        <w:rPr>
          <w:i/>
        </w:rPr>
        <w:t xml:space="preserve"> </w:t>
      </w:r>
      <w:proofErr w:type="spellStart"/>
      <w:r w:rsidRPr="001811C4">
        <w:rPr>
          <w:i/>
        </w:rPr>
        <w:t>columellaris</w:t>
      </w:r>
      <w:proofErr w:type="spellEnd"/>
      <w:r>
        <w:t xml:space="preserve"> subsp. </w:t>
      </w:r>
      <w:proofErr w:type="spellStart"/>
      <w:r w:rsidRPr="001811C4">
        <w:rPr>
          <w:i/>
        </w:rPr>
        <w:t>intr</w:t>
      </w:r>
      <w:r>
        <w:rPr>
          <w:i/>
        </w:rPr>
        <w:t>a</w:t>
      </w:r>
      <w:r w:rsidRPr="001811C4">
        <w:rPr>
          <w:i/>
        </w:rPr>
        <w:t>tropica</w:t>
      </w:r>
      <w:proofErr w:type="spellEnd"/>
      <w:r w:rsidR="00247B5E">
        <w:t>;</w:t>
      </w:r>
    </w:p>
    <w:p w14:paraId="2C19C1BB" w14:textId="77777777" w:rsidR="007B76BB" w:rsidRPr="006D254A" w:rsidRDefault="007B76BB" w:rsidP="007B76BB">
      <w:pPr>
        <w:pStyle w:val="ListParagraph"/>
        <w:numPr>
          <w:ilvl w:val="0"/>
          <w:numId w:val="11"/>
        </w:numPr>
        <w:spacing w:before="120" w:beforeAutospacing="0" w:after="120" w:afterAutospacing="0" w:line="276" w:lineRule="auto"/>
        <w:ind w:left="714" w:hanging="357"/>
      </w:pPr>
      <w:r>
        <w:t xml:space="preserve">less restrictive </w:t>
      </w:r>
      <w:r w:rsidRPr="006D254A">
        <w:t xml:space="preserve">changes to </w:t>
      </w:r>
      <w:r>
        <w:t xml:space="preserve">2 </w:t>
      </w:r>
      <w:r w:rsidRPr="006D254A">
        <w:t xml:space="preserve">ingredients </w:t>
      </w:r>
      <w:r>
        <w:t>(</w:t>
      </w:r>
      <w:proofErr w:type="spellStart"/>
      <w:r w:rsidRPr="006D254A">
        <w:rPr>
          <w:i/>
        </w:rPr>
        <w:t>Tagetes</w:t>
      </w:r>
      <w:proofErr w:type="spellEnd"/>
      <w:r w:rsidRPr="006D254A">
        <w:rPr>
          <w:i/>
        </w:rPr>
        <w:t xml:space="preserve"> </w:t>
      </w:r>
      <w:proofErr w:type="spellStart"/>
      <w:r w:rsidRPr="006D254A">
        <w:rPr>
          <w:i/>
        </w:rPr>
        <w:t>erecta</w:t>
      </w:r>
      <w:proofErr w:type="spellEnd"/>
      <w:r w:rsidRPr="006D254A">
        <w:t xml:space="preserve"> and benzyl </w:t>
      </w:r>
      <w:proofErr w:type="spellStart"/>
      <w:r w:rsidRPr="006D254A">
        <w:t>cinnamate</w:t>
      </w:r>
      <w:proofErr w:type="spellEnd"/>
      <w:r>
        <w:t>), which reflect the previously established safety and availability of the ingredients</w:t>
      </w:r>
      <w:r w:rsidRPr="006D254A">
        <w:t>;</w:t>
      </w:r>
    </w:p>
    <w:p w14:paraId="7329E77D" w14:textId="77777777" w:rsidR="007B76BB" w:rsidRPr="006D254A" w:rsidRDefault="007B76BB" w:rsidP="007B76BB">
      <w:pPr>
        <w:pStyle w:val="ListParagraph"/>
        <w:numPr>
          <w:ilvl w:val="0"/>
          <w:numId w:val="11"/>
        </w:numPr>
        <w:spacing w:before="120" w:beforeAutospacing="0" w:after="120" w:afterAutospacing="0" w:line="276" w:lineRule="auto"/>
        <w:ind w:left="714" w:hanging="357"/>
      </w:pPr>
      <w:r w:rsidRPr="006D254A">
        <w:t xml:space="preserve">removal of expired transition period provisions for </w:t>
      </w:r>
      <w:r w:rsidRPr="006D254A">
        <w:rPr>
          <w:i/>
        </w:rPr>
        <w:t>Andrographis paniculata</w:t>
      </w:r>
      <w:r w:rsidRPr="006D254A">
        <w:t>;</w:t>
      </w:r>
    </w:p>
    <w:p w14:paraId="29A2AE55" w14:textId="6BE684A0" w:rsidR="007B76BB" w:rsidRPr="006D254A" w:rsidRDefault="007B76BB" w:rsidP="007B76BB">
      <w:pPr>
        <w:pStyle w:val="ListParagraph"/>
        <w:numPr>
          <w:ilvl w:val="0"/>
          <w:numId w:val="11"/>
        </w:numPr>
        <w:spacing w:before="120" w:beforeAutospacing="0" w:after="120" w:afterAutospacing="0" w:line="276" w:lineRule="auto"/>
        <w:ind w:left="714" w:hanging="357"/>
      </w:pPr>
      <w:r>
        <w:rPr>
          <w:color w:val="000000"/>
          <w:shd w:val="clear" w:color="auto" w:fill="FFFFFF"/>
        </w:rPr>
        <w:t>clarification of the requirements for ‘</w:t>
      </w:r>
      <w:r w:rsidRPr="006D254A">
        <w:t>hydrolysed wheat protein</w:t>
      </w:r>
      <w:r>
        <w:rPr>
          <w:color w:val="000000"/>
          <w:shd w:val="clear" w:color="auto" w:fill="FFFFFF"/>
        </w:rPr>
        <w:t>’ for consistency with other gluten-containing ingredients and applicable standards relating to medicine labelling</w:t>
      </w:r>
      <w:r w:rsidRPr="006D254A">
        <w:t>;</w:t>
      </w:r>
    </w:p>
    <w:p w14:paraId="6106B989" w14:textId="057AD83A" w:rsidR="007B76BB" w:rsidRDefault="007B76BB" w:rsidP="007B76BB">
      <w:pPr>
        <w:pStyle w:val="ListParagraph"/>
        <w:numPr>
          <w:ilvl w:val="0"/>
          <w:numId w:val="11"/>
        </w:numPr>
        <w:spacing w:before="120" w:beforeAutospacing="0" w:after="120" w:afterAutospacing="0" w:line="276" w:lineRule="auto"/>
        <w:ind w:left="714" w:hanging="357"/>
      </w:pPr>
      <w:r>
        <w:lastRenderedPageBreak/>
        <w:t xml:space="preserve">clarification of </w:t>
      </w:r>
      <w:r w:rsidRPr="006D254A">
        <w:t xml:space="preserve">the requirements for </w:t>
      </w:r>
      <w:r w:rsidRPr="006D254A">
        <w:rPr>
          <w:i/>
        </w:rPr>
        <w:t>Thymus vulgaris</w:t>
      </w:r>
      <w:r w:rsidRPr="006D254A">
        <w:t xml:space="preserve">, </w:t>
      </w:r>
      <w:r w:rsidRPr="006D254A">
        <w:rPr>
          <w:i/>
        </w:rPr>
        <w:t xml:space="preserve">Thymus vulgaris </w:t>
      </w:r>
      <w:r w:rsidRPr="006D254A">
        <w:t xml:space="preserve">MIS, </w:t>
      </w:r>
      <w:r w:rsidRPr="006D254A">
        <w:rPr>
          <w:i/>
        </w:rPr>
        <w:t xml:space="preserve">Thymus </w:t>
      </w:r>
      <w:proofErr w:type="spellStart"/>
      <w:r w:rsidRPr="006D254A">
        <w:rPr>
          <w:i/>
        </w:rPr>
        <w:t>zygis</w:t>
      </w:r>
      <w:proofErr w:type="spellEnd"/>
      <w:r w:rsidRPr="006D254A">
        <w:t xml:space="preserve"> and </w:t>
      </w:r>
      <w:proofErr w:type="spellStart"/>
      <w:r w:rsidRPr="006D254A">
        <w:rPr>
          <w:i/>
        </w:rPr>
        <w:t>Illicium</w:t>
      </w:r>
      <w:proofErr w:type="spellEnd"/>
      <w:r w:rsidRPr="006D254A">
        <w:rPr>
          <w:i/>
        </w:rPr>
        <w:t xml:space="preserve"> </w:t>
      </w:r>
      <w:proofErr w:type="spellStart"/>
      <w:r w:rsidRPr="006D254A">
        <w:rPr>
          <w:i/>
        </w:rPr>
        <w:t>verum</w:t>
      </w:r>
      <w:proofErr w:type="spellEnd"/>
      <w:r w:rsidRPr="006D254A">
        <w:t xml:space="preserve"> </w:t>
      </w:r>
      <w:r>
        <w:t>for consistency</w:t>
      </w:r>
      <w:r w:rsidRPr="006D254A">
        <w:t xml:space="preserve"> with </w:t>
      </w:r>
      <w:r>
        <w:t>the Poisons Standard</w:t>
      </w:r>
      <w:r w:rsidR="001C3292">
        <w:t>; and</w:t>
      </w:r>
    </w:p>
    <w:p w14:paraId="12BE92C1" w14:textId="46D5AB15" w:rsidR="001C3292" w:rsidRPr="006D254A" w:rsidRDefault="00247B5E" w:rsidP="001C3292">
      <w:pPr>
        <w:pStyle w:val="ListParagraph"/>
        <w:numPr>
          <w:ilvl w:val="0"/>
          <w:numId w:val="11"/>
        </w:numPr>
        <w:spacing w:before="120" w:beforeAutospacing="0" w:after="120" w:afterAutospacing="0" w:line="276" w:lineRule="auto"/>
        <w:ind w:left="714" w:hanging="357"/>
      </w:pPr>
      <w:proofErr w:type="gramStart"/>
      <w:r>
        <w:t>removal</w:t>
      </w:r>
      <w:proofErr w:type="gramEnd"/>
      <w:r>
        <w:t xml:space="preserve"> of the ingredient ‘violet leaves’ as it is a synonym of an existing ingredient on the former Determination, ‘violet leaf absolute’.</w:t>
      </w:r>
    </w:p>
    <w:p w14:paraId="72EE7DAE" w14:textId="77777777" w:rsidR="00E50E9C" w:rsidRDefault="00E50E9C" w:rsidP="00720518">
      <w:pPr>
        <w:spacing w:after="0"/>
        <w:rPr>
          <w:rFonts w:ascii="Times New Roman" w:eastAsia="Times New Roman" w:hAnsi="Times New Roman" w:cs="Times New Roman"/>
          <w:b/>
          <w:bCs/>
          <w:sz w:val="24"/>
          <w:szCs w:val="24"/>
          <w:lang w:eastAsia="en-AU"/>
        </w:rPr>
      </w:pPr>
    </w:p>
    <w:p w14:paraId="685A0A7D" w14:textId="1647C11C"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1F8E43D7"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w:t>
      </w:r>
      <w:proofErr w:type="gramStart"/>
      <w:r>
        <w:rPr>
          <w:rFonts w:ascii="Times New Roman" w:hAnsi="Times New Roman" w:cs="Times New Roman"/>
          <w:bCs/>
          <w:sz w:val="24"/>
          <w:szCs w:val="24"/>
        </w:rPr>
        <w:t>to progressively secure</w:t>
      </w:r>
      <w:proofErr w:type="gramEnd"/>
      <w:r>
        <w:rPr>
          <w:rFonts w:ascii="Times New Roman" w:hAnsi="Times New Roman" w:cs="Times New Roman"/>
          <w:bCs/>
          <w:sz w:val="24"/>
          <w:szCs w:val="24"/>
        </w:rPr>
        <w:t xml:space="preserve"> broader enjoyment of the right. </w:t>
      </w:r>
      <w:proofErr w:type="gramStart"/>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roofErr w:type="gramEnd"/>
    </w:p>
    <w:p w14:paraId="15195A4B" w14:textId="77777777" w:rsidR="00510EB5" w:rsidRDefault="00510EB5" w:rsidP="00510EB5">
      <w:pPr>
        <w:spacing w:after="0"/>
        <w:contextualSpacing/>
        <w:rPr>
          <w:rFonts w:ascii="Times New Roman" w:hAnsi="Times New Roman" w:cs="Times New Roman"/>
          <w:sz w:val="24"/>
          <w:szCs w:val="24"/>
        </w:rPr>
      </w:pPr>
    </w:p>
    <w:p w14:paraId="163E7727" w14:textId="77777777"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 xml:space="preserve">The instrument takes positive steps to promote the right to health by ensuring the safety and quality of therapeutic goods that are listed medicines. </w:t>
      </w:r>
      <w:proofErr w:type="gramStart"/>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roofErr w:type="gramEnd"/>
    </w:p>
    <w:p w14:paraId="756DBF00" w14:textId="77777777" w:rsidR="00DD5F7F" w:rsidRPr="00DD5F7F" w:rsidRDefault="00DD5F7F" w:rsidP="00DD5F7F">
      <w:pPr>
        <w:spacing w:after="0"/>
        <w:contextualSpacing/>
        <w:rPr>
          <w:rFonts w:ascii="Times New Roman" w:hAnsi="Times New Roman" w:cs="Times New Roman"/>
          <w:sz w:val="24"/>
          <w:szCs w:val="24"/>
        </w:rPr>
      </w:pPr>
      <w:bookmarkStart w:id="0" w:name="_GoBack"/>
      <w:bookmarkEnd w:id="0"/>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w:t>
      </w:r>
      <w:proofErr w:type="gramStart"/>
      <w:r>
        <w:rPr>
          <w:rFonts w:ascii="Times New Roman" w:hAnsi="Times New Roman" w:cs="Times New Roman"/>
          <w:sz w:val="24"/>
          <w:szCs w:val="24"/>
        </w:rPr>
        <w:t>are not evaluated</w:t>
      </w:r>
      <w:proofErr w:type="gramEnd"/>
      <w:r>
        <w:rPr>
          <w:rFonts w:ascii="Times New Roman" w:hAnsi="Times New Roman" w:cs="Times New Roman"/>
          <w:sz w:val="24"/>
          <w:szCs w:val="24"/>
        </w:rPr>
        <w:t xml:space="preserve">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510EB5">
      <w:pPr>
        <w:spacing w:after="0"/>
        <w:contextualSpacing/>
        <w:rPr>
          <w:rFonts w:ascii="Times New Roman" w:eastAsia="Times New Roman" w:hAnsi="Times New Roman" w:cs="Times New Roman"/>
          <w:sz w:val="24"/>
          <w:szCs w:val="24"/>
          <w:lang w:eastAsia="en-AU"/>
        </w:rPr>
      </w:pPr>
    </w:p>
    <w:p w14:paraId="04806E92" w14:textId="7663A1FE" w:rsidR="00EF1F18" w:rsidRPr="00A419EA" w:rsidRDefault="00EF1F18" w:rsidP="00720518">
      <w:pPr>
        <w:keepNext/>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lastRenderedPageBreak/>
        <w:t>Conclusion</w:t>
      </w:r>
      <w:r w:rsidR="003D54C1">
        <w:rPr>
          <w:rFonts w:ascii="Times New Roman" w:eastAsia="Times New Roman" w:hAnsi="Times New Roman" w:cs="Times New Roman"/>
          <w:b/>
          <w:bCs/>
          <w:sz w:val="24"/>
          <w:szCs w:val="24"/>
          <w:lang w:eastAsia="en-AU"/>
        </w:rPr>
        <w:t xml:space="preserve"> </w:t>
      </w:r>
    </w:p>
    <w:p w14:paraId="4E1E7F6D" w14:textId="77777777" w:rsidR="00EF1F18" w:rsidRPr="0034672A" w:rsidRDefault="00EF1F18" w:rsidP="0034672A">
      <w:pPr>
        <w:spacing w:after="0"/>
        <w:contextualSpacing/>
        <w:rPr>
          <w:rFonts w:ascii="Times New Roman" w:hAnsi="Times New Roman" w:cs="Times New Roman"/>
          <w:sz w:val="24"/>
          <w:szCs w:val="24"/>
        </w:rPr>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p w14:paraId="030B4EC5" w14:textId="77777777" w:rsidR="004761AE" w:rsidRDefault="004761AE">
      <w:pPr>
        <w:spacing w:before="120" w:after="120"/>
        <w:rPr>
          <w:rFonts w:ascii="Times New Roman" w:eastAsia="Times New Roman" w:hAnsi="Times New Roman" w:cs="Times New Roman"/>
          <w:b/>
          <w:bCs/>
          <w:sz w:val="24"/>
          <w:szCs w:val="24"/>
          <w:lang w:eastAsia="en-AU"/>
        </w:rPr>
      </w:pPr>
    </w:p>
    <w:p w14:paraId="63D98AB2" w14:textId="77777777" w:rsidR="008C0845" w:rsidRDefault="00E36564">
      <w:pPr>
        <w:spacing w:before="120" w:after="120"/>
      </w:pPr>
      <w:r>
        <w:rPr>
          <w:rFonts w:ascii="Times New Roman" w:eastAsia="Times New Roman" w:hAnsi="Times New Roman" w:cs="Times New Roman"/>
          <w:b/>
          <w:bCs/>
          <w:sz w:val="24"/>
          <w:szCs w:val="24"/>
          <w:lang w:eastAsia="en-AU"/>
        </w:rPr>
        <w:t>Cheryl McRae</w:t>
      </w:r>
      <w:r w:rsidR="00EF1F18" w:rsidRPr="00A419EA">
        <w:rPr>
          <w:rFonts w:ascii="Times New Roman" w:eastAsia="Times New Roman" w:hAnsi="Times New Roman" w:cs="Times New Roman"/>
          <w:b/>
          <w:bCs/>
          <w:sz w:val="24"/>
          <w:szCs w:val="24"/>
          <w:lang w:eastAsia="en-AU"/>
        </w:rPr>
        <w:t xml:space="preserve">, </w:t>
      </w:r>
      <w:r w:rsidR="00EF1F18" w:rsidRPr="00456FF8">
        <w:rPr>
          <w:rFonts w:ascii="Times New Roman" w:eastAsia="Times New Roman" w:hAnsi="Times New Roman" w:cs="Times New Roman"/>
          <w:b/>
          <w:bCs/>
          <w:sz w:val="24"/>
          <w:szCs w:val="24"/>
          <w:lang w:eastAsia="en-AU"/>
        </w:rPr>
        <w:t>delegate of the Minister for Health</w:t>
      </w:r>
      <w:r w:rsidR="00EF1F18">
        <w:rPr>
          <w:rFonts w:ascii="Times New Roman" w:eastAsia="Times New Roman" w:hAnsi="Times New Roman" w:cs="Times New Roman"/>
          <w:b/>
          <w:bCs/>
          <w:sz w:val="24"/>
          <w:szCs w:val="24"/>
          <w:lang w:eastAsia="en-AU"/>
        </w:rPr>
        <w:t xml:space="preserve"> </w:t>
      </w:r>
    </w:p>
    <w:sectPr w:rsidR="008C0845" w:rsidSect="00680B29">
      <w:footerReference w:type="defaul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FD9FC" w14:textId="77777777" w:rsidR="00740B2A" w:rsidRDefault="00740B2A" w:rsidP="008939B1">
      <w:pPr>
        <w:spacing w:after="0" w:line="240" w:lineRule="auto"/>
      </w:pPr>
      <w:r>
        <w:separator/>
      </w:r>
    </w:p>
  </w:endnote>
  <w:endnote w:type="continuationSeparator" w:id="0">
    <w:p w14:paraId="5911F7C5" w14:textId="77777777" w:rsidR="00740B2A" w:rsidRDefault="00740B2A" w:rsidP="008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2084" w14:textId="4FC1F025" w:rsidR="00AC5813" w:rsidRPr="00AC5813" w:rsidRDefault="00AC5813"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sidR="003D54C1">
      <w:rPr>
        <w:rFonts w:ascii="Times New Roman" w:hAnsi="Times New Roman" w:cs="Times New Roman"/>
        <w:noProof/>
        <w:sz w:val="24"/>
        <w:szCs w:val="24"/>
      </w:rPr>
      <w:t>10</w:t>
    </w:r>
    <w:r w:rsidRPr="00AC581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3EDE" w14:textId="77777777" w:rsidR="00740B2A" w:rsidRDefault="00740B2A" w:rsidP="008939B1">
      <w:pPr>
        <w:spacing w:after="0" w:line="240" w:lineRule="auto"/>
      </w:pPr>
      <w:r>
        <w:separator/>
      </w:r>
    </w:p>
  </w:footnote>
  <w:footnote w:type="continuationSeparator" w:id="0">
    <w:p w14:paraId="15FEDFBC" w14:textId="77777777" w:rsidR="00740B2A" w:rsidRDefault="00740B2A" w:rsidP="0089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3762D3"/>
    <w:multiLevelType w:val="hybridMultilevel"/>
    <w:tmpl w:val="0C74F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0"/>
  </w:num>
  <w:num w:numId="5">
    <w:abstractNumId w:val="3"/>
  </w:num>
  <w:num w:numId="6">
    <w:abstractNumId w:val="6"/>
  </w:num>
  <w:num w:numId="7">
    <w:abstractNumId w:val="10"/>
  </w:num>
  <w:num w:numId="8">
    <w:abstractNumId w:val="9"/>
  </w:num>
  <w:num w:numId="9">
    <w:abstractNumId w:val="4"/>
  </w:num>
  <w:num w:numId="10">
    <w:abstractNumId w:val="7"/>
  </w:num>
  <w:num w:numId="11">
    <w:abstractNumId w:val="8"/>
  </w:num>
  <w:num w:numId="12">
    <w:abstractNumId w:val="1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45"/>
    <w:rsid w:val="00000508"/>
    <w:rsid w:val="000011FE"/>
    <w:rsid w:val="00005653"/>
    <w:rsid w:val="00007539"/>
    <w:rsid w:val="00014A86"/>
    <w:rsid w:val="00020744"/>
    <w:rsid w:val="000253EC"/>
    <w:rsid w:val="00027571"/>
    <w:rsid w:val="00032FAE"/>
    <w:rsid w:val="00042274"/>
    <w:rsid w:val="00045C71"/>
    <w:rsid w:val="00050B0F"/>
    <w:rsid w:val="00055505"/>
    <w:rsid w:val="00055DF5"/>
    <w:rsid w:val="0006051F"/>
    <w:rsid w:val="00066B2F"/>
    <w:rsid w:val="00066CCA"/>
    <w:rsid w:val="00072A36"/>
    <w:rsid w:val="00073166"/>
    <w:rsid w:val="00073AFE"/>
    <w:rsid w:val="000743AA"/>
    <w:rsid w:val="000805C8"/>
    <w:rsid w:val="00082CAB"/>
    <w:rsid w:val="00083EC1"/>
    <w:rsid w:val="00092EDD"/>
    <w:rsid w:val="0009412D"/>
    <w:rsid w:val="000A6A62"/>
    <w:rsid w:val="000A7327"/>
    <w:rsid w:val="000C363D"/>
    <w:rsid w:val="000D3185"/>
    <w:rsid w:val="000D444D"/>
    <w:rsid w:val="000D45A0"/>
    <w:rsid w:val="000D56EB"/>
    <w:rsid w:val="000E1C1C"/>
    <w:rsid w:val="000E3020"/>
    <w:rsid w:val="000F4D51"/>
    <w:rsid w:val="000F7DDF"/>
    <w:rsid w:val="00113AE2"/>
    <w:rsid w:val="00114578"/>
    <w:rsid w:val="001160DE"/>
    <w:rsid w:val="00123510"/>
    <w:rsid w:val="001260D9"/>
    <w:rsid w:val="0013266B"/>
    <w:rsid w:val="0013620C"/>
    <w:rsid w:val="00142FE8"/>
    <w:rsid w:val="00143BEC"/>
    <w:rsid w:val="00145ED6"/>
    <w:rsid w:val="001503DB"/>
    <w:rsid w:val="00151C11"/>
    <w:rsid w:val="0015421F"/>
    <w:rsid w:val="00180117"/>
    <w:rsid w:val="00187288"/>
    <w:rsid w:val="00187B3D"/>
    <w:rsid w:val="00192658"/>
    <w:rsid w:val="0019281D"/>
    <w:rsid w:val="00197C3F"/>
    <w:rsid w:val="001A1891"/>
    <w:rsid w:val="001B2279"/>
    <w:rsid w:val="001B4017"/>
    <w:rsid w:val="001B7ED3"/>
    <w:rsid w:val="001C3292"/>
    <w:rsid w:val="001C38AF"/>
    <w:rsid w:val="001C5A13"/>
    <w:rsid w:val="001D15A8"/>
    <w:rsid w:val="001D3782"/>
    <w:rsid w:val="001D5FD1"/>
    <w:rsid w:val="001D6B26"/>
    <w:rsid w:val="001D75F6"/>
    <w:rsid w:val="001E00EE"/>
    <w:rsid w:val="001E0B7A"/>
    <w:rsid w:val="001F063F"/>
    <w:rsid w:val="001F1830"/>
    <w:rsid w:val="001F626E"/>
    <w:rsid w:val="00200D8C"/>
    <w:rsid w:val="0020180F"/>
    <w:rsid w:val="00201DC1"/>
    <w:rsid w:val="00202641"/>
    <w:rsid w:val="0020404A"/>
    <w:rsid w:val="00207B8A"/>
    <w:rsid w:val="00210E3C"/>
    <w:rsid w:val="00216B37"/>
    <w:rsid w:val="00226F3C"/>
    <w:rsid w:val="002323CF"/>
    <w:rsid w:val="00232972"/>
    <w:rsid w:val="00233242"/>
    <w:rsid w:val="00236ECD"/>
    <w:rsid w:val="0023720D"/>
    <w:rsid w:val="002374AC"/>
    <w:rsid w:val="00247B5E"/>
    <w:rsid w:val="00254970"/>
    <w:rsid w:val="0025627C"/>
    <w:rsid w:val="0025799D"/>
    <w:rsid w:val="0026142F"/>
    <w:rsid w:val="00272FA2"/>
    <w:rsid w:val="002751D3"/>
    <w:rsid w:val="00275D92"/>
    <w:rsid w:val="00284FF6"/>
    <w:rsid w:val="00285CFE"/>
    <w:rsid w:val="00287D9F"/>
    <w:rsid w:val="0029115B"/>
    <w:rsid w:val="00293C0C"/>
    <w:rsid w:val="002968E0"/>
    <w:rsid w:val="0029743B"/>
    <w:rsid w:val="00297C07"/>
    <w:rsid w:val="002B4F6A"/>
    <w:rsid w:val="002B741E"/>
    <w:rsid w:val="002B7A34"/>
    <w:rsid w:val="002C1322"/>
    <w:rsid w:val="002C4652"/>
    <w:rsid w:val="002D1160"/>
    <w:rsid w:val="002D3CD4"/>
    <w:rsid w:val="002D67DA"/>
    <w:rsid w:val="002E6160"/>
    <w:rsid w:val="002F5583"/>
    <w:rsid w:val="002F6548"/>
    <w:rsid w:val="00316B98"/>
    <w:rsid w:val="00322EC3"/>
    <w:rsid w:val="0032369E"/>
    <w:rsid w:val="003260F5"/>
    <w:rsid w:val="003307B8"/>
    <w:rsid w:val="003327D3"/>
    <w:rsid w:val="00337FDB"/>
    <w:rsid w:val="00340F3C"/>
    <w:rsid w:val="00345822"/>
    <w:rsid w:val="0034672A"/>
    <w:rsid w:val="003650CC"/>
    <w:rsid w:val="003811C0"/>
    <w:rsid w:val="0038203D"/>
    <w:rsid w:val="003A0BFB"/>
    <w:rsid w:val="003A20C5"/>
    <w:rsid w:val="003A2811"/>
    <w:rsid w:val="003A3E75"/>
    <w:rsid w:val="003A4D8C"/>
    <w:rsid w:val="003A59EA"/>
    <w:rsid w:val="003A7110"/>
    <w:rsid w:val="003A73A0"/>
    <w:rsid w:val="003B4F23"/>
    <w:rsid w:val="003B7DAB"/>
    <w:rsid w:val="003C6D6E"/>
    <w:rsid w:val="003C7446"/>
    <w:rsid w:val="003D54C1"/>
    <w:rsid w:val="003D610C"/>
    <w:rsid w:val="003E5AEA"/>
    <w:rsid w:val="003F01C5"/>
    <w:rsid w:val="004028BD"/>
    <w:rsid w:val="00402AD7"/>
    <w:rsid w:val="0040312B"/>
    <w:rsid w:val="004031E5"/>
    <w:rsid w:val="00403263"/>
    <w:rsid w:val="0040482D"/>
    <w:rsid w:val="00406749"/>
    <w:rsid w:val="00410EC3"/>
    <w:rsid w:val="00414CD9"/>
    <w:rsid w:val="00424E87"/>
    <w:rsid w:val="0042665D"/>
    <w:rsid w:val="004325B5"/>
    <w:rsid w:val="00432CF7"/>
    <w:rsid w:val="00437C00"/>
    <w:rsid w:val="00437C42"/>
    <w:rsid w:val="00444741"/>
    <w:rsid w:val="0044599A"/>
    <w:rsid w:val="00446EA8"/>
    <w:rsid w:val="00456FF8"/>
    <w:rsid w:val="00461ED8"/>
    <w:rsid w:val="0046549C"/>
    <w:rsid w:val="004761AE"/>
    <w:rsid w:val="00477283"/>
    <w:rsid w:val="00490585"/>
    <w:rsid w:val="00495C5F"/>
    <w:rsid w:val="0049672B"/>
    <w:rsid w:val="004A68BB"/>
    <w:rsid w:val="004A7F16"/>
    <w:rsid w:val="004B4DF3"/>
    <w:rsid w:val="004C6EFE"/>
    <w:rsid w:val="004D7D5D"/>
    <w:rsid w:val="004E03D6"/>
    <w:rsid w:val="004E05C9"/>
    <w:rsid w:val="004F11F8"/>
    <w:rsid w:val="004F2366"/>
    <w:rsid w:val="004F52D9"/>
    <w:rsid w:val="004F5754"/>
    <w:rsid w:val="004F601B"/>
    <w:rsid w:val="0050197A"/>
    <w:rsid w:val="00503A36"/>
    <w:rsid w:val="00504F4D"/>
    <w:rsid w:val="005058A2"/>
    <w:rsid w:val="00510EB5"/>
    <w:rsid w:val="005110EF"/>
    <w:rsid w:val="00511E85"/>
    <w:rsid w:val="00516446"/>
    <w:rsid w:val="00522A66"/>
    <w:rsid w:val="005300AF"/>
    <w:rsid w:val="00530B7D"/>
    <w:rsid w:val="00537597"/>
    <w:rsid w:val="00543F77"/>
    <w:rsid w:val="00546044"/>
    <w:rsid w:val="00546C0E"/>
    <w:rsid w:val="0055006E"/>
    <w:rsid w:val="00553D8E"/>
    <w:rsid w:val="005647D9"/>
    <w:rsid w:val="00567C3B"/>
    <w:rsid w:val="00567F6F"/>
    <w:rsid w:val="00571AF3"/>
    <w:rsid w:val="00576EB4"/>
    <w:rsid w:val="0058050E"/>
    <w:rsid w:val="00587C76"/>
    <w:rsid w:val="005A5867"/>
    <w:rsid w:val="005A5B1A"/>
    <w:rsid w:val="005C1E01"/>
    <w:rsid w:val="005C30DC"/>
    <w:rsid w:val="005C3927"/>
    <w:rsid w:val="005C475C"/>
    <w:rsid w:val="005D2839"/>
    <w:rsid w:val="005D7A92"/>
    <w:rsid w:val="005E1A47"/>
    <w:rsid w:val="005E4E3D"/>
    <w:rsid w:val="005F1175"/>
    <w:rsid w:val="005F192D"/>
    <w:rsid w:val="005F2423"/>
    <w:rsid w:val="005F516E"/>
    <w:rsid w:val="005F524B"/>
    <w:rsid w:val="006003F5"/>
    <w:rsid w:val="0060127F"/>
    <w:rsid w:val="00601754"/>
    <w:rsid w:val="00603428"/>
    <w:rsid w:val="006068A0"/>
    <w:rsid w:val="006161DC"/>
    <w:rsid w:val="0062190F"/>
    <w:rsid w:val="00622033"/>
    <w:rsid w:val="006320B2"/>
    <w:rsid w:val="00632471"/>
    <w:rsid w:val="00632A23"/>
    <w:rsid w:val="00633529"/>
    <w:rsid w:val="00634921"/>
    <w:rsid w:val="0063789C"/>
    <w:rsid w:val="00644F7C"/>
    <w:rsid w:val="006469D8"/>
    <w:rsid w:val="00652960"/>
    <w:rsid w:val="00653B08"/>
    <w:rsid w:val="00663231"/>
    <w:rsid w:val="00664338"/>
    <w:rsid w:val="00664CE0"/>
    <w:rsid w:val="00665E71"/>
    <w:rsid w:val="00673DE0"/>
    <w:rsid w:val="00680B29"/>
    <w:rsid w:val="006850DB"/>
    <w:rsid w:val="00685980"/>
    <w:rsid w:val="00686884"/>
    <w:rsid w:val="0069146E"/>
    <w:rsid w:val="006A3A8C"/>
    <w:rsid w:val="006A6288"/>
    <w:rsid w:val="006A63BE"/>
    <w:rsid w:val="006B6D92"/>
    <w:rsid w:val="006C1D61"/>
    <w:rsid w:val="006C6DF0"/>
    <w:rsid w:val="006C704D"/>
    <w:rsid w:val="006D48D4"/>
    <w:rsid w:val="006D4AB8"/>
    <w:rsid w:val="006D5E19"/>
    <w:rsid w:val="006D768D"/>
    <w:rsid w:val="006E0828"/>
    <w:rsid w:val="006E3745"/>
    <w:rsid w:val="006E787D"/>
    <w:rsid w:val="006F0BA2"/>
    <w:rsid w:val="006F49F6"/>
    <w:rsid w:val="006F4A40"/>
    <w:rsid w:val="006F6F98"/>
    <w:rsid w:val="007040CD"/>
    <w:rsid w:val="0070680E"/>
    <w:rsid w:val="00706B96"/>
    <w:rsid w:val="007075E6"/>
    <w:rsid w:val="00716D98"/>
    <w:rsid w:val="00720518"/>
    <w:rsid w:val="00726DAE"/>
    <w:rsid w:val="00727228"/>
    <w:rsid w:val="00730B3D"/>
    <w:rsid w:val="007313BA"/>
    <w:rsid w:val="0073245E"/>
    <w:rsid w:val="00737E1D"/>
    <w:rsid w:val="00740B2A"/>
    <w:rsid w:val="0074268C"/>
    <w:rsid w:val="007445FE"/>
    <w:rsid w:val="0074493B"/>
    <w:rsid w:val="0075281F"/>
    <w:rsid w:val="007537FC"/>
    <w:rsid w:val="00753C5B"/>
    <w:rsid w:val="007541DC"/>
    <w:rsid w:val="00763767"/>
    <w:rsid w:val="00766F34"/>
    <w:rsid w:val="0077454E"/>
    <w:rsid w:val="00781FEC"/>
    <w:rsid w:val="00784A51"/>
    <w:rsid w:val="00786056"/>
    <w:rsid w:val="007925F3"/>
    <w:rsid w:val="00794D3C"/>
    <w:rsid w:val="007A0C05"/>
    <w:rsid w:val="007A251F"/>
    <w:rsid w:val="007B019E"/>
    <w:rsid w:val="007B1478"/>
    <w:rsid w:val="007B76BB"/>
    <w:rsid w:val="007C503B"/>
    <w:rsid w:val="007C6937"/>
    <w:rsid w:val="007C7B0A"/>
    <w:rsid w:val="007D161A"/>
    <w:rsid w:val="007E62AA"/>
    <w:rsid w:val="007E7331"/>
    <w:rsid w:val="007F3304"/>
    <w:rsid w:val="007F6345"/>
    <w:rsid w:val="00804BAA"/>
    <w:rsid w:val="00807896"/>
    <w:rsid w:val="00810BFB"/>
    <w:rsid w:val="00814F7B"/>
    <w:rsid w:val="00815399"/>
    <w:rsid w:val="00822DF8"/>
    <w:rsid w:val="008238B7"/>
    <w:rsid w:val="008403C0"/>
    <w:rsid w:val="008416DD"/>
    <w:rsid w:val="008452B5"/>
    <w:rsid w:val="00845A4E"/>
    <w:rsid w:val="00845A80"/>
    <w:rsid w:val="00850146"/>
    <w:rsid w:val="008501F3"/>
    <w:rsid w:val="008515B1"/>
    <w:rsid w:val="00856471"/>
    <w:rsid w:val="008666FC"/>
    <w:rsid w:val="008727AB"/>
    <w:rsid w:val="00873780"/>
    <w:rsid w:val="00873CEF"/>
    <w:rsid w:val="008833F0"/>
    <w:rsid w:val="00887720"/>
    <w:rsid w:val="00890B01"/>
    <w:rsid w:val="008939B1"/>
    <w:rsid w:val="00893D80"/>
    <w:rsid w:val="00894393"/>
    <w:rsid w:val="00895420"/>
    <w:rsid w:val="008957CE"/>
    <w:rsid w:val="008A5EAC"/>
    <w:rsid w:val="008B20FC"/>
    <w:rsid w:val="008B341F"/>
    <w:rsid w:val="008C0845"/>
    <w:rsid w:val="008C1892"/>
    <w:rsid w:val="008C64E0"/>
    <w:rsid w:val="008C7CA5"/>
    <w:rsid w:val="008D2E76"/>
    <w:rsid w:val="008D3A14"/>
    <w:rsid w:val="008D4189"/>
    <w:rsid w:val="008E082F"/>
    <w:rsid w:val="008E298E"/>
    <w:rsid w:val="008E5682"/>
    <w:rsid w:val="008E6A84"/>
    <w:rsid w:val="008E75B9"/>
    <w:rsid w:val="008F25EE"/>
    <w:rsid w:val="008F596A"/>
    <w:rsid w:val="008F5C4E"/>
    <w:rsid w:val="00903A99"/>
    <w:rsid w:val="00905BC7"/>
    <w:rsid w:val="00907B73"/>
    <w:rsid w:val="00910190"/>
    <w:rsid w:val="0091180B"/>
    <w:rsid w:val="009127C8"/>
    <w:rsid w:val="009139B4"/>
    <w:rsid w:val="00913CF7"/>
    <w:rsid w:val="00916D96"/>
    <w:rsid w:val="00917AD5"/>
    <w:rsid w:val="009357A3"/>
    <w:rsid w:val="0094113C"/>
    <w:rsid w:val="0094479A"/>
    <w:rsid w:val="00945858"/>
    <w:rsid w:val="00955B2F"/>
    <w:rsid w:val="00955E93"/>
    <w:rsid w:val="00960091"/>
    <w:rsid w:val="00960206"/>
    <w:rsid w:val="009629C3"/>
    <w:rsid w:val="00967425"/>
    <w:rsid w:val="009766DD"/>
    <w:rsid w:val="00977431"/>
    <w:rsid w:val="00977EF7"/>
    <w:rsid w:val="00987467"/>
    <w:rsid w:val="00990D02"/>
    <w:rsid w:val="009959B1"/>
    <w:rsid w:val="00996D14"/>
    <w:rsid w:val="009A1C10"/>
    <w:rsid w:val="009A530B"/>
    <w:rsid w:val="009A537D"/>
    <w:rsid w:val="009B1DA1"/>
    <w:rsid w:val="009B31D6"/>
    <w:rsid w:val="009D3627"/>
    <w:rsid w:val="009D51D2"/>
    <w:rsid w:val="009E5A87"/>
    <w:rsid w:val="009F1E49"/>
    <w:rsid w:val="009F2BD2"/>
    <w:rsid w:val="009F3777"/>
    <w:rsid w:val="00A01E31"/>
    <w:rsid w:val="00A03B13"/>
    <w:rsid w:val="00A06715"/>
    <w:rsid w:val="00A0787D"/>
    <w:rsid w:val="00A10B2D"/>
    <w:rsid w:val="00A10F78"/>
    <w:rsid w:val="00A268EA"/>
    <w:rsid w:val="00A34A44"/>
    <w:rsid w:val="00A409E1"/>
    <w:rsid w:val="00A419EA"/>
    <w:rsid w:val="00A4560C"/>
    <w:rsid w:val="00A47C69"/>
    <w:rsid w:val="00A521FE"/>
    <w:rsid w:val="00A62B26"/>
    <w:rsid w:val="00A63D97"/>
    <w:rsid w:val="00A63F95"/>
    <w:rsid w:val="00A641CC"/>
    <w:rsid w:val="00A65FD1"/>
    <w:rsid w:val="00A70EDF"/>
    <w:rsid w:val="00A73FA2"/>
    <w:rsid w:val="00A84DEA"/>
    <w:rsid w:val="00A8608C"/>
    <w:rsid w:val="00A94F6E"/>
    <w:rsid w:val="00AB4D85"/>
    <w:rsid w:val="00AB7E03"/>
    <w:rsid w:val="00AC0E83"/>
    <w:rsid w:val="00AC3DBC"/>
    <w:rsid w:val="00AC41A5"/>
    <w:rsid w:val="00AC5813"/>
    <w:rsid w:val="00AD01A3"/>
    <w:rsid w:val="00AE2E87"/>
    <w:rsid w:val="00AF2374"/>
    <w:rsid w:val="00AF3859"/>
    <w:rsid w:val="00AF44AF"/>
    <w:rsid w:val="00AF70C1"/>
    <w:rsid w:val="00B028DC"/>
    <w:rsid w:val="00B03322"/>
    <w:rsid w:val="00B06A14"/>
    <w:rsid w:val="00B136FA"/>
    <w:rsid w:val="00B16543"/>
    <w:rsid w:val="00B17AB3"/>
    <w:rsid w:val="00B229D8"/>
    <w:rsid w:val="00B43CEF"/>
    <w:rsid w:val="00B4506D"/>
    <w:rsid w:val="00B46639"/>
    <w:rsid w:val="00B5769D"/>
    <w:rsid w:val="00B60F0C"/>
    <w:rsid w:val="00B66E04"/>
    <w:rsid w:val="00B72803"/>
    <w:rsid w:val="00B7641E"/>
    <w:rsid w:val="00B80545"/>
    <w:rsid w:val="00B82A8D"/>
    <w:rsid w:val="00B830CE"/>
    <w:rsid w:val="00B877B0"/>
    <w:rsid w:val="00BA016B"/>
    <w:rsid w:val="00BA150B"/>
    <w:rsid w:val="00BA3FDB"/>
    <w:rsid w:val="00BB0C79"/>
    <w:rsid w:val="00BB3518"/>
    <w:rsid w:val="00BC1EFA"/>
    <w:rsid w:val="00BC40E4"/>
    <w:rsid w:val="00BD02A2"/>
    <w:rsid w:val="00BD2902"/>
    <w:rsid w:val="00BE184C"/>
    <w:rsid w:val="00BE7EA1"/>
    <w:rsid w:val="00BF0F92"/>
    <w:rsid w:val="00BF7DD9"/>
    <w:rsid w:val="00C1038C"/>
    <w:rsid w:val="00C10BAC"/>
    <w:rsid w:val="00C15104"/>
    <w:rsid w:val="00C15D1A"/>
    <w:rsid w:val="00C30116"/>
    <w:rsid w:val="00C37F4E"/>
    <w:rsid w:val="00C55EE9"/>
    <w:rsid w:val="00C666E3"/>
    <w:rsid w:val="00C72397"/>
    <w:rsid w:val="00C72689"/>
    <w:rsid w:val="00C74D38"/>
    <w:rsid w:val="00C77F38"/>
    <w:rsid w:val="00C85FBC"/>
    <w:rsid w:val="00C86005"/>
    <w:rsid w:val="00C87CCD"/>
    <w:rsid w:val="00C92827"/>
    <w:rsid w:val="00C93C1A"/>
    <w:rsid w:val="00CA2F70"/>
    <w:rsid w:val="00CA566F"/>
    <w:rsid w:val="00CA768A"/>
    <w:rsid w:val="00CC6EC4"/>
    <w:rsid w:val="00CC7D63"/>
    <w:rsid w:val="00CD3676"/>
    <w:rsid w:val="00CD6D87"/>
    <w:rsid w:val="00CE0B2D"/>
    <w:rsid w:val="00CE1E8C"/>
    <w:rsid w:val="00CE49AE"/>
    <w:rsid w:val="00CE5103"/>
    <w:rsid w:val="00D00D43"/>
    <w:rsid w:val="00D054A9"/>
    <w:rsid w:val="00D064A3"/>
    <w:rsid w:val="00D06C24"/>
    <w:rsid w:val="00D104BF"/>
    <w:rsid w:val="00D132B4"/>
    <w:rsid w:val="00D202AD"/>
    <w:rsid w:val="00D25169"/>
    <w:rsid w:val="00D25D18"/>
    <w:rsid w:val="00D2675E"/>
    <w:rsid w:val="00D31199"/>
    <w:rsid w:val="00D3180C"/>
    <w:rsid w:val="00D40842"/>
    <w:rsid w:val="00D450ED"/>
    <w:rsid w:val="00D460EB"/>
    <w:rsid w:val="00D4773E"/>
    <w:rsid w:val="00D506AB"/>
    <w:rsid w:val="00D71DFE"/>
    <w:rsid w:val="00D731D4"/>
    <w:rsid w:val="00D732D5"/>
    <w:rsid w:val="00D73363"/>
    <w:rsid w:val="00D73E6B"/>
    <w:rsid w:val="00D84DF2"/>
    <w:rsid w:val="00D9710A"/>
    <w:rsid w:val="00DA0372"/>
    <w:rsid w:val="00DA2CCD"/>
    <w:rsid w:val="00DA4B10"/>
    <w:rsid w:val="00DA5DA3"/>
    <w:rsid w:val="00DB09C5"/>
    <w:rsid w:val="00DB1E17"/>
    <w:rsid w:val="00DB706A"/>
    <w:rsid w:val="00DB7FF6"/>
    <w:rsid w:val="00DC4741"/>
    <w:rsid w:val="00DC4C8C"/>
    <w:rsid w:val="00DC56A0"/>
    <w:rsid w:val="00DD12DA"/>
    <w:rsid w:val="00DD5F7F"/>
    <w:rsid w:val="00DD7962"/>
    <w:rsid w:val="00DE0E9F"/>
    <w:rsid w:val="00DE4154"/>
    <w:rsid w:val="00DE6363"/>
    <w:rsid w:val="00DE79DF"/>
    <w:rsid w:val="00DF0880"/>
    <w:rsid w:val="00DF112F"/>
    <w:rsid w:val="00DF5293"/>
    <w:rsid w:val="00DF6C2A"/>
    <w:rsid w:val="00E01934"/>
    <w:rsid w:val="00E05ACE"/>
    <w:rsid w:val="00E06731"/>
    <w:rsid w:val="00E1152E"/>
    <w:rsid w:val="00E1463E"/>
    <w:rsid w:val="00E2024D"/>
    <w:rsid w:val="00E20723"/>
    <w:rsid w:val="00E21E29"/>
    <w:rsid w:val="00E32ED1"/>
    <w:rsid w:val="00E35A16"/>
    <w:rsid w:val="00E36564"/>
    <w:rsid w:val="00E368A6"/>
    <w:rsid w:val="00E3727D"/>
    <w:rsid w:val="00E41C3E"/>
    <w:rsid w:val="00E436CF"/>
    <w:rsid w:val="00E501C6"/>
    <w:rsid w:val="00E50E9C"/>
    <w:rsid w:val="00E516A3"/>
    <w:rsid w:val="00E5765F"/>
    <w:rsid w:val="00E663A0"/>
    <w:rsid w:val="00E67371"/>
    <w:rsid w:val="00E715AB"/>
    <w:rsid w:val="00E757B0"/>
    <w:rsid w:val="00E77437"/>
    <w:rsid w:val="00E82B82"/>
    <w:rsid w:val="00E83143"/>
    <w:rsid w:val="00E87D5E"/>
    <w:rsid w:val="00E93B09"/>
    <w:rsid w:val="00E9519B"/>
    <w:rsid w:val="00E96741"/>
    <w:rsid w:val="00E97E68"/>
    <w:rsid w:val="00EA670C"/>
    <w:rsid w:val="00EB1BE3"/>
    <w:rsid w:val="00EB25AF"/>
    <w:rsid w:val="00EB67BE"/>
    <w:rsid w:val="00EC4FAB"/>
    <w:rsid w:val="00EC7FEA"/>
    <w:rsid w:val="00ED02ED"/>
    <w:rsid w:val="00ED081D"/>
    <w:rsid w:val="00ED0A40"/>
    <w:rsid w:val="00ED0E94"/>
    <w:rsid w:val="00ED137F"/>
    <w:rsid w:val="00ED2878"/>
    <w:rsid w:val="00EE4214"/>
    <w:rsid w:val="00EF1F18"/>
    <w:rsid w:val="00EF2A8C"/>
    <w:rsid w:val="00EF617F"/>
    <w:rsid w:val="00EF6D39"/>
    <w:rsid w:val="00EF6E66"/>
    <w:rsid w:val="00F0557E"/>
    <w:rsid w:val="00F111D7"/>
    <w:rsid w:val="00F125E1"/>
    <w:rsid w:val="00F12793"/>
    <w:rsid w:val="00F211CC"/>
    <w:rsid w:val="00F340FC"/>
    <w:rsid w:val="00F37123"/>
    <w:rsid w:val="00F464DC"/>
    <w:rsid w:val="00F52A03"/>
    <w:rsid w:val="00F610A7"/>
    <w:rsid w:val="00F67EF7"/>
    <w:rsid w:val="00F70C6F"/>
    <w:rsid w:val="00F84B7B"/>
    <w:rsid w:val="00F86FEE"/>
    <w:rsid w:val="00F951C9"/>
    <w:rsid w:val="00F954D2"/>
    <w:rsid w:val="00F96347"/>
    <w:rsid w:val="00F96537"/>
    <w:rsid w:val="00F977F5"/>
    <w:rsid w:val="00FA19D6"/>
    <w:rsid w:val="00FA555C"/>
    <w:rsid w:val="00FA7084"/>
    <w:rsid w:val="00FB1FD6"/>
    <w:rsid w:val="00FB4355"/>
    <w:rsid w:val="00FB538B"/>
    <w:rsid w:val="00FB59B2"/>
    <w:rsid w:val="00FC26CD"/>
    <w:rsid w:val="00FC38CE"/>
    <w:rsid w:val="00FC394E"/>
    <w:rsid w:val="00FC5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2036D3F3"/>
  <w15:docId w15:val="{566A9380-3B28-4C45-9617-5CD506F7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acopoeia.com/" TargetMode="External"/><Relationship Id="rId13" Type="http://schemas.openxmlformats.org/officeDocument/2006/relationships/hyperlink" Target="http://www.rehydrate.org/ors/expert-consult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line.foodchemicalscodex.org" TargetMode="External"/><Relationship Id="rId5" Type="http://schemas.openxmlformats.org/officeDocument/2006/relationships/webSettings" Target="webSettings.xml"/><Relationship Id="rId15" Type="http://schemas.openxmlformats.org/officeDocument/2006/relationships/hyperlink" Target="http://www.openlibrary.org/books/OL22071008M/European_pharmacopoeia" TargetMode="External"/><Relationship Id="rId10" Type="http://schemas.openxmlformats.org/officeDocument/2006/relationships/hyperlink" Target="http://www.uspnf.com/" TargetMode="External"/><Relationship Id="rId4" Type="http://schemas.openxmlformats.org/officeDocument/2006/relationships/settings" Target="settings.xml"/><Relationship Id="rId9" Type="http://schemas.openxmlformats.org/officeDocument/2006/relationships/hyperlink" Target="http://www.edqm.eu/en/european-pharmacopoeia-ph-eur-9th-edition" TargetMode="External"/><Relationship Id="rId14" Type="http://schemas.openxmlformats.org/officeDocument/2006/relationships/hyperlink" Target="http://www.trove.nl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D5F6-C1C7-4A11-AC96-4DA859CE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3630</Words>
  <Characters>20694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3</cp:revision>
  <cp:lastPrinted>2020-05-26T04:09:00Z</cp:lastPrinted>
  <dcterms:created xsi:type="dcterms:W3CDTF">2020-05-29T05:25:00Z</dcterms:created>
  <dcterms:modified xsi:type="dcterms:W3CDTF">2020-05-29T05:29:00Z</dcterms:modified>
</cp:coreProperties>
</file>