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E03F9" w14:textId="336E3D51" w:rsidR="001F76CE" w:rsidRPr="007618F8" w:rsidRDefault="001F76CE" w:rsidP="001F76CE">
      <w:pPr>
        <w:pStyle w:val="Heading6"/>
        <w:rPr>
          <w:noProof w:val="0"/>
        </w:rPr>
      </w:pPr>
      <w:r w:rsidRPr="007618F8">
        <w:rPr>
          <w:noProof w:val="0"/>
        </w:rPr>
        <w:t>Defence Determination, Conditions of service Amendment Determination 2020 (No. 11)</w:t>
      </w:r>
    </w:p>
    <w:p w14:paraId="1D9B2DBE" w14:textId="77777777" w:rsidR="001F76CE" w:rsidRPr="007618F8" w:rsidRDefault="001F76CE" w:rsidP="001F76CE">
      <w:pPr>
        <w:pStyle w:val="Sectiontext"/>
        <w:tabs>
          <w:tab w:val="left" w:pos="7380"/>
        </w:tabs>
      </w:pPr>
      <w:r w:rsidRPr="007618F8">
        <w:t xml:space="preserve">This Determination amends Defence Determination 2016/19, Conditions of service (the Principal Determination), made under section 58B of the </w:t>
      </w:r>
      <w:r w:rsidRPr="007618F8">
        <w:rPr>
          <w:i/>
        </w:rPr>
        <w:t>Defence Act 1903</w:t>
      </w:r>
      <w:r w:rsidRPr="007618F8">
        <w:t xml:space="preserve"> and in accordance with subsection 33(3) of the </w:t>
      </w:r>
      <w:r w:rsidRPr="007618F8">
        <w:rPr>
          <w:i/>
        </w:rPr>
        <w:t>Acts Interpretation Act 1901</w:t>
      </w:r>
      <w:r w:rsidRPr="007618F8">
        <w:t xml:space="preserve"> (AI Act). </w:t>
      </w:r>
    </w:p>
    <w:p w14:paraId="65369409" w14:textId="77777777" w:rsidR="001F76CE" w:rsidRPr="007618F8" w:rsidRDefault="001F76CE" w:rsidP="001F76CE">
      <w:pPr>
        <w:pStyle w:val="Sectiontext"/>
        <w:tabs>
          <w:tab w:val="left" w:pos="7380"/>
        </w:tabs>
      </w:pPr>
      <w:r w:rsidRPr="007618F8">
        <w:t xml:space="preserve">Determinations made under section 58B of the Defence Act are disallowable legislative instruments subject to the </w:t>
      </w:r>
      <w:r w:rsidRPr="007618F8">
        <w:rPr>
          <w:i/>
        </w:rPr>
        <w:t>Legislation Act 2003</w:t>
      </w:r>
      <w:r w:rsidRPr="007618F8">
        <w:t xml:space="preserve">. These instruments are also subject to the interpretation principles in the AI Act. </w:t>
      </w:r>
    </w:p>
    <w:p w14:paraId="02E46952" w14:textId="6B1B02D5" w:rsidR="007952E9" w:rsidRPr="007618F8" w:rsidRDefault="007952E9" w:rsidP="00C17775">
      <w:pPr>
        <w:spacing w:after="200"/>
        <w:rPr>
          <w:rFonts w:ascii="Arial" w:eastAsia="Times New Roman" w:hAnsi="Arial" w:cs="Times New Roman"/>
          <w:sz w:val="20"/>
          <w:lang w:eastAsia="en-AU"/>
        </w:rPr>
      </w:pPr>
      <w:r w:rsidRPr="007618F8">
        <w:rPr>
          <w:rFonts w:ascii="Arial" w:eastAsia="Times New Roman" w:hAnsi="Arial" w:cs="Times New Roman"/>
          <w:sz w:val="20"/>
          <w:lang w:eastAsia="en-AU"/>
        </w:rPr>
        <w:t>This Determination amends the following Chapters of the Principal Determination for members of the Australian Defence Force (ADF).</w:t>
      </w:r>
    </w:p>
    <w:p w14:paraId="630C47EC" w14:textId="503BE21C" w:rsidR="007952E9" w:rsidRPr="007618F8" w:rsidRDefault="007952E9" w:rsidP="001F76CE">
      <w:pPr>
        <w:pStyle w:val="Sectiontext"/>
        <w:numPr>
          <w:ilvl w:val="0"/>
          <w:numId w:val="17"/>
        </w:numPr>
      </w:pPr>
      <w:r w:rsidRPr="007618F8">
        <w:rPr>
          <w:snapToGrid w:val="0"/>
        </w:rPr>
        <w:t>Chapter 1 sets out provisions dealing with definitions and interpretation of concepts relevant to pay and conditions.</w:t>
      </w:r>
    </w:p>
    <w:p w14:paraId="13EBC22E" w14:textId="7AEF7A83" w:rsidR="007952E9" w:rsidRPr="007618F8" w:rsidRDefault="007952E9" w:rsidP="001F76CE">
      <w:pPr>
        <w:pStyle w:val="Sectiontext"/>
        <w:numPr>
          <w:ilvl w:val="0"/>
          <w:numId w:val="17"/>
        </w:numPr>
      </w:pPr>
      <w:r w:rsidRPr="007618F8">
        <w:rPr>
          <w:snapToGrid w:val="0"/>
        </w:rPr>
        <w:t xml:space="preserve">Chapter 2 sets out provisions dealing with joining and leaving the ADF. </w:t>
      </w:r>
    </w:p>
    <w:p w14:paraId="56851F00" w14:textId="7F83B624" w:rsidR="007952E9" w:rsidRPr="007618F8" w:rsidRDefault="007952E9" w:rsidP="001F76CE">
      <w:pPr>
        <w:pStyle w:val="Sectiontext"/>
        <w:numPr>
          <w:ilvl w:val="0"/>
          <w:numId w:val="17"/>
        </w:numPr>
      </w:pPr>
      <w:r w:rsidRPr="007618F8">
        <w:rPr>
          <w:snapToGrid w:val="0"/>
        </w:rPr>
        <w:t xml:space="preserve">Chapter 3 sets out provisions dealing with salaries and bonuses. </w:t>
      </w:r>
    </w:p>
    <w:p w14:paraId="4C0316FF" w14:textId="132EA52F" w:rsidR="007952E9" w:rsidRPr="007618F8" w:rsidRDefault="007952E9" w:rsidP="001F76CE">
      <w:pPr>
        <w:pStyle w:val="Sectiontext"/>
        <w:numPr>
          <w:ilvl w:val="0"/>
          <w:numId w:val="17"/>
        </w:numPr>
      </w:pPr>
      <w:r w:rsidRPr="007618F8">
        <w:rPr>
          <w:snapToGrid w:val="0"/>
        </w:rPr>
        <w:t xml:space="preserve">Chapter 4 sets out provisions dealing with allowances and reimbursements. </w:t>
      </w:r>
    </w:p>
    <w:p w14:paraId="2D95FFDE" w14:textId="209F1D2A" w:rsidR="007952E9" w:rsidRPr="007618F8" w:rsidRDefault="007952E9" w:rsidP="001F76CE">
      <w:pPr>
        <w:pStyle w:val="Sectiontext"/>
        <w:numPr>
          <w:ilvl w:val="0"/>
          <w:numId w:val="17"/>
        </w:numPr>
      </w:pPr>
      <w:r w:rsidRPr="007618F8">
        <w:rPr>
          <w:snapToGrid w:val="0"/>
        </w:rPr>
        <w:t xml:space="preserve">Chapter 5 sets out provisions dealing with leave. </w:t>
      </w:r>
    </w:p>
    <w:p w14:paraId="6E85A935" w14:textId="4E68AC19" w:rsidR="007952E9" w:rsidRPr="007618F8" w:rsidRDefault="007952E9" w:rsidP="001F76CE">
      <w:pPr>
        <w:pStyle w:val="Sectiontext"/>
        <w:numPr>
          <w:ilvl w:val="0"/>
          <w:numId w:val="17"/>
        </w:numPr>
      </w:pPr>
      <w:r w:rsidRPr="007618F8">
        <w:rPr>
          <w:snapToGrid w:val="0"/>
        </w:rPr>
        <w:t xml:space="preserve">Chapter 6 sets out provisions dealing with relocations on posting in Australia. </w:t>
      </w:r>
    </w:p>
    <w:p w14:paraId="18B953FC" w14:textId="32464F9B" w:rsidR="007952E9" w:rsidRPr="007618F8" w:rsidRDefault="007952E9" w:rsidP="001F76CE">
      <w:pPr>
        <w:pStyle w:val="Sectiontext"/>
        <w:numPr>
          <w:ilvl w:val="0"/>
          <w:numId w:val="17"/>
        </w:numPr>
      </w:pPr>
      <w:r w:rsidRPr="007618F8">
        <w:rPr>
          <w:snapToGrid w:val="0"/>
        </w:rPr>
        <w:t>Chapter 7</w:t>
      </w:r>
      <w:r w:rsidR="34556F49" w:rsidRPr="007618F8">
        <w:rPr>
          <w:snapToGrid w:val="0"/>
        </w:rPr>
        <w:t xml:space="preserve"> </w:t>
      </w:r>
      <w:r w:rsidRPr="007618F8">
        <w:rPr>
          <w:snapToGrid w:val="0"/>
        </w:rPr>
        <w:t xml:space="preserve">sets out provisions dealing with housing and meals. </w:t>
      </w:r>
    </w:p>
    <w:p w14:paraId="18D7BC99" w14:textId="44A2BD55" w:rsidR="007952E9" w:rsidRPr="007618F8" w:rsidRDefault="007952E9" w:rsidP="001F76CE">
      <w:pPr>
        <w:pStyle w:val="Sectiontext"/>
        <w:numPr>
          <w:ilvl w:val="0"/>
          <w:numId w:val="17"/>
        </w:numPr>
        <w:rPr>
          <w:snapToGrid w:val="0"/>
        </w:rPr>
      </w:pPr>
      <w:r w:rsidRPr="007618F8">
        <w:rPr>
          <w:snapToGrid w:val="0"/>
        </w:rPr>
        <w:t xml:space="preserve">Chapter 8 sets out provisions dealing with members of </w:t>
      </w:r>
      <w:r w:rsidR="2CB39BA7" w:rsidRPr="007618F8">
        <w:rPr>
          <w:snapToGrid w:val="0"/>
        </w:rPr>
        <w:t xml:space="preserve">the </w:t>
      </w:r>
      <w:r w:rsidRPr="007618F8">
        <w:rPr>
          <w:snapToGrid w:val="0"/>
        </w:rPr>
        <w:t xml:space="preserve">ADF and their dependants. </w:t>
      </w:r>
    </w:p>
    <w:p w14:paraId="276AE917" w14:textId="7201A84E" w:rsidR="007952E9" w:rsidRPr="007618F8" w:rsidRDefault="007952E9" w:rsidP="001F76CE">
      <w:pPr>
        <w:pStyle w:val="Sectiontext"/>
        <w:numPr>
          <w:ilvl w:val="0"/>
          <w:numId w:val="17"/>
        </w:numPr>
      </w:pPr>
      <w:r w:rsidRPr="007618F8">
        <w:rPr>
          <w:snapToGrid w:val="0"/>
        </w:rPr>
        <w:t xml:space="preserve">Chapter 9 sets out provisions dealing with travel costs in Australia. </w:t>
      </w:r>
    </w:p>
    <w:p w14:paraId="4B7CD0FA" w14:textId="6B032079" w:rsidR="007952E9" w:rsidRPr="007618F8" w:rsidRDefault="007952E9" w:rsidP="001F76CE">
      <w:pPr>
        <w:pStyle w:val="Sectiontext"/>
        <w:numPr>
          <w:ilvl w:val="0"/>
          <w:numId w:val="17"/>
        </w:numPr>
      </w:pPr>
      <w:r w:rsidRPr="007618F8">
        <w:rPr>
          <w:snapToGrid w:val="0"/>
        </w:rPr>
        <w:t>Chapter 10</w:t>
      </w:r>
      <w:r w:rsidR="6FD03861" w:rsidRPr="007618F8">
        <w:rPr>
          <w:snapToGrid w:val="0"/>
        </w:rPr>
        <w:t xml:space="preserve"> </w:t>
      </w:r>
      <w:r w:rsidRPr="007618F8">
        <w:rPr>
          <w:snapToGrid w:val="0"/>
        </w:rPr>
        <w:t xml:space="preserve">sets out provisions dealing with clothing and personal effects. </w:t>
      </w:r>
    </w:p>
    <w:p w14:paraId="0E69D473" w14:textId="254534B1" w:rsidR="007952E9" w:rsidRPr="007618F8" w:rsidRDefault="007952E9" w:rsidP="001F76CE">
      <w:pPr>
        <w:pStyle w:val="Sectiontext"/>
        <w:numPr>
          <w:ilvl w:val="0"/>
          <w:numId w:val="17"/>
        </w:numPr>
      </w:pPr>
      <w:r w:rsidRPr="007618F8">
        <w:rPr>
          <w:snapToGrid w:val="0"/>
        </w:rPr>
        <w:t>Chapter 11 sets out provisions dealing with assistance available if a member of the</w:t>
      </w:r>
      <w:r w:rsidR="2E7277EA" w:rsidRPr="007618F8">
        <w:rPr>
          <w:snapToGrid w:val="0"/>
        </w:rPr>
        <w:t xml:space="preserve"> </w:t>
      </w:r>
      <w:r w:rsidRPr="007618F8">
        <w:rPr>
          <w:snapToGrid w:val="0"/>
        </w:rPr>
        <w:t xml:space="preserve">ADF dies or suffers personal injury or disease as a result of their service. </w:t>
      </w:r>
    </w:p>
    <w:p w14:paraId="0D07FA26" w14:textId="0CD6BE0A" w:rsidR="007952E9" w:rsidRPr="007618F8" w:rsidRDefault="007952E9" w:rsidP="001F76CE">
      <w:pPr>
        <w:pStyle w:val="Sectiontext"/>
        <w:numPr>
          <w:ilvl w:val="0"/>
          <w:numId w:val="17"/>
        </w:numPr>
      </w:pPr>
      <w:r w:rsidRPr="007618F8">
        <w:rPr>
          <w:snapToGrid w:val="0"/>
        </w:rPr>
        <w:t xml:space="preserve">Chapter 12 sets out provisions dealing with overseas conditions of service. </w:t>
      </w:r>
    </w:p>
    <w:p w14:paraId="06144A64" w14:textId="54599C87" w:rsidR="007952E9" w:rsidRPr="007618F8" w:rsidRDefault="007952E9" w:rsidP="001F76CE">
      <w:pPr>
        <w:pStyle w:val="Sectiontext"/>
        <w:numPr>
          <w:ilvl w:val="0"/>
          <w:numId w:val="17"/>
        </w:numPr>
      </w:pPr>
      <w:r w:rsidRPr="007618F8">
        <w:rPr>
          <w:snapToGrid w:val="0"/>
        </w:rPr>
        <w:t xml:space="preserve">Chapter 13 sets out provisions dealing with short-term duty overseas. </w:t>
      </w:r>
    </w:p>
    <w:p w14:paraId="537695D9" w14:textId="07DA14B8" w:rsidR="007952E9" w:rsidRPr="007618F8" w:rsidRDefault="007952E9" w:rsidP="001F76CE">
      <w:pPr>
        <w:pStyle w:val="Sectiontext"/>
        <w:numPr>
          <w:ilvl w:val="0"/>
          <w:numId w:val="17"/>
        </w:numPr>
      </w:pPr>
      <w:r w:rsidRPr="007618F8">
        <w:rPr>
          <w:snapToGrid w:val="0"/>
        </w:rPr>
        <w:t xml:space="preserve">Chapter 14 sets out provisions dealing with relocating to or from long-term posting overseas. </w:t>
      </w:r>
    </w:p>
    <w:p w14:paraId="075F9687" w14:textId="04C800F9" w:rsidR="007952E9" w:rsidRPr="007618F8" w:rsidRDefault="007952E9" w:rsidP="001F76CE">
      <w:pPr>
        <w:pStyle w:val="Sectiontext"/>
        <w:numPr>
          <w:ilvl w:val="0"/>
          <w:numId w:val="17"/>
        </w:numPr>
      </w:pPr>
      <w:r w:rsidRPr="007618F8">
        <w:rPr>
          <w:snapToGrid w:val="0"/>
        </w:rPr>
        <w:t>Chapter 15</w:t>
      </w:r>
      <w:r w:rsidR="342B69B2" w:rsidRPr="007618F8">
        <w:rPr>
          <w:snapToGrid w:val="0"/>
        </w:rPr>
        <w:t xml:space="preserve"> </w:t>
      </w:r>
      <w:r w:rsidRPr="007618F8">
        <w:rPr>
          <w:snapToGrid w:val="0"/>
        </w:rPr>
        <w:t xml:space="preserve">sets out provisions dealing with living and working on long-term posting overseas. </w:t>
      </w:r>
    </w:p>
    <w:p w14:paraId="791E73B5" w14:textId="15735672" w:rsidR="007952E9" w:rsidRPr="007618F8" w:rsidRDefault="007952E9" w:rsidP="001F76CE">
      <w:pPr>
        <w:pStyle w:val="Sectiontext"/>
        <w:numPr>
          <w:ilvl w:val="0"/>
          <w:numId w:val="17"/>
        </w:numPr>
      </w:pPr>
      <w:r w:rsidRPr="007618F8">
        <w:rPr>
          <w:snapToGrid w:val="0"/>
        </w:rPr>
        <w:t xml:space="preserve">Chapter 16 sets out provisions dealing with overseas hardship locations. </w:t>
      </w:r>
    </w:p>
    <w:p w14:paraId="55440F05" w14:textId="2DEA6D64" w:rsidR="00281D78" w:rsidRPr="007618F8" w:rsidRDefault="007952E9" w:rsidP="001F76CE">
      <w:pPr>
        <w:pStyle w:val="Sectiontext"/>
        <w:numPr>
          <w:ilvl w:val="0"/>
          <w:numId w:val="17"/>
        </w:numPr>
      </w:pPr>
      <w:r w:rsidRPr="007618F8">
        <w:rPr>
          <w:snapToGrid w:val="0"/>
        </w:rPr>
        <w:t xml:space="preserve">Chapter 17 sets out provisions dealing with warlike and non-warlike deployments. </w:t>
      </w:r>
    </w:p>
    <w:p w14:paraId="73723A4A" w14:textId="77777777" w:rsidR="0014304D" w:rsidRPr="007618F8" w:rsidRDefault="001E51FE" w:rsidP="007952E9">
      <w:pPr>
        <w:pStyle w:val="Sectiontext"/>
        <w:rPr>
          <w:snapToGrid w:val="0"/>
        </w:rPr>
      </w:pPr>
      <w:r w:rsidRPr="007618F8">
        <w:rPr>
          <w:snapToGrid w:val="0"/>
        </w:rPr>
        <w:t>The purpose of this Determination is to</w:t>
      </w:r>
      <w:r w:rsidR="0014304D" w:rsidRPr="007618F8">
        <w:rPr>
          <w:snapToGrid w:val="0"/>
        </w:rPr>
        <w:t xml:space="preserve"> provide the following:</w:t>
      </w:r>
    </w:p>
    <w:p w14:paraId="0696B74E" w14:textId="3C563450" w:rsidR="0014304D" w:rsidRPr="007618F8" w:rsidRDefault="0014304D" w:rsidP="0014304D">
      <w:pPr>
        <w:pStyle w:val="Sectiontext"/>
        <w:numPr>
          <w:ilvl w:val="0"/>
          <w:numId w:val="15"/>
        </w:numPr>
      </w:pPr>
      <w:r w:rsidRPr="007618F8">
        <w:rPr>
          <w:snapToGrid w:val="0"/>
        </w:rPr>
        <w:t>A period of salary non-reduction for a member of the Air Force who is an Air Force Flight Test Engineer.</w:t>
      </w:r>
    </w:p>
    <w:p w14:paraId="02C4E1A6" w14:textId="08BFBD3F" w:rsidR="007618F8" w:rsidRPr="007618F8" w:rsidRDefault="007618F8" w:rsidP="0014304D">
      <w:pPr>
        <w:pStyle w:val="Sectiontext"/>
        <w:numPr>
          <w:ilvl w:val="0"/>
          <w:numId w:val="15"/>
        </w:numPr>
      </w:pPr>
      <w:r w:rsidRPr="007618F8">
        <w:t>A partial resumption of overseas reunion travel benefits that were limited as a consequence of the COVID-19 pandemic.</w:t>
      </w:r>
    </w:p>
    <w:p w14:paraId="6AB66849" w14:textId="6A259946" w:rsidR="001E51FE" w:rsidRPr="007618F8" w:rsidRDefault="007618F8" w:rsidP="0014304D">
      <w:pPr>
        <w:pStyle w:val="Sectiontext"/>
        <w:numPr>
          <w:ilvl w:val="0"/>
          <w:numId w:val="15"/>
        </w:numPr>
      </w:pPr>
      <w:r w:rsidRPr="007618F8">
        <w:rPr>
          <w:rStyle w:val="normaltextrun"/>
          <w:rFonts w:cs="Arial"/>
          <w:color w:val="000000"/>
          <w:shd w:val="clear" w:color="auto" w:fill="FFFFFF"/>
        </w:rPr>
        <w:t>The</w:t>
      </w:r>
      <w:r w:rsidR="5C4B457E" w:rsidRPr="007618F8">
        <w:rPr>
          <w:rStyle w:val="normaltextrun"/>
          <w:rFonts w:cs="Arial"/>
          <w:color w:val="000000"/>
          <w:shd w:val="clear" w:color="auto" w:fill="FFFFFF"/>
        </w:rPr>
        <w:t xml:space="preserve"> removal </w:t>
      </w:r>
      <w:r w:rsidRPr="007618F8">
        <w:rPr>
          <w:rStyle w:val="normaltextrun"/>
          <w:rFonts w:cs="Arial"/>
          <w:color w:val="000000"/>
          <w:shd w:val="clear" w:color="auto" w:fill="FFFFFF"/>
        </w:rPr>
        <w:t xml:space="preserve">of </w:t>
      </w:r>
      <w:r w:rsidR="5C4B457E" w:rsidRPr="007618F8">
        <w:rPr>
          <w:rStyle w:val="normaltextrun"/>
          <w:rFonts w:cs="Arial"/>
          <w:color w:val="000000"/>
          <w:shd w:val="clear" w:color="auto" w:fill="FFFFFF"/>
        </w:rPr>
        <w:t xml:space="preserve">all the sections in the Principal Determination that provide the contents of </w:t>
      </w:r>
      <w:r w:rsidR="001041BC" w:rsidRPr="007618F8">
        <w:rPr>
          <w:rStyle w:val="normaltextrun"/>
          <w:rFonts w:cs="Arial"/>
          <w:color w:val="000000"/>
          <w:shd w:val="clear" w:color="auto" w:fill="FFFFFF"/>
        </w:rPr>
        <w:t>chapters, p</w:t>
      </w:r>
      <w:r w:rsidR="5BA97E05" w:rsidRPr="007618F8">
        <w:rPr>
          <w:rStyle w:val="normaltextrun"/>
          <w:rFonts w:cs="Arial"/>
          <w:color w:val="000000"/>
          <w:shd w:val="clear" w:color="auto" w:fill="FFFFFF"/>
        </w:rPr>
        <w:t xml:space="preserve">arts </w:t>
      </w:r>
      <w:r w:rsidR="001041BC" w:rsidRPr="007618F8">
        <w:rPr>
          <w:rStyle w:val="normaltextrun"/>
          <w:rFonts w:cs="Arial"/>
          <w:color w:val="000000"/>
          <w:shd w:val="clear" w:color="auto" w:fill="FFFFFF"/>
        </w:rPr>
        <w:t>and d</w:t>
      </w:r>
      <w:r w:rsidR="65349A36" w:rsidRPr="007618F8">
        <w:rPr>
          <w:rStyle w:val="normaltextrun"/>
          <w:rFonts w:cs="Arial"/>
          <w:color w:val="000000"/>
          <w:shd w:val="clear" w:color="auto" w:fill="FFFFFF"/>
        </w:rPr>
        <w:t>ivisions</w:t>
      </w:r>
      <w:r w:rsidR="5C4B457E" w:rsidRPr="007618F8">
        <w:rPr>
          <w:rStyle w:val="normaltextrun"/>
          <w:rFonts w:cs="Arial"/>
          <w:color w:val="000000"/>
          <w:shd w:val="clear" w:color="auto" w:fill="FFFFFF"/>
        </w:rPr>
        <w:t>.</w:t>
      </w:r>
      <w:r w:rsidR="5C4B457E" w:rsidRPr="007618F8">
        <w:rPr>
          <w:rStyle w:val="eop"/>
          <w:rFonts w:cs="Arial"/>
          <w:color w:val="000000"/>
          <w:shd w:val="clear" w:color="auto" w:fill="FFFFFF"/>
        </w:rPr>
        <w:t> </w:t>
      </w:r>
    </w:p>
    <w:p w14:paraId="72CBBB6B" w14:textId="77777777" w:rsidR="001E51FE" w:rsidRPr="007618F8" w:rsidRDefault="001E51FE" w:rsidP="001E51FE">
      <w:pPr>
        <w:pStyle w:val="Sectiontext"/>
        <w:rPr>
          <w:snapToGrid w:val="0"/>
        </w:rPr>
      </w:pPr>
      <w:r w:rsidRPr="007618F8">
        <w:rPr>
          <w:snapToGrid w:val="0"/>
        </w:rPr>
        <w:lastRenderedPageBreak/>
        <w:t>Section 1 of this Determination sets out the manner in which this Determination may be cited.</w:t>
      </w:r>
    </w:p>
    <w:p w14:paraId="3F27ACAF" w14:textId="1F51AD90" w:rsidR="00281D78" w:rsidRPr="007618F8" w:rsidRDefault="001E51FE" w:rsidP="00FA083A">
      <w:pPr>
        <w:pStyle w:val="Sectiontext"/>
      </w:pPr>
      <w:r w:rsidRPr="007618F8">
        <w:t>Section 2 provides that this instrument commences on</w:t>
      </w:r>
      <w:r w:rsidR="001E6496" w:rsidRPr="007618F8">
        <w:t xml:space="preserve"> 11 June 2020.</w:t>
      </w:r>
    </w:p>
    <w:p w14:paraId="339C1894" w14:textId="29059C9E" w:rsidR="00C117DA" w:rsidRPr="007618F8" w:rsidRDefault="00C117DA" w:rsidP="00C117DA">
      <w:pPr>
        <w:pStyle w:val="Sectiontext"/>
        <w:rPr>
          <w:i/>
          <w:snapToGrid w:val="0"/>
          <w:u w:val="single"/>
        </w:rPr>
      </w:pPr>
      <w:r w:rsidRPr="007618F8">
        <w:rPr>
          <w:i/>
          <w:snapToGrid w:val="0"/>
          <w:u w:val="single"/>
        </w:rPr>
        <w:t>Schedule 1</w:t>
      </w:r>
      <w:r w:rsidRPr="007618F8">
        <w:rPr>
          <w:rFonts w:cs="Arial"/>
          <w:i/>
          <w:snapToGrid w:val="0"/>
          <w:u w:val="single"/>
        </w:rPr>
        <w:t xml:space="preserve">—Air Force Flight Test Engineer </w:t>
      </w:r>
      <w:r w:rsidRPr="007618F8">
        <w:rPr>
          <w:i/>
          <w:snapToGrid w:val="0"/>
          <w:u w:val="single"/>
        </w:rPr>
        <w:t>amendment</w:t>
      </w:r>
    </w:p>
    <w:p w14:paraId="0667C3E1" w14:textId="4D0B6A7E" w:rsidR="00C117DA" w:rsidRPr="007618F8" w:rsidRDefault="00C117DA" w:rsidP="00C117DA">
      <w:pPr>
        <w:pStyle w:val="Sectiontext"/>
      </w:pPr>
      <w:r w:rsidRPr="007618F8">
        <w:rPr>
          <w:snapToGrid w:val="0"/>
        </w:rPr>
        <w:t xml:space="preserve">Section 1 amends subsection 3.2.52.3 of the Principal Determination. The amendment omits table item 2 which provided the salary non-reduction provision for certain Air Force members affected by the provisions of DFRT Determination No. 4 of 2006. The salary non-reduction provision for these members is provided by section 2 of this Schedule. </w:t>
      </w:r>
    </w:p>
    <w:p w14:paraId="55D2479C" w14:textId="2FA57E83" w:rsidR="00C117DA" w:rsidRPr="007618F8" w:rsidRDefault="00C117DA" w:rsidP="00C117DA">
      <w:pPr>
        <w:pStyle w:val="Sectiontext"/>
        <w:rPr>
          <w:snapToGrid w:val="0"/>
        </w:rPr>
      </w:pPr>
      <w:r w:rsidRPr="007618F8">
        <w:rPr>
          <w:snapToGrid w:val="0"/>
        </w:rPr>
        <w:t>Section 2 inserts a new section 3.2.52A into the Principal Determination. The amendment sets out the conditions that a member must meet to be eligible for the ongoing pay placement which they held on 3 May 2006 and the conditions that triggers the cessation of the pay placement</w:t>
      </w:r>
      <w:r w:rsidR="00673772" w:rsidRPr="007618F8">
        <w:rPr>
          <w:snapToGrid w:val="0"/>
        </w:rPr>
        <w:t xml:space="preserve">. </w:t>
      </w:r>
    </w:p>
    <w:p w14:paraId="163A5D3B" w14:textId="440D41CE" w:rsidR="001041BC" w:rsidRPr="007618F8" w:rsidRDefault="001041BC" w:rsidP="001041BC">
      <w:pPr>
        <w:pStyle w:val="Sectiontext"/>
        <w:rPr>
          <w:rFonts w:cs="Arial"/>
          <w:i/>
          <w:iCs/>
          <w:snapToGrid w:val="0"/>
          <w:u w:val="single"/>
        </w:rPr>
      </w:pPr>
      <w:r w:rsidRPr="007618F8">
        <w:rPr>
          <w:i/>
          <w:iCs/>
          <w:snapToGrid w:val="0"/>
          <w:u w:val="single"/>
        </w:rPr>
        <w:t>Schedule 2</w:t>
      </w:r>
      <w:r w:rsidRPr="007618F8">
        <w:rPr>
          <w:rFonts w:cs="Arial"/>
          <w:i/>
          <w:iCs/>
          <w:snapToGrid w:val="0"/>
          <w:u w:val="single"/>
        </w:rPr>
        <w:t>—Overseas reunion travel amendments</w:t>
      </w:r>
    </w:p>
    <w:p w14:paraId="4BA2639C" w14:textId="5519B9F5" w:rsidR="001041BC" w:rsidRPr="007618F8" w:rsidRDefault="001041BC" w:rsidP="001041BC">
      <w:pPr>
        <w:pStyle w:val="Sectiontext"/>
        <w:rPr>
          <w:iCs/>
          <w:snapToGrid w:val="0"/>
        </w:rPr>
      </w:pPr>
      <w:r w:rsidRPr="007618F8">
        <w:rPr>
          <w:iCs/>
          <w:snapToGrid w:val="0"/>
        </w:rPr>
        <w:t>Section 1 amends subsection 14A.1.23.1 of the Principal Determination which specifies who section</w:t>
      </w:r>
      <w:r w:rsidR="00591819" w:rsidRPr="007618F8">
        <w:rPr>
          <w:iCs/>
          <w:snapToGrid w:val="0"/>
        </w:rPr>
        <w:t xml:space="preserve"> 14A.1.23 applies. The amendment omits and replaces the subsection expanding the application of the section to all members whose dependants who were evacuated from a </w:t>
      </w:r>
      <w:r w:rsidRPr="007618F8">
        <w:rPr>
          <w:iCs/>
          <w:snapToGrid w:val="0"/>
        </w:rPr>
        <w:t>posting location overseas as a consequence of the COVID-19 pandemic</w:t>
      </w:r>
      <w:r w:rsidR="00591819" w:rsidRPr="007618F8">
        <w:rPr>
          <w:iCs/>
          <w:snapToGrid w:val="0"/>
        </w:rPr>
        <w:t>.</w:t>
      </w:r>
    </w:p>
    <w:p w14:paraId="56FFC398" w14:textId="18414585" w:rsidR="00591819" w:rsidRPr="007618F8" w:rsidRDefault="00591819" w:rsidP="001041BC">
      <w:pPr>
        <w:pStyle w:val="Sectiontext"/>
        <w:rPr>
          <w:iCs/>
          <w:snapToGrid w:val="0"/>
        </w:rPr>
      </w:pPr>
      <w:r w:rsidRPr="007618F8">
        <w:rPr>
          <w:iCs/>
          <w:snapToGrid w:val="0"/>
        </w:rPr>
        <w:t xml:space="preserve">Section 2 amends paragraph 14A.1.23.2.a of the Principal Determination which specifies time limits for taking </w:t>
      </w:r>
      <w:r w:rsidR="007618F8">
        <w:rPr>
          <w:iCs/>
          <w:snapToGrid w:val="0"/>
        </w:rPr>
        <w:t xml:space="preserve">overseas </w:t>
      </w:r>
      <w:r w:rsidRPr="007618F8">
        <w:rPr>
          <w:iCs/>
          <w:snapToGrid w:val="0"/>
        </w:rPr>
        <w:t xml:space="preserve">reunion travel. The amendment inserts a new </w:t>
      </w:r>
      <w:r w:rsidR="00576833" w:rsidRPr="007618F8">
        <w:rPr>
          <w:iCs/>
          <w:snapToGrid w:val="0"/>
        </w:rPr>
        <w:t xml:space="preserve">subparagraph which enables a specified decision maker to </w:t>
      </w:r>
      <w:r w:rsidR="00E4683D" w:rsidRPr="007618F8">
        <w:rPr>
          <w:iCs/>
          <w:snapToGrid w:val="0"/>
        </w:rPr>
        <w:t>set a lesser time.</w:t>
      </w:r>
    </w:p>
    <w:p w14:paraId="32391262" w14:textId="37042CA6" w:rsidR="00E4683D" w:rsidRPr="007618F8" w:rsidRDefault="00E4683D" w:rsidP="001041BC">
      <w:pPr>
        <w:pStyle w:val="Sectiontext"/>
        <w:rPr>
          <w:iCs/>
          <w:snapToGrid w:val="0"/>
        </w:rPr>
      </w:pPr>
      <w:r w:rsidRPr="007618F8">
        <w:rPr>
          <w:iCs/>
          <w:snapToGrid w:val="0"/>
        </w:rPr>
        <w:t>Section 3 inserts a new subsection after 14A.1.23.2 of the Principal Determination. The new subsection identifies the decision makers for the purpose of subparagraph 14A.1.23.2.a.iii.</w:t>
      </w:r>
      <w:r w:rsidR="00673772">
        <w:rPr>
          <w:iCs/>
          <w:snapToGrid w:val="0"/>
        </w:rPr>
        <w:t xml:space="preserve"> inserted as a consequence of this Schedule.</w:t>
      </w:r>
    </w:p>
    <w:p w14:paraId="586A616F" w14:textId="048647A9" w:rsidR="00E4683D" w:rsidRPr="007618F8" w:rsidRDefault="00E4683D" w:rsidP="001041BC">
      <w:pPr>
        <w:pStyle w:val="Sectiontext"/>
        <w:rPr>
          <w:iCs/>
          <w:snapToGrid w:val="0"/>
        </w:rPr>
      </w:pPr>
      <w:r w:rsidRPr="007618F8">
        <w:rPr>
          <w:iCs/>
          <w:snapToGrid w:val="0"/>
        </w:rPr>
        <w:t xml:space="preserve">Section 4 amends subsection 15.3.13.3 of the Principal Determination which limits the ability of a member to use </w:t>
      </w:r>
      <w:r w:rsidR="00673772" w:rsidRPr="007618F8">
        <w:rPr>
          <w:iCs/>
          <w:snapToGrid w:val="0"/>
        </w:rPr>
        <w:t>o</w:t>
      </w:r>
      <w:r w:rsidR="00673772">
        <w:rPr>
          <w:iCs/>
          <w:snapToGrid w:val="0"/>
        </w:rPr>
        <w:t xml:space="preserve">verseas </w:t>
      </w:r>
      <w:r w:rsidR="00673772" w:rsidRPr="007618F8">
        <w:rPr>
          <w:iCs/>
          <w:snapToGrid w:val="0"/>
        </w:rPr>
        <w:t>reunion</w:t>
      </w:r>
      <w:r w:rsidRPr="007618F8">
        <w:rPr>
          <w:iCs/>
          <w:snapToGrid w:val="0"/>
        </w:rPr>
        <w:t xml:space="preserve"> travel provided in Chapter 15 Part 3 during the COVID-19 pandemic. The amendment omits and substitute the rule to allow for a member to access </w:t>
      </w:r>
      <w:r w:rsidR="00673772">
        <w:rPr>
          <w:iCs/>
          <w:snapToGrid w:val="0"/>
        </w:rPr>
        <w:t xml:space="preserve">overseas </w:t>
      </w:r>
      <w:r w:rsidRPr="007618F8">
        <w:rPr>
          <w:iCs/>
          <w:snapToGrid w:val="0"/>
        </w:rPr>
        <w:t xml:space="preserve">reunion travel benefits to visit their dependants in Australia. It remains that a member’s dependants cannot access </w:t>
      </w:r>
      <w:r w:rsidR="00673772">
        <w:rPr>
          <w:iCs/>
          <w:snapToGrid w:val="0"/>
        </w:rPr>
        <w:t xml:space="preserve">overseas </w:t>
      </w:r>
      <w:r w:rsidRPr="007618F8">
        <w:rPr>
          <w:iCs/>
          <w:snapToGrid w:val="0"/>
        </w:rPr>
        <w:t>reunion travel to visit the member in the posting location during the COVID-19 pandemic.</w:t>
      </w:r>
    </w:p>
    <w:p w14:paraId="03B33F83" w14:textId="77777777" w:rsidR="001041BC" w:rsidRPr="007618F8" w:rsidRDefault="001041BC" w:rsidP="001041BC">
      <w:pPr>
        <w:pStyle w:val="Sectiontext"/>
        <w:rPr>
          <w:i/>
          <w:iCs/>
          <w:snapToGrid w:val="0"/>
          <w:u w:val="single"/>
        </w:rPr>
      </w:pPr>
      <w:r w:rsidRPr="007618F8">
        <w:rPr>
          <w:i/>
          <w:iCs/>
          <w:snapToGrid w:val="0"/>
          <w:u w:val="single"/>
        </w:rPr>
        <w:t>Schedule 3</w:t>
      </w:r>
      <w:r w:rsidRPr="007618F8">
        <w:rPr>
          <w:rFonts w:cs="Arial"/>
          <w:i/>
          <w:iCs/>
          <w:snapToGrid w:val="0"/>
          <w:u w:val="single"/>
        </w:rPr>
        <w:t>—Technical amendments</w:t>
      </w:r>
    </w:p>
    <w:p w14:paraId="2612F28F" w14:textId="6B4D10D6" w:rsidR="00E4683D" w:rsidRPr="007618F8" w:rsidRDefault="18499155" w:rsidP="195DB937">
      <w:pPr>
        <w:spacing w:after="200" w:line="240" w:lineRule="auto"/>
        <w:rPr>
          <w:rFonts w:ascii="Arial" w:eastAsia="Arial" w:hAnsi="Arial" w:cs="Arial"/>
          <w:sz w:val="20"/>
        </w:rPr>
      </w:pPr>
      <w:r w:rsidRPr="007618F8">
        <w:rPr>
          <w:rFonts w:ascii="Arial" w:eastAsia="Arial" w:hAnsi="Arial" w:cs="Arial"/>
          <w:sz w:val="20"/>
        </w:rPr>
        <w:t>Sections 1 to 68 omit all table of content sections in the Principal Determination. The table of content sections are non-legislative and do not need to be determined. A full table of content for the Determination will be provided at the beginning of the Determination, consistent with legislative drafting standards.</w:t>
      </w:r>
    </w:p>
    <w:p w14:paraId="5CCCDA53" w14:textId="5A473BC9" w:rsidR="00E4683D" w:rsidRPr="007618F8" w:rsidRDefault="00E4683D" w:rsidP="00E4683D">
      <w:pPr>
        <w:pStyle w:val="Sectiontext"/>
        <w:rPr>
          <w:i/>
          <w:iCs/>
          <w:snapToGrid w:val="0"/>
          <w:u w:val="single"/>
        </w:rPr>
      </w:pPr>
      <w:r w:rsidRPr="007618F8">
        <w:rPr>
          <w:i/>
          <w:iCs/>
          <w:snapToGrid w:val="0"/>
          <w:u w:val="single"/>
        </w:rPr>
        <w:t>Schedule 4</w:t>
      </w:r>
      <w:r w:rsidRPr="007618F8">
        <w:rPr>
          <w:rFonts w:cs="Arial"/>
          <w:i/>
          <w:iCs/>
          <w:snapToGrid w:val="0"/>
          <w:u w:val="single"/>
        </w:rPr>
        <w:t>—Transitional</w:t>
      </w:r>
    </w:p>
    <w:p w14:paraId="79A2275B" w14:textId="321235E2" w:rsidR="00E4683D" w:rsidRPr="007618F8" w:rsidRDefault="00E4683D" w:rsidP="00E4683D">
      <w:pPr>
        <w:spacing w:after="200" w:line="240" w:lineRule="auto"/>
        <w:rPr>
          <w:rFonts w:ascii="Arial" w:eastAsia="Arial" w:hAnsi="Arial" w:cs="Arial"/>
          <w:sz w:val="20"/>
        </w:rPr>
      </w:pPr>
      <w:r w:rsidRPr="007618F8">
        <w:rPr>
          <w:rFonts w:ascii="Arial" w:eastAsia="Arial" w:hAnsi="Arial" w:cs="Arial"/>
          <w:sz w:val="20"/>
        </w:rPr>
        <w:t>Section</w:t>
      </w:r>
      <w:r w:rsidR="007618F8" w:rsidRPr="007618F8">
        <w:rPr>
          <w:rFonts w:ascii="Arial" w:eastAsia="Arial" w:hAnsi="Arial" w:cs="Arial"/>
          <w:sz w:val="20"/>
        </w:rPr>
        <w:t xml:space="preserve"> 1 specifies who the transitional schedule applies to. It includes members of the ADF who were on a long-term posting overseas who received a benefit that enables them to have a reunion visit after the 13 May 2020, but before the commencement of this Determination.</w:t>
      </w:r>
    </w:p>
    <w:p w14:paraId="00187973" w14:textId="48CF20D3" w:rsidR="007618F8" w:rsidRPr="007618F8" w:rsidRDefault="007618F8" w:rsidP="00E4683D">
      <w:pPr>
        <w:spacing w:after="200" w:line="240" w:lineRule="auto"/>
        <w:rPr>
          <w:rFonts w:ascii="Arial" w:eastAsia="Arial" w:hAnsi="Arial" w:cs="Arial"/>
          <w:sz w:val="20"/>
        </w:rPr>
      </w:pPr>
      <w:r w:rsidRPr="007618F8">
        <w:rPr>
          <w:rFonts w:ascii="Arial" w:eastAsia="Arial" w:hAnsi="Arial" w:cs="Arial"/>
          <w:sz w:val="20"/>
        </w:rPr>
        <w:t xml:space="preserve">Section 2 authorises the benefit provided to the members identified in section 1, albeit retrospectively. The section limits the benefit to what the member would have been eligible for under reunion travel provisions in Chapter 15 Part 3 of the Principal Determination. </w:t>
      </w:r>
    </w:p>
    <w:p w14:paraId="7FA9E71B" w14:textId="2E6D8BAC" w:rsidR="007618F8" w:rsidRPr="007618F8" w:rsidRDefault="007618F8" w:rsidP="00E4683D">
      <w:pPr>
        <w:spacing w:after="200" w:line="240" w:lineRule="auto"/>
        <w:rPr>
          <w:rFonts w:ascii="Arial" w:eastAsia="Arial" w:hAnsi="Arial" w:cs="Arial"/>
          <w:sz w:val="20"/>
        </w:rPr>
      </w:pPr>
      <w:r w:rsidRPr="007618F8">
        <w:rPr>
          <w:rFonts w:ascii="Arial" w:eastAsia="Arial" w:hAnsi="Arial" w:cs="Arial"/>
          <w:sz w:val="20"/>
        </w:rPr>
        <w:t>The retrospective effect of this section provides a benefit to the identified members and does not adversely affect the rights, interests or obligations of any person, other than the Commonwealth.</w:t>
      </w:r>
    </w:p>
    <w:p w14:paraId="4AED4C48" w14:textId="5E7CCD7D" w:rsidR="007618F8" w:rsidRDefault="007618F8">
      <w:pPr>
        <w:spacing w:line="240" w:lineRule="auto"/>
        <w:rPr>
          <w:rFonts w:cs="Arial"/>
          <w:b/>
          <w:color w:val="000000"/>
        </w:rPr>
      </w:pPr>
      <w:r>
        <w:rPr>
          <w:rFonts w:cs="Arial"/>
          <w:b/>
          <w:color w:val="000000"/>
        </w:rPr>
        <w:br w:type="page"/>
      </w:r>
    </w:p>
    <w:p w14:paraId="74E42FE4" w14:textId="77777777" w:rsidR="007618F8" w:rsidRPr="007618F8" w:rsidRDefault="007618F8">
      <w:pPr>
        <w:spacing w:line="240" w:lineRule="auto"/>
        <w:rPr>
          <w:rFonts w:ascii="Arial" w:eastAsia="Times New Roman" w:hAnsi="Arial" w:cs="Arial"/>
          <w:b/>
          <w:color w:val="000000"/>
          <w:sz w:val="20"/>
          <w:lang w:eastAsia="en-AU"/>
        </w:rPr>
      </w:pPr>
    </w:p>
    <w:p w14:paraId="7E3990D4" w14:textId="3FE4E335" w:rsidR="001E51FE" w:rsidRPr="007618F8" w:rsidRDefault="001E51FE" w:rsidP="001E51FE">
      <w:pPr>
        <w:pStyle w:val="Sectiontext"/>
        <w:jc w:val="center"/>
        <w:rPr>
          <w:rFonts w:cs="Arial"/>
          <w:snapToGrid w:val="0"/>
          <w:color w:val="000000"/>
        </w:rPr>
      </w:pPr>
      <w:r w:rsidRPr="007618F8">
        <w:rPr>
          <w:rFonts w:cs="Arial"/>
          <w:b/>
          <w:color w:val="000000"/>
        </w:rPr>
        <w:t>Consultation</w:t>
      </w:r>
    </w:p>
    <w:p w14:paraId="00EE25A6" w14:textId="77777777" w:rsidR="00E4683D" w:rsidRPr="007618F8" w:rsidRDefault="00E4683D" w:rsidP="00E4683D">
      <w:pPr>
        <w:pStyle w:val="Sectiontext"/>
      </w:pPr>
      <w:r w:rsidRPr="007618F8">
        <w:rPr>
          <w:snapToGrid w:val="0"/>
        </w:rPr>
        <w:t>Air Force and the Defence Force Remuneration Tribunal were consulted on the making of Schedule 1 of this Determination.</w:t>
      </w:r>
    </w:p>
    <w:p w14:paraId="085F1204" w14:textId="48526A38" w:rsidR="00E4683D" w:rsidRPr="007618F8" w:rsidRDefault="00E4683D" w:rsidP="00C117DA">
      <w:pPr>
        <w:pStyle w:val="Sectiontext"/>
        <w:rPr>
          <w:snapToGrid w:val="0"/>
        </w:rPr>
      </w:pPr>
      <w:r w:rsidRPr="007618F8">
        <w:rPr>
          <w:snapToGrid w:val="0"/>
        </w:rPr>
        <w:t>The Department of Foreign Affairs and Trade</w:t>
      </w:r>
      <w:r w:rsidR="004A2DDC">
        <w:rPr>
          <w:snapToGrid w:val="0"/>
        </w:rPr>
        <w:t xml:space="preserve"> and International Policy Division, Depart</w:t>
      </w:r>
      <w:r w:rsidR="007240B3">
        <w:rPr>
          <w:snapToGrid w:val="0"/>
        </w:rPr>
        <w:t>ment</w:t>
      </w:r>
      <w:r w:rsidR="004A2DDC">
        <w:rPr>
          <w:snapToGrid w:val="0"/>
        </w:rPr>
        <w:t xml:space="preserve"> of</w:t>
      </w:r>
      <w:bookmarkStart w:id="0" w:name="_GoBack"/>
      <w:bookmarkEnd w:id="0"/>
      <w:r w:rsidR="004A2DDC">
        <w:rPr>
          <w:snapToGrid w:val="0"/>
        </w:rPr>
        <w:t xml:space="preserve"> Defence,</w:t>
      </w:r>
      <w:r w:rsidRPr="007618F8">
        <w:rPr>
          <w:snapToGrid w:val="0"/>
        </w:rPr>
        <w:t xml:space="preserve"> was consulted on the making of Schedule</w:t>
      </w:r>
      <w:r w:rsidR="004A2DDC">
        <w:rPr>
          <w:snapToGrid w:val="0"/>
        </w:rPr>
        <w:t>s</w:t>
      </w:r>
      <w:r w:rsidRPr="007618F8">
        <w:rPr>
          <w:snapToGrid w:val="0"/>
        </w:rPr>
        <w:t xml:space="preserve"> </w:t>
      </w:r>
      <w:r w:rsidR="007618F8" w:rsidRPr="007618F8">
        <w:rPr>
          <w:snapToGrid w:val="0"/>
        </w:rPr>
        <w:t>2</w:t>
      </w:r>
      <w:r w:rsidRPr="007618F8">
        <w:rPr>
          <w:snapToGrid w:val="0"/>
        </w:rPr>
        <w:t xml:space="preserve"> </w:t>
      </w:r>
      <w:r w:rsidR="004A2DDC">
        <w:rPr>
          <w:snapToGrid w:val="0"/>
        </w:rPr>
        <w:t xml:space="preserve">and 4 </w:t>
      </w:r>
      <w:r w:rsidRPr="007618F8">
        <w:rPr>
          <w:snapToGrid w:val="0"/>
        </w:rPr>
        <w:t>of this Determination.</w:t>
      </w:r>
    </w:p>
    <w:p w14:paraId="7CCA6474" w14:textId="64DB95ED" w:rsidR="001E51FE" w:rsidRPr="007618F8" w:rsidRDefault="001E51FE" w:rsidP="00A575F1">
      <w:pPr>
        <w:pStyle w:val="Sectiontext"/>
        <w:rPr>
          <w:snapToGrid w:val="0"/>
        </w:rPr>
      </w:pPr>
      <w:r w:rsidRPr="007618F8">
        <w:rPr>
          <w:snapToGrid w:val="0"/>
        </w:rPr>
        <w:t>The rule</w:t>
      </w:r>
      <w:r w:rsidR="00EC45EE" w:rsidRPr="007618F8">
        <w:rPr>
          <w:snapToGrid w:val="0"/>
        </w:rPr>
        <w:t xml:space="preserve"> </w:t>
      </w:r>
      <w:r w:rsidRPr="007618F8">
        <w:rPr>
          <w:snapToGrid w:val="0"/>
        </w:rPr>
        <w:t>maker was satisfied that further external consultation was not required</w:t>
      </w:r>
      <w:r w:rsidR="00A575F1" w:rsidRPr="007618F8">
        <w:rPr>
          <w:snapToGrid w:val="0"/>
        </w:rPr>
        <w:t>.</w:t>
      </w:r>
    </w:p>
    <w:p w14:paraId="7B7CB0E8" w14:textId="77777777" w:rsidR="001E51FE" w:rsidRPr="007618F8" w:rsidRDefault="001E51FE" w:rsidP="001E51FE">
      <w:pPr>
        <w:autoSpaceDE w:val="0"/>
        <w:autoSpaceDN w:val="0"/>
        <w:adjustRightInd w:val="0"/>
        <w:rPr>
          <w:snapToGrid w:val="0"/>
          <w:sz w:val="20"/>
        </w:rPr>
      </w:pPr>
    </w:p>
    <w:p w14:paraId="799BB920" w14:textId="77777777" w:rsidR="001E51FE" w:rsidRPr="007618F8" w:rsidRDefault="001E51FE" w:rsidP="001E51FE">
      <w:pPr>
        <w:pStyle w:val="Sectiontext"/>
      </w:pPr>
    </w:p>
    <w:p w14:paraId="661A02C6" w14:textId="77777777" w:rsidR="001E51FE" w:rsidRPr="007618F8" w:rsidRDefault="001E51FE" w:rsidP="001E51FE">
      <w:pPr>
        <w:pStyle w:val="Sectiontext"/>
        <w:jc w:val="right"/>
      </w:pPr>
      <w:r w:rsidRPr="007618F8">
        <w:rPr>
          <w:b/>
        </w:rPr>
        <w:t>Authority:</w:t>
      </w:r>
      <w:r w:rsidRPr="007618F8">
        <w:t xml:space="preserve">  Section 58B of the </w:t>
      </w:r>
      <w:r w:rsidRPr="007618F8">
        <w:br/>
      </w:r>
      <w:r w:rsidRPr="007618F8">
        <w:rPr>
          <w:i/>
        </w:rPr>
        <w:t>Defence Act 1903</w:t>
      </w:r>
    </w:p>
    <w:p w14:paraId="0EE95367" w14:textId="77777777" w:rsidR="001E51FE" w:rsidRPr="007618F8" w:rsidRDefault="001E51FE" w:rsidP="001E51FE">
      <w:pPr>
        <w:pStyle w:val="Sectiontext"/>
        <w:jc w:val="center"/>
        <w:rPr>
          <w:b/>
          <w:color w:val="FF0000"/>
        </w:rPr>
      </w:pPr>
    </w:p>
    <w:p w14:paraId="2831585B" w14:textId="77777777" w:rsidR="001E51FE" w:rsidRPr="007618F8" w:rsidRDefault="001E51FE" w:rsidP="001E51FE">
      <w:pPr>
        <w:pStyle w:val="Sectiontext"/>
        <w:jc w:val="center"/>
        <w:rPr>
          <w:b/>
        </w:rPr>
        <w:sectPr w:rsidR="001E51FE" w:rsidRPr="007618F8" w:rsidSect="008417DF">
          <w:footerReference w:type="default" r:id="rId11"/>
          <w:headerReference w:type="first" r:id="rId12"/>
          <w:footerReference w:type="first" r:id="rId13"/>
          <w:pgSz w:w="11907" w:h="16839"/>
          <w:pgMar w:top="1134" w:right="1134" w:bottom="992" w:left="1418" w:header="720" w:footer="709" w:gutter="0"/>
          <w:pgNumType w:start="1"/>
          <w:cols w:space="708"/>
          <w:titlePg/>
          <w:docGrid w:linePitch="360"/>
        </w:sectPr>
      </w:pPr>
    </w:p>
    <w:p w14:paraId="08176EE8" w14:textId="77777777" w:rsidR="001E51FE" w:rsidRPr="007618F8" w:rsidRDefault="001E51FE" w:rsidP="00A575F1">
      <w:pPr>
        <w:pStyle w:val="Sectiontext"/>
        <w:rPr>
          <w:snapToGrid w:val="0"/>
        </w:rPr>
      </w:pPr>
      <w:r w:rsidRPr="007618F8">
        <w:rPr>
          <w:snapToGrid w:val="0"/>
        </w:rPr>
        <w:lastRenderedPageBreak/>
        <w:t xml:space="preserve">This Determination is compatible with the human rights and freedoms recognised or declared in the international instruments listed in section 3 of the </w:t>
      </w:r>
      <w:r w:rsidRPr="00C17775">
        <w:rPr>
          <w:i/>
          <w:snapToGrid w:val="0"/>
        </w:rPr>
        <w:t>Human Rights (Parliamentary Scrutiny) Act 2011</w:t>
      </w:r>
      <w:r w:rsidRPr="007618F8">
        <w:rPr>
          <w:snapToGrid w:val="0"/>
        </w:rPr>
        <w:t>.</w:t>
      </w:r>
    </w:p>
    <w:p w14:paraId="06067794" w14:textId="77777777" w:rsidR="001E51FE" w:rsidRPr="007618F8" w:rsidRDefault="001E51FE" w:rsidP="001E51FE">
      <w:pPr>
        <w:spacing w:after="200"/>
        <w:rPr>
          <w:rFonts w:ascii="Arial" w:hAnsi="Arial" w:cs="Arial"/>
          <w:b/>
          <w:sz w:val="20"/>
        </w:rPr>
      </w:pPr>
      <w:r w:rsidRPr="007618F8">
        <w:rPr>
          <w:rFonts w:ascii="Arial" w:hAnsi="Arial" w:cs="Arial"/>
          <w:b/>
          <w:sz w:val="20"/>
        </w:rPr>
        <w:t>Overview of the Determination</w:t>
      </w:r>
    </w:p>
    <w:p w14:paraId="2463B3A7" w14:textId="77777777" w:rsidR="0014304D" w:rsidRPr="007618F8" w:rsidRDefault="0014304D" w:rsidP="0014304D">
      <w:pPr>
        <w:spacing w:after="200"/>
        <w:rPr>
          <w:rFonts w:ascii="Arial" w:hAnsi="Arial" w:cs="Arial"/>
          <w:sz w:val="20"/>
        </w:rPr>
      </w:pPr>
      <w:r w:rsidRPr="007618F8">
        <w:rPr>
          <w:rFonts w:ascii="Arial" w:hAnsi="Arial" w:cs="Arial"/>
          <w:sz w:val="20"/>
        </w:rPr>
        <w:t>The purpose of this Determination is to provide the following:</w:t>
      </w:r>
    </w:p>
    <w:p w14:paraId="736A3E61" w14:textId="6ABB7DF7" w:rsidR="0014304D" w:rsidRPr="007618F8" w:rsidRDefault="0014304D" w:rsidP="0014304D">
      <w:pPr>
        <w:pStyle w:val="Sectiontext"/>
        <w:numPr>
          <w:ilvl w:val="0"/>
          <w:numId w:val="16"/>
        </w:numPr>
      </w:pPr>
      <w:r w:rsidRPr="007618F8">
        <w:rPr>
          <w:snapToGrid w:val="0"/>
        </w:rPr>
        <w:t xml:space="preserve">A period of salary non-reduction for a member of the Air Force who is an Air Force Flight Test Engineer. </w:t>
      </w:r>
    </w:p>
    <w:p w14:paraId="5448A06A" w14:textId="77777777" w:rsidR="007618F8" w:rsidRPr="007618F8" w:rsidRDefault="007618F8" w:rsidP="007618F8">
      <w:pPr>
        <w:pStyle w:val="Sectiontext"/>
        <w:numPr>
          <w:ilvl w:val="0"/>
          <w:numId w:val="16"/>
        </w:numPr>
      </w:pPr>
      <w:r w:rsidRPr="007618F8">
        <w:t>A partial resumption of overseas reunion travel benefits that were limited as a consequence of the COVID-19 pandemic.</w:t>
      </w:r>
    </w:p>
    <w:p w14:paraId="667B7B30" w14:textId="764C5B82" w:rsidR="004A746A" w:rsidRPr="007618F8" w:rsidRDefault="007618F8" w:rsidP="195DB937">
      <w:pPr>
        <w:pStyle w:val="Sectiontext"/>
        <w:numPr>
          <w:ilvl w:val="0"/>
          <w:numId w:val="16"/>
        </w:numPr>
        <w:rPr>
          <w:rFonts w:eastAsia="Arial" w:cs="Arial"/>
          <w:color w:val="000000" w:themeColor="text1"/>
        </w:rPr>
      </w:pPr>
      <w:r>
        <w:rPr>
          <w:rStyle w:val="normaltextrun"/>
          <w:rFonts w:cs="Arial"/>
          <w:color w:val="000000"/>
          <w:shd w:val="clear" w:color="auto" w:fill="FFFFFF"/>
        </w:rPr>
        <w:t>The</w:t>
      </w:r>
      <w:r w:rsidR="004A746A" w:rsidRPr="007618F8">
        <w:rPr>
          <w:rStyle w:val="normaltextrun"/>
          <w:rFonts w:cs="Arial"/>
          <w:color w:val="000000"/>
          <w:shd w:val="clear" w:color="auto" w:fill="FFFFFF"/>
        </w:rPr>
        <w:t xml:space="preserve"> remov</w:t>
      </w:r>
      <w:r>
        <w:rPr>
          <w:rStyle w:val="normaltextrun"/>
          <w:rFonts w:cs="Arial"/>
          <w:color w:val="000000"/>
          <w:shd w:val="clear" w:color="auto" w:fill="FFFFFF"/>
        </w:rPr>
        <w:t>al of</w:t>
      </w:r>
      <w:r w:rsidR="004A746A" w:rsidRPr="007618F8">
        <w:rPr>
          <w:rStyle w:val="normaltextrun"/>
          <w:rFonts w:cs="Arial"/>
          <w:color w:val="000000"/>
          <w:shd w:val="clear" w:color="auto" w:fill="FFFFFF"/>
        </w:rPr>
        <w:t xml:space="preserve"> all the sections in the Principal Determination that provide the contents of Divisions or Parts.</w:t>
      </w:r>
      <w:r w:rsidR="004A746A" w:rsidRPr="007618F8">
        <w:rPr>
          <w:rStyle w:val="eop"/>
          <w:rFonts w:cs="Arial"/>
          <w:color w:val="000000"/>
          <w:shd w:val="clear" w:color="auto" w:fill="FFFFFF"/>
        </w:rPr>
        <w:t> </w:t>
      </w:r>
    </w:p>
    <w:p w14:paraId="151902F1" w14:textId="77777777" w:rsidR="00210DBC" w:rsidRPr="007618F8" w:rsidRDefault="001E51FE" w:rsidP="00210DBC">
      <w:pPr>
        <w:spacing w:after="200"/>
        <w:rPr>
          <w:rFonts w:ascii="Arial" w:hAnsi="Arial" w:cs="Arial"/>
          <w:i/>
          <w:sz w:val="20"/>
        </w:rPr>
      </w:pPr>
      <w:r w:rsidRPr="007618F8">
        <w:rPr>
          <w:rFonts w:ascii="Arial" w:hAnsi="Arial" w:cs="Arial"/>
          <w:b/>
          <w:sz w:val="20"/>
        </w:rPr>
        <w:t>Human rights implications</w:t>
      </w:r>
      <w:r w:rsidR="00210DBC" w:rsidRPr="007618F8">
        <w:rPr>
          <w:rFonts w:ascii="Arial" w:hAnsi="Arial" w:cs="Arial"/>
          <w:i/>
          <w:sz w:val="20"/>
        </w:rPr>
        <w:t xml:space="preserve"> </w:t>
      </w:r>
    </w:p>
    <w:p w14:paraId="6A05FF6B" w14:textId="7B928255" w:rsidR="00210DBC" w:rsidRPr="007618F8" w:rsidRDefault="00210DBC" w:rsidP="00210DBC">
      <w:pPr>
        <w:spacing w:after="200"/>
        <w:rPr>
          <w:rFonts w:ascii="Arial" w:hAnsi="Arial" w:cs="Arial"/>
          <w:sz w:val="24"/>
          <w:szCs w:val="24"/>
        </w:rPr>
      </w:pPr>
      <w:r w:rsidRPr="007618F8">
        <w:rPr>
          <w:rFonts w:ascii="Arial" w:hAnsi="Arial" w:cs="Arial"/>
          <w:i/>
          <w:sz w:val="20"/>
        </w:rPr>
        <w:t>Right to the enjoyment of just and favourable conditions of work</w:t>
      </w:r>
    </w:p>
    <w:p w14:paraId="032498AC" w14:textId="77777777" w:rsidR="00210DBC" w:rsidRPr="007618F8" w:rsidRDefault="00210DBC" w:rsidP="00210DBC">
      <w:pPr>
        <w:spacing w:after="200"/>
        <w:rPr>
          <w:rStyle w:val="eop"/>
          <w:rFonts w:ascii="Arial" w:hAnsi="Arial" w:cs="Arial"/>
          <w:color w:val="000000"/>
          <w:sz w:val="20"/>
        </w:rPr>
      </w:pPr>
      <w:r w:rsidRPr="007618F8">
        <w:rPr>
          <w:rStyle w:val="normaltextrun"/>
          <w:rFonts w:ascii="Arial" w:hAnsi="Arial" w:cs="Arial"/>
          <w:color w:val="000000"/>
          <w:sz w:val="20"/>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r w:rsidRPr="007618F8">
        <w:rPr>
          <w:rStyle w:val="eop"/>
          <w:rFonts w:ascii="Arial" w:hAnsi="Arial" w:cs="Arial"/>
          <w:color w:val="000000"/>
          <w:sz w:val="20"/>
        </w:rPr>
        <w:t> </w:t>
      </w:r>
    </w:p>
    <w:p w14:paraId="2E01A812" w14:textId="77777777" w:rsidR="00210DBC" w:rsidRPr="007618F8" w:rsidRDefault="00210DBC" w:rsidP="00210DBC">
      <w:pPr>
        <w:spacing w:after="200"/>
        <w:rPr>
          <w:rFonts w:ascii="Arial" w:hAnsi="Arial" w:cs="Arial"/>
          <w:sz w:val="24"/>
          <w:szCs w:val="24"/>
        </w:rPr>
      </w:pPr>
      <w:r w:rsidRPr="007618F8">
        <w:rPr>
          <w:rFonts w:ascii="Arial" w:hAnsi="Arial" w:cs="Arial"/>
          <w:i/>
          <w:iCs/>
          <w:sz w:val="20"/>
        </w:rPr>
        <w:t>Right to an adequate standard of living</w:t>
      </w:r>
    </w:p>
    <w:p w14:paraId="38FFFAF4" w14:textId="1F3D4FDE" w:rsidR="001E51FE" w:rsidRPr="007618F8" w:rsidRDefault="00210DBC" w:rsidP="00CB6ED8">
      <w:pPr>
        <w:pStyle w:val="Sectiontext"/>
        <w:rPr>
          <w:snapToGrid w:val="0"/>
        </w:rPr>
      </w:pPr>
      <w:r w:rsidRPr="007618F8">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74FD98BD" w14:textId="77777777" w:rsidR="0088580D" w:rsidRPr="007618F8" w:rsidRDefault="0088580D" w:rsidP="0088580D">
      <w:pPr>
        <w:pStyle w:val="Sectiontext"/>
        <w:rPr>
          <w:i/>
          <w:snapToGrid w:val="0"/>
          <w:u w:val="single"/>
        </w:rPr>
      </w:pPr>
      <w:r w:rsidRPr="007618F8">
        <w:rPr>
          <w:i/>
          <w:snapToGrid w:val="0"/>
          <w:u w:val="single"/>
        </w:rPr>
        <w:t>Schedule 1</w:t>
      </w:r>
      <w:r w:rsidRPr="007618F8">
        <w:rPr>
          <w:rFonts w:cs="Arial"/>
          <w:i/>
          <w:snapToGrid w:val="0"/>
          <w:u w:val="single"/>
        </w:rPr>
        <w:t>—Air Force Flight Test Engineer –</w:t>
      </w:r>
      <w:r w:rsidRPr="007618F8">
        <w:rPr>
          <w:i/>
          <w:snapToGrid w:val="0"/>
          <w:u w:val="single"/>
        </w:rPr>
        <w:t xml:space="preserve"> amendment</w:t>
      </w:r>
    </w:p>
    <w:p w14:paraId="7D6FF90A" w14:textId="61A08170" w:rsidR="004A746A" w:rsidRPr="007618F8" w:rsidRDefault="00CE616E" w:rsidP="004A746A">
      <w:pPr>
        <w:pStyle w:val="Sectiontext"/>
        <w:rPr>
          <w:rFonts w:cs="Arial"/>
        </w:rPr>
      </w:pPr>
      <w:r w:rsidRPr="4D1D26FE">
        <w:rPr>
          <w:rFonts w:cs="Arial"/>
        </w:rPr>
        <w:t>This</w:t>
      </w:r>
      <w:r w:rsidR="00210DBC" w:rsidRPr="4D1D26FE">
        <w:rPr>
          <w:rFonts w:cs="Arial"/>
        </w:rPr>
        <w:t xml:space="preserve"> Schedule</w:t>
      </w:r>
      <w:r w:rsidRPr="4D1D26FE">
        <w:rPr>
          <w:rFonts w:cs="Arial"/>
        </w:rPr>
        <w:t xml:space="preserve"> advances the right to the enjoyment of just and favourable conditions and work and the right to an adequate standard of living by ensuring that a member is not financially disadvantaged by providing a further salary non-reduction period for an Air Force officer</w:t>
      </w:r>
      <w:r w:rsidR="004A2DDC" w:rsidRPr="4D1D26FE">
        <w:rPr>
          <w:rFonts w:cs="Arial"/>
        </w:rPr>
        <w:t xml:space="preserve"> </w:t>
      </w:r>
      <w:r w:rsidR="00246AA1" w:rsidRPr="4D1D26FE">
        <w:rPr>
          <w:rFonts w:cs="Arial"/>
        </w:rPr>
        <w:t xml:space="preserve">as a consequence of a change in </w:t>
      </w:r>
      <w:r w:rsidR="3BC91417" w:rsidRPr="4D1D26FE">
        <w:rPr>
          <w:rFonts w:cs="Arial"/>
        </w:rPr>
        <w:t xml:space="preserve">the ADF engineering officer </w:t>
      </w:r>
      <w:r w:rsidR="00246AA1" w:rsidRPr="4D1D26FE">
        <w:rPr>
          <w:rFonts w:cs="Arial"/>
        </w:rPr>
        <w:t>employment category.</w:t>
      </w:r>
    </w:p>
    <w:p w14:paraId="1FFEABCA" w14:textId="5FF99C44" w:rsidR="00673772" w:rsidRDefault="00673772" w:rsidP="00673772">
      <w:pPr>
        <w:pStyle w:val="Sectiontext"/>
        <w:rPr>
          <w:rFonts w:cs="Arial"/>
          <w:i/>
          <w:iCs/>
          <w:snapToGrid w:val="0"/>
          <w:u w:val="single"/>
        </w:rPr>
      </w:pPr>
      <w:r w:rsidRPr="007618F8">
        <w:rPr>
          <w:i/>
          <w:iCs/>
          <w:snapToGrid w:val="0"/>
          <w:u w:val="single"/>
        </w:rPr>
        <w:t xml:space="preserve">Schedule </w:t>
      </w:r>
      <w:r>
        <w:rPr>
          <w:i/>
          <w:iCs/>
          <w:snapToGrid w:val="0"/>
          <w:u w:val="single"/>
        </w:rPr>
        <w:t>3</w:t>
      </w:r>
      <w:r w:rsidRPr="007618F8">
        <w:rPr>
          <w:rFonts w:cs="Arial"/>
          <w:i/>
          <w:iCs/>
          <w:snapToGrid w:val="0"/>
          <w:u w:val="single"/>
        </w:rPr>
        <w:t>—</w:t>
      </w:r>
      <w:r>
        <w:rPr>
          <w:rFonts w:cs="Arial"/>
          <w:i/>
          <w:iCs/>
          <w:snapToGrid w:val="0"/>
          <w:u w:val="single"/>
        </w:rPr>
        <w:t>Overseas reunion travel</w:t>
      </w:r>
      <w:r w:rsidRPr="007618F8">
        <w:rPr>
          <w:rFonts w:cs="Arial"/>
          <w:i/>
          <w:iCs/>
          <w:snapToGrid w:val="0"/>
          <w:u w:val="single"/>
        </w:rPr>
        <w:t xml:space="preserve"> amendments</w:t>
      </w:r>
      <w:r>
        <w:rPr>
          <w:rFonts w:cs="Arial"/>
          <w:i/>
          <w:iCs/>
          <w:snapToGrid w:val="0"/>
          <w:u w:val="single"/>
        </w:rPr>
        <w:t xml:space="preserve"> and schedule 4—Transitional</w:t>
      </w:r>
    </w:p>
    <w:p w14:paraId="0C511CC2" w14:textId="26C5B679" w:rsidR="00673772" w:rsidRDefault="00673772" w:rsidP="743E108C">
      <w:pPr>
        <w:pStyle w:val="Sectiontext"/>
        <w:rPr>
          <w:rFonts w:cs="Arial"/>
        </w:rPr>
      </w:pPr>
      <w:r w:rsidRPr="007618F8">
        <w:rPr>
          <w:rFonts w:cs="Arial"/>
        </w:rPr>
        <w:t xml:space="preserve">This Schedule advances the right to the enjoyment of just and favourable conditions by </w:t>
      </w:r>
      <w:r>
        <w:rPr>
          <w:rFonts w:cs="Arial"/>
        </w:rPr>
        <w:t>providing members posted overseas with the ability to travel to be temporarily reunited with their families in Australia as a part of their conditions of service package.</w:t>
      </w:r>
    </w:p>
    <w:p w14:paraId="14CDB532" w14:textId="04780B2B" w:rsidR="004A746A" w:rsidRPr="007618F8" w:rsidRDefault="00210DBC" w:rsidP="743E108C">
      <w:pPr>
        <w:pStyle w:val="Sectiontext"/>
        <w:rPr>
          <w:i/>
          <w:iCs/>
          <w:snapToGrid w:val="0"/>
          <w:u w:val="single"/>
        </w:rPr>
      </w:pPr>
      <w:r w:rsidRPr="007618F8">
        <w:rPr>
          <w:i/>
          <w:iCs/>
          <w:snapToGrid w:val="0"/>
          <w:u w:val="single"/>
        </w:rPr>
        <w:t xml:space="preserve">Schedule </w:t>
      </w:r>
      <w:r w:rsidR="00673772">
        <w:rPr>
          <w:i/>
          <w:iCs/>
          <w:snapToGrid w:val="0"/>
          <w:u w:val="single"/>
        </w:rPr>
        <w:t>3</w:t>
      </w:r>
      <w:r w:rsidR="004A746A" w:rsidRPr="007618F8">
        <w:rPr>
          <w:rFonts w:cs="Arial"/>
          <w:i/>
          <w:iCs/>
          <w:snapToGrid w:val="0"/>
          <w:u w:val="single"/>
        </w:rPr>
        <w:t>—Technical amendments</w:t>
      </w:r>
    </w:p>
    <w:p w14:paraId="35867840" w14:textId="756ABE84" w:rsidR="39AD38D6" w:rsidRPr="007618F8" w:rsidRDefault="00CB6ED8" w:rsidP="195DB937">
      <w:pPr>
        <w:spacing w:after="200"/>
        <w:rPr>
          <w:rFonts w:ascii="Arial" w:eastAsia="Arial" w:hAnsi="Arial" w:cs="Arial"/>
          <w:sz w:val="20"/>
        </w:rPr>
      </w:pPr>
      <w:r w:rsidRPr="007618F8">
        <w:rPr>
          <w:rFonts w:ascii="Arial" w:eastAsia="Arial" w:hAnsi="Arial" w:cs="Arial"/>
          <w:sz w:val="20"/>
        </w:rPr>
        <w:t>This S</w:t>
      </w:r>
      <w:r w:rsidR="39AD38D6" w:rsidRPr="007618F8">
        <w:rPr>
          <w:rFonts w:ascii="Arial" w:eastAsia="Arial" w:hAnsi="Arial" w:cs="Arial"/>
          <w:sz w:val="20"/>
        </w:rPr>
        <w:t xml:space="preserve">chedule does not engage with human rights. It makes administrative changes to the determination only and does not affect any rules, obligations or benefits provided in the Principal Determination. </w:t>
      </w:r>
    </w:p>
    <w:p w14:paraId="494DEA52" w14:textId="77777777" w:rsidR="001E51FE" w:rsidRPr="007618F8" w:rsidRDefault="001E51FE" w:rsidP="001E51FE">
      <w:pPr>
        <w:spacing w:after="200"/>
        <w:rPr>
          <w:rFonts w:ascii="Arial" w:hAnsi="Arial" w:cs="Arial"/>
          <w:b/>
          <w:sz w:val="20"/>
        </w:rPr>
      </w:pPr>
      <w:r w:rsidRPr="007618F8">
        <w:rPr>
          <w:rFonts w:ascii="Arial" w:hAnsi="Arial" w:cs="Arial"/>
          <w:b/>
          <w:sz w:val="20"/>
        </w:rPr>
        <w:t>Conclusion</w:t>
      </w:r>
    </w:p>
    <w:p w14:paraId="1D77FC50" w14:textId="61940957" w:rsidR="001E51FE" w:rsidRPr="007618F8" w:rsidRDefault="00A45399" w:rsidP="00A575F1">
      <w:pPr>
        <w:pStyle w:val="Sectiontext"/>
      </w:pPr>
      <w:r w:rsidRPr="007618F8">
        <w:rPr>
          <w:snapToGrid w:val="0"/>
        </w:rPr>
        <w:t>Schedule</w:t>
      </w:r>
      <w:r w:rsidR="00CB6ED8" w:rsidRPr="007618F8">
        <w:rPr>
          <w:snapToGrid w:val="0"/>
        </w:rPr>
        <w:t>s</w:t>
      </w:r>
      <w:r w:rsidRPr="007618F8">
        <w:rPr>
          <w:snapToGrid w:val="0"/>
        </w:rPr>
        <w:t xml:space="preserve"> 1</w:t>
      </w:r>
      <w:r w:rsidR="00673772">
        <w:rPr>
          <w:snapToGrid w:val="0"/>
        </w:rPr>
        <w:t>, 2 and 4</w:t>
      </w:r>
      <w:r w:rsidRPr="007618F8">
        <w:rPr>
          <w:snapToGrid w:val="0"/>
        </w:rPr>
        <w:t xml:space="preserve"> of this Determination</w:t>
      </w:r>
      <w:r w:rsidR="00CB6ED8" w:rsidRPr="007618F8">
        <w:rPr>
          <w:snapToGrid w:val="0"/>
        </w:rPr>
        <w:t xml:space="preserve"> are</w:t>
      </w:r>
      <w:r w:rsidR="001E51FE" w:rsidRPr="007618F8">
        <w:rPr>
          <w:snapToGrid w:val="0"/>
        </w:rPr>
        <w:t xml:space="preserve"> compati</w:t>
      </w:r>
      <w:r w:rsidR="00CB6ED8" w:rsidRPr="007618F8">
        <w:rPr>
          <w:snapToGrid w:val="0"/>
        </w:rPr>
        <w:t xml:space="preserve">ble with human rights because </w:t>
      </w:r>
      <w:r w:rsidR="00673772">
        <w:rPr>
          <w:snapToGrid w:val="0"/>
        </w:rPr>
        <w:t>they</w:t>
      </w:r>
      <w:r w:rsidR="00CB6ED8" w:rsidRPr="007618F8">
        <w:rPr>
          <w:snapToGrid w:val="0"/>
        </w:rPr>
        <w:t xml:space="preserve"> advance</w:t>
      </w:r>
      <w:r w:rsidR="001E51FE" w:rsidRPr="007618F8">
        <w:rPr>
          <w:snapToGrid w:val="0"/>
        </w:rPr>
        <w:t xml:space="preserve"> the protection of human rights.</w:t>
      </w:r>
    </w:p>
    <w:p w14:paraId="1EC6EE13" w14:textId="77777777" w:rsidR="00673772" w:rsidRDefault="00673772">
      <w:pPr>
        <w:spacing w:line="240" w:lineRule="auto"/>
        <w:rPr>
          <w:rFonts w:ascii="Arial" w:eastAsia="Times New Roman" w:hAnsi="Arial" w:cs="Arial"/>
          <w:color w:val="000000"/>
          <w:sz w:val="20"/>
          <w:shd w:val="clear" w:color="auto" w:fill="FFFFFF"/>
          <w:lang w:eastAsia="en-AU"/>
        </w:rPr>
      </w:pPr>
      <w:r>
        <w:rPr>
          <w:rFonts w:cs="Arial"/>
          <w:color w:val="000000"/>
          <w:shd w:val="clear" w:color="auto" w:fill="FFFFFF"/>
        </w:rPr>
        <w:br w:type="page"/>
      </w:r>
    </w:p>
    <w:p w14:paraId="48BD174B" w14:textId="2E08B2FA" w:rsidR="00A45399" w:rsidRPr="007618F8" w:rsidRDefault="00CB6ED8" w:rsidP="00A575F1">
      <w:pPr>
        <w:pStyle w:val="Sectiontext"/>
        <w:rPr>
          <w:snapToGrid w:val="0"/>
        </w:rPr>
      </w:pPr>
      <w:r w:rsidRPr="007618F8">
        <w:rPr>
          <w:rFonts w:cs="Arial"/>
          <w:color w:val="000000"/>
          <w:shd w:val="clear" w:color="auto" w:fill="FFFFFF"/>
        </w:rPr>
        <w:lastRenderedPageBreak/>
        <w:t xml:space="preserve">Schedule </w:t>
      </w:r>
      <w:r w:rsidR="00673772">
        <w:rPr>
          <w:rFonts w:cs="Arial"/>
          <w:color w:val="000000"/>
          <w:shd w:val="clear" w:color="auto" w:fill="FFFFFF"/>
        </w:rPr>
        <w:t>3</w:t>
      </w:r>
      <w:r w:rsidR="00A45399" w:rsidRPr="007618F8">
        <w:rPr>
          <w:rFonts w:cs="Arial"/>
          <w:color w:val="000000"/>
          <w:shd w:val="clear" w:color="auto" w:fill="FFFFFF"/>
        </w:rPr>
        <w:t xml:space="preserve"> of this Determination is compatible with human rights because it does not engage any applicable human rights or freedoms.</w:t>
      </w:r>
    </w:p>
    <w:p w14:paraId="1B4769FF" w14:textId="77777777" w:rsidR="001E51FE" w:rsidRPr="007618F8" w:rsidRDefault="001E51FE" w:rsidP="00A575F1">
      <w:pPr>
        <w:pStyle w:val="Sectiontext"/>
        <w:rPr>
          <w:snapToGrid w:val="0"/>
        </w:rPr>
      </w:pPr>
    </w:p>
    <w:p w14:paraId="1DBA1602" w14:textId="77777777" w:rsidR="001E51FE" w:rsidRPr="007618F8" w:rsidRDefault="001E51FE" w:rsidP="001E51FE">
      <w:pPr>
        <w:spacing w:after="200"/>
        <w:jc w:val="center"/>
        <w:rPr>
          <w:rFonts w:ascii="Arial" w:hAnsi="Arial" w:cs="Arial"/>
          <w:sz w:val="20"/>
        </w:rPr>
      </w:pPr>
      <w:r w:rsidRPr="007618F8">
        <w:rPr>
          <w:rFonts w:ascii="Arial" w:hAnsi="Arial" w:cs="Arial"/>
          <w:sz w:val="20"/>
        </w:rPr>
        <w:t>Fiona Louise McSpeerin, Assistant Secretary People Policy and Employment Conditions</w:t>
      </w:r>
    </w:p>
    <w:p w14:paraId="06EB1150" w14:textId="77777777" w:rsidR="001E51FE" w:rsidRPr="007618F8" w:rsidRDefault="001E51FE" w:rsidP="001E51FE">
      <w:pPr>
        <w:pStyle w:val="Sectiontext"/>
      </w:pPr>
    </w:p>
    <w:p w14:paraId="0303E197" w14:textId="77777777" w:rsidR="001E51FE" w:rsidRPr="007618F8" w:rsidRDefault="001E51FE" w:rsidP="001E51FE">
      <w:pPr>
        <w:pStyle w:val="Sectiontext"/>
      </w:pPr>
    </w:p>
    <w:p w14:paraId="46F201D2" w14:textId="77777777" w:rsidR="001E51FE" w:rsidRPr="007618F8" w:rsidRDefault="001E51FE" w:rsidP="001E51FE"/>
    <w:p w14:paraId="4D3CB653" w14:textId="77777777" w:rsidR="001E51FE" w:rsidRPr="007618F8" w:rsidRDefault="001E51FE" w:rsidP="006065DA">
      <w:pPr>
        <w:pStyle w:val="subsection"/>
      </w:pPr>
    </w:p>
    <w:sectPr w:rsidR="001E51FE" w:rsidRPr="007618F8" w:rsidSect="008417DF">
      <w:headerReference w:type="first" r:id="rId14"/>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6F198" w14:textId="77777777" w:rsidR="00196CC9" w:rsidRDefault="00196CC9" w:rsidP="0048364F">
      <w:pPr>
        <w:spacing w:line="240" w:lineRule="auto"/>
      </w:pPr>
      <w:r>
        <w:separator/>
      </w:r>
    </w:p>
  </w:endnote>
  <w:endnote w:type="continuationSeparator" w:id="0">
    <w:p w14:paraId="24BB6D00" w14:textId="77777777" w:rsidR="00196CC9" w:rsidRDefault="00196CC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7A52DC85" w:rsidR="00FA083A" w:rsidRDefault="00FA083A">
        <w:pPr>
          <w:pStyle w:val="Footer"/>
          <w:jc w:val="right"/>
        </w:pPr>
        <w:r>
          <w:fldChar w:fldCharType="begin"/>
        </w:r>
        <w:r>
          <w:instrText xml:space="preserve"> PAGE   \* MERGEFORMAT </w:instrText>
        </w:r>
        <w:r>
          <w:fldChar w:fldCharType="separate"/>
        </w:r>
        <w:r w:rsidR="007240B3">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75E9EF42" w:rsidR="00FA083A" w:rsidRDefault="00FA083A">
        <w:pPr>
          <w:pStyle w:val="Footer"/>
          <w:jc w:val="right"/>
        </w:pPr>
        <w:r>
          <w:fldChar w:fldCharType="begin"/>
        </w:r>
        <w:r>
          <w:instrText xml:space="preserve"> PAGE   \* MERGEFORMAT </w:instrText>
        </w:r>
        <w:r>
          <w:fldChar w:fldCharType="separate"/>
        </w:r>
        <w:r w:rsidR="007240B3">
          <w:rPr>
            <w:noProof/>
          </w:rPr>
          <w:t>1</w:t>
        </w:r>
        <w:r>
          <w:rPr>
            <w:noProof/>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89C7" w14:textId="77777777" w:rsidR="00196CC9" w:rsidRDefault="00196CC9" w:rsidP="0048364F">
      <w:pPr>
        <w:spacing w:line="240" w:lineRule="auto"/>
      </w:pPr>
      <w:r>
        <w:separator/>
      </w:r>
    </w:p>
  </w:footnote>
  <w:footnote w:type="continuationSeparator" w:id="0">
    <w:p w14:paraId="425F80DA" w14:textId="77777777" w:rsidR="00196CC9" w:rsidRDefault="00196CC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5FBB" w14:textId="71C86969" w:rsidR="001F76CE" w:rsidRPr="009A6866" w:rsidRDefault="001F76CE" w:rsidP="001F76CE">
    <w:pPr>
      <w:pStyle w:val="ActHead6"/>
    </w:pPr>
    <w:r>
      <w:t>EXPLANATORY STATEMENT</w:t>
    </w:r>
  </w:p>
  <w:p w14:paraId="59A6EE58" w14:textId="0D82E644" w:rsidR="001F76CE" w:rsidRDefault="001F76CE">
    <w:pPr>
      <w:pStyle w:val="Header"/>
    </w:pPr>
  </w:p>
  <w:p w14:paraId="64470E3C" w14:textId="77777777" w:rsidR="001F76CE" w:rsidRDefault="001F7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855B" w14:textId="77777777" w:rsidR="001E51FE" w:rsidRPr="00B4022B" w:rsidRDefault="001E51FE" w:rsidP="001E51FE">
    <w:pPr>
      <w:pStyle w:val="Sectiontext"/>
      <w:jc w:val="center"/>
      <w:rPr>
        <w:b/>
        <w:snapToGrid w:val="0"/>
        <w:sz w:val="30"/>
        <w:szCs w:val="30"/>
      </w:rPr>
    </w:pPr>
    <w:r w:rsidRPr="00B4022B">
      <w:rPr>
        <w:b/>
        <w:snapToGrid w:val="0"/>
        <w:sz w:val="30"/>
        <w:szCs w:val="30"/>
      </w:rPr>
      <w:t>Statement of Compatibility with Human Rights</w:t>
    </w:r>
  </w:p>
  <w:p w14:paraId="2091DD2F" w14:textId="77777777" w:rsidR="001E51FE" w:rsidRDefault="001E51FE" w:rsidP="001E51FE">
    <w:pPr>
      <w:pStyle w:val="Sectiontext"/>
      <w:jc w:val="center"/>
      <w:rPr>
        <w:i/>
        <w:snapToGrid w:val="0"/>
      </w:rPr>
    </w:pPr>
    <w:r>
      <w:rPr>
        <w:i/>
        <w:snapToGrid w:val="0"/>
      </w:rPr>
      <w:t>Prepared in accordance with Part 3 of the Human Rights (Parliamentary Scrutiny) Act 2011</w:t>
    </w:r>
  </w:p>
  <w:p w14:paraId="16DF27EC" w14:textId="624DB3F5" w:rsidR="001E51FE" w:rsidRPr="00C17775" w:rsidRDefault="009A6866" w:rsidP="00BC00AA">
    <w:pPr>
      <w:pStyle w:val="BlockText-Plain"/>
      <w:jc w:val="center"/>
      <w:rPr>
        <w:i/>
        <w:snapToGrid w:val="0"/>
      </w:rPr>
    </w:pPr>
    <w:r w:rsidRPr="00C17775">
      <w:rPr>
        <w:i/>
        <w:snapToGrid w:val="0"/>
      </w:rPr>
      <w:fldChar w:fldCharType="begin"/>
    </w:r>
    <w:r w:rsidRPr="00C17775">
      <w:rPr>
        <w:i/>
        <w:snapToGrid w:val="0"/>
      </w:rPr>
      <w:instrText xml:space="preserve"> STYLEREF  "Heading 6,ES-HRS Title"  \* MERGEFORMAT </w:instrText>
    </w:r>
    <w:r w:rsidRPr="00C17775">
      <w:rPr>
        <w:i/>
        <w:snapToGrid w:val="0"/>
      </w:rPr>
      <w:fldChar w:fldCharType="separate"/>
    </w:r>
    <w:r w:rsidR="007240B3" w:rsidRPr="007240B3">
      <w:rPr>
        <w:bCs/>
        <w:i/>
        <w:noProof/>
        <w:snapToGrid w:val="0"/>
        <w:lang w:val="en-US"/>
      </w:rPr>
      <w:t xml:space="preserve">Defence Determination, Conditions of service Amendment Determination 2020 </w:t>
    </w:r>
    <w:r w:rsidR="007240B3">
      <w:rPr>
        <w:i/>
        <w:noProof/>
        <w:snapToGrid w:val="0"/>
      </w:rPr>
      <w:t>(No. 11)</w:t>
    </w:r>
    <w:r w:rsidRPr="00C17775">
      <w:rPr>
        <w:i/>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AD1052"/>
    <w:multiLevelType w:val="hybridMultilevel"/>
    <w:tmpl w:val="AAAA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A757D"/>
    <w:multiLevelType w:val="hybridMultilevel"/>
    <w:tmpl w:val="406E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B7882"/>
    <w:multiLevelType w:val="hybridMultilevel"/>
    <w:tmpl w:val="D3E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B525B"/>
    <w:multiLevelType w:val="hybridMultilevel"/>
    <w:tmpl w:val="4702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5"/>
  </w:num>
  <w:num w:numId="15">
    <w:abstractNumId w:val="16"/>
  </w:num>
  <w:num w:numId="16">
    <w:abstractNumId w:val="12"/>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6B"/>
    <w:rsid w:val="00000263"/>
    <w:rsid w:val="000113BC"/>
    <w:rsid w:val="000136AF"/>
    <w:rsid w:val="00034420"/>
    <w:rsid w:val="0004044E"/>
    <w:rsid w:val="0005120E"/>
    <w:rsid w:val="00054577"/>
    <w:rsid w:val="000614BF"/>
    <w:rsid w:val="0007169C"/>
    <w:rsid w:val="00077593"/>
    <w:rsid w:val="00083F48"/>
    <w:rsid w:val="000A479A"/>
    <w:rsid w:val="000A7DF9"/>
    <w:rsid w:val="000C696D"/>
    <w:rsid w:val="000D05EF"/>
    <w:rsid w:val="000D3FB9"/>
    <w:rsid w:val="000D5485"/>
    <w:rsid w:val="000E00C2"/>
    <w:rsid w:val="000E598E"/>
    <w:rsid w:val="000E5A3D"/>
    <w:rsid w:val="000F0ADA"/>
    <w:rsid w:val="000F21C1"/>
    <w:rsid w:val="001041BC"/>
    <w:rsid w:val="0010745C"/>
    <w:rsid w:val="001122FF"/>
    <w:rsid w:val="00116410"/>
    <w:rsid w:val="0014304D"/>
    <w:rsid w:val="00160BD7"/>
    <w:rsid w:val="001643C9"/>
    <w:rsid w:val="00164901"/>
    <w:rsid w:val="00165568"/>
    <w:rsid w:val="00166082"/>
    <w:rsid w:val="00166C2F"/>
    <w:rsid w:val="001716C9"/>
    <w:rsid w:val="00184261"/>
    <w:rsid w:val="00193461"/>
    <w:rsid w:val="001939E1"/>
    <w:rsid w:val="0019452E"/>
    <w:rsid w:val="00195382"/>
    <w:rsid w:val="00196CC9"/>
    <w:rsid w:val="001A3B9F"/>
    <w:rsid w:val="001A5520"/>
    <w:rsid w:val="001A65C0"/>
    <w:rsid w:val="001B7A5D"/>
    <w:rsid w:val="001C6368"/>
    <w:rsid w:val="001C69C4"/>
    <w:rsid w:val="001D6B30"/>
    <w:rsid w:val="001D75D3"/>
    <w:rsid w:val="001E0A8D"/>
    <w:rsid w:val="001E3590"/>
    <w:rsid w:val="001E51FE"/>
    <w:rsid w:val="001E6496"/>
    <w:rsid w:val="001E7407"/>
    <w:rsid w:val="001F1A46"/>
    <w:rsid w:val="001F76CE"/>
    <w:rsid w:val="00201D27"/>
    <w:rsid w:val="00210DBC"/>
    <w:rsid w:val="0021153A"/>
    <w:rsid w:val="0021243D"/>
    <w:rsid w:val="0022229F"/>
    <w:rsid w:val="002245A6"/>
    <w:rsid w:val="002302EA"/>
    <w:rsid w:val="00237614"/>
    <w:rsid w:val="00240749"/>
    <w:rsid w:val="002468D7"/>
    <w:rsid w:val="00246AA1"/>
    <w:rsid w:val="00247E97"/>
    <w:rsid w:val="00255C57"/>
    <w:rsid w:val="00256C81"/>
    <w:rsid w:val="00281D78"/>
    <w:rsid w:val="00285CDD"/>
    <w:rsid w:val="00291167"/>
    <w:rsid w:val="0029489E"/>
    <w:rsid w:val="00297ECB"/>
    <w:rsid w:val="002A0D64"/>
    <w:rsid w:val="002A3EC7"/>
    <w:rsid w:val="002B1B7A"/>
    <w:rsid w:val="002C152A"/>
    <w:rsid w:val="002C71AE"/>
    <w:rsid w:val="002D043A"/>
    <w:rsid w:val="0030052C"/>
    <w:rsid w:val="0031713F"/>
    <w:rsid w:val="003222D1"/>
    <w:rsid w:val="0032750F"/>
    <w:rsid w:val="003415D3"/>
    <w:rsid w:val="003442F6"/>
    <w:rsid w:val="00346335"/>
    <w:rsid w:val="00352B0F"/>
    <w:rsid w:val="003561B0"/>
    <w:rsid w:val="00397893"/>
    <w:rsid w:val="003A15AC"/>
    <w:rsid w:val="003A2152"/>
    <w:rsid w:val="003B0627"/>
    <w:rsid w:val="003C5F2B"/>
    <w:rsid w:val="003C7D35"/>
    <w:rsid w:val="003D0BFE"/>
    <w:rsid w:val="003D5700"/>
    <w:rsid w:val="003F506B"/>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2DDC"/>
    <w:rsid w:val="004A53EA"/>
    <w:rsid w:val="004A746A"/>
    <w:rsid w:val="004B35E7"/>
    <w:rsid w:val="004C5A5D"/>
    <w:rsid w:val="004F1FAC"/>
    <w:rsid w:val="004F676E"/>
    <w:rsid w:val="004F71C0"/>
    <w:rsid w:val="00500451"/>
    <w:rsid w:val="00506A01"/>
    <w:rsid w:val="00514EBC"/>
    <w:rsid w:val="00516B8D"/>
    <w:rsid w:val="00516D3D"/>
    <w:rsid w:val="0052756C"/>
    <w:rsid w:val="00530230"/>
    <w:rsid w:val="00530CC9"/>
    <w:rsid w:val="00531B46"/>
    <w:rsid w:val="00537FBC"/>
    <w:rsid w:val="00541D73"/>
    <w:rsid w:val="00543469"/>
    <w:rsid w:val="00546FA3"/>
    <w:rsid w:val="00557C7A"/>
    <w:rsid w:val="00562A58"/>
    <w:rsid w:val="0056541A"/>
    <w:rsid w:val="00576833"/>
    <w:rsid w:val="005803CD"/>
    <w:rsid w:val="00581211"/>
    <w:rsid w:val="00581E7A"/>
    <w:rsid w:val="00584811"/>
    <w:rsid w:val="00591819"/>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06F26"/>
    <w:rsid w:val="0061058B"/>
    <w:rsid w:val="00640402"/>
    <w:rsid w:val="00640F78"/>
    <w:rsid w:val="00655D6A"/>
    <w:rsid w:val="00656DE9"/>
    <w:rsid w:val="00672876"/>
    <w:rsid w:val="00673772"/>
    <w:rsid w:val="00677CC2"/>
    <w:rsid w:val="00685F42"/>
    <w:rsid w:val="0069207B"/>
    <w:rsid w:val="00697CB2"/>
    <w:rsid w:val="006A297B"/>
    <w:rsid w:val="006A304E"/>
    <w:rsid w:val="006B7006"/>
    <w:rsid w:val="006C7F8C"/>
    <w:rsid w:val="006D7AB9"/>
    <w:rsid w:val="00700B2C"/>
    <w:rsid w:val="0070196E"/>
    <w:rsid w:val="00713084"/>
    <w:rsid w:val="00717463"/>
    <w:rsid w:val="00720FC2"/>
    <w:rsid w:val="00722E89"/>
    <w:rsid w:val="007240B3"/>
    <w:rsid w:val="00731E00"/>
    <w:rsid w:val="007339C7"/>
    <w:rsid w:val="007440B7"/>
    <w:rsid w:val="00747993"/>
    <w:rsid w:val="007618F8"/>
    <w:rsid w:val="007634AD"/>
    <w:rsid w:val="007715C9"/>
    <w:rsid w:val="00774EDD"/>
    <w:rsid w:val="007757EC"/>
    <w:rsid w:val="007952E9"/>
    <w:rsid w:val="007A6863"/>
    <w:rsid w:val="007B00B8"/>
    <w:rsid w:val="007B7E65"/>
    <w:rsid w:val="007C78B4"/>
    <w:rsid w:val="007E0853"/>
    <w:rsid w:val="007E32B6"/>
    <w:rsid w:val="007E3976"/>
    <w:rsid w:val="007E486B"/>
    <w:rsid w:val="007E7D4A"/>
    <w:rsid w:val="007F48ED"/>
    <w:rsid w:val="007F5E3F"/>
    <w:rsid w:val="00812F45"/>
    <w:rsid w:val="00836FE9"/>
    <w:rsid w:val="0084172C"/>
    <w:rsid w:val="008417DF"/>
    <w:rsid w:val="0085175E"/>
    <w:rsid w:val="00856A31"/>
    <w:rsid w:val="00864A66"/>
    <w:rsid w:val="0086661A"/>
    <w:rsid w:val="008754D0"/>
    <w:rsid w:val="00877C69"/>
    <w:rsid w:val="00877D48"/>
    <w:rsid w:val="0088345B"/>
    <w:rsid w:val="0088580D"/>
    <w:rsid w:val="00891C08"/>
    <w:rsid w:val="008A16A5"/>
    <w:rsid w:val="008A5C57"/>
    <w:rsid w:val="008C0629"/>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9395F"/>
    <w:rsid w:val="009A6866"/>
    <w:rsid w:val="009B1754"/>
    <w:rsid w:val="009B2490"/>
    <w:rsid w:val="009B50E5"/>
    <w:rsid w:val="009C3431"/>
    <w:rsid w:val="009C5989"/>
    <w:rsid w:val="009C6A32"/>
    <w:rsid w:val="009D08DA"/>
    <w:rsid w:val="009F1229"/>
    <w:rsid w:val="00A003BB"/>
    <w:rsid w:val="00A01225"/>
    <w:rsid w:val="00A06860"/>
    <w:rsid w:val="00A07DDE"/>
    <w:rsid w:val="00A136F5"/>
    <w:rsid w:val="00A231E2"/>
    <w:rsid w:val="00A2550D"/>
    <w:rsid w:val="00A379BB"/>
    <w:rsid w:val="00A4169B"/>
    <w:rsid w:val="00A45399"/>
    <w:rsid w:val="00A50D55"/>
    <w:rsid w:val="00A52FDA"/>
    <w:rsid w:val="00A575F1"/>
    <w:rsid w:val="00A6282F"/>
    <w:rsid w:val="00A64912"/>
    <w:rsid w:val="00A70A74"/>
    <w:rsid w:val="00A9231A"/>
    <w:rsid w:val="00A93CFA"/>
    <w:rsid w:val="00A95BC7"/>
    <w:rsid w:val="00AA0343"/>
    <w:rsid w:val="00AA78CE"/>
    <w:rsid w:val="00AA7B26"/>
    <w:rsid w:val="00AC767C"/>
    <w:rsid w:val="00AD0BF6"/>
    <w:rsid w:val="00AD3467"/>
    <w:rsid w:val="00AD5641"/>
    <w:rsid w:val="00AF33DB"/>
    <w:rsid w:val="00AF6E41"/>
    <w:rsid w:val="00B032D8"/>
    <w:rsid w:val="00B039C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17DA"/>
    <w:rsid w:val="00C164CA"/>
    <w:rsid w:val="00C17775"/>
    <w:rsid w:val="00C26051"/>
    <w:rsid w:val="00C42BF8"/>
    <w:rsid w:val="00C460AE"/>
    <w:rsid w:val="00C50043"/>
    <w:rsid w:val="00C5015F"/>
    <w:rsid w:val="00C50A0F"/>
    <w:rsid w:val="00C50F4A"/>
    <w:rsid w:val="00C72D10"/>
    <w:rsid w:val="00C7573B"/>
    <w:rsid w:val="00C76CF3"/>
    <w:rsid w:val="00C93205"/>
    <w:rsid w:val="00C945DC"/>
    <w:rsid w:val="00C9675F"/>
    <w:rsid w:val="00CA7844"/>
    <w:rsid w:val="00CB5822"/>
    <w:rsid w:val="00CB58EF"/>
    <w:rsid w:val="00CB6ED8"/>
    <w:rsid w:val="00CC3872"/>
    <w:rsid w:val="00CE0A93"/>
    <w:rsid w:val="00CE3819"/>
    <w:rsid w:val="00CE616E"/>
    <w:rsid w:val="00CF0BB2"/>
    <w:rsid w:val="00D12B0D"/>
    <w:rsid w:val="00D13441"/>
    <w:rsid w:val="00D15A4D"/>
    <w:rsid w:val="00D243A3"/>
    <w:rsid w:val="00D33440"/>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22935"/>
    <w:rsid w:val="00E232C6"/>
    <w:rsid w:val="00E4683D"/>
    <w:rsid w:val="00E54292"/>
    <w:rsid w:val="00E54D2B"/>
    <w:rsid w:val="00E60191"/>
    <w:rsid w:val="00E74DC7"/>
    <w:rsid w:val="00E81A20"/>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3E86"/>
    <w:rsid w:val="00F20B52"/>
    <w:rsid w:val="00F32FCB"/>
    <w:rsid w:val="00F33523"/>
    <w:rsid w:val="00F622CB"/>
    <w:rsid w:val="00F677A9"/>
    <w:rsid w:val="00F8121C"/>
    <w:rsid w:val="00F84CF5"/>
    <w:rsid w:val="00F8612E"/>
    <w:rsid w:val="00F94583"/>
    <w:rsid w:val="00FA083A"/>
    <w:rsid w:val="00FA420B"/>
    <w:rsid w:val="00FB6AEE"/>
    <w:rsid w:val="00FC3EAC"/>
    <w:rsid w:val="00FF1060"/>
    <w:rsid w:val="00FF39DE"/>
    <w:rsid w:val="03BF5D22"/>
    <w:rsid w:val="05542B65"/>
    <w:rsid w:val="08661E48"/>
    <w:rsid w:val="086F4DDA"/>
    <w:rsid w:val="0E57E917"/>
    <w:rsid w:val="0EF72B8A"/>
    <w:rsid w:val="0F5A0F54"/>
    <w:rsid w:val="117AE22F"/>
    <w:rsid w:val="153F8323"/>
    <w:rsid w:val="17B97225"/>
    <w:rsid w:val="18499155"/>
    <w:rsid w:val="195DB937"/>
    <w:rsid w:val="1A1EDEF2"/>
    <w:rsid w:val="1BF06826"/>
    <w:rsid w:val="2624FCF1"/>
    <w:rsid w:val="264C50BC"/>
    <w:rsid w:val="2A62F5DF"/>
    <w:rsid w:val="2CB39BA7"/>
    <w:rsid w:val="2E7277EA"/>
    <w:rsid w:val="326D7BE3"/>
    <w:rsid w:val="332E0926"/>
    <w:rsid w:val="342B69B2"/>
    <w:rsid w:val="34556F49"/>
    <w:rsid w:val="35C9812A"/>
    <w:rsid w:val="39AD38D6"/>
    <w:rsid w:val="3BC91417"/>
    <w:rsid w:val="4D1D26FE"/>
    <w:rsid w:val="50099FE1"/>
    <w:rsid w:val="5BA97E05"/>
    <w:rsid w:val="5C4B457E"/>
    <w:rsid w:val="5C818CEC"/>
    <w:rsid w:val="5ED15FE6"/>
    <w:rsid w:val="5EE0019D"/>
    <w:rsid w:val="65349A36"/>
    <w:rsid w:val="6C962F14"/>
    <w:rsid w:val="6DA2B617"/>
    <w:rsid w:val="6E2321D0"/>
    <w:rsid w:val="6FD03861"/>
    <w:rsid w:val="6FD2B8B0"/>
    <w:rsid w:val="715F1A02"/>
    <w:rsid w:val="743E108C"/>
    <w:rsid w:val="751A47B6"/>
    <w:rsid w:val="7A3B9BCE"/>
    <w:rsid w:val="7B9F5C8C"/>
    <w:rsid w:val="7F33B5A6"/>
    <w:rsid w:val="7F98D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EA84AFF8-F121-A344-8D70-0CCE4DB5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14304D"/>
    <w:pPr>
      <w:ind w:left="720"/>
      <w:contextualSpacing/>
    </w:pPr>
  </w:style>
  <w:style w:type="character" w:customStyle="1" w:styleId="normaltextrun">
    <w:name w:val="normaltextrun"/>
    <w:basedOn w:val="DefaultParagraphFont"/>
    <w:rsid w:val="0014304D"/>
  </w:style>
  <w:style w:type="character" w:customStyle="1" w:styleId="eop">
    <w:name w:val="eop"/>
    <w:basedOn w:val="DefaultParagraphFont"/>
    <w:rsid w:val="0014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6724">
      <w:bodyDiv w:val="1"/>
      <w:marLeft w:val="0"/>
      <w:marRight w:val="0"/>
      <w:marTop w:val="0"/>
      <w:marBottom w:val="0"/>
      <w:divBdr>
        <w:top w:val="none" w:sz="0" w:space="0" w:color="auto"/>
        <w:left w:val="none" w:sz="0" w:space="0" w:color="auto"/>
        <w:bottom w:val="none" w:sz="0" w:space="0" w:color="auto"/>
        <w:right w:val="none" w:sz="0" w:space="0" w:color="auto"/>
      </w:divBdr>
    </w:div>
    <w:div w:id="1694921625">
      <w:bodyDiv w:val="1"/>
      <w:marLeft w:val="0"/>
      <w:marRight w:val="0"/>
      <w:marTop w:val="0"/>
      <w:marBottom w:val="0"/>
      <w:divBdr>
        <w:top w:val="none" w:sz="0" w:space="0" w:color="auto"/>
        <w:left w:val="none" w:sz="0" w:space="0" w:color="auto"/>
        <w:bottom w:val="none" w:sz="0" w:space="0" w:color="auto"/>
        <w:right w:val="none" w:sz="0" w:space="0" w:color="auto"/>
      </w:divBdr>
      <w:divsChild>
        <w:div w:id="274487610">
          <w:marLeft w:val="0"/>
          <w:marRight w:val="0"/>
          <w:marTop w:val="0"/>
          <w:marBottom w:val="0"/>
          <w:divBdr>
            <w:top w:val="none" w:sz="0" w:space="0" w:color="auto"/>
            <w:left w:val="none" w:sz="0" w:space="0" w:color="auto"/>
            <w:bottom w:val="none" w:sz="0" w:space="0" w:color="auto"/>
            <w:right w:val="none" w:sz="0" w:space="0" w:color="auto"/>
          </w:divBdr>
        </w:div>
        <w:div w:id="591083516">
          <w:marLeft w:val="0"/>
          <w:marRight w:val="0"/>
          <w:marTop w:val="0"/>
          <w:marBottom w:val="0"/>
          <w:divBdr>
            <w:top w:val="none" w:sz="0" w:space="0" w:color="auto"/>
            <w:left w:val="none" w:sz="0" w:space="0" w:color="auto"/>
            <w:bottom w:val="none" w:sz="0" w:space="0" w:color="auto"/>
            <w:right w:val="none" w:sz="0" w:space="0" w:color="auto"/>
          </w:divBdr>
        </w:div>
      </w:divsChild>
    </w:div>
    <w:div w:id="1724983644">
      <w:bodyDiv w:val="1"/>
      <w:marLeft w:val="0"/>
      <w:marRight w:val="0"/>
      <w:marTop w:val="0"/>
      <w:marBottom w:val="0"/>
      <w:divBdr>
        <w:top w:val="none" w:sz="0" w:space="0" w:color="auto"/>
        <w:left w:val="none" w:sz="0" w:space="0" w:color="auto"/>
        <w:bottom w:val="none" w:sz="0" w:space="0" w:color="auto"/>
        <w:right w:val="none" w:sz="0" w:space="0" w:color="auto"/>
      </w:divBdr>
      <w:divsChild>
        <w:div w:id="292909177">
          <w:marLeft w:val="0"/>
          <w:marRight w:val="0"/>
          <w:marTop w:val="0"/>
          <w:marBottom w:val="0"/>
          <w:divBdr>
            <w:top w:val="none" w:sz="0" w:space="0" w:color="auto"/>
            <w:left w:val="none" w:sz="0" w:space="0" w:color="auto"/>
            <w:bottom w:val="none" w:sz="0" w:space="0" w:color="auto"/>
            <w:right w:val="none" w:sz="0" w:space="0" w:color="auto"/>
          </w:divBdr>
        </w:div>
        <w:div w:id="1838963661">
          <w:marLeft w:val="0"/>
          <w:marRight w:val="0"/>
          <w:marTop w:val="0"/>
          <w:marBottom w:val="0"/>
          <w:divBdr>
            <w:top w:val="none" w:sz="0" w:space="0" w:color="auto"/>
            <w:left w:val="none" w:sz="0" w:space="0" w:color="auto"/>
            <w:bottom w:val="none" w:sz="0" w:space="0" w:color="auto"/>
            <w:right w:val="none" w:sz="0" w:space="0" w:color="auto"/>
          </w:divBdr>
        </w:div>
      </w:divsChild>
    </w:div>
    <w:div w:id="1755205947">
      <w:bodyDiv w:val="1"/>
      <w:marLeft w:val="0"/>
      <w:marRight w:val="0"/>
      <w:marTop w:val="0"/>
      <w:marBottom w:val="0"/>
      <w:divBdr>
        <w:top w:val="none" w:sz="0" w:space="0" w:color="auto"/>
        <w:left w:val="none" w:sz="0" w:space="0" w:color="auto"/>
        <w:bottom w:val="none" w:sz="0" w:space="0" w:color="auto"/>
        <w:right w:val="none" w:sz="0" w:space="0" w:color="auto"/>
      </w:divBdr>
      <w:divsChild>
        <w:div w:id="1245341234">
          <w:marLeft w:val="0"/>
          <w:marRight w:val="0"/>
          <w:marTop w:val="0"/>
          <w:marBottom w:val="0"/>
          <w:divBdr>
            <w:top w:val="none" w:sz="0" w:space="0" w:color="auto"/>
            <w:left w:val="none" w:sz="0" w:space="0" w:color="auto"/>
            <w:bottom w:val="none" w:sz="0" w:space="0" w:color="auto"/>
            <w:right w:val="none" w:sz="0" w:space="0" w:color="auto"/>
          </w:divBdr>
        </w:div>
        <w:div w:id="869343972">
          <w:marLeft w:val="0"/>
          <w:marRight w:val="0"/>
          <w:marTop w:val="0"/>
          <w:marBottom w:val="0"/>
          <w:divBdr>
            <w:top w:val="none" w:sz="0" w:space="0" w:color="auto"/>
            <w:left w:val="none" w:sz="0" w:space="0" w:color="auto"/>
            <w:bottom w:val="none" w:sz="0" w:space="0" w:color="auto"/>
            <w:right w:val="none" w:sz="0" w:space="0" w:color="auto"/>
          </w:divBdr>
        </w:div>
        <w:div w:id="175274179">
          <w:marLeft w:val="0"/>
          <w:marRight w:val="0"/>
          <w:marTop w:val="0"/>
          <w:marBottom w:val="0"/>
          <w:divBdr>
            <w:top w:val="none" w:sz="0" w:space="0" w:color="auto"/>
            <w:left w:val="none" w:sz="0" w:space="0" w:color="auto"/>
            <w:bottom w:val="none" w:sz="0" w:space="0" w:color="auto"/>
            <w:right w:val="none" w:sz="0" w:space="0" w:color="auto"/>
          </w:divBdr>
        </w:div>
        <w:div w:id="1923442264">
          <w:marLeft w:val="0"/>
          <w:marRight w:val="0"/>
          <w:marTop w:val="0"/>
          <w:marBottom w:val="0"/>
          <w:divBdr>
            <w:top w:val="none" w:sz="0" w:space="0" w:color="auto"/>
            <w:left w:val="none" w:sz="0" w:space="0" w:color="auto"/>
            <w:bottom w:val="none" w:sz="0" w:space="0" w:color="auto"/>
            <w:right w:val="none" w:sz="0" w:space="0" w:color="auto"/>
          </w:divBdr>
        </w:div>
        <w:div w:id="1555769983">
          <w:marLeft w:val="0"/>
          <w:marRight w:val="0"/>
          <w:marTop w:val="0"/>
          <w:marBottom w:val="0"/>
          <w:divBdr>
            <w:top w:val="none" w:sz="0" w:space="0" w:color="auto"/>
            <w:left w:val="none" w:sz="0" w:space="0" w:color="auto"/>
            <w:bottom w:val="none" w:sz="0" w:space="0" w:color="auto"/>
            <w:right w:val="none" w:sz="0" w:space="0" w:color="auto"/>
          </w:divBdr>
        </w:div>
      </w:divsChild>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4" ma:contentTypeDescription="Create a new document." ma:contentTypeScope="" ma:versionID="6a10246277f636112a24afe6803c9f32">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12723c9ba028ec9c725bfa5b4a8600c9"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2338-F06B-42BD-B86D-D07984FE252B}">
  <ds:schemaRefs>
    <ds:schemaRef ds:uri="http://schemas.microsoft.com/office/2006/metadata/properties"/>
    <ds:schemaRef ds:uri="http://schemas.microsoft.com/office/infopath/2007/PartnerControls"/>
    <ds:schemaRef ds:uri="d4956981-af34-43b5-9bb9-127b84748104"/>
  </ds:schemaRefs>
</ds:datastoreItem>
</file>

<file path=customXml/itemProps2.xml><?xml version="1.0" encoding="utf-8"?>
<ds:datastoreItem xmlns:ds="http://schemas.openxmlformats.org/officeDocument/2006/customXml" ds:itemID="{C0B1E314-D049-45D9-94BB-6DE0A4BAF51A}">
  <ds:schemaRefs>
    <ds:schemaRef ds:uri="http://schemas.microsoft.com/sharepoint/v3/contenttype/forms"/>
  </ds:schemaRefs>
</ds:datastoreItem>
</file>

<file path=customXml/itemProps3.xml><?xml version="1.0" encoding="utf-8"?>
<ds:datastoreItem xmlns:ds="http://schemas.openxmlformats.org/officeDocument/2006/customXml" ds:itemID="{A50F7E73-CC80-46DB-9557-0309FE5C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7CC74-E80D-4087-A1C9-D5087F5F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2</TotalTime>
  <Pages>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30</cp:revision>
  <cp:lastPrinted>2020-06-02T04:27:00Z</cp:lastPrinted>
  <dcterms:created xsi:type="dcterms:W3CDTF">2020-01-20T22:41:00Z</dcterms:created>
  <dcterms:modified xsi:type="dcterms:W3CDTF">2020-06-04T04:50:00Z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BN13513004</vt:lpwstr>
  </property>
  <property fmtid="{D5CDD505-2E9C-101B-9397-08002B2CF9AE}" pid="4" name="Objective-Title">
    <vt:lpwstr>2020 Template - Omnibus ES and HRS</vt:lpwstr>
  </property>
  <property fmtid="{D5CDD505-2E9C-101B-9397-08002B2CF9AE}" pid="5" name="Objective-Comment">
    <vt:lpwstr/>
  </property>
  <property fmtid="{D5CDD505-2E9C-101B-9397-08002B2CF9AE}" pid="6" name="Objective-CreationStamp">
    <vt:filetime>2020-02-12T03:02:07Z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2020-03-02T22:50:48Z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Legal Instruments</vt:lpwstr>
  </property>
  <property fmtid="{D5CDD505-2E9C-101B-9397-08002B2CF9AE}" pid="14" name="Objective-State">
    <vt:lpwstr>Being Edited</vt:lpwstr>
  </property>
  <property fmtid="{D5CDD505-2E9C-101B-9397-08002B2CF9AE}" pid="15" name="Objective-Version">
    <vt:lpwstr>1.6</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