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1B4F" w14:textId="77777777" w:rsidR="001F2A16" w:rsidRDefault="001F2A16"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7E0A01">
        <w:rPr>
          <w:rFonts w:ascii="Arial" w:hAnsi="Arial" w:cs="Arial"/>
          <w:sz w:val="34"/>
          <w:szCs w:val="34"/>
        </w:rPr>
        <w:t>Explanatory Statement</w:t>
      </w:r>
    </w:p>
    <w:p w14:paraId="6BE55BC4" w14:textId="77777777" w:rsidR="003D1EDB" w:rsidRDefault="003D1EDB"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6B8F7B13" w14:textId="7BB74DA9" w:rsidR="009371D0" w:rsidRDefault="003D1EDB" w:rsidP="00445F29">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Income Tax Assessment Act 1997 - Cents per Kilometre Deduction Rate for Car Expenses 2020</w:t>
      </w:r>
    </w:p>
    <w:p w14:paraId="15AC1B52" w14:textId="5B65CDA8" w:rsidR="0099555F" w:rsidRPr="007E0A01" w:rsidRDefault="0099555F" w:rsidP="0021496E">
      <w:pPr>
        <w:pStyle w:val="Header"/>
        <w:tabs>
          <w:tab w:val="clear" w:pos="4153"/>
          <w:tab w:val="clear" w:pos="8306"/>
        </w:tabs>
        <w:jc w:val="center"/>
        <w:rPr>
          <w:rFonts w:ascii="Arial" w:hAnsi="Arial" w:cs="Arial"/>
          <w:szCs w:val="24"/>
        </w:rPr>
      </w:pPr>
    </w:p>
    <w:p w14:paraId="15AC1B53" w14:textId="77777777" w:rsidR="001F2A16" w:rsidRPr="007E0A01" w:rsidRDefault="001F2A16" w:rsidP="0021496E">
      <w:pPr>
        <w:pStyle w:val="Header"/>
        <w:tabs>
          <w:tab w:val="clear" w:pos="4153"/>
          <w:tab w:val="clear" w:pos="8306"/>
        </w:tabs>
        <w:jc w:val="center"/>
        <w:rPr>
          <w:rFonts w:ascii="Arial" w:hAnsi="Arial" w:cs="Arial"/>
          <w:szCs w:val="24"/>
        </w:rPr>
      </w:pPr>
    </w:p>
    <w:p w14:paraId="15AC1B54" w14:textId="77777777" w:rsidR="00486653" w:rsidRPr="00240CFB" w:rsidRDefault="00486653" w:rsidP="00910595">
      <w:pPr>
        <w:pStyle w:val="Heading2"/>
      </w:pPr>
      <w:r w:rsidRPr="00240CFB">
        <w:t>General Outline of Instrument</w:t>
      </w:r>
    </w:p>
    <w:p w14:paraId="43A3C934" w14:textId="5504ED02" w:rsidR="003D1EDB" w:rsidRPr="00411D69" w:rsidRDefault="003D1EDB" w:rsidP="00411D69">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 xml:space="preserve">This instrument is made under subsection 28-25(4) of the </w:t>
      </w:r>
      <w:r w:rsidRPr="00411D69">
        <w:rPr>
          <w:rFonts w:ascii="Arial" w:hAnsi="Arial" w:cs="Arial"/>
          <w:i/>
          <w:sz w:val="22"/>
          <w:szCs w:val="22"/>
        </w:rPr>
        <w:t>Income Tax Assessment Act 1997</w:t>
      </w:r>
      <w:r w:rsidRPr="00411D69">
        <w:rPr>
          <w:rFonts w:ascii="Arial" w:hAnsi="Arial" w:cs="Arial"/>
          <w:sz w:val="22"/>
          <w:szCs w:val="22"/>
        </w:rPr>
        <w:t>.</w:t>
      </w:r>
    </w:p>
    <w:p w14:paraId="7D6A95CC" w14:textId="39054410" w:rsidR="003D1EDB" w:rsidRPr="00411D69" w:rsidRDefault="003D1EDB" w:rsidP="00411D69">
      <w:pPr>
        <w:numPr>
          <w:ilvl w:val="0"/>
          <w:numId w:val="16"/>
        </w:numPr>
        <w:tabs>
          <w:tab w:val="clear" w:pos="720"/>
        </w:tabs>
        <w:spacing w:after="120"/>
        <w:ind w:left="0" w:firstLine="0"/>
        <w:rPr>
          <w:rFonts w:ascii="Arial" w:hAnsi="Arial" w:cs="Arial"/>
          <w:sz w:val="22"/>
          <w:szCs w:val="22"/>
        </w:rPr>
      </w:pPr>
      <w:r w:rsidRPr="00411D69">
        <w:rPr>
          <w:rFonts w:ascii="Arial" w:hAnsi="Arial" w:cs="Arial"/>
          <w:sz w:val="22"/>
          <w:szCs w:val="22"/>
        </w:rPr>
        <w:t xml:space="preserve">The instrument </w:t>
      </w:r>
      <w:r>
        <w:rPr>
          <w:rFonts w:ascii="Arial" w:hAnsi="Arial" w:cs="Arial"/>
          <w:sz w:val="22"/>
          <w:szCs w:val="22"/>
        </w:rPr>
        <w:t>sets the rate at which work-related car expense deductions may be claimed in an income year when using the cents per kilometre method.</w:t>
      </w:r>
    </w:p>
    <w:p w14:paraId="7D019F01" w14:textId="70CCF640" w:rsidR="003D1EDB" w:rsidRPr="00411D69" w:rsidRDefault="003D1EDB" w:rsidP="00411D69">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 xml:space="preserve">The Commissioner of Taxation has determined the rate to be </w:t>
      </w:r>
      <w:r w:rsidR="00B53D89">
        <w:rPr>
          <w:rFonts w:ascii="Arial" w:hAnsi="Arial" w:cs="Arial"/>
          <w:sz w:val="22"/>
          <w:szCs w:val="22"/>
        </w:rPr>
        <w:t>72</w:t>
      </w:r>
      <w:r>
        <w:rPr>
          <w:rFonts w:ascii="Arial" w:hAnsi="Arial" w:cs="Arial"/>
          <w:sz w:val="22"/>
          <w:szCs w:val="22"/>
        </w:rPr>
        <w:t xml:space="preserve"> cents per kilometre for the income year commencing 1 July 20</w:t>
      </w:r>
      <w:r w:rsidR="00411D69">
        <w:rPr>
          <w:rFonts w:ascii="Arial" w:hAnsi="Arial" w:cs="Arial"/>
          <w:sz w:val="22"/>
          <w:szCs w:val="22"/>
        </w:rPr>
        <w:t>20</w:t>
      </w:r>
      <w:r>
        <w:rPr>
          <w:rFonts w:ascii="Arial" w:hAnsi="Arial" w:cs="Arial"/>
          <w:sz w:val="22"/>
          <w:szCs w:val="22"/>
        </w:rPr>
        <w:t>.</w:t>
      </w:r>
    </w:p>
    <w:p w14:paraId="423DD8C8" w14:textId="1591542A" w:rsidR="003D1EDB" w:rsidRDefault="003D1EDB" w:rsidP="00411D69">
      <w:pPr>
        <w:numPr>
          <w:ilvl w:val="0"/>
          <w:numId w:val="16"/>
        </w:numPr>
        <w:tabs>
          <w:tab w:val="clear" w:pos="720"/>
        </w:tabs>
        <w:spacing w:after="120"/>
        <w:ind w:left="0" w:firstLine="0"/>
        <w:rPr>
          <w:lang w:val="en-US"/>
        </w:rPr>
      </w:pPr>
      <w:r>
        <w:rPr>
          <w:rFonts w:ascii="Arial" w:hAnsi="Arial" w:cs="Arial"/>
          <w:sz w:val="22"/>
          <w:szCs w:val="22"/>
        </w:rPr>
        <w:t xml:space="preserve">A car is defined in section 995-1(1) of the </w:t>
      </w:r>
      <w:r w:rsidRPr="00411D69">
        <w:rPr>
          <w:rFonts w:ascii="Arial" w:hAnsi="Arial" w:cs="Arial"/>
          <w:i/>
          <w:sz w:val="22"/>
          <w:szCs w:val="22"/>
        </w:rPr>
        <w:t>Income Tax Assessment Act 1997</w:t>
      </w:r>
      <w:r>
        <w:rPr>
          <w:rFonts w:ascii="Arial" w:hAnsi="Arial" w:cs="Arial"/>
          <w:sz w:val="22"/>
          <w:szCs w:val="22"/>
        </w:rPr>
        <w:t xml:space="preserve"> as a motor vehicle (except a motor cycle or similar vehicle) designed to carry a load of less than one tonne and fewer than nine passengers.</w:t>
      </w:r>
    </w:p>
    <w:p w14:paraId="15AC1B5F" w14:textId="3A57AB6E" w:rsidR="00486653" w:rsidRPr="00240CFB" w:rsidRDefault="00486653" w:rsidP="003D1EDB">
      <w:pPr>
        <w:numPr>
          <w:ilvl w:val="0"/>
          <w:numId w:val="16"/>
        </w:numPr>
        <w:tabs>
          <w:tab w:val="clear" w:pos="720"/>
        </w:tabs>
        <w:spacing w:after="120"/>
        <w:ind w:left="0" w:firstLine="0"/>
        <w:rPr>
          <w:rFonts w:ascii="Arial" w:hAnsi="Arial" w:cs="Arial"/>
          <w:sz w:val="22"/>
          <w:szCs w:val="22"/>
        </w:rPr>
      </w:pPr>
      <w:r w:rsidRPr="00240CFB">
        <w:rPr>
          <w:rFonts w:ascii="Arial" w:hAnsi="Arial" w:cs="Arial"/>
          <w:sz w:val="22"/>
          <w:szCs w:val="22"/>
        </w:rPr>
        <w:t xml:space="preserve">The instrument is a legislative instrument for the purposes of the </w:t>
      </w:r>
      <w:r w:rsidR="00C4143E" w:rsidRPr="00240CFB">
        <w:rPr>
          <w:rFonts w:ascii="Arial" w:hAnsi="Arial" w:cs="Arial"/>
          <w:i/>
          <w:sz w:val="22"/>
          <w:szCs w:val="22"/>
        </w:rPr>
        <w:t xml:space="preserve">Legislation </w:t>
      </w:r>
      <w:r w:rsidRPr="00240CFB">
        <w:rPr>
          <w:rFonts w:ascii="Arial" w:hAnsi="Arial" w:cs="Arial"/>
          <w:i/>
          <w:sz w:val="22"/>
          <w:szCs w:val="22"/>
        </w:rPr>
        <w:t>Act 2003</w:t>
      </w:r>
      <w:r w:rsidRPr="00240CFB">
        <w:rPr>
          <w:rFonts w:ascii="Arial" w:hAnsi="Arial" w:cs="Arial"/>
          <w:sz w:val="22"/>
          <w:szCs w:val="22"/>
        </w:rPr>
        <w:t>.</w:t>
      </w:r>
    </w:p>
    <w:p w14:paraId="15AC1B61" w14:textId="50586763" w:rsidR="00B31550" w:rsidRPr="00240CFB" w:rsidRDefault="00B31550" w:rsidP="00910595">
      <w:pPr>
        <w:numPr>
          <w:ilvl w:val="0"/>
          <w:numId w:val="16"/>
        </w:numPr>
        <w:tabs>
          <w:tab w:val="clear" w:pos="720"/>
        </w:tabs>
        <w:spacing w:after="120"/>
        <w:ind w:left="0" w:firstLine="0"/>
        <w:rPr>
          <w:rFonts w:ascii="Arial" w:hAnsi="Arial" w:cs="Arial"/>
          <w:sz w:val="22"/>
          <w:szCs w:val="22"/>
        </w:rPr>
      </w:pPr>
      <w:r w:rsidRPr="00240CFB">
        <w:rPr>
          <w:rFonts w:ascii="Arial" w:hAnsi="Arial" w:cs="Arial"/>
          <w:sz w:val="22"/>
          <w:szCs w:val="22"/>
        </w:rPr>
        <w:t xml:space="preserve">Under subsection 33(3) of the </w:t>
      </w:r>
      <w:r w:rsidRPr="00240CFB">
        <w:rPr>
          <w:rFonts w:ascii="Arial" w:hAnsi="Arial" w:cs="Arial"/>
          <w:i/>
          <w:sz w:val="22"/>
          <w:szCs w:val="22"/>
        </w:rPr>
        <w:t>Acts Interpretation Act 1901</w:t>
      </w:r>
      <w:r w:rsidRPr="00240CFB">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5AC1B62" w14:textId="77777777" w:rsidR="006302F7" w:rsidRPr="00240CFB" w:rsidRDefault="006302F7" w:rsidP="00910595">
      <w:pPr>
        <w:spacing w:after="120"/>
        <w:rPr>
          <w:rFonts w:ascii="Arial" w:hAnsi="Arial" w:cs="Arial"/>
          <w:sz w:val="22"/>
          <w:szCs w:val="22"/>
        </w:rPr>
      </w:pPr>
    </w:p>
    <w:p w14:paraId="15AC1B63" w14:textId="77777777" w:rsidR="001D02E6" w:rsidRPr="00240CFB" w:rsidRDefault="001D02E6" w:rsidP="00910595">
      <w:pPr>
        <w:pStyle w:val="Heading2"/>
      </w:pPr>
      <w:r w:rsidRPr="00240CFB">
        <w:t>Date of effect</w:t>
      </w:r>
    </w:p>
    <w:p w14:paraId="7A8BD6E7" w14:textId="77777777" w:rsidR="004C1E42" w:rsidRDefault="00222AFB" w:rsidP="004C1E42">
      <w:pPr>
        <w:numPr>
          <w:ilvl w:val="0"/>
          <w:numId w:val="16"/>
        </w:numPr>
        <w:tabs>
          <w:tab w:val="clear" w:pos="720"/>
        </w:tabs>
        <w:spacing w:after="120"/>
        <w:ind w:left="0" w:firstLine="0"/>
        <w:rPr>
          <w:rFonts w:ascii="Arial" w:hAnsi="Arial" w:cs="Arial"/>
          <w:i/>
          <w:sz w:val="22"/>
          <w:szCs w:val="22"/>
        </w:rPr>
      </w:pPr>
      <w:r w:rsidRPr="00240CFB">
        <w:rPr>
          <w:rFonts w:ascii="Arial" w:hAnsi="Arial" w:cs="Arial"/>
          <w:sz w:val="22"/>
          <w:szCs w:val="22"/>
        </w:rPr>
        <w:t>This instrument commences on</w:t>
      </w:r>
      <w:r w:rsidR="004C1E42">
        <w:rPr>
          <w:rFonts w:ascii="Arial" w:hAnsi="Arial" w:cs="Arial"/>
          <w:sz w:val="22"/>
          <w:szCs w:val="22"/>
        </w:rPr>
        <w:t xml:space="preserve"> 1 July 2020</w:t>
      </w:r>
    </w:p>
    <w:p w14:paraId="15AC1B6A" w14:textId="587F8B49" w:rsidR="001D02E6" w:rsidRPr="004C1E42" w:rsidRDefault="001D02E6" w:rsidP="004C1E42">
      <w:pPr>
        <w:spacing w:after="120"/>
        <w:rPr>
          <w:rFonts w:ascii="Arial" w:hAnsi="Arial" w:cs="Arial"/>
          <w:i/>
          <w:sz w:val="22"/>
          <w:szCs w:val="22"/>
        </w:rPr>
      </w:pPr>
      <w:r w:rsidRPr="004C1E42">
        <w:rPr>
          <w:rFonts w:ascii="Arial" w:hAnsi="Arial" w:cs="Arial"/>
          <w:sz w:val="22"/>
          <w:szCs w:val="22"/>
        </w:rPr>
        <w:t xml:space="preserve">Under section 12(2) of the </w:t>
      </w:r>
      <w:r w:rsidR="00B31550" w:rsidRPr="004C1E42">
        <w:rPr>
          <w:rFonts w:ascii="Arial" w:hAnsi="Arial" w:cs="Arial"/>
          <w:i/>
          <w:sz w:val="22"/>
          <w:szCs w:val="22"/>
        </w:rPr>
        <w:t xml:space="preserve">Legislation </w:t>
      </w:r>
      <w:r w:rsidRPr="004C1E42">
        <w:rPr>
          <w:rFonts w:ascii="Arial" w:hAnsi="Arial" w:cs="Arial"/>
          <w:i/>
          <w:sz w:val="22"/>
          <w:szCs w:val="22"/>
        </w:rPr>
        <w:t>Act 2003</w:t>
      </w:r>
      <w:r w:rsidRPr="004C1E42">
        <w:rPr>
          <w:rFonts w:ascii="Arial" w:hAnsi="Arial" w:cs="Arial"/>
          <w:sz w:val="22"/>
          <w:szCs w:val="22"/>
        </w:rPr>
        <w:t xml:space="preserve"> this instrument does not adversely affect the rights or liabilities of any person other than the Commonwealth.</w:t>
      </w:r>
      <w:r w:rsidR="004C1E42" w:rsidRPr="004C1E42">
        <w:t xml:space="preserve"> </w:t>
      </w:r>
      <w:r w:rsidR="004C1E42" w:rsidRPr="004C1E42">
        <w:rPr>
          <w:rFonts w:ascii="Arial" w:hAnsi="Arial" w:cs="Arial"/>
          <w:sz w:val="22"/>
          <w:szCs w:val="22"/>
        </w:rPr>
        <w:t>This subsection does not apply as this instrument is beneficial to taxpayers as it allows them to claim a greater deduction than was allowed for previous income years.</w:t>
      </w:r>
    </w:p>
    <w:p w14:paraId="15AC1B6B" w14:textId="77777777" w:rsidR="00486653" w:rsidRPr="00240CFB" w:rsidRDefault="00486653" w:rsidP="00910595">
      <w:pPr>
        <w:spacing w:after="120"/>
        <w:rPr>
          <w:rFonts w:ascii="Arial" w:hAnsi="Arial" w:cs="Arial"/>
          <w:sz w:val="22"/>
          <w:szCs w:val="22"/>
        </w:rPr>
      </w:pPr>
    </w:p>
    <w:p w14:paraId="15AC1B6C" w14:textId="77777777" w:rsidR="00486653" w:rsidRPr="00240CFB" w:rsidRDefault="00486653" w:rsidP="00910595">
      <w:pPr>
        <w:pStyle w:val="Heading2"/>
      </w:pPr>
      <w:r w:rsidRPr="00240CFB">
        <w:t>What is the effect of this instrument</w:t>
      </w:r>
    </w:p>
    <w:p w14:paraId="5B938C1F" w14:textId="5F61AFF6" w:rsidR="004C1E42" w:rsidRPr="00080944" w:rsidRDefault="004C1E42" w:rsidP="004C1E42">
      <w:pPr>
        <w:numPr>
          <w:ilvl w:val="0"/>
          <w:numId w:val="16"/>
        </w:numPr>
        <w:tabs>
          <w:tab w:val="clear" w:pos="720"/>
        </w:tabs>
        <w:spacing w:after="120"/>
        <w:ind w:left="0" w:firstLine="0"/>
        <w:rPr>
          <w:rFonts w:ascii="Arial" w:hAnsi="Arial" w:cs="Arial"/>
          <w:sz w:val="22"/>
          <w:szCs w:val="22"/>
        </w:rPr>
      </w:pPr>
      <w:r w:rsidRPr="00080944">
        <w:rPr>
          <w:rFonts w:ascii="Arial" w:hAnsi="Arial" w:cs="Arial"/>
          <w:color w:val="000000"/>
          <w:sz w:val="22"/>
          <w:szCs w:val="22"/>
        </w:rPr>
        <w:t xml:space="preserve">    The effect of this instrument is to ensure taxpayers and tax practitioners have certainty </w:t>
      </w:r>
      <w:r w:rsidRPr="00080944">
        <w:rPr>
          <w:rFonts w:ascii="Arial" w:hAnsi="Arial" w:cs="Arial"/>
          <w:sz w:val="22"/>
          <w:szCs w:val="22"/>
        </w:rPr>
        <w:t>about the rate at which work-related car expense deductions may be claimed using the cents per kilometre method.</w:t>
      </w:r>
    </w:p>
    <w:p w14:paraId="565712DB" w14:textId="77777777" w:rsidR="006A189E" w:rsidRDefault="004C1E42" w:rsidP="006A189E">
      <w:pPr>
        <w:numPr>
          <w:ilvl w:val="0"/>
          <w:numId w:val="16"/>
        </w:numPr>
        <w:tabs>
          <w:tab w:val="clear" w:pos="720"/>
        </w:tabs>
        <w:spacing w:after="120"/>
        <w:ind w:left="0" w:firstLine="0"/>
        <w:rPr>
          <w:rFonts w:ascii="Arial" w:hAnsi="Arial" w:cs="Arial"/>
          <w:sz w:val="22"/>
          <w:szCs w:val="22"/>
        </w:rPr>
      </w:pPr>
      <w:r w:rsidRPr="004C1E42">
        <w:rPr>
          <w:rFonts w:ascii="Arial" w:hAnsi="Arial" w:cs="Arial"/>
          <w:sz w:val="22"/>
          <w:szCs w:val="22"/>
        </w:rPr>
        <w:t xml:space="preserve">This instrument provides further certainty by ensuring that the rate remains applicable until the Commissioner of Taxation, having regard to subsection 28-25(5), determines that it should be varied. </w:t>
      </w:r>
    </w:p>
    <w:p w14:paraId="50E19FAE" w14:textId="75D53E47" w:rsidR="00B43059" w:rsidRPr="00B43059" w:rsidRDefault="00B43059" w:rsidP="00B43059">
      <w:pPr>
        <w:spacing w:after="120"/>
        <w:rPr>
          <w:rFonts w:ascii="Arial" w:hAnsi="Arial" w:cs="Arial"/>
          <w:sz w:val="22"/>
          <w:szCs w:val="22"/>
          <w:u w:val="single"/>
        </w:rPr>
      </w:pPr>
      <w:r w:rsidRPr="00B43059">
        <w:rPr>
          <w:rFonts w:ascii="Arial" w:hAnsi="Arial" w:cs="Arial"/>
          <w:sz w:val="22"/>
          <w:szCs w:val="22"/>
          <w:u w:val="single"/>
        </w:rPr>
        <w:t>Compliance Cost Impact</w:t>
      </w:r>
    </w:p>
    <w:p w14:paraId="15AC1B72" w14:textId="57465F1D" w:rsidR="00493CA7" w:rsidRPr="006A189E" w:rsidRDefault="006A189E" w:rsidP="006A189E">
      <w:pPr>
        <w:numPr>
          <w:ilvl w:val="0"/>
          <w:numId w:val="16"/>
        </w:numPr>
        <w:tabs>
          <w:tab w:val="clear" w:pos="720"/>
        </w:tabs>
        <w:spacing w:after="120"/>
        <w:ind w:left="0" w:firstLine="0"/>
        <w:rPr>
          <w:rFonts w:ascii="Arial" w:hAnsi="Arial" w:cs="Arial"/>
          <w:sz w:val="22"/>
          <w:szCs w:val="22"/>
        </w:rPr>
      </w:pPr>
      <w:r w:rsidRPr="006A189E">
        <w:rPr>
          <w:rFonts w:ascii="Arial" w:hAnsi="Arial" w:cs="Arial"/>
          <w:sz w:val="22"/>
          <w:szCs w:val="22"/>
        </w:rPr>
        <w:t>Minor – there will be no or minimal impacts for both implementation and ongoing compliance costs.</w:t>
      </w:r>
      <w:r>
        <w:rPr>
          <w:rFonts w:ascii="Arial" w:hAnsi="Arial" w:cs="Arial"/>
          <w:sz w:val="22"/>
          <w:szCs w:val="22"/>
        </w:rPr>
        <w:t xml:space="preserve"> </w:t>
      </w:r>
      <w:r w:rsidRPr="006A189E">
        <w:rPr>
          <w:rFonts w:ascii="Arial" w:hAnsi="Arial" w:cs="Arial"/>
          <w:sz w:val="22"/>
          <w:szCs w:val="22"/>
        </w:rPr>
        <w:t>Th</w:t>
      </w:r>
      <w:r>
        <w:rPr>
          <w:rFonts w:ascii="Arial" w:hAnsi="Arial" w:cs="Arial"/>
          <w:sz w:val="22"/>
          <w:szCs w:val="22"/>
        </w:rPr>
        <w:t>is</w:t>
      </w:r>
      <w:r w:rsidRPr="006A189E">
        <w:rPr>
          <w:rFonts w:ascii="Arial" w:hAnsi="Arial" w:cs="Arial"/>
          <w:sz w:val="22"/>
          <w:szCs w:val="22"/>
        </w:rPr>
        <w:t xml:space="preserve"> legislative instrument i</w:t>
      </w:r>
      <w:r>
        <w:rPr>
          <w:rFonts w:ascii="Arial" w:hAnsi="Arial" w:cs="Arial"/>
          <w:sz w:val="22"/>
          <w:szCs w:val="22"/>
        </w:rPr>
        <w:t>s minor or machinery in nature.</w:t>
      </w:r>
    </w:p>
    <w:p w14:paraId="15AC1B73" w14:textId="77777777" w:rsidR="00486653" w:rsidRPr="00240CFB" w:rsidRDefault="00486653" w:rsidP="00910595">
      <w:pPr>
        <w:pStyle w:val="Heading2"/>
      </w:pPr>
      <w:r w:rsidRPr="00240CFB">
        <w:lastRenderedPageBreak/>
        <w:t>Background</w:t>
      </w:r>
    </w:p>
    <w:p w14:paraId="3634A558" w14:textId="7E3AE7D5" w:rsidR="004C1E42" w:rsidRPr="004C1E42" w:rsidRDefault="004C1E42" w:rsidP="004C1E42">
      <w:pPr>
        <w:numPr>
          <w:ilvl w:val="0"/>
          <w:numId w:val="16"/>
        </w:numPr>
        <w:tabs>
          <w:tab w:val="clear" w:pos="720"/>
        </w:tabs>
        <w:spacing w:after="120"/>
        <w:ind w:left="0" w:firstLine="0"/>
        <w:rPr>
          <w:rFonts w:ascii="Arial" w:hAnsi="Arial" w:cs="Arial"/>
          <w:sz w:val="22"/>
          <w:szCs w:val="22"/>
        </w:rPr>
      </w:pPr>
      <w:r w:rsidRPr="004C1E42">
        <w:rPr>
          <w:rFonts w:ascii="Arial" w:hAnsi="Arial" w:cs="Arial"/>
          <w:sz w:val="22"/>
          <w:szCs w:val="22"/>
        </w:rPr>
        <w:t xml:space="preserve">In the 2015 Federal Budget the Government announced its intention to modernise the ‘cents per kilometre method’ by replacing three rates based on engine size with one rate set at 66 cents per kilometre to apply for all cars. The </w:t>
      </w:r>
      <w:r w:rsidRPr="004C1E42">
        <w:rPr>
          <w:rFonts w:ascii="Arial" w:hAnsi="Arial" w:cs="Arial"/>
          <w:i/>
          <w:sz w:val="22"/>
          <w:szCs w:val="22"/>
        </w:rPr>
        <w:t>Tax and Superannuation Laws Amendment (2015 Measures No. 5) Act 2015</w:t>
      </w:r>
      <w:r w:rsidRPr="004C1E42">
        <w:rPr>
          <w:rFonts w:ascii="Arial" w:hAnsi="Arial" w:cs="Arial"/>
          <w:sz w:val="22"/>
          <w:szCs w:val="22"/>
        </w:rPr>
        <w:t xml:space="preserve"> received Royal Assent on 30 November 2015, enacting these changes to the </w:t>
      </w:r>
      <w:r w:rsidRPr="004C1E42">
        <w:rPr>
          <w:rFonts w:ascii="Arial" w:hAnsi="Arial" w:cs="Arial"/>
          <w:i/>
          <w:sz w:val="22"/>
          <w:szCs w:val="22"/>
        </w:rPr>
        <w:t>Income Tax Assessment Act 1997</w:t>
      </w:r>
      <w:r w:rsidRPr="004C1E42">
        <w:rPr>
          <w:rFonts w:ascii="Arial" w:hAnsi="Arial" w:cs="Arial"/>
          <w:sz w:val="22"/>
          <w:szCs w:val="22"/>
        </w:rPr>
        <w:t>.</w:t>
      </w:r>
    </w:p>
    <w:p w14:paraId="1CB7F2F1" w14:textId="34DCD5D5" w:rsidR="004C1E42" w:rsidRPr="004C1E42" w:rsidRDefault="004C1E42" w:rsidP="004C1E42">
      <w:pPr>
        <w:numPr>
          <w:ilvl w:val="0"/>
          <w:numId w:val="16"/>
        </w:numPr>
        <w:tabs>
          <w:tab w:val="clear" w:pos="720"/>
        </w:tabs>
        <w:spacing w:after="120"/>
        <w:ind w:left="0" w:firstLine="0"/>
        <w:rPr>
          <w:rFonts w:ascii="Arial" w:hAnsi="Arial" w:cs="Arial"/>
          <w:sz w:val="22"/>
          <w:szCs w:val="22"/>
        </w:rPr>
      </w:pPr>
      <w:r w:rsidRPr="004C1E42">
        <w:rPr>
          <w:rFonts w:ascii="Arial" w:hAnsi="Arial" w:cs="Arial"/>
          <w:sz w:val="22"/>
          <w:szCs w:val="22"/>
        </w:rPr>
        <w:t xml:space="preserve">Subsection 28-25(4) of the </w:t>
      </w:r>
      <w:r w:rsidRPr="004C1E42">
        <w:rPr>
          <w:rFonts w:ascii="Arial" w:hAnsi="Arial" w:cs="Arial"/>
          <w:i/>
          <w:sz w:val="22"/>
          <w:szCs w:val="22"/>
        </w:rPr>
        <w:t>Income Tax Assessment Act 1997</w:t>
      </w:r>
      <w:r w:rsidRPr="004C1E42">
        <w:rPr>
          <w:rFonts w:ascii="Arial" w:hAnsi="Arial" w:cs="Arial"/>
          <w:sz w:val="22"/>
          <w:szCs w:val="22"/>
        </w:rPr>
        <w:t xml:space="preserve"> enables the Commissioner of Taxation to determine rates of cents per kilometre for cars for an income year.</w:t>
      </w:r>
    </w:p>
    <w:p w14:paraId="57EFD673" w14:textId="1704252C" w:rsidR="004C1E42" w:rsidRPr="004C1E42" w:rsidRDefault="004C1E42" w:rsidP="004C1E42">
      <w:pPr>
        <w:numPr>
          <w:ilvl w:val="0"/>
          <w:numId w:val="16"/>
        </w:numPr>
        <w:tabs>
          <w:tab w:val="clear" w:pos="720"/>
        </w:tabs>
        <w:spacing w:after="120"/>
        <w:ind w:left="0" w:firstLine="0"/>
        <w:rPr>
          <w:szCs w:val="24"/>
          <w:lang w:val="en-US"/>
        </w:rPr>
      </w:pPr>
      <w:r w:rsidRPr="004C1E42">
        <w:rPr>
          <w:rFonts w:ascii="Arial" w:hAnsi="Arial" w:cs="Arial"/>
          <w:sz w:val="22"/>
          <w:szCs w:val="22"/>
        </w:rPr>
        <w:t xml:space="preserve">Subsection 28-25(5) of the </w:t>
      </w:r>
      <w:r w:rsidRPr="004C1E42">
        <w:rPr>
          <w:rFonts w:ascii="Arial" w:hAnsi="Arial" w:cs="Arial"/>
          <w:i/>
          <w:sz w:val="22"/>
          <w:szCs w:val="22"/>
        </w:rPr>
        <w:t>Income Tax Assessment Act 1997</w:t>
      </w:r>
      <w:r w:rsidRPr="004C1E42">
        <w:rPr>
          <w:rFonts w:ascii="Arial" w:hAnsi="Arial" w:cs="Arial"/>
          <w:sz w:val="22"/>
          <w:szCs w:val="22"/>
        </w:rPr>
        <w:t xml:space="preserve"> requires that the Commissioner of Taxation, when determining the rate, have regard to the average operating costs for the cars to be covered by that rate.</w:t>
      </w:r>
    </w:p>
    <w:p w14:paraId="2702DDE2" w14:textId="38287B5C" w:rsidR="004C1E42" w:rsidRPr="004C1E42" w:rsidRDefault="004C1E42" w:rsidP="004C1E42">
      <w:pPr>
        <w:numPr>
          <w:ilvl w:val="0"/>
          <w:numId w:val="16"/>
        </w:numPr>
        <w:tabs>
          <w:tab w:val="clear" w:pos="720"/>
        </w:tabs>
        <w:spacing w:after="120"/>
        <w:ind w:left="0" w:firstLine="0"/>
        <w:rPr>
          <w:szCs w:val="24"/>
          <w:lang w:val="en-US"/>
        </w:rPr>
      </w:pPr>
      <w:r w:rsidRPr="004C1E42">
        <w:rPr>
          <w:rFonts w:ascii="Arial" w:hAnsi="Arial" w:cs="Arial"/>
          <w:sz w:val="22"/>
          <w:szCs w:val="22"/>
        </w:rPr>
        <w:t>After due consideration, the Commissioner has determined that the rate of</w:t>
      </w:r>
      <w:r w:rsidR="00B53D89">
        <w:rPr>
          <w:rFonts w:ascii="Arial" w:hAnsi="Arial" w:cs="Arial"/>
          <w:sz w:val="22"/>
          <w:szCs w:val="22"/>
        </w:rPr>
        <w:t xml:space="preserve"> 72</w:t>
      </w:r>
      <w:r w:rsidRPr="004C1E42">
        <w:rPr>
          <w:rFonts w:ascii="Arial" w:hAnsi="Arial" w:cs="Arial"/>
          <w:sz w:val="22"/>
          <w:szCs w:val="22"/>
        </w:rPr>
        <w:t> cents per kilometre will apply for the income year commencing from 1 July 20</w:t>
      </w:r>
      <w:r>
        <w:rPr>
          <w:rFonts w:ascii="Arial" w:hAnsi="Arial" w:cs="Arial"/>
          <w:sz w:val="22"/>
          <w:szCs w:val="22"/>
        </w:rPr>
        <w:t>20</w:t>
      </w:r>
      <w:r w:rsidRPr="004C1E42">
        <w:rPr>
          <w:rFonts w:ascii="Arial" w:hAnsi="Arial" w:cs="Arial"/>
          <w:sz w:val="22"/>
          <w:szCs w:val="22"/>
        </w:rPr>
        <w:t>. This instrument sets that rate.</w:t>
      </w:r>
    </w:p>
    <w:p w14:paraId="15AC1B76" w14:textId="28CE2A00" w:rsidR="00486653" w:rsidRPr="00240CFB" w:rsidRDefault="00486653" w:rsidP="00910595">
      <w:pPr>
        <w:spacing w:after="120"/>
        <w:rPr>
          <w:rFonts w:ascii="Arial" w:hAnsi="Arial" w:cs="Arial"/>
          <w:sz w:val="22"/>
          <w:szCs w:val="22"/>
        </w:rPr>
      </w:pPr>
    </w:p>
    <w:p w14:paraId="15AC1B77" w14:textId="77777777" w:rsidR="00486653" w:rsidRPr="00240CFB" w:rsidRDefault="00E10B37" w:rsidP="00910595">
      <w:pPr>
        <w:pStyle w:val="Heading2"/>
      </w:pPr>
      <w:r w:rsidRPr="00240CFB">
        <w:t>Consultation</w:t>
      </w:r>
    </w:p>
    <w:p w14:paraId="0547D371" w14:textId="422B560A" w:rsidR="00B31108" w:rsidRPr="00B31108" w:rsidRDefault="00B31108" w:rsidP="00B31108">
      <w:pPr>
        <w:numPr>
          <w:ilvl w:val="0"/>
          <w:numId w:val="16"/>
        </w:numPr>
        <w:tabs>
          <w:tab w:val="clear" w:pos="720"/>
        </w:tabs>
        <w:spacing w:after="120"/>
        <w:ind w:left="0" w:firstLine="0"/>
        <w:rPr>
          <w:rFonts w:ascii="Arial" w:hAnsi="Arial" w:cs="Arial"/>
          <w:color w:val="000000"/>
          <w:sz w:val="22"/>
          <w:szCs w:val="22"/>
        </w:rPr>
      </w:pPr>
      <w:r w:rsidRPr="00B31108">
        <w:rPr>
          <w:rFonts w:ascii="Arial" w:hAnsi="Arial" w:cs="Arial"/>
          <w:color w:val="000000"/>
          <w:sz w:val="22"/>
          <w:szCs w:val="22"/>
        </w:rPr>
        <w:t xml:space="preserve">For this </w:t>
      </w:r>
      <w:r w:rsidRPr="00B31108">
        <w:rPr>
          <w:rFonts w:ascii="Arial" w:hAnsi="Arial" w:cs="Arial"/>
          <w:sz w:val="22"/>
          <w:szCs w:val="22"/>
        </w:rPr>
        <w:t>instrument, broad public consultation was undertaken for a period of 4 weeks</w:t>
      </w:r>
      <w:r>
        <w:rPr>
          <w:rFonts w:ascii="Arial" w:hAnsi="Arial" w:cs="Arial"/>
          <w:sz w:val="22"/>
          <w:szCs w:val="22"/>
        </w:rPr>
        <w:t xml:space="preserve"> to 14 April 202</w:t>
      </w:r>
      <w:r w:rsidR="00445F29">
        <w:rPr>
          <w:rFonts w:ascii="Arial" w:hAnsi="Arial" w:cs="Arial"/>
          <w:sz w:val="22"/>
          <w:szCs w:val="22"/>
        </w:rPr>
        <w:t>0</w:t>
      </w:r>
      <w:r w:rsidRPr="00B31108">
        <w:rPr>
          <w:rFonts w:ascii="Arial" w:hAnsi="Arial" w:cs="Arial"/>
          <w:sz w:val="22"/>
          <w:szCs w:val="22"/>
        </w:rPr>
        <w:t xml:space="preserve">. </w:t>
      </w:r>
    </w:p>
    <w:p w14:paraId="727604B9" w14:textId="77777777" w:rsidR="00B31108" w:rsidRDefault="00B31108" w:rsidP="00B31108">
      <w:pPr>
        <w:numPr>
          <w:ilvl w:val="0"/>
          <w:numId w:val="16"/>
        </w:numPr>
        <w:tabs>
          <w:tab w:val="clear" w:pos="720"/>
        </w:tabs>
        <w:spacing w:after="120"/>
        <w:ind w:left="0" w:firstLine="0"/>
        <w:rPr>
          <w:rFonts w:ascii="Arial" w:hAnsi="Arial" w:cs="Arial"/>
          <w:color w:val="000000"/>
          <w:sz w:val="22"/>
          <w:szCs w:val="22"/>
        </w:rPr>
      </w:pPr>
      <w:r w:rsidRPr="00B31108">
        <w:rPr>
          <w:rFonts w:ascii="Arial" w:hAnsi="Arial" w:cs="Arial"/>
          <w:sz w:val="22"/>
          <w:szCs w:val="22"/>
        </w:rPr>
        <w:t>The draft instrument and draft explanatory statement was published to the ATO Legal database. Publication was advertised via the ‘What’s new’ page on that website, and via the ‘Open Consultation’ page on ato.gov.au. Major tax and superannuation publishers and associations monitor these pages and include the details in the daily and weekly alerts and newsletters to their subscribers</w:t>
      </w:r>
      <w:r w:rsidRPr="00B31108">
        <w:rPr>
          <w:rFonts w:ascii="Arial" w:hAnsi="Arial" w:cs="Arial"/>
          <w:color w:val="000000"/>
          <w:sz w:val="22"/>
          <w:szCs w:val="22"/>
        </w:rPr>
        <w:t xml:space="preserve"> and members. This ensures advice of the draft is disseminated widely across the tax professional community, and that they are in an informed position to provide comments and feedback.</w:t>
      </w:r>
    </w:p>
    <w:p w14:paraId="02BE7C4E" w14:textId="55FF8FB9" w:rsidR="00910595" w:rsidRDefault="00B31108" w:rsidP="00B31108">
      <w:pPr>
        <w:numPr>
          <w:ilvl w:val="0"/>
          <w:numId w:val="16"/>
        </w:numPr>
        <w:tabs>
          <w:tab w:val="clear" w:pos="720"/>
        </w:tabs>
        <w:spacing w:after="120"/>
        <w:ind w:left="0" w:firstLine="0"/>
        <w:rPr>
          <w:rFonts w:ascii="Arial" w:hAnsi="Arial" w:cs="Arial"/>
          <w:sz w:val="22"/>
          <w:szCs w:val="22"/>
        </w:rPr>
      </w:pPr>
      <w:r>
        <w:rPr>
          <w:rFonts w:ascii="Arial" w:hAnsi="Arial" w:cs="Arial"/>
          <w:sz w:val="22"/>
          <w:szCs w:val="22"/>
        </w:rPr>
        <w:t>No comments were received as a result of the consultation</w:t>
      </w:r>
      <w:r>
        <w:rPr>
          <w:rFonts w:ascii="Arial" w:hAnsi="Arial" w:cs="Arial"/>
          <w:color w:val="000000"/>
          <w:sz w:val="22"/>
          <w:szCs w:val="22"/>
        </w:rPr>
        <w:br/>
      </w:r>
    </w:p>
    <w:p w14:paraId="540D5FF0" w14:textId="77777777" w:rsidR="00910595" w:rsidRDefault="00910595" w:rsidP="00910595">
      <w:pPr>
        <w:spacing w:after="120"/>
        <w:rPr>
          <w:rFonts w:ascii="Arial" w:hAnsi="Arial" w:cs="Arial"/>
          <w:sz w:val="22"/>
          <w:szCs w:val="22"/>
        </w:rPr>
      </w:pPr>
    </w:p>
    <w:p w14:paraId="20265FB8" w14:textId="77777777" w:rsidR="00910595" w:rsidRPr="00240CFB" w:rsidRDefault="00910595" w:rsidP="00910595">
      <w:pPr>
        <w:spacing w:after="120"/>
        <w:rPr>
          <w:rFonts w:ascii="Arial" w:hAnsi="Arial" w:cs="Arial"/>
          <w:sz w:val="22"/>
          <w:szCs w:val="22"/>
        </w:rPr>
      </w:pPr>
    </w:p>
    <w:p w14:paraId="69FE8C27" w14:textId="77777777" w:rsidR="009371D0" w:rsidRPr="00101CD5" w:rsidRDefault="007E0A01" w:rsidP="00910595">
      <w:pPr>
        <w:pStyle w:val="Heading3"/>
        <w:rPr>
          <w:i/>
          <w:sz w:val="22"/>
          <w:szCs w:val="22"/>
        </w:rPr>
      </w:pPr>
      <w:r w:rsidRPr="00101CD5">
        <w:rPr>
          <w:i/>
          <w:sz w:val="22"/>
          <w:szCs w:val="22"/>
        </w:rPr>
        <w:t>Legislative references</w:t>
      </w:r>
    </w:p>
    <w:p w14:paraId="36E612C8" w14:textId="483992C9" w:rsidR="00910595" w:rsidRPr="00B31108" w:rsidRDefault="00910595" w:rsidP="00101CD5">
      <w:pPr>
        <w:rPr>
          <w:rFonts w:ascii="Arial" w:hAnsi="Arial" w:cs="Arial"/>
          <w:sz w:val="22"/>
          <w:szCs w:val="22"/>
        </w:rPr>
      </w:pPr>
    </w:p>
    <w:p w14:paraId="15AC1B98" w14:textId="77777777" w:rsidR="0076271C" w:rsidRPr="00B31108" w:rsidRDefault="0076271C" w:rsidP="00101CD5">
      <w:pPr>
        <w:rPr>
          <w:rFonts w:ascii="Arial" w:hAnsi="Arial" w:cs="Arial"/>
          <w:i/>
          <w:sz w:val="22"/>
          <w:szCs w:val="22"/>
        </w:rPr>
      </w:pPr>
      <w:r w:rsidRPr="00B31108">
        <w:rPr>
          <w:rFonts w:ascii="Arial" w:hAnsi="Arial" w:cs="Arial"/>
          <w:i/>
          <w:sz w:val="22"/>
          <w:szCs w:val="22"/>
        </w:rPr>
        <w:t>Acts Interpretation Act 1901</w:t>
      </w:r>
    </w:p>
    <w:p w14:paraId="147E6BFD" w14:textId="77777777" w:rsidR="00B31108" w:rsidRPr="00B31108" w:rsidRDefault="00B31108" w:rsidP="00101CD5">
      <w:pPr>
        <w:rPr>
          <w:rFonts w:ascii="Arial" w:hAnsi="Arial" w:cs="Arial"/>
          <w:i/>
          <w:sz w:val="22"/>
          <w:szCs w:val="22"/>
        </w:rPr>
      </w:pPr>
      <w:r w:rsidRPr="00B31108">
        <w:rPr>
          <w:rFonts w:ascii="Arial" w:hAnsi="Arial" w:cs="Arial"/>
          <w:i/>
          <w:sz w:val="22"/>
          <w:szCs w:val="22"/>
        </w:rPr>
        <w:t>Human Rights (Parliamentary Scrutiny) Act 2011</w:t>
      </w:r>
    </w:p>
    <w:p w14:paraId="15AC1B99" w14:textId="510188C0" w:rsidR="0076271C" w:rsidRPr="00B31108" w:rsidRDefault="007E0A01" w:rsidP="00101CD5">
      <w:pPr>
        <w:rPr>
          <w:rFonts w:ascii="Arial" w:hAnsi="Arial" w:cs="Arial"/>
          <w:i/>
          <w:sz w:val="22"/>
          <w:szCs w:val="22"/>
        </w:rPr>
      </w:pPr>
      <w:r w:rsidRPr="00B31108">
        <w:rPr>
          <w:rFonts w:ascii="Arial" w:hAnsi="Arial" w:cs="Arial"/>
          <w:i/>
          <w:sz w:val="22"/>
          <w:szCs w:val="22"/>
        </w:rPr>
        <w:t>Income Tax Assessment Act 1997</w:t>
      </w:r>
    </w:p>
    <w:p w14:paraId="2A168E8D" w14:textId="77777777" w:rsidR="00910595" w:rsidRPr="00B31108" w:rsidRDefault="0076271C" w:rsidP="00101CD5">
      <w:pPr>
        <w:rPr>
          <w:rFonts w:ascii="Arial" w:hAnsi="Arial" w:cs="Arial"/>
          <w:i/>
          <w:sz w:val="22"/>
          <w:szCs w:val="22"/>
        </w:rPr>
      </w:pPr>
      <w:r w:rsidRPr="00B31108">
        <w:rPr>
          <w:rFonts w:ascii="Arial" w:hAnsi="Arial" w:cs="Arial"/>
          <w:i/>
          <w:sz w:val="22"/>
          <w:szCs w:val="22"/>
        </w:rPr>
        <w:t>Legislation Act 2003</w:t>
      </w:r>
    </w:p>
    <w:p w14:paraId="153AD068" w14:textId="02CBA003" w:rsidR="00910595" w:rsidRPr="00B31108" w:rsidRDefault="00B31108" w:rsidP="00101CD5">
      <w:pPr>
        <w:rPr>
          <w:rFonts w:ascii="Arial" w:hAnsi="Arial" w:cs="Arial"/>
          <w:i/>
          <w:sz w:val="22"/>
          <w:szCs w:val="22"/>
        </w:rPr>
      </w:pPr>
      <w:r w:rsidRPr="00B31108">
        <w:rPr>
          <w:rFonts w:ascii="Arial" w:hAnsi="Arial" w:cs="Arial"/>
          <w:i/>
          <w:sz w:val="22"/>
          <w:szCs w:val="22"/>
        </w:rPr>
        <w:t>Tax and Superannuation Laws Amendment (2015 Measures No. 5) Act 2015</w:t>
      </w:r>
    </w:p>
    <w:p w14:paraId="3BABF7A8" w14:textId="77777777" w:rsidR="00B31108" w:rsidRPr="00101CD5" w:rsidRDefault="00B31108" w:rsidP="00101CD5">
      <w:pPr>
        <w:rPr>
          <w:rFonts w:ascii="Arial" w:hAnsi="Arial" w:cs="Arial"/>
          <w:i/>
          <w:color w:val="0000FF"/>
          <w:sz w:val="22"/>
          <w:szCs w:val="22"/>
        </w:rPr>
      </w:pPr>
    </w:p>
    <w:p w14:paraId="15AC1BA5" w14:textId="7AA8952E" w:rsidR="00333567" w:rsidRPr="00240CFB" w:rsidRDefault="00333567" w:rsidP="00910595">
      <w:pPr>
        <w:spacing w:after="120"/>
        <w:rPr>
          <w:rFonts w:ascii="Arial" w:hAnsi="Arial" w:cs="Arial"/>
          <w:sz w:val="22"/>
          <w:szCs w:val="22"/>
        </w:rPr>
      </w:pPr>
    </w:p>
    <w:p w14:paraId="15AC1BA6" w14:textId="071C8BC4" w:rsidR="00101CD5" w:rsidRDefault="00101CD5">
      <w:pPr>
        <w:rPr>
          <w:rFonts w:ascii="Arial" w:hAnsi="Arial" w:cs="Arial"/>
          <w:sz w:val="22"/>
          <w:szCs w:val="22"/>
        </w:rPr>
      </w:pPr>
      <w:r>
        <w:rPr>
          <w:rFonts w:ascii="Arial" w:hAnsi="Arial" w:cs="Arial"/>
          <w:sz w:val="22"/>
          <w:szCs w:val="22"/>
        </w:rPr>
        <w:br w:type="page"/>
      </w:r>
    </w:p>
    <w:p w14:paraId="15AC1BAB" w14:textId="08BC1495" w:rsidR="00526403" w:rsidRPr="00526403" w:rsidRDefault="00526403" w:rsidP="00101CD5">
      <w:pPr>
        <w:spacing w:after="120"/>
      </w:pPr>
    </w:p>
    <w:p w14:paraId="15AC1BAC" w14:textId="6B4B8273" w:rsidR="00333567" w:rsidRPr="007E0A01" w:rsidRDefault="00E53399" w:rsidP="00101CD5">
      <w:pPr>
        <w:pStyle w:val="Heading3"/>
        <w:spacing w:before="0" w:after="120"/>
        <w:jc w:val="center"/>
        <w:rPr>
          <w:sz w:val="24"/>
        </w:rPr>
      </w:pPr>
      <w:r w:rsidRPr="007E0A01">
        <w:rPr>
          <w:sz w:val="24"/>
        </w:rPr>
        <w:t xml:space="preserve">Statement of compatibility </w:t>
      </w:r>
      <w:r w:rsidR="00C11D03" w:rsidRPr="007E0A01">
        <w:rPr>
          <w:sz w:val="24"/>
        </w:rPr>
        <w:t>with Human Rights</w:t>
      </w:r>
    </w:p>
    <w:p w14:paraId="15AC1BAD" w14:textId="4AD858FB" w:rsidR="00E53399" w:rsidRPr="007E0A01" w:rsidRDefault="004F5EB1" w:rsidP="00101CD5">
      <w:pPr>
        <w:pStyle w:val="Heading3"/>
        <w:spacing w:before="0" w:after="120"/>
        <w:rPr>
          <w:sz w:val="24"/>
        </w:rPr>
      </w:pPr>
      <w:r w:rsidRPr="007E0A01">
        <w:rPr>
          <w:b w:val="0"/>
          <w:sz w:val="22"/>
          <w:szCs w:val="20"/>
        </w:rPr>
        <w:t>P</w:t>
      </w:r>
      <w:r w:rsidR="00E53399" w:rsidRPr="007E0A01">
        <w:rPr>
          <w:b w:val="0"/>
          <w:sz w:val="22"/>
          <w:szCs w:val="20"/>
        </w:rPr>
        <w:t xml:space="preserve">repared in accordance with Part 3 of the </w:t>
      </w:r>
      <w:r w:rsidR="00E53399" w:rsidRPr="007E0A01">
        <w:rPr>
          <w:b w:val="0"/>
          <w:i/>
          <w:sz w:val="22"/>
          <w:szCs w:val="20"/>
        </w:rPr>
        <w:t>Human Rights (Parliamentary Scrutiny) Act 2011</w:t>
      </w:r>
    </w:p>
    <w:p w14:paraId="15AC1BAE" w14:textId="68DA81E7" w:rsidR="00D77015" w:rsidRPr="00101CD5" w:rsidRDefault="00D77015" w:rsidP="00101CD5">
      <w:pPr>
        <w:spacing w:after="120"/>
        <w:rPr>
          <w:rFonts w:ascii="Arial" w:hAnsi="Arial" w:cs="Arial"/>
          <w:sz w:val="22"/>
          <w:szCs w:val="22"/>
        </w:rPr>
      </w:pPr>
    </w:p>
    <w:p w14:paraId="30B3A2FE" w14:textId="77777777" w:rsidR="00445F29" w:rsidRDefault="00445F29" w:rsidP="00445F29">
      <w:pPr>
        <w:autoSpaceDE w:val="0"/>
        <w:autoSpaceDN w:val="0"/>
        <w:adjustRightInd w:val="0"/>
        <w:spacing w:after="120"/>
        <w:jc w:val="center"/>
        <w:rPr>
          <w:rFonts w:ascii="Arial" w:hAnsi="Arial" w:cs="Arial"/>
          <w:b/>
          <w:sz w:val="22"/>
          <w:szCs w:val="22"/>
        </w:rPr>
      </w:pPr>
      <w:r w:rsidRPr="00445F29">
        <w:rPr>
          <w:rFonts w:ascii="Arial" w:hAnsi="Arial" w:cs="Arial"/>
          <w:b/>
          <w:sz w:val="22"/>
          <w:szCs w:val="22"/>
        </w:rPr>
        <w:t>Income Tax Assessment Act 1997 - Cents per Kilometre Deduction Rate for Car Expenses 2020</w:t>
      </w:r>
    </w:p>
    <w:p w14:paraId="54F9AC2D" w14:textId="1F202EE4" w:rsidR="009371D0" w:rsidRDefault="00075B58" w:rsidP="00101CD5">
      <w:pPr>
        <w:autoSpaceDE w:val="0"/>
        <w:autoSpaceDN w:val="0"/>
        <w:adjustRightInd w:val="0"/>
        <w:spacing w:after="120"/>
        <w:rPr>
          <w:rFonts w:ascii="Arial" w:hAnsi="Arial" w:cs="Arial"/>
          <w:color w:val="000000"/>
          <w:sz w:val="22"/>
        </w:rPr>
      </w:pPr>
      <w:r w:rsidRPr="007E0A01">
        <w:rPr>
          <w:rFonts w:ascii="Arial" w:hAnsi="Arial" w:cs="Arial"/>
          <w:color w:val="000000"/>
          <w:sz w:val="22"/>
        </w:rPr>
        <w:t xml:space="preserve">This Legislative Instrument is compatible with the human rights and freedoms recognised or declared in the international instruments listed in section 3 of the </w:t>
      </w:r>
      <w:r w:rsidRPr="007E0A01">
        <w:rPr>
          <w:rFonts w:ascii="Arial" w:hAnsi="Arial" w:cs="Arial"/>
          <w:i/>
          <w:color w:val="000000"/>
          <w:sz w:val="22"/>
        </w:rPr>
        <w:t>Human Righ</w:t>
      </w:r>
      <w:r w:rsidR="00101CD5">
        <w:rPr>
          <w:rFonts w:ascii="Arial" w:hAnsi="Arial" w:cs="Arial"/>
          <w:i/>
          <w:color w:val="000000"/>
          <w:sz w:val="22"/>
        </w:rPr>
        <w:t>ts (Parliamentary Scrutiny) Act </w:t>
      </w:r>
      <w:r w:rsidRPr="007E0A01">
        <w:rPr>
          <w:rFonts w:ascii="Arial" w:hAnsi="Arial" w:cs="Arial"/>
          <w:i/>
          <w:color w:val="000000"/>
          <w:sz w:val="22"/>
        </w:rPr>
        <w:t>2011.</w:t>
      </w:r>
    </w:p>
    <w:p w14:paraId="15AC1BB2" w14:textId="6553A54F" w:rsidR="00075B58" w:rsidRPr="00101CD5" w:rsidRDefault="00075B58" w:rsidP="00101CD5">
      <w:pPr>
        <w:spacing w:after="120"/>
        <w:rPr>
          <w:rFonts w:ascii="Arial" w:hAnsi="Arial" w:cs="Arial"/>
          <w:sz w:val="22"/>
          <w:szCs w:val="22"/>
        </w:rPr>
      </w:pPr>
      <w:bookmarkStart w:id="0" w:name="_GoBack"/>
      <w:bookmarkEnd w:id="0"/>
    </w:p>
    <w:p w14:paraId="15AC1BB3" w14:textId="77777777" w:rsidR="00075B58" w:rsidRPr="00240CFB" w:rsidRDefault="00075B58" w:rsidP="00101CD5">
      <w:pPr>
        <w:pStyle w:val="Heading2"/>
      </w:pPr>
      <w:r w:rsidRPr="007E0A01">
        <w:t xml:space="preserve">Overview of </w:t>
      </w:r>
      <w:r w:rsidR="007E0A01" w:rsidRPr="007E0A01">
        <w:t xml:space="preserve">the </w:t>
      </w:r>
      <w:r w:rsidRPr="007E0A01">
        <w:t>Legislative Instrument</w:t>
      </w:r>
    </w:p>
    <w:p w14:paraId="15AC1BB4" w14:textId="4EA25C02" w:rsidR="00075B58" w:rsidRPr="007E0A01" w:rsidRDefault="00B31108" w:rsidP="00101CD5">
      <w:pPr>
        <w:spacing w:after="120"/>
        <w:rPr>
          <w:rFonts w:ascii="Arial" w:hAnsi="Arial" w:cs="Arial"/>
          <w:sz w:val="22"/>
          <w:szCs w:val="22"/>
        </w:rPr>
      </w:pPr>
      <w:r w:rsidRPr="00B31108">
        <w:rPr>
          <w:rFonts w:ascii="Arial" w:hAnsi="Arial" w:cs="Arial"/>
          <w:sz w:val="22"/>
          <w:szCs w:val="22"/>
        </w:rPr>
        <w:t>This instrument sets the rate at which work-related car expense deductions may be claimed in an income year when using the cents per kilometre method.</w:t>
      </w:r>
    </w:p>
    <w:p w14:paraId="15AC1BB5" w14:textId="77777777" w:rsidR="00075B58" w:rsidRPr="00101CD5" w:rsidRDefault="00075B58" w:rsidP="00101CD5">
      <w:pPr>
        <w:spacing w:after="120"/>
        <w:rPr>
          <w:rFonts w:ascii="Arial" w:hAnsi="Arial" w:cs="Arial"/>
          <w:sz w:val="22"/>
          <w:szCs w:val="22"/>
        </w:rPr>
      </w:pPr>
    </w:p>
    <w:p w14:paraId="15AC1BB6" w14:textId="77777777" w:rsidR="00075B58" w:rsidRPr="00240CFB" w:rsidRDefault="00075B58" w:rsidP="00101CD5">
      <w:pPr>
        <w:pStyle w:val="Heading2"/>
      </w:pPr>
      <w:r w:rsidRPr="007E0A01">
        <w:t>Human rights implications</w:t>
      </w:r>
    </w:p>
    <w:p w14:paraId="15AC1BB7" w14:textId="61A42128" w:rsidR="00075B58" w:rsidRPr="007E0A01" w:rsidRDefault="00B31108" w:rsidP="00101CD5">
      <w:pPr>
        <w:spacing w:after="120"/>
        <w:rPr>
          <w:rFonts w:ascii="Arial" w:hAnsi="Arial" w:cs="Arial"/>
          <w:sz w:val="22"/>
        </w:rPr>
      </w:pPr>
      <w:r w:rsidRPr="00B31108">
        <w:rPr>
          <w:rFonts w:ascii="Arial" w:hAnsi="Arial" w:cs="Arial"/>
          <w:sz w:val="22"/>
        </w:rPr>
        <w:t>This legislative instrument does not engage any of the applicable rights or freedoms as it simply sets the rate at which work-related car expense deductions may be claimed in an income year when using the cents per kilometre method.</w:t>
      </w:r>
    </w:p>
    <w:p w14:paraId="15AC1BB8" w14:textId="77777777" w:rsidR="00075B58" w:rsidRPr="00101CD5" w:rsidRDefault="00075B58" w:rsidP="00101CD5">
      <w:pPr>
        <w:spacing w:after="120"/>
        <w:rPr>
          <w:rFonts w:ascii="Arial" w:hAnsi="Arial" w:cs="Arial"/>
          <w:sz w:val="22"/>
          <w:szCs w:val="22"/>
        </w:rPr>
      </w:pPr>
    </w:p>
    <w:p w14:paraId="15AC1BB9" w14:textId="77777777" w:rsidR="00075B58" w:rsidRPr="00240CFB" w:rsidRDefault="00075B58" w:rsidP="00101CD5">
      <w:pPr>
        <w:pStyle w:val="Heading2"/>
      </w:pPr>
      <w:r w:rsidRPr="007E0A01">
        <w:t>Conclusion</w:t>
      </w:r>
    </w:p>
    <w:p w14:paraId="15AC1BBA" w14:textId="123F09D1" w:rsidR="00075B58" w:rsidRPr="007E0A01" w:rsidRDefault="00075B58" w:rsidP="00101CD5">
      <w:pPr>
        <w:spacing w:after="120"/>
        <w:rPr>
          <w:rFonts w:ascii="Arial" w:hAnsi="Arial" w:cs="Arial"/>
          <w:sz w:val="22"/>
          <w:szCs w:val="22"/>
        </w:rPr>
      </w:pPr>
      <w:r w:rsidRPr="007E0A01">
        <w:rPr>
          <w:rFonts w:ascii="Arial" w:hAnsi="Arial" w:cs="Arial"/>
          <w:sz w:val="22"/>
          <w:szCs w:val="22"/>
        </w:rPr>
        <w:t>This Legislative Instrument is compatible with human rights as it does not raise any human rights issues.</w:t>
      </w:r>
    </w:p>
    <w:p w14:paraId="19DB01FC" w14:textId="77777777" w:rsidR="00101CD5" w:rsidRDefault="00101CD5" w:rsidP="00101CD5">
      <w:pPr>
        <w:spacing w:after="120"/>
        <w:rPr>
          <w:rFonts w:ascii="Arial" w:hAnsi="Arial" w:cs="Arial"/>
          <w:sz w:val="22"/>
          <w:szCs w:val="22"/>
        </w:rPr>
      </w:pPr>
    </w:p>
    <w:p w14:paraId="0E5D9E29" w14:textId="77777777" w:rsidR="00101CD5" w:rsidRPr="00101CD5" w:rsidRDefault="00101CD5" w:rsidP="00101CD5">
      <w:pPr>
        <w:spacing w:after="120"/>
        <w:rPr>
          <w:rFonts w:ascii="Arial" w:hAnsi="Arial" w:cs="Arial"/>
          <w:sz w:val="22"/>
          <w:szCs w:val="22"/>
        </w:rPr>
      </w:pPr>
    </w:p>
    <w:p w14:paraId="15AC1BC3" w14:textId="14CC325F" w:rsidR="0076271C" w:rsidRPr="00B16508" w:rsidRDefault="0076271C" w:rsidP="00101CD5">
      <w:pPr>
        <w:autoSpaceDE w:val="0"/>
        <w:autoSpaceDN w:val="0"/>
        <w:adjustRightInd w:val="0"/>
        <w:spacing w:after="120"/>
        <w:rPr>
          <w:rFonts w:ascii="Arial" w:hAnsi="Arial" w:cs="Arial"/>
          <w:bCs/>
          <w:color w:val="0000FF"/>
          <w:sz w:val="22"/>
          <w:szCs w:val="22"/>
        </w:rPr>
      </w:pPr>
    </w:p>
    <w:sectPr w:rsidR="0076271C" w:rsidRPr="00B16508" w:rsidSect="00081520">
      <w:headerReference w:type="even" r:id="rId14"/>
      <w:headerReference w:type="default" r:id="rId15"/>
      <w:headerReference w:type="first" r:id="rId16"/>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54D98" w14:textId="77777777" w:rsidR="00446AA8" w:rsidRDefault="00446AA8">
      <w:r>
        <w:separator/>
      </w:r>
    </w:p>
  </w:endnote>
  <w:endnote w:type="continuationSeparator" w:id="0">
    <w:p w14:paraId="48D6380E" w14:textId="77777777" w:rsidR="00446AA8" w:rsidRDefault="0044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2A909" w14:textId="77777777" w:rsidR="00446AA8" w:rsidRDefault="00446AA8">
      <w:r>
        <w:separator/>
      </w:r>
    </w:p>
  </w:footnote>
  <w:footnote w:type="continuationSeparator" w:id="0">
    <w:p w14:paraId="675A605B" w14:textId="77777777" w:rsidR="00446AA8" w:rsidRDefault="00446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A"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15AC1BCB" w14:textId="77777777"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14:paraId="15AC1BCC"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5590D">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D"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E" w14:textId="7E4474B6" w:rsidR="00146ED8" w:rsidRPr="00767CE8" w:rsidRDefault="00146ED8"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34104F">
      <w:rPr>
        <w:rFonts w:ascii="Arial" w:hAnsi="Arial" w:cs="Arial"/>
        <w:b/>
        <w:sz w:val="22"/>
        <w:szCs w:val="22"/>
      </w:rPr>
      <w:t>2020</w:t>
    </w:r>
    <w:r w:rsidRPr="00767CE8">
      <w:rPr>
        <w:rFonts w:ascii="Arial" w:hAnsi="Arial" w:cs="Arial"/>
        <w:b/>
        <w:sz w:val="22"/>
        <w:szCs w:val="22"/>
      </w:rPr>
      <w:t>/</w:t>
    </w:r>
    <w:r w:rsidR="0034104F">
      <w:rPr>
        <w:rFonts w:ascii="Arial" w:hAnsi="Arial" w:cs="Arial"/>
        <w:b/>
        <w:sz w:val="22"/>
        <w:szCs w:val="22"/>
      </w:rPr>
      <w:t>I&amp;I</w:t>
    </w:r>
    <w:r w:rsidRPr="00767CE8">
      <w:rPr>
        <w:rFonts w:ascii="Arial" w:hAnsi="Arial" w:cs="Arial"/>
        <w:b/>
        <w:sz w:val="22"/>
        <w:szCs w:val="22"/>
      </w:rPr>
      <w:t>/</w:t>
    </w:r>
    <w:r w:rsidR="0034104F">
      <w:rPr>
        <w:rFonts w:ascii="Arial" w:hAnsi="Arial" w:cs="Arial"/>
        <w:b/>
        <w:sz w:val="22"/>
        <w:szCs w:val="22"/>
      </w:rPr>
      <w:t>0016</w:t>
    </w:r>
  </w:p>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15AC1BD2">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7"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8"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5"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9"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0"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2"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3FCC3903"/>
    <w:multiLevelType w:val="hybridMultilevel"/>
    <w:tmpl w:val="191E1970"/>
    <w:lvl w:ilvl="0" w:tplc="43661902">
      <w:start w:val="1"/>
      <w:numFmt w:val="decimal"/>
      <w:lvlText w:val="%1."/>
      <w:lvlJc w:val="left"/>
      <w:pPr>
        <w:tabs>
          <w:tab w:val="num" w:pos="720"/>
        </w:tabs>
        <w:ind w:left="720" w:hanging="360"/>
      </w:pPr>
      <w:rPr>
        <w:rFonts w:ascii="Arial" w:hAnsi="Arial" w:cs="Arial"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7"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2"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7"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25"/>
  </w:num>
  <w:num w:numId="4">
    <w:abstractNumId w:val="39"/>
  </w:num>
  <w:num w:numId="5">
    <w:abstractNumId w:val="5"/>
  </w:num>
  <w:num w:numId="6">
    <w:abstractNumId w:val="13"/>
  </w:num>
  <w:num w:numId="7">
    <w:abstractNumId w:val="34"/>
  </w:num>
  <w:num w:numId="8">
    <w:abstractNumId w:val="33"/>
  </w:num>
  <w:num w:numId="9">
    <w:abstractNumId w:val="27"/>
  </w:num>
  <w:num w:numId="10">
    <w:abstractNumId w:val="22"/>
  </w:num>
  <w:num w:numId="11">
    <w:abstractNumId w:val="40"/>
  </w:num>
  <w:num w:numId="12">
    <w:abstractNumId w:val="35"/>
  </w:num>
  <w:num w:numId="13">
    <w:abstractNumId w:val="38"/>
  </w:num>
  <w:num w:numId="14">
    <w:abstractNumId w:val="37"/>
  </w:num>
  <w:num w:numId="15">
    <w:abstractNumId w:val="20"/>
  </w:num>
  <w:num w:numId="16">
    <w:abstractNumId w:val="24"/>
  </w:num>
  <w:num w:numId="17">
    <w:abstractNumId w:val="10"/>
  </w:num>
  <w:num w:numId="18">
    <w:abstractNumId w:val="16"/>
  </w:num>
  <w:num w:numId="19">
    <w:abstractNumId w:val="3"/>
  </w:num>
  <w:num w:numId="20">
    <w:abstractNumId w:val="1"/>
  </w:num>
  <w:num w:numId="21">
    <w:abstractNumId w:val="12"/>
  </w:num>
  <w:num w:numId="22">
    <w:abstractNumId w:val="31"/>
  </w:num>
  <w:num w:numId="23">
    <w:abstractNumId w:val="9"/>
  </w:num>
  <w:num w:numId="24">
    <w:abstractNumId w:val="19"/>
  </w:num>
  <w:num w:numId="25">
    <w:abstractNumId w:val="30"/>
  </w:num>
  <w:num w:numId="26">
    <w:abstractNumId w:val="29"/>
  </w:num>
  <w:num w:numId="27">
    <w:abstractNumId w:val="8"/>
  </w:num>
  <w:num w:numId="28">
    <w:abstractNumId w:val="32"/>
  </w:num>
  <w:num w:numId="29">
    <w:abstractNumId w:val="18"/>
  </w:num>
  <w:num w:numId="30">
    <w:abstractNumId w:val="14"/>
  </w:num>
  <w:num w:numId="31">
    <w:abstractNumId w:val="6"/>
  </w:num>
  <w:num w:numId="32">
    <w:abstractNumId w:val="0"/>
  </w:num>
  <w:num w:numId="33">
    <w:abstractNumId w:val="7"/>
  </w:num>
  <w:num w:numId="34">
    <w:abstractNumId w:val="26"/>
  </w:num>
  <w:num w:numId="35">
    <w:abstractNumId w:val="36"/>
  </w:num>
  <w:num w:numId="36">
    <w:abstractNumId w:val="17"/>
  </w:num>
  <w:num w:numId="37">
    <w:abstractNumId w:val="11"/>
  </w:num>
  <w:num w:numId="38">
    <w:abstractNumId w:val="21"/>
  </w:num>
  <w:num w:numId="39">
    <w:abstractNumId w:val="21"/>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8"/>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17B2"/>
    <w:rsid w:val="0001796D"/>
    <w:rsid w:val="00017BF0"/>
    <w:rsid w:val="0002568B"/>
    <w:rsid w:val="00043FA7"/>
    <w:rsid w:val="000552E8"/>
    <w:rsid w:val="00056585"/>
    <w:rsid w:val="0005674F"/>
    <w:rsid w:val="00065C6E"/>
    <w:rsid w:val="00072E6E"/>
    <w:rsid w:val="00073F1B"/>
    <w:rsid w:val="00075B58"/>
    <w:rsid w:val="00080944"/>
    <w:rsid w:val="00081520"/>
    <w:rsid w:val="000B11DD"/>
    <w:rsid w:val="000B1785"/>
    <w:rsid w:val="000C390A"/>
    <w:rsid w:val="000C77DD"/>
    <w:rsid w:val="000E295B"/>
    <w:rsid w:val="000E45A0"/>
    <w:rsid w:val="00101CD5"/>
    <w:rsid w:val="00107460"/>
    <w:rsid w:val="00112415"/>
    <w:rsid w:val="0013678D"/>
    <w:rsid w:val="00140A34"/>
    <w:rsid w:val="00146ED8"/>
    <w:rsid w:val="00167202"/>
    <w:rsid w:val="001828A4"/>
    <w:rsid w:val="001A3BE2"/>
    <w:rsid w:val="001C35E7"/>
    <w:rsid w:val="001C4578"/>
    <w:rsid w:val="001D02E6"/>
    <w:rsid w:val="001F28A6"/>
    <w:rsid w:val="001F2A16"/>
    <w:rsid w:val="001F6921"/>
    <w:rsid w:val="001F7C3E"/>
    <w:rsid w:val="00201969"/>
    <w:rsid w:val="0021222C"/>
    <w:rsid w:val="00213FA5"/>
    <w:rsid w:val="0021496E"/>
    <w:rsid w:val="00222AFB"/>
    <w:rsid w:val="0023733A"/>
    <w:rsid w:val="0024044F"/>
    <w:rsid w:val="00240CFB"/>
    <w:rsid w:val="00245D00"/>
    <w:rsid w:val="00257F2D"/>
    <w:rsid w:val="00262F9F"/>
    <w:rsid w:val="00266D2D"/>
    <w:rsid w:val="0027331F"/>
    <w:rsid w:val="00285E76"/>
    <w:rsid w:val="002949C3"/>
    <w:rsid w:val="002A10A4"/>
    <w:rsid w:val="002A26FE"/>
    <w:rsid w:val="002B1423"/>
    <w:rsid w:val="002F1257"/>
    <w:rsid w:val="00310C61"/>
    <w:rsid w:val="003171B3"/>
    <w:rsid w:val="0032559D"/>
    <w:rsid w:val="00331616"/>
    <w:rsid w:val="00333567"/>
    <w:rsid w:val="0034104F"/>
    <w:rsid w:val="00344575"/>
    <w:rsid w:val="0035113C"/>
    <w:rsid w:val="00354525"/>
    <w:rsid w:val="00374385"/>
    <w:rsid w:val="00380CC4"/>
    <w:rsid w:val="003C0686"/>
    <w:rsid w:val="003D08CF"/>
    <w:rsid w:val="003D0CBA"/>
    <w:rsid w:val="003D0F6A"/>
    <w:rsid w:val="003D1EDB"/>
    <w:rsid w:val="003D4BA8"/>
    <w:rsid w:val="003E5269"/>
    <w:rsid w:val="00405394"/>
    <w:rsid w:val="004066E4"/>
    <w:rsid w:val="0040680B"/>
    <w:rsid w:val="00407361"/>
    <w:rsid w:val="00411D69"/>
    <w:rsid w:val="00417C55"/>
    <w:rsid w:val="00424A7B"/>
    <w:rsid w:val="004447C1"/>
    <w:rsid w:val="00445F29"/>
    <w:rsid w:val="00446AA8"/>
    <w:rsid w:val="0045590D"/>
    <w:rsid w:val="0046211F"/>
    <w:rsid w:val="0046787B"/>
    <w:rsid w:val="00486653"/>
    <w:rsid w:val="00493CA7"/>
    <w:rsid w:val="004A5FDA"/>
    <w:rsid w:val="004C1E42"/>
    <w:rsid w:val="004D098C"/>
    <w:rsid w:val="004D24A9"/>
    <w:rsid w:val="004D41FE"/>
    <w:rsid w:val="004E5357"/>
    <w:rsid w:val="004F4A07"/>
    <w:rsid w:val="004F5EB1"/>
    <w:rsid w:val="004F6887"/>
    <w:rsid w:val="005030AD"/>
    <w:rsid w:val="0051249C"/>
    <w:rsid w:val="005176E7"/>
    <w:rsid w:val="00520330"/>
    <w:rsid w:val="00524B6B"/>
    <w:rsid w:val="00526403"/>
    <w:rsid w:val="005413EE"/>
    <w:rsid w:val="00587443"/>
    <w:rsid w:val="00587C50"/>
    <w:rsid w:val="005917F3"/>
    <w:rsid w:val="005B0ACD"/>
    <w:rsid w:val="005B50A2"/>
    <w:rsid w:val="005C3408"/>
    <w:rsid w:val="005D611B"/>
    <w:rsid w:val="005F1ACE"/>
    <w:rsid w:val="005F256D"/>
    <w:rsid w:val="0060183A"/>
    <w:rsid w:val="00603110"/>
    <w:rsid w:val="00611C8E"/>
    <w:rsid w:val="006302F7"/>
    <w:rsid w:val="00631F30"/>
    <w:rsid w:val="00642420"/>
    <w:rsid w:val="00646158"/>
    <w:rsid w:val="006513F4"/>
    <w:rsid w:val="0066622C"/>
    <w:rsid w:val="00666487"/>
    <w:rsid w:val="00673B37"/>
    <w:rsid w:val="006945EA"/>
    <w:rsid w:val="006A189E"/>
    <w:rsid w:val="006B5470"/>
    <w:rsid w:val="006D0138"/>
    <w:rsid w:val="006D6F52"/>
    <w:rsid w:val="00701718"/>
    <w:rsid w:val="00710359"/>
    <w:rsid w:val="00712FFF"/>
    <w:rsid w:val="00722DBF"/>
    <w:rsid w:val="00735157"/>
    <w:rsid w:val="0076271C"/>
    <w:rsid w:val="00767CE8"/>
    <w:rsid w:val="00775490"/>
    <w:rsid w:val="007773DE"/>
    <w:rsid w:val="00795D0C"/>
    <w:rsid w:val="007A55BA"/>
    <w:rsid w:val="007C1FBD"/>
    <w:rsid w:val="007C54B3"/>
    <w:rsid w:val="007C5C8E"/>
    <w:rsid w:val="007E0A01"/>
    <w:rsid w:val="007E22F5"/>
    <w:rsid w:val="007F25F3"/>
    <w:rsid w:val="007F4901"/>
    <w:rsid w:val="00826DEB"/>
    <w:rsid w:val="00832A78"/>
    <w:rsid w:val="00836B02"/>
    <w:rsid w:val="008467D4"/>
    <w:rsid w:val="00850FB0"/>
    <w:rsid w:val="0085238E"/>
    <w:rsid w:val="00853428"/>
    <w:rsid w:val="008540EA"/>
    <w:rsid w:val="00866A00"/>
    <w:rsid w:val="008702A6"/>
    <w:rsid w:val="008757CE"/>
    <w:rsid w:val="0088392C"/>
    <w:rsid w:val="00897C0E"/>
    <w:rsid w:val="00897E31"/>
    <w:rsid w:val="008A046F"/>
    <w:rsid w:val="008A405A"/>
    <w:rsid w:val="008A6A6A"/>
    <w:rsid w:val="008B650A"/>
    <w:rsid w:val="008B787C"/>
    <w:rsid w:val="008C3898"/>
    <w:rsid w:val="008C66CC"/>
    <w:rsid w:val="008F483C"/>
    <w:rsid w:val="00910595"/>
    <w:rsid w:val="00910756"/>
    <w:rsid w:val="00912D61"/>
    <w:rsid w:val="00920462"/>
    <w:rsid w:val="009322D7"/>
    <w:rsid w:val="00932BDE"/>
    <w:rsid w:val="009371D0"/>
    <w:rsid w:val="00967725"/>
    <w:rsid w:val="0098195F"/>
    <w:rsid w:val="009902F8"/>
    <w:rsid w:val="00993BB8"/>
    <w:rsid w:val="0099555F"/>
    <w:rsid w:val="0099618C"/>
    <w:rsid w:val="009A22A1"/>
    <w:rsid w:val="009B3A1B"/>
    <w:rsid w:val="009B6332"/>
    <w:rsid w:val="009C0912"/>
    <w:rsid w:val="009C7443"/>
    <w:rsid w:val="009D6694"/>
    <w:rsid w:val="009F0300"/>
    <w:rsid w:val="00A167A8"/>
    <w:rsid w:val="00A21F0A"/>
    <w:rsid w:val="00A26011"/>
    <w:rsid w:val="00A506C2"/>
    <w:rsid w:val="00A62886"/>
    <w:rsid w:val="00A74C38"/>
    <w:rsid w:val="00A77D24"/>
    <w:rsid w:val="00A8572F"/>
    <w:rsid w:val="00A93E07"/>
    <w:rsid w:val="00A979CF"/>
    <w:rsid w:val="00AA4DF8"/>
    <w:rsid w:val="00AB780C"/>
    <w:rsid w:val="00AC2448"/>
    <w:rsid w:val="00AC75C4"/>
    <w:rsid w:val="00AD0B0B"/>
    <w:rsid w:val="00AD5ADE"/>
    <w:rsid w:val="00AE7138"/>
    <w:rsid w:val="00AF4CAF"/>
    <w:rsid w:val="00B117BA"/>
    <w:rsid w:val="00B15F23"/>
    <w:rsid w:val="00B16508"/>
    <w:rsid w:val="00B20D87"/>
    <w:rsid w:val="00B24053"/>
    <w:rsid w:val="00B31108"/>
    <w:rsid w:val="00B31550"/>
    <w:rsid w:val="00B43059"/>
    <w:rsid w:val="00B53D89"/>
    <w:rsid w:val="00B578AC"/>
    <w:rsid w:val="00B6433F"/>
    <w:rsid w:val="00B64CF5"/>
    <w:rsid w:val="00B76C9B"/>
    <w:rsid w:val="00B823A1"/>
    <w:rsid w:val="00B8428B"/>
    <w:rsid w:val="00BA41F5"/>
    <w:rsid w:val="00BB3C9C"/>
    <w:rsid w:val="00BF4822"/>
    <w:rsid w:val="00C01D22"/>
    <w:rsid w:val="00C104B6"/>
    <w:rsid w:val="00C10F02"/>
    <w:rsid w:val="00C114F4"/>
    <w:rsid w:val="00C11D03"/>
    <w:rsid w:val="00C31967"/>
    <w:rsid w:val="00C371DE"/>
    <w:rsid w:val="00C409AE"/>
    <w:rsid w:val="00C4143E"/>
    <w:rsid w:val="00C42D50"/>
    <w:rsid w:val="00C54DF8"/>
    <w:rsid w:val="00C60B49"/>
    <w:rsid w:val="00C7440A"/>
    <w:rsid w:val="00C865ED"/>
    <w:rsid w:val="00C8775A"/>
    <w:rsid w:val="00CA0877"/>
    <w:rsid w:val="00CA6B59"/>
    <w:rsid w:val="00CB3B6C"/>
    <w:rsid w:val="00CB75F1"/>
    <w:rsid w:val="00CC1833"/>
    <w:rsid w:val="00CC189F"/>
    <w:rsid w:val="00CC3368"/>
    <w:rsid w:val="00CF19C4"/>
    <w:rsid w:val="00CF2B0A"/>
    <w:rsid w:val="00D13C04"/>
    <w:rsid w:val="00D20A78"/>
    <w:rsid w:val="00D278BA"/>
    <w:rsid w:val="00D40454"/>
    <w:rsid w:val="00D4059C"/>
    <w:rsid w:val="00D53D8F"/>
    <w:rsid w:val="00D61C76"/>
    <w:rsid w:val="00D77015"/>
    <w:rsid w:val="00D92B48"/>
    <w:rsid w:val="00DB1693"/>
    <w:rsid w:val="00DD5B07"/>
    <w:rsid w:val="00DE6821"/>
    <w:rsid w:val="00DF2022"/>
    <w:rsid w:val="00DF34BE"/>
    <w:rsid w:val="00DF5D59"/>
    <w:rsid w:val="00E10B37"/>
    <w:rsid w:val="00E239E4"/>
    <w:rsid w:val="00E36A38"/>
    <w:rsid w:val="00E53399"/>
    <w:rsid w:val="00E77995"/>
    <w:rsid w:val="00E87099"/>
    <w:rsid w:val="00EA28E6"/>
    <w:rsid w:val="00EF78C4"/>
    <w:rsid w:val="00F04CD7"/>
    <w:rsid w:val="00F23E15"/>
    <w:rsid w:val="00F244A2"/>
    <w:rsid w:val="00F35064"/>
    <w:rsid w:val="00F374D8"/>
    <w:rsid w:val="00F539FB"/>
    <w:rsid w:val="00F5684D"/>
    <w:rsid w:val="00F57AB6"/>
    <w:rsid w:val="00F6480F"/>
    <w:rsid w:val="00F64868"/>
    <w:rsid w:val="00F70C2E"/>
    <w:rsid w:val="00F84DF2"/>
    <w:rsid w:val="00F86713"/>
    <w:rsid w:val="00F8678C"/>
    <w:rsid w:val="00F932E0"/>
    <w:rsid w:val="00FB7701"/>
    <w:rsid w:val="00FC40F0"/>
    <w:rsid w:val="00FC6D3B"/>
    <w:rsid w:val="00FD0129"/>
    <w:rsid w:val="00FE17ED"/>
    <w:rsid w:val="00FF4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5AC1B4F"/>
  <w15:docId w15:val="{2E6FF3BC-6353-4192-ACE3-C722BFF5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1316568914">
      <w:bodyDiv w:val="1"/>
      <w:marLeft w:val="0"/>
      <w:marRight w:val="0"/>
      <w:marTop w:val="0"/>
      <w:marBottom w:val="0"/>
      <w:divBdr>
        <w:top w:val="none" w:sz="0" w:space="0" w:color="auto"/>
        <w:left w:val="none" w:sz="0" w:space="0" w:color="auto"/>
        <w:bottom w:val="none" w:sz="0" w:space="0" w:color="auto"/>
        <w:right w:val="none" w:sz="0" w:space="0" w:color="auto"/>
      </w:divBdr>
      <w:divsChild>
        <w:div w:id="1849951121">
          <w:marLeft w:val="0"/>
          <w:marRight w:val="0"/>
          <w:marTop w:val="0"/>
          <w:marBottom w:val="0"/>
          <w:divBdr>
            <w:top w:val="none" w:sz="0" w:space="0" w:color="auto"/>
            <w:left w:val="none" w:sz="0" w:space="0" w:color="auto"/>
            <w:bottom w:val="none" w:sz="0" w:space="0" w:color="auto"/>
            <w:right w:val="none" w:sz="0" w:space="0" w:color="auto"/>
          </w:divBdr>
          <w:divsChild>
            <w:div w:id="1080257186">
              <w:marLeft w:val="0"/>
              <w:marRight w:val="0"/>
              <w:marTop w:val="0"/>
              <w:marBottom w:val="0"/>
              <w:divBdr>
                <w:top w:val="none" w:sz="0" w:space="0" w:color="auto"/>
                <w:left w:val="none" w:sz="0" w:space="0" w:color="auto"/>
                <w:bottom w:val="none" w:sz="0" w:space="0" w:color="auto"/>
                <w:right w:val="none" w:sz="0" w:space="0" w:color="auto"/>
              </w:divBdr>
              <w:divsChild>
                <w:div w:id="414716764">
                  <w:marLeft w:val="0"/>
                  <w:marRight w:val="0"/>
                  <w:marTop w:val="0"/>
                  <w:marBottom w:val="0"/>
                  <w:divBdr>
                    <w:top w:val="none" w:sz="0" w:space="0" w:color="auto"/>
                    <w:left w:val="none" w:sz="0" w:space="0" w:color="auto"/>
                    <w:bottom w:val="none" w:sz="0" w:space="0" w:color="auto"/>
                    <w:right w:val="none" w:sz="0" w:space="0" w:color="auto"/>
                  </w:divBdr>
                  <w:divsChild>
                    <w:div w:id="1280917205">
                      <w:marLeft w:val="0"/>
                      <w:marRight w:val="0"/>
                      <w:marTop w:val="0"/>
                      <w:marBottom w:val="0"/>
                      <w:divBdr>
                        <w:top w:val="none" w:sz="0" w:space="0" w:color="auto"/>
                        <w:left w:val="none" w:sz="0" w:space="0" w:color="auto"/>
                        <w:bottom w:val="none" w:sz="0" w:space="0" w:color="auto"/>
                        <w:right w:val="none" w:sz="0" w:space="0" w:color="auto"/>
                      </w:divBdr>
                      <w:divsChild>
                        <w:div w:id="603876735">
                          <w:marLeft w:val="0"/>
                          <w:marRight w:val="0"/>
                          <w:marTop w:val="0"/>
                          <w:marBottom w:val="0"/>
                          <w:divBdr>
                            <w:top w:val="none" w:sz="0" w:space="0" w:color="auto"/>
                            <w:left w:val="none" w:sz="0" w:space="0" w:color="auto"/>
                            <w:bottom w:val="none" w:sz="0" w:space="0" w:color="auto"/>
                            <w:right w:val="none" w:sz="0" w:space="0" w:color="auto"/>
                          </w:divBdr>
                          <w:divsChild>
                            <w:div w:id="77682291">
                              <w:marLeft w:val="0"/>
                              <w:marRight w:val="0"/>
                              <w:marTop w:val="0"/>
                              <w:marBottom w:val="0"/>
                              <w:divBdr>
                                <w:top w:val="none" w:sz="0" w:space="0" w:color="auto"/>
                                <w:left w:val="none" w:sz="0" w:space="0" w:color="auto"/>
                                <w:bottom w:val="none" w:sz="0" w:space="0" w:color="auto"/>
                                <w:right w:val="none" w:sz="0" w:space="0" w:color="auto"/>
                              </w:divBdr>
                              <w:divsChild>
                                <w:div w:id="1862626869">
                                  <w:marLeft w:val="0"/>
                                  <w:marRight w:val="0"/>
                                  <w:marTop w:val="0"/>
                                  <w:marBottom w:val="0"/>
                                  <w:divBdr>
                                    <w:top w:val="none" w:sz="0" w:space="0" w:color="auto"/>
                                    <w:left w:val="none" w:sz="0" w:space="0" w:color="auto"/>
                                    <w:bottom w:val="none" w:sz="0" w:space="0" w:color="auto"/>
                                    <w:right w:val="none" w:sz="0" w:space="0" w:color="auto"/>
                                  </w:divBdr>
                                  <w:divsChild>
                                    <w:div w:id="1463696057">
                                      <w:marLeft w:val="0"/>
                                      <w:marRight w:val="0"/>
                                      <w:marTop w:val="0"/>
                                      <w:marBottom w:val="0"/>
                                      <w:divBdr>
                                        <w:top w:val="none" w:sz="0" w:space="0" w:color="auto"/>
                                        <w:left w:val="none" w:sz="0" w:space="0" w:color="auto"/>
                                        <w:bottom w:val="none" w:sz="0" w:space="0" w:color="auto"/>
                                        <w:right w:val="none" w:sz="0" w:space="0" w:color="auto"/>
                                      </w:divBdr>
                                      <w:divsChild>
                                        <w:div w:id="1799106983">
                                          <w:marLeft w:val="0"/>
                                          <w:marRight w:val="0"/>
                                          <w:marTop w:val="0"/>
                                          <w:marBottom w:val="0"/>
                                          <w:divBdr>
                                            <w:top w:val="none" w:sz="0" w:space="0" w:color="auto"/>
                                            <w:left w:val="none" w:sz="0" w:space="0" w:color="auto"/>
                                            <w:bottom w:val="none" w:sz="0" w:space="0" w:color="auto"/>
                                            <w:right w:val="none" w:sz="0" w:space="0" w:color="auto"/>
                                          </w:divBdr>
                                          <w:divsChild>
                                            <w:div w:id="401298764">
                                              <w:marLeft w:val="0"/>
                                              <w:marRight w:val="0"/>
                                              <w:marTop w:val="0"/>
                                              <w:marBottom w:val="0"/>
                                              <w:divBdr>
                                                <w:top w:val="none" w:sz="0" w:space="0" w:color="auto"/>
                                                <w:left w:val="none" w:sz="0" w:space="0" w:color="auto"/>
                                                <w:bottom w:val="none" w:sz="0" w:space="0" w:color="auto"/>
                                                <w:right w:val="none" w:sz="0" w:space="0" w:color="auto"/>
                                              </w:divBdr>
                                              <w:divsChild>
                                                <w:div w:id="115416644">
                                                  <w:marLeft w:val="0"/>
                                                  <w:marRight w:val="0"/>
                                                  <w:marTop w:val="0"/>
                                                  <w:marBottom w:val="0"/>
                                                  <w:divBdr>
                                                    <w:top w:val="none" w:sz="0" w:space="0" w:color="auto"/>
                                                    <w:left w:val="none" w:sz="0" w:space="0" w:color="auto"/>
                                                    <w:bottom w:val="none" w:sz="0" w:space="0" w:color="auto"/>
                                                    <w:right w:val="none" w:sz="0" w:space="0" w:color="auto"/>
                                                  </w:divBdr>
                                                  <w:divsChild>
                                                    <w:div w:id="1046564329">
                                                      <w:marLeft w:val="0"/>
                                                      <w:marRight w:val="0"/>
                                                      <w:marTop w:val="0"/>
                                                      <w:marBottom w:val="0"/>
                                                      <w:divBdr>
                                                        <w:top w:val="none" w:sz="0" w:space="0" w:color="auto"/>
                                                        <w:left w:val="none" w:sz="0" w:space="0" w:color="auto"/>
                                                        <w:bottom w:val="none" w:sz="0" w:space="0" w:color="auto"/>
                                                        <w:right w:val="none" w:sz="0" w:space="0" w:color="auto"/>
                                                      </w:divBdr>
                                                      <w:divsChild>
                                                        <w:div w:id="107454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7188514">
      <w:bodyDiv w:val="1"/>
      <w:marLeft w:val="0"/>
      <w:marRight w:val="0"/>
      <w:marTop w:val="0"/>
      <w:marBottom w:val="0"/>
      <w:divBdr>
        <w:top w:val="none" w:sz="0" w:space="0" w:color="auto"/>
        <w:left w:val="none" w:sz="0" w:space="0" w:color="auto"/>
        <w:bottom w:val="none" w:sz="0" w:space="0" w:color="auto"/>
        <w:right w:val="none" w:sz="0" w:space="0" w:color="auto"/>
      </w:divBdr>
      <w:divsChild>
        <w:div w:id="1592205660">
          <w:marLeft w:val="0"/>
          <w:marRight w:val="0"/>
          <w:marTop w:val="0"/>
          <w:marBottom w:val="0"/>
          <w:divBdr>
            <w:top w:val="none" w:sz="0" w:space="0" w:color="auto"/>
            <w:left w:val="none" w:sz="0" w:space="0" w:color="auto"/>
            <w:bottom w:val="none" w:sz="0" w:space="0" w:color="auto"/>
            <w:right w:val="none" w:sz="0" w:space="0" w:color="auto"/>
          </w:divBdr>
          <w:divsChild>
            <w:div w:id="600063840">
              <w:marLeft w:val="0"/>
              <w:marRight w:val="0"/>
              <w:marTop w:val="0"/>
              <w:marBottom w:val="0"/>
              <w:divBdr>
                <w:top w:val="none" w:sz="0" w:space="0" w:color="auto"/>
                <w:left w:val="none" w:sz="0" w:space="0" w:color="auto"/>
                <w:bottom w:val="none" w:sz="0" w:space="0" w:color="auto"/>
                <w:right w:val="none" w:sz="0" w:space="0" w:color="auto"/>
              </w:divBdr>
              <w:divsChild>
                <w:div w:id="1567229263">
                  <w:marLeft w:val="0"/>
                  <w:marRight w:val="0"/>
                  <w:marTop w:val="0"/>
                  <w:marBottom w:val="0"/>
                  <w:divBdr>
                    <w:top w:val="none" w:sz="0" w:space="0" w:color="auto"/>
                    <w:left w:val="none" w:sz="0" w:space="0" w:color="auto"/>
                    <w:bottom w:val="none" w:sz="0" w:space="0" w:color="auto"/>
                    <w:right w:val="none" w:sz="0" w:space="0" w:color="auto"/>
                  </w:divBdr>
                  <w:divsChild>
                    <w:div w:id="59443426">
                      <w:marLeft w:val="0"/>
                      <w:marRight w:val="0"/>
                      <w:marTop w:val="0"/>
                      <w:marBottom w:val="0"/>
                      <w:divBdr>
                        <w:top w:val="none" w:sz="0" w:space="0" w:color="auto"/>
                        <w:left w:val="none" w:sz="0" w:space="0" w:color="auto"/>
                        <w:bottom w:val="none" w:sz="0" w:space="0" w:color="auto"/>
                        <w:right w:val="none" w:sz="0" w:space="0" w:color="auto"/>
                      </w:divBdr>
                      <w:divsChild>
                        <w:div w:id="1164399969">
                          <w:marLeft w:val="0"/>
                          <w:marRight w:val="0"/>
                          <w:marTop w:val="0"/>
                          <w:marBottom w:val="0"/>
                          <w:divBdr>
                            <w:top w:val="none" w:sz="0" w:space="0" w:color="auto"/>
                            <w:left w:val="none" w:sz="0" w:space="0" w:color="auto"/>
                            <w:bottom w:val="none" w:sz="0" w:space="0" w:color="auto"/>
                            <w:right w:val="none" w:sz="0" w:space="0" w:color="auto"/>
                          </w:divBdr>
                          <w:divsChild>
                            <w:div w:id="333454003">
                              <w:marLeft w:val="0"/>
                              <w:marRight w:val="0"/>
                              <w:marTop w:val="0"/>
                              <w:marBottom w:val="0"/>
                              <w:divBdr>
                                <w:top w:val="none" w:sz="0" w:space="0" w:color="auto"/>
                                <w:left w:val="none" w:sz="0" w:space="0" w:color="auto"/>
                                <w:bottom w:val="none" w:sz="0" w:space="0" w:color="auto"/>
                                <w:right w:val="none" w:sz="0" w:space="0" w:color="auto"/>
                              </w:divBdr>
                              <w:divsChild>
                                <w:div w:id="1428847458">
                                  <w:marLeft w:val="0"/>
                                  <w:marRight w:val="0"/>
                                  <w:marTop w:val="0"/>
                                  <w:marBottom w:val="0"/>
                                  <w:divBdr>
                                    <w:top w:val="none" w:sz="0" w:space="0" w:color="auto"/>
                                    <w:left w:val="none" w:sz="0" w:space="0" w:color="auto"/>
                                    <w:bottom w:val="none" w:sz="0" w:space="0" w:color="auto"/>
                                    <w:right w:val="none" w:sz="0" w:space="0" w:color="auto"/>
                                  </w:divBdr>
                                  <w:divsChild>
                                    <w:div w:id="706687519">
                                      <w:marLeft w:val="0"/>
                                      <w:marRight w:val="0"/>
                                      <w:marTop w:val="0"/>
                                      <w:marBottom w:val="0"/>
                                      <w:divBdr>
                                        <w:top w:val="none" w:sz="0" w:space="0" w:color="auto"/>
                                        <w:left w:val="none" w:sz="0" w:space="0" w:color="auto"/>
                                        <w:bottom w:val="none" w:sz="0" w:space="0" w:color="auto"/>
                                        <w:right w:val="none" w:sz="0" w:space="0" w:color="auto"/>
                                      </w:divBdr>
                                      <w:divsChild>
                                        <w:div w:id="1551573222">
                                          <w:marLeft w:val="0"/>
                                          <w:marRight w:val="0"/>
                                          <w:marTop w:val="0"/>
                                          <w:marBottom w:val="0"/>
                                          <w:divBdr>
                                            <w:top w:val="none" w:sz="0" w:space="0" w:color="auto"/>
                                            <w:left w:val="none" w:sz="0" w:space="0" w:color="auto"/>
                                            <w:bottom w:val="none" w:sz="0" w:space="0" w:color="auto"/>
                                            <w:right w:val="none" w:sz="0" w:space="0" w:color="auto"/>
                                          </w:divBdr>
                                          <w:divsChild>
                                            <w:div w:id="1503928918">
                                              <w:marLeft w:val="0"/>
                                              <w:marRight w:val="0"/>
                                              <w:marTop w:val="0"/>
                                              <w:marBottom w:val="0"/>
                                              <w:divBdr>
                                                <w:top w:val="none" w:sz="0" w:space="0" w:color="auto"/>
                                                <w:left w:val="none" w:sz="0" w:space="0" w:color="auto"/>
                                                <w:bottom w:val="none" w:sz="0" w:space="0" w:color="auto"/>
                                                <w:right w:val="none" w:sz="0" w:space="0" w:color="auto"/>
                                              </w:divBdr>
                                              <w:divsChild>
                                                <w:div w:id="829101573">
                                                  <w:marLeft w:val="0"/>
                                                  <w:marRight w:val="0"/>
                                                  <w:marTop w:val="0"/>
                                                  <w:marBottom w:val="0"/>
                                                  <w:divBdr>
                                                    <w:top w:val="none" w:sz="0" w:space="0" w:color="auto"/>
                                                    <w:left w:val="none" w:sz="0" w:space="0" w:color="auto"/>
                                                    <w:bottom w:val="none" w:sz="0" w:space="0" w:color="auto"/>
                                                    <w:right w:val="none" w:sz="0" w:space="0" w:color="auto"/>
                                                  </w:divBdr>
                                                  <w:divsChild>
                                                    <w:div w:id="275262081">
                                                      <w:marLeft w:val="0"/>
                                                      <w:marRight w:val="0"/>
                                                      <w:marTop w:val="0"/>
                                                      <w:marBottom w:val="0"/>
                                                      <w:divBdr>
                                                        <w:top w:val="none" w:sz="0" w:space="0" w:color="auto"/>
                                                        <w:left w:val="none" w:sz="0" w:space="0" w:color="auto"/>
                                                        <w:bottom w:val="none" w:sz="0" w:space="0" w:color="auto"/>
                                                        <w:right w:val="none" w:sz="0" w:space="0" w:color="auto"/>
                                                      </w:divBdr>
                                                      <w:divsChild>
                                                        <w:div w:id="2929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428280">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A64679C44DADA04984EEB770C479187300D671BAA6A2837143B656620068115792" ma:contentTypeVersion="24" ma:contentTypeDescription="" ma:contentTypeScope="" ma:versionID="e7f60ab67b138d6b498f1e508387a7ca">
  <xsd:schema xmlns:xsd="http://www.w3.org/2001/XMLSchema" xmlns:xs="http://www.w3.org/2001/XMLSchema" xmlns:p="http://schemas.microsoft.com/office/2006/metadata/properties" xmlns:ns1="http://schemas.microsoft.com/sharepoint/v3" xmlns:ns2="5e039acd-daf0-4ba3-b421-e9b9ae1a3620" targetNamespace="http://schemas.microsoft.com/office/2006/metadata/properties" ma:root="true" ma:fieldsID="6157e332811e791681c4e91ba41dc61a" ns1:_="" ns2:_="">
    <xsd:import namespace="http://schemas.microsoft.com/sharepoint/v3"/>
    <xsd:import namespace="5e039acd-daf0-4ba3-b421-e9b9ae1a3620"/>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TaxCatchAll xmlns="5e039acd-daf0-4ba3-b421-e9b9ae1a3620">
      <Value>1</Value>
    </TaxCatchAll>
    <_dlc_ExpireDateSaved xmlns="http://schemas.microsoft.com/sharepoint/v3" xsi:nil="true"/>
    <_dlc_ExpireDate xmlns="http://schemas.microsoft.com/sharepoint/v3">2029-11-18T03:39:23+00:00</_dlc_ExpireDate>
    <_dlc_DocId xmlns="5e039acd-daf0-4ba3-b421-e9b9ae1a3620">5YHNKJZSV77T-1836078025-98</_dlc_DocId>
    <_dlc_DocIdUrl xmlns="5e039acd-daf0-4ba3-b421-e9b9ae1a3620">
      <Url>http://sharepoint/GASites/IntegratedTaxDesign/_layouts/DocIdRedir.aspx?ID=5YHNKJZSV77T-1836078025-98</Url>
      <Description>5YHNKJZSV77T-1836078025-98</Description>
    </_dlc_DocIdUrl>
  </documentManagement>
</p:properties>
</file>

<file path=customXml/item5.xml><?xml version="1.0" encoding="utf-8"?>
<?mso-contentType ?>
<customXsn xmlns="http://schemas.microsoft.com/office/2006/metadata/customXsn">
  <xsnLocation/>
  <cached>True</cached>
  <openByDefault>False</openByDefault>
  <xsnScope>http://sharepoint</xsnScope>
</customXsn>
</file>

<file path=customXml/item6.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2.xml><?xml version="1.0" encoding="utf-8"?>
<ds:datastoreItem xmlns:ds="http://schemas.openxmlformats.org/officeDocument/2006/customXml" ds:itemID="{C6461A5D-4941-442A-87D9-1C3E47354EDC}">
  <ds:schemaRefs>
    <ds:schemaRef ds:uri="http://schemas.microsoft.com/sharepoint/events"/>
  </ds:schemaRefs>
</ds:datastoreItem>
</file>

<file path=customXml/itemProps3.xml><?xml version="1.0" encoding="utf-8"?>
<ds:datastoreItem xmlns:ds="http://schemas.openxmlformats.org/officeDocument/2006/customXml" ds:itemID="{AA5AEB4B-88AC-49E1-BCDA-CE8143BC5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D597C1-B965-4E1A-A465-326C0C3A3173}">
  <ds:schemaRef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5e039acd-daf0-4ba3-b421-e9b9ae1a3620"/>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6.xml><?xml version="1.0" encoding="utf-8"?>
<ds:datastoreItem xmlns:ds="http://schemas.openxmlformats.org/officeDocument/2006/customXml" ds:itemID="{9092B523-521B-4F01-8DAB-0EC284B7888D}">
  <ds:schemaRefs>
    <ds:schemaRef ds:uri="office.server.policy"/>
  </ds:schemaRefs>
</ds:datastoreItem>
</file>

<file path=customXml/itemProps7.xml><?xml version="1.0" encoding="utf-8"?>
<ds:datastoreItem xmlns:ds="http://schemas.openxmlformats.org/officeDocument/2006/customXml" ds:itemID="{390A62CE-729C-4412-A38D-DB7A5E8B2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Taxation Office</Company>
  <LinksUpToDate>false</LinksUpToDate>
  <CharactersWithSpaces>5183</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creator>ubafu</dc:creator>
  <cp:lastModifiedBy>Ashlee Spears</cp:lastModifiedBy>
  <cp:revision>3</cp:revision>
  <cp:lastPrinted>2017-04-21T01:19:00Z</cp:lastPrinted>
  <dcterms:created xsi:type="dcterms:W3CDTF">2020-06-04T22:49:00Z</dcterms:created>
  <dcterms:modified xsi:type="dcterms:W3CDTF">2020-06-09T23:28:00Z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0x010100A64679C44DADA04984EEB770C479187300D671BAA6A2837143B656620068115792</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fcbb74d9-da8b-45bf-9c94-0c3ff9f11397</vt:lpwstr>
  </property>
  <property fmtid="{D5CDD505-2E9C-101B-9397-08002B2CF9AE}" pid="6" name="TaxKeyword">
    <vt:lpwstr/>
  </property>
  <property fmtid="{D5CDD505-2E9C-101B-9397-08002B2CF9AE}" pid="7" name="Security Classification">
    <vt:lpwstr>1;#UNCLASSIFIED|1bbb598d-ed8e-4faa-b9b5-c952cc7313f8</vt:lpwstr>
  </property>
  <property fmtid="{D5CDD505-2E9C-101B-9397-08002B2CF9AE}" pid="8" name="_DocHome">
    <vt:i4>-2097574561</vt:i4>
  </property>
</Properties>
</file>