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D3138" w14:textId="77777777" w:rsidR="00CF6FF8" w:rsidRDefault="00CF6FF8">
      <w:pPr>
        <w:jc w:val="center"/>
      </w:pPr>
      <w:bookmarkStart w:id="0" w:name="_GoBack"/>
      <w:bookmarkEnd w:id="0"/>
    </w:p>
    <w:p w14:paraId="3636325F" w14:textId="77777777" w:rsidR="00FD6E9F" w:rsidRDefault="009A4902" w:rsidP="002247F8">
      <w:pPr>
        <w:pStyle w:val="Heading"/>
      </w:pPr>
      <w:r>
        <w:rPr>
          <w:noProof/>
          <w:lang w:eastAsia="en-AU"/>
        </w:rPr>
        <w:drawing>
          <wp:inline distT="0" distB="0" distL="0" distR="0" wp14:anchorId="444016C0" wp14:editId="69B5900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58373842" w14:textId="77777777" w:rsidR="00FD6E9F" w:rsidRDefault="00FD6E9F">
      <w:pPr>
        <w:jc w:val="center"/>
        <w:rPr>
          <w:rFonts w:ascii="Garamond" w:hAnsi="Garamond"/>
          <w:i/>
          <w:sz w:val="36"/>
          <w:szCs w:val="36"/>
        </w:rPr>
      </w:pPr>
    </w:p>
    <w:p w14:paraId="59761C55" w14:textId="0B058ED3" w:rsidR="009033EF" w:rsidRDefault="009033EF" w:rsidP="009033EF">
      <w:pPr>
        <w:spacing w:before="120" w:after="120"/>
        <w:ind w:right="11"/>
        <w:rPr>
          <w:rFonts w:ascii="Arial" w:hAnsi="Arial" w:cs="Arial"/>
          <w:b/>
          <w:sz w:val="40"/>
          <w:szCs w:val="40"/>
        </w:rPr>
      </w:pPr>
      <w:r w:rsidRPr="00281996">
        <w:rPr>
          <w:rFonts w:ascii="Arial" w:hAnsi="Arial" w:cs="Arial"/>
          <w:b/>
          <w:sz w:val="40"/>
          <w:szCs w:val="40"/>
        </w:rPr>
        <w:t xml:space="preserve">Australian Prudential Regulation Authority instrument fixing charges </w:t>
      </w:r>
      <w:r w:rsidRPr="00E037B5">
        <w:rPr>
          <w:rFonts w:ascii="Arial" w:hAnsi="Arial" w:cs="Arial"/>
          <w:b/>
          <w:sz w:val="40"/>
          <w:szCs w:val="40"/>
        </w:rPr>
        <w:t xml:space="preserve">No. </w:t>
      </w:r>
      <w:r w:rsidR="003D5A84">
        <w:rPr>
          <w:rFonts w:ascii="Arial" w:hAnsi="Arial" w:cs="Arial"/>
          <w:b/>
          <w:sz w:val="40"/>
          <w:szCs w:val="40"/>
        </w:rPr>
        <w:t>2</w:t>
      </w:r>
      <w:r w:rsidR="00030110" w:rsidRPr="00E037B5">
        <w:rPr>
          <w:rFonts w:ascii="Arial" w:hAnsi="Arial" w:cs="Arial"/>
          <w:b/>
          <w:sz w:val="40"/>
          <w:szCs w:val="40"/>
        </w:rPr>
        <w:t xml:space="preserve"> </w:t>
      </w:r>
      <w:r w:rsidR="002F086C" w:rsidRPr="00E037B5">
        <w:rPr>
          <w:rFonts w:ascii="Arial" w:hAnsi="Arial" w:cs="Arial"/>
          <w:b/>
          <w:sz w:val="40"/>
          <w:szCs w:val="40"/>
        </w:rPr>
        <w:t xml:space="preserve">of </w:t>
      </w:r>
      <w:r w:rsidR="00433E9E" w:rsidRPr="00E037B5">
        <w:rPr>
          <w:rFonts w:ascii="Arial" w:hAnsi="Arial" w:cs="Arial"/>
          <w:b/>
          <w:sz w:val="40"/>
          <w:szCs w:val="40"/>
        </w:rPr>
        <w:t>20</w:t>
      </w:r>
      <w:r w:rsidR="003D5A84">
        <w:rPr>
          <w:rFonts w:ascii="Arial" w:hAnsi="Arial" w:cs="Arial"/>
          <w:b/>
          <w:sz w:val="40"/>
          <w:szCs w:val="40"/>
        </w:rPr>
        <w:t>20</w:t>
      </w:r>
    </w:p>
    <w:p w14:paraId="2329D959" w14:textId="043F9AD2" w:rsidR="009033EF" w:rsidRPr="009D0FC7" w:rsidRDefault="00DF6816" w:rsidP="009033EF">
      <w:pPr>
        <w:spacing w:before="240"/>
        <w:ind w:right="11"/>
        <w:rPr>
          <w:rFonts w:ascii="Arial" w:hAnsi="Arial" w:cs="Arial"/>
          <w:b/>
          <w:sz w:val="28"/>
          <w:szCs w:val="28"/>
        </w:rPr>
      </w:pPr>
      <w:r>
        <w:rPr>
          <w:rFonts w:ascii="Arial" w:hAnsi="Arial" w:cs="Arial"/>
          <w:b/>
          <w:sz w:val="28"/>
          <w:szCs w:val="28"/>
        </w:rPr>
        <w:t>A</w:t>
      </w:r>
      <w:r w:rsidR="00EC1473">
        <w:rPr>
          <w:rFonts w:ascii="Arial" w:hAnsi="Arial" w:cs="Arial"/>
          <w:b/>
          <w:sz w:val="28"/>
          <w:szCs w:val="28"/>
        </w:rPr>
        <w:t>pproval of</w:t>
      </w:r>
      <w:r w:rsidR="00645760">
        <w:rPr>
          <w:rFonts w:ascii="Arial" w:hAnsi="Arial" w:cs="Arial"/>
          <w:b/>
          <w:sz w:val="28"/>
          <w:szCs w:val="28"/>
        </w:rPr>
        <w:t xml:space="preserve"> </w:t>
      </w:r>
      <w:r w:rsidR="00EB11F9">
        <w:rPr>
          <w:rFonts w:ascii="Arial" w:hAnsi="Arial" w:cs="Arial"/>
          <w:b/>
          <w:sz w:val="28"/>
          <w:szCs w:val="28"/>
        </w:rPr>
        <w:t>A</w:t>
      </w:r>
      <w:r w:rsidR="00BD36D7">
        <w:rPr>
          <w:rFonts w:ascii="Arial" w:hAnsi="Arial" w:cs="Arial"/>
          <w:b/>
          <w:sz w:val="28"/>
          <w:szCs w:val="28"/>
        </w:rPr>
        <w:t>DIs</w:t>
      </w:r>
      <w:r w:rsidR="00C528E3">
        <w:rPr>
          <w:rFonts w:ascii="Arial" w:hAnsi="Arial" w:cs="Arial"/>
          <w:b/>
          <w:sz w:val="28"/>
          <w:szCs w:val="28"/>
        </w:rPr>
        <w:t>’</w:t>
      </w:r>
      <w:r>
        <w:rPr>
          <w:rFonts w:ascii="Arial" w:hAnsi="Arial" w:cs="Arial"/>
          <w:b/>
          <w:sz w:val="28"/>
          <w:szCs w:val="28"/>
        </w:rPr>
        <w:t xml:space="preserve"> a</w:t>
      </w:r>
      <w:r w:rsidR="007F2879">
        <w:rPr>
          <w:rFonts w:ascii="Arial" w:hAnsi="Arial" w:cs="Arial"/>
          <w:b/>
          <w:sz w:val="28"/>
          <w:szCs w:val="28"/>
        </w:rPr>
        <w:t>pplications</w:t>
      </w:r>
      <w:r w:rsidR="001522AB">
        <w:rPr>
          <w:rFonts w:ascii="Arial" w:hAnsi="Arial" w:cs="Arial"/>
          <w:b/>
          <w:sz w:val="28"/>
          <w:szCs w:val="28"/>
        </w:rPr>
        <w:t xml:space="preserve"> </w:t>
      </w:r>
      <w:r w:rsidR="003712B2">
        <w:rPr>
          <w:rFonts w:ascii="Arial" w:hAnsi="Arial" w:cs="Arial"/>
          <w:b/>
          <w:sz w:val="28"/>
          <w:szCs w:val="28"/>
        </w:rPr>
        <w:t xml:space="preserve">with respect </w:t>
      </w:r>
      <w:r>
        <w:rPr>
          <w:rFonts w:ascii="Arial" w:hAnsi="Arial" w:cs="Arial"/>
          <w:b/>
          <w:sz w:val="28"/>
          <w:szCs w:val="28"/>
        </w:rPr>
        <w:t xml:space="preserve">to </w:t>
      </w:r>
      <w:r w:rsidR="001522AB">
        <w:rPr>
          <w:rFonts w:ascii="Arial" w:hAnsi="Arial" w:cs="Arial"/>
          <w:b/>
          <w:sz w:val="28"/>
          <w:szCs w:val="28"/>
        </w:rPr>
        <w:t>the RBA’s C</w:t>
      </w:r>
      <w:r w:rsidR="007039FB">
        <w:rPr>
          <w:rFonts w:ascii="Arial" w:hAnsi="Arial" w:cs="Arial"/>
          <w:b/>
          <w:sz w:val="28"/>
          <w:szCs w:val="28"/>
        </w:rPr>
        <w:t xml:space="preserve">ommitted </w:t>
      </w:r>
      <w:r w:rsidR="001522AB">
        <w:rPr>
          <w:rFonts w:ascii="Arial" w:hAnsi="Arial" w:cs="Arial"/>
          <w:b/>
          <w:sz w:val="28"/>
          <w:szCs w:val="28"/>
        </w:rPr>
        <w:t>L</w:t>
      </w:r>
      <w:r w:rsidR="007039FB">
        <w:rPr>
          <w:rFonts w:ascii="Arial" w:hAnsi="Arial" w:cs="Arial"/>
          <w:b/>
          <w:sz w:val="28"/>
          <w:szCs w:val="28"/>
        </w:rPr>
        <w:t xml:space="preserve">iquidity </w:t>
      </w:r>
      <w:r w:rsidR="001522AB">
        <w:rPr>
          <w:rFonts w:ascii="Arial" w:hAnsi="Arial" w:cs="Arial"/>
          <w:b/>
          <w:sz w:val="28"/>
          <w:szCs w:val="28"/>
        </w:rPr>
        <w:t>F</w:t>
      </w:r>
      <w:r w:rsidR="007039FB">
        <w:rPr>
          <w:rFonts w:ascii="Arial" w:hAnsi="Arial" w:cs="Arial"/>
          <w:b/>
          <w:sz w:val="28"/>
          <w:szCs w:val="28"/>
        </w:rPr>
        <w:t>acility</w:t>
      </w:r>
      <w:r w:rsidR="00A72E7D">
        <w:rPr>
          <w:rFonts w:ascii="Arial" w:hAnsi="Arial" w:cs="Arial"/>
          <w:b/>
          <w:sz w:val="28"/>
          <w:szCs w:val="28"/>
        </w:rPr>
        <w:t xml:space="preserve"> - </w:t>
      </w:r>
      <w:r w:rsidR="00A72E7D" w:rsidRPr="00092AE8">
        <w:rPr>
          <w:rFonts w:ascii="Arial" w:hAnsi="Arial" w:cs="Arial"/>
          <w:b/>
          <w:sz w:val="28"/>
          <w:szCs w:val="28"/>
        </w:rPr>
        <w:t>Calendar</w:t>
      </w:r>
      <w:r w:rsidR="009D0FC7" w:rsidRPr="00092AE8">
        <w:rPr>
          <w:rFonts w:ascii="Arial" w:hAnsi="Arial" w:cs="Arial"/>
          <w:b/>
          <w:sz w:val="28"/>
          <w:szCs w:val="28"/>
        </w:rPr>
        <w:t xml:space="preserve"> </w:t>
      </w:r>
      <w:r w:rsidR="00A54E35" w:rsidRPr="00092AE8">
        <w:rPr>
          <w:rFonts w:ascii="Arial" w:hAnsi="Arial" w:cs="Arial"/>
          <w:b/>
          <w:sz w:val="28"/>
          <w:szCs w:val="28"/>
        </w:rPr>
        <w:t>Y</w:t>
      </w:r>
      <w:r w:rsidR="002F086C" w:rsidRPr="00092AE8">
        <w:rPr>
          <w:rFonts w:ascii="Arial" w:hAnsi="Arial" w:cs="Arial"/>
          <w:b/>
          <w:sz w:val="28"/>
          <w:szCs w:val="28"/>
        </w:rPr>
        <w:t xml:space="preserve">ear </w:t>
      </w:r>
      <w:r w:rsidR="00433E9E" w:rsidRPr="00092AE8">
        <w:rPr>
          <w:rFonts w:ascii="Arial" w:hAnsi="Arial" w:cs="Arial"/>
          <w:b/>
          <w:sz w:val="28"/>
          <w:szCs w:val="28"/>
        </w:rPr>
        <w:t>20</w:t>
      </w:r>
      <w:r w:rsidR="003D5A84">
        <w:rPr>
          <w:rFonts w:ascii="Arial" w:hAnsi="Arial" w:cs="Arial"/>
          <w:b/>
          <w:sz w:val="28"/>
          <w:szCs w:val="28"/>
        </w:rPr>
        <w:t>19</w:t>
      </w:r>
    </w:p>
    <w:p w14:paraId="1783F776" w14:textId="77777777" w:rsidR="009033EF" w:rsidRDefault="009033EF" w:rsidP="009033EF">
      <w:pPr>
        <w:pStyle w:val="ActTitle"/>
      </w:pPr>
      <w:r>
        <w:t xml:space="preserve">Australian Prudential Regulation Authority Act </w:t>
      </w:r>
      <w:r w:rsidR="0067399E">
        <w:t>1998</w:t>
      </w:r>
    </w:p>
    <w:p w14:paraId="3CB93253" w14:textId="77777777" w:rsidR="00CF6FF8" w:rsidRDefault="00CF6FF8" w:rsidP="002247F8"/>
    <w:p w14:paraId="27CC666E" w14:textId="77777777" w:rsidR="00CF6FF8" w:rsidRDefault="00CF6FF8" w:rsidP="007F6D98">
      <w:pPr>
        <w:jc w:val="both"/>
      </w:pPr>
      <w:r>
        <w:t xml:space="preserve">I, </w:t>
      </w:r>
      <w:r w:rsidR="00C57277">
        <w:t>Ste</w:t>
      </w:r>
      <w:r w:rsidR="00370180">
        <w:t>phen Brian</w:t>
      </w:r>
      <w:r w:rsidR="00C57277">
        <w:t xml:space="preserve"> Matthews</w:t>
      </w:r>
      <w:r>
        <w:t xml:space="preserve">, a delegate of </w:t>
      </w:r>
      <w:r w:rsidRPr="00831798">
        <w:t>APRA,</w:t>
      </w:r>
      <w:r w:rsidR="00831798">
        <w:t xml:space="preserve"> </w:t>
      </w:r>
      <w:r w:rsidRPr="00831798">
        <w:t>u</w:t>
      </w:r>
      <w:r>
        <w:t>nder paragraph</w:t>
      </w:r>
      <w:r w:rsidR="00B7390A">
        <w:t>s</w:t>
      </w:r>
      <w:r w:rsidR="00C57277">
        <w:t xml:space="preserve"> </w:t>
      </w:r>
      <w:r>
        <w:t>51(1</w:t>
      </w:r>
      <w:r w:rsidR="001275AF">
        <w:t>)</w:t>
      </w:r>
      <w:r w:rsidR="002F4952">
        <w:t xml:space="preserve">(a) and </w:t>
      </w:r>
      <w:r w:rsidR="001275AF">
        <w:t>(</w:t>
      </w:r>
      <w:r w:rsidR="00D90DD3">
        <w:t>b)</w:t>
      </w:r>
      <w:r>
        <w:t xml:space="preserve"> of the </w:t>
      </w:r>
      <w:r>
        <w:rPr>
          <w:i/>
        </w:rPr>
        <w:t>Australian Prudential Regulation Authority Act 1998</w:t>
      </w:r>
      <w:r w:rsidR="000B3381">
        <w:t xml:space="preserve"> </w:t>
      </w:r>
      <w:r>
        <w:t xml:space="preserve">FIX the charges specified in </w:t>
      </w:r>
      <w:r w:rsidR="005500CE">
        <w:t xml:space="preserve">the </w:t>
      </w:r>
      <w:r w:rsidR="00C57277">
        <w:t xml:space="preserve">attached </w:t>
      </w:r>
      <w:r w:rsidR="000B3381">
        <w:t>Schedule</w:t>
      </w:r>
      <w:r w:rsidR="00C57277">
        <w:t xml:space="preserve"> of ch</w:t>
      </w:r>
      <w:r w:rsidR="00EB11F9">
        <w:t xml:space="preserve">arges in respect of </w:t>
      </w:r>
      <w:r w:rsidR="009F626F">
        <w:t xml:space="preserve">the specified </w:t>
      </w:r>
      <w:r w:rsidR="00EB11F9">
        <w:t xml:space="preserve">services </w:t>
      </w:r>
      <w:r w:rsidR="009F626F">
        <w:t>provided by</w:t>
      </w:r>
      <w:r w:rsidR="00D170B4">
        <w:t>,</w:t>
      </w:r>
      <w:r w:rsidR="009F626F">
        <w:t xml:space="preserve"> </w:t>
      </w:r>
      <w:r w:rsidR="00FC4775">
        <w:t>and applications made to</w:t>
      </w:r>
      <w:r w:rsidR="00D170B4">
        <w:t>,</w:t>
      </w:r>
      <w:r w:rsidR="00FC4775">
        <w:t xml:space="preserve"> </w:t>
      </w:r>
      <w:r w:rsidR="00EB11F9">
        <w:t>APRA</w:t>
      </w:r>
      <w:r w:rsidR="00FC4775">
        <w:t>.</w:t>
      </w:r>
      <w:r w:rsidR="001E3DBA">
        <w:t xml:space="preserve"> </w:t>
      </w:r>
    </w:p>
    <w:p w14:paraId="6782605A" w14:textId="77777777" w:rsidR="00CF6FF8" w:rsidRDefault="00CF6FF8" w:rsidP="002247F8"/>
    <w:p w14:paraId="0FB74719" w14:textId="77777777" w:rsidR="006D2ED0" w:rsidRDefault="008C1CA2" w:rsidP="002E2FB6">
      <w:pPr>
        <w:pStyle w:val="IntroTo"/>
        <w:ind w:left="0" w:firstLine="0"/>
        <w:jc w:val="both"/>
      </w:pPr>
      <w:r>
        <w:t xml:space="preserve">This instrument commences on the date of registration </w:t>
      </w:r>
      <w:r>
        <w:rPr>
          <w:szCs w:val="24"/>
        </w:rPr>
        <w:t>on the Federal Register of Legislati</w:t>
      </w:r>
      <w:r w:rsidR="009F626F">
        <w:rPr>
          <w:szCs w:val="24"/>
        </w:rPr>
        <w:t>on</w:t>
      </w:r>
      <w:r>
        <w:rPr>
          <w:szCs w:val="24"/>
        </w:rPr>
        <w:t xml:space="preserve"> under the </w:t>
      </w:r>
      <w:r>
        <w:rPr>
          <w:i/>
          <w:szCs w:val="24"/>
        </w:rPr>
        <w:t>Legislati</w:t>
      </w:r>
      <w:r w:rsidR="004F4D30">
        <w:rPr>
          <w:i/>
          <w:szCs w:val="24"/>
        </w:rPr>
        <w:t>on</w:t>
      </w:r>
      <w:r>
        <w:rPr>
          <w:i/>
          <w:szCs w:val="24"/>
        </w:rPr>
        <w:t xml:space="preserve"> Act 2003</w:t>
      </w:r>
      <w:r w:rsidR="006D2ED0">
        <w:t xml:space="preserve">. </w:t>
      </w:r>
    </w:p>
    <w:p w14:paraId="052F3ADD" w14:textId="77777777" w:rsidR="00662534" w:rsidRDefault="00662534"/>
    <w:p w14:paraId="7FF1ED46" w14:textId="02B5196B" w:rsidR="00CF6FF8" w:rsidRPr="008C5625" w:rsidRDefault="00CF6FF8">
      <w:pPr>
        <w:rPr>
          <w:szCs w:val="24"/>
        </w:rPr>
      </w:pPr>
      <w:r w:rsidRPr="00E037B5">
        <w:rPr>
          <w:szCs w:val="24"/>
        </w:rPr>
        <w:t>Dated</w:t>
      </w:r>
      <w:r w:rsidR="00733628" w:rsidRPr="00E037B5">
        <w:rPr>
          <w:szCs w:val="24"/>
        </w:rPr>
        <w:t xml:space="preserve">: </w:t>
      </w:r>
      <w:r w:rsidR="00067728">
        <w:rPr>
          <w:szCs w:val="24"/>
        </w:rPr>
        <w:t>05</w:t>
      </w:r>
      <w:r w:rsidR="00433E9E" w:rsidRPr="00E037B5">
        <w:rPr>
          <w:szCs w:val="24"/>
        </w:rPr>
        <w:t xml:space="preserve"> </w:t>
      </w:r>
      <w:r w:rsidR="00E037B5" w:rsidRPr="00E037B5">
        <w:rPr>
          <w:szCs w:val="24"/>
        </w:rPr>
        <w:t>June</w:t>
      </w:r>
      <w:r w:rsidR="004A478A" w:rsidRPr="00E037B5">
        <w:rPr>
          <w:szCs w:val="24"/>
        </w:rPr>
        <w:t xml:space="preserve"> </w:t>
      </w:r>
      <w:r w:rsidR="00433E9E" w:rsidRPr="00E037B5">
        <w:rPr>
          <w:szCs w:val="24"/>
        </w:rPr>
        <w:t>20</w:t>
      </w:r>
      <w:r w:rsidR="003D5A84">
        <w:rPr>
          <w:szCs w:val="24"/>
        </w:rPr>
        <w:t>20</w:t>
      </w:r>
    </w:p>
    <w:p w14:paraId="7F289115" w14:textId="77777777" w:rsidR="00962BF3" w:rsidRDefault="00962BF3"/>
    <w:p w14:paraId="7947ADF3" w14:textId="357AC200" w:rsidR="00E037B5" w:rsidRDefault="00007E24">
      <w:r>
        <w:rPr>
          <w:noProof/>
          <w:lang w:val="en-AU"/>
        </w:rPr>
        <mc:AlternateContent>
          <mc:Choice Requires="wpi">
            <w:drawing>
              <wp:anchor distT="0" distB="0" distL="114300" distR="114300" simplePos="0" relativeHeight="251665408" behindDoc="0" locked="0" layoutInCell="1" allowOverlap="1" wp14:anchorId="4171508B" wp14:editId="11503DFE">
                <wp:simplePos x="0" y="0"/>
                <wp:positionH relativeFrom="column">
                  <wp:posOffset>937415</wp:posOffset>
                </wp:positionH>
                <wp:positionV relativeFrom="paragraph">
                  <wp:posOffset>14190</wp:posOffset>
                </wp:positionV>
                <wp:extent cx="319320" cy="36360"/>
                <wp:effectExtent l="57150" t="38100" r="43180" b="40005"/>
                <wp:wrapNone/>
                <wp:docPr id="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319320" cy="36360"/>
                      </w14:xfrm>
                    </w14:contentPart>
                  </a:graphicData>
                </a:graphic>
              </wp:anchor>
            </w:drawing>
          </mc:Choice>
          <mc:Fallback>
            <w:pict>
              <v:shapetype w14:anchorId="40F1A2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73pt;margin-top:.55pt;width:26.55pt;height:4.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">
                <v:imagedata r:id="rId15" o:title=""/>
              </v:shape>
            </w:pict>
          </mc:Fallback>
        </mc:AlternateContent>
      </w:r>
      <w:r>
        <w:rPr>
          <w:noProof/>
          <w:lang w:val="en-AU"/>
        </w:rPr>
        <mc:AlternateContent>
          <mc:Choice Requires="wpi">
            <w:drawing>
              <wp:anchor distT="0" distB="0" distL="114300" distR="114300" simplePos="0" relativeHeight="251664384" behindDoc="0" locked="0" layoutInCell="1" allowOverlap="1" wp14:anchorId="7966A9F8" wp14:editId="46F2F264">
                <wp:simplePos x="0" y="0"/>
                <wp:positionH relativeFrom="column">
                  <wp:posOffset>854615</wp:posOffset>
                </wp:positionH>
                <wp:positionV relativeFrom="paragraph">
                  <wp:posOffset>12030</wp:posOffset>
                </wp:positionV>
                <wp:extent cx="710280" cy="164160"/>
                <wp:effectExtent l="38100" t="57150" r="0" b="45720"/>
                <wp:wrapNone/>
                <wp:docPr id="7" name="Ink 7"/>
                <wp:cNvGraphicFramePr/>
                <a:graphic xmlns:a="http://schemas.openxmlformats.org/drawingml/2006/main">
                  <a:graphicData uri="http://schemas.microsoft.com/office/word/2010/wordprocessingInk">
                    <w14:contentPart bwMode="auto" r:id="rId16">
                      <w14:nvContentPartPr>
                        <w14:cNvContentPartPr/>
                      </w14:nvContentPartPr>
                      <w14:xfrm>
                        <a:off x="0" y="0"/>
                        <a:ext cx="710280" cy="164160"/>
                      </w14:xfrm>
                    </w14:contentPart>
                  </a:graphicData>
                </a:graphic>
              </wp:anchor>
            </w:drawing>
          </mc:Choice>
          <mc:Fallback>
            <w:pict>
              <v:shape w14:anchorId="3E1779AE" id="Ink 7" o:spid="_x0000_s1026" type="#_x0000_t75" style="position:absolute;margin-left:66.55pt;margin-top:.2pt;width:57.4pt;height:14.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">
                <v:imagedata r:id="rId17" o:title=""/>
              </v:shape>
            </w:pict>
          </mc:Fallback>
        </mc:AlternateContent>
      </w:r>
      <w:r>
        <w:rPr>
          <w:noProof/>
          <w:lang w:val="en-AU"/>
        </w:rPr>
        <mc:AlternateContent>
          <mc:Choice Requires="wpi">
            <w:drawing>
              <wp:anchor distT="0" distB="0" distL="114300" distR="114300" simplePos="0" relativeHeight="251663360" behindDoc="0" locked="0" layoutInCell="1" allowOverlap="1" wp14:anchorId="124EB1BB" wp14:editId="553735CA">
                <wp:simplePos x="0" y="0"/>
                <wp:positionH relativeFrom="column">
                  <wp:posOffset>645095</wp:posOffset>
                </wp:positionH>
                <wp:positionV relativeFrom="paragraph">
                  <wp:posOffset>-54570</wp:posOffset>
                </wp:positionV>
                <wp:extent cx="150840" cy="248760"/>
                <wp:effectExtent l="38100" t="38100" r="40005" b="56515"/>
                <wp:wrapNone/>
                <wp:docPr id="6"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150840" cy="248760"/>
                      </w14:xfrm>
                    </w14:contentPart>
                  </a:graphicData>
                </a:graphic>
              </wp:anchor>
            </w:drawing>
          </mc:Choice>
          <mc:Fallback>
            <w:pict>
              <v:shape w14:anchorId="52D5D952" id="Ink 6" o:spid="_x0000_s1026" type="#_x0000_t75" style="position:absolute;margin-left:50.1pt;margin-top:-5pt;width:13.35pt;height: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">
                <v:imagedata r:id="rId19" o:title=""/>
              </v:shape>
            </w:pict>
          </mc:Fallback>
        </mc:AlternateContent>
      </w:r>
      <w:r>
        <w:rPr>
          <w:noProof/>
          <w:lang w:val="en-AU"/>
        </w:rPr>
        <mc:AlternateContent>
          <mc:Choice Requires="wpi">
            <w:drawing>
              <wp:anchor distT="0" distB="0" distL="114300" distR="114300" simplePos="0" relativeHeight="251662336" behindDoc="0" locked="0" layoutInCell="1" allowOverlap="1" wp14:anchorId="57DF6FB8" wp14:editId="5BDE83D7">
                <wp:simplePos x="0" y="0"/>
                <wp:positionH relativeFrom="column">
                  <wp:posOffset>284735</wp:posOffset>
                </wp:positionH>
                <wp:positionV relativeFrom="paragraph">
                  <wp:posOffset>64950</wp:posOffset>
                </wp:positionV>
                <wp:extent cx="216000" cy="117000"/>
                <wp:effectExtent l="38100" t="19050" r="50800" b="54610"/>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216000" cy="117000"/>
                      </w14:xfrm>
                    </w14:contentPart>
                  </a:graphicData>
                </a:graphic>
              </wp:anchor>
            </w:drawing>
          </mc:Choice>
          <mc:Fallback>
            <w:pict>
              <v:shape w14:anchorId="0F13CE4D" id="Ink 5" o:spid="_x0000_s1026" type="#_x0000_t75" style="position:absolute;margin-left:21.75pt;margin-top:4.5pt;width:18.25pt;height:10.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">
                <v:imagedata r:id="rId21" o:title=""/>
              </v:shape>
            </w:pict>
          </mc:Fallback>
        </mc:AlternateContent>
      </w:r>
      <w:r>
        <w:rPr>
          <w:noProof/>
          <w:lang w:val="en-AU"/>
        </w:rPr>
        <mc:AlternateContent>
          <mc:Choice Requires="wpi">
            <w:drawing>
              <wp:anchor distT="0" distB="0" distL="114300" distR="114300" simplePos="0" relativeHeight="251661312" behindDoc="0" locked="0" layoutInCell="1" allowOverlap="1" wp14:anchorId="52F16C33" wp14:editId="1F1474C9">
                <wp:simplePos x="0" y="0"/>
                <wp:positionH relativeFrom="column">
                  <wp:posOffset>189695</wp:posOffset>
                </wp:positionH>
                <wp:positionV relativeFrom="paragraph">
                  <wp:posOffset>96270</wp:posOffset>
                </wp:positionV>
                <wp:extent cx="87120" cy="19800"/>
                <wp:effectExtent l="38100" t="38100" r="46355" b="56515"/>
                <wp:wrapNone/>
                <wp:docPr id="4" name="Ink 4"/>
                <wp:cNvGraphicFramePr/>
                <a:graphic xmlns:a="http://schemas.openxmlformats.org/drawingml/2006/main">
                  <a:graphicData uri="http://schemas.microsoft.com/office/word/2010/wordprocessingInk">
                    <w14:contentPart bwMode="auto" r:id="rId22">
                      <w14:nvContentPartPr>
                        <w14:cNvContentPartPr/>
                      </w14:nvContentPartPr>
                      <w14:xfrm>
                        <a:off x="0" y="0"/>
                        <a:ext cx="87120" cy="19800"/>
                      </w14:xfrm>
                    </w14:contentPart>
                  </a:graphicData>
                </a:graphic>
              </wp:anchor>
            </w:drawing>
          </mc:Choice>
          <mc:Fallback>
            <w:pict>
              <v:shape w14:anchorId="70664D4D" id="Ink 4" o:spid="_x0000_s1026" type="#_x0000_t75" style="position:absolute;margin-left:14.35pt;margin-top:7pt;width:8.1pt;height: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">
                <v:imagedata r:id="rId23" o:title=""/>
              </v:shape>
            </w:pict>
          </mc:Fallback>
        </mc:AlternateContent>
      </w:r>
      <w:r>
        <w:rPr>
          <w:noProof/>
          <w:lang w:val="en-AU"/>
        </w:rPr>
        <mc:AlternateContent>
          <mc:Choice Requires="wpi">
            <w:drawing>
              <wp:anchor distT="0" distB="0" distL="114300" distR="114300" simplePos="0" relativeHeight="251660288" behindDoc="0" locked="0" layoutInCell="1" allowOverlap="1" wp14:anchorId="40137631" wp14:editId="36388BC7">
                <wp:simplePos x="0" y="0"/>
                <wp:positionH relativeFrom="column">
                  <wp:posOffset>239015</wp:posOffset>
                </wp:positionH>
                <wp:positionV relativeFrom="paragraph">
                  <wp:posOffset>18510</wp:posOffset>
                </wp:positionV>
                <wp:extent cx="39240" cy="155520"/>
                <wp:effectExtent l="38100" t="57150" r="37465" b="54610"/>
                <wp:wrapNone/>
                <wp:docPr id="3" name="Ink 3"/>
                <wp:cNvGraphicFramePr/>
                <a:graphic xmlns:a="http://schemas.openxmlformats.org/drawingml/2006/main">
                  <a:graphicData uri="http://schemas.microsoft.com/office/word/2010/wordprocessingInk">
                    <w14:contentPart bwMode="auto" r:id="rId24">
                      <w14:nvContentPartPr>
                        <w14:cNvContentPartPr/>
                      </w14:nvContentPartPr>
                      <w14:xfrm>
                        <a:off x="0" y="0"/>
                        <a:ext cx="39240" cy="155520"/>
                      </w14:xfrm>
                    </w14:contentPart>
                  </a:graphicData>
                </a:graphic>
              </wp:anchor>
            </w:drawing>
          </mc:Choice>
          <mc:Fallback>
            <w:pict>
              <v:shape w14:anchorId="2C9D956D" id="Ink 3" o:spid="_x0000_s1026" type="#_x0000_t75" style="position:absolute;margin-left:18.05pt;margin-top:.75pt;width:4.35pt;height:13.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">
                <v:imagedata r:id="rId25" o:title=""/>
              </v:shape>
            </w:pict>
          </mc:Fallback>
        </mc:AlternateContent>
      </w:r>
      <w:r>
        <w:rPr>
          <w:noProof/>
          <w:lang w:val="en-AU"/>
        </w:rPr>
        <mc:AlternateContent>
          <mc:Choice Requires="wpi">
            <w:drawing>
              <wp:anchor distT="0" distB="0" distL="114300" distR="114300" simplePos="0" relativeHeight="251659264" behindDoc="0" locked="0" layoutInCell="1" allowOverlap="1" wp14:anchorId="2D73F751" wp14:editId="47D45A2E">
                <wp:simplePos x="0" y="0"/>
                <wp:positionH relativeFrom="column">
                  <wp:posOffset>39575</wp:posOffset>
                </wp:positionH>
                <wp:positionV relativeFrom="paragraph">
                  <wp:posOffset>-32970</wp:posOffset>
                </wp:positionV>
                <wp:extent cx="186120" cy="249480"/>
                <wp:effectExtent l="38100" t="38100" r="42545" b="55880"/>
                <wp:wrapNone/>
                <wp:docPr id="2" name="Ink 2"/>
                <wp:cNvGraphicFramePr/>
                <a:graphic xmlns:a="http://schemas.openxmlformats.org/drawingml/2006/main">
                  <a:graphicData uri="http://schemas.microsoft.com/office/word/2010/wordprocessingInk">
                    <w14:contentPart bwMode="auto" r:id="rId26">
                      <w14:nvContentPartPr>
                        <w14:cNvContentPartPr/>
                      </w14:nvContentPartPr>
                      <w14:xfrm>
                        <a:off x="0" y="0"/>
                        <a:ext cx="186120" cy="249480"/>
                      </w14:xfrm>
                    </w14:contentPart>
                  </a:graphicData>
                </a:graphic>
              </wp:anchor>
            </w:drawing>
          </mc:Choice>
          <mc:Fallback>
            <w:pict>
              <v:shape w14:anchorId="3471ABF0" id="Ink 2" o:spid="_x0000_s1026" type="#_x0000_t75" style="position:absolute;margin-left:2.45pt;margin-top:-3.35pt;width:16.05pt;height:2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">
                <v:imagedata r:id="rId27" o:title=""/>
              </v:shape>
            </w:pict>
          </mc:Fallback>
        </mc:AlternateContent>
      </w:r>
    </w:p>
    <w:p w14:paraId="6CAE6A81" w14:textId="77777777" w:rsidR="00E037B5" w:rsidRDefault="00E037B5"/>
    <w:p w14:paraId="4166D785" w14:textId="77777777" w:rsidR="00CF6FF8" w:rsidRDefault="00EB11F9">
      <w:r>
        <w:t>Ste</w:t>
      </w:r>
      <w:r w:rsidR="00370180">
        <w:t>phen Brian</w:t>
      </w:r>
      <w:r>
        <w:t xml:space="preserve"> Matthews</w:t>
      </w:r>
    </w:p>
    <w:p w14:paraId="2166EFBF" w14:textId="5AD77E85" w:rsidR="00BD7F88" w:rsidRDefault="0017322E">
      <w:r>
        <w:t>E</w:t>
      </w:r>
      <w:r w:rsidR="004E7839">
        <w:t xml:space="preserve">xecutive </w:t>
      </w:r>
      <w:r w:rsidR="00F11D75">
        <w:t>Director</w:t>
      </w:r>
      <w:r w:rsidR="00AA5022">
        <w:t xml:space="preserve"> </w:t>
      </w:r>
    </w:p>
    <w:p w14:paraId="0508317B" w14:textId="77777777" w:rsidR="00CF6FF8" w:rsidRDefault="00CF6FF8"/>
    <w:p w14:paraId="265EECEA" w14:textId="77777777" w:rsidR="00CF6FF8" w:rsidRDefault="00EB11F9">
      <w:r>
        <w:t xml:space="preserve"> </w:t>
      </w:r>
    </w:p>
    <w:p w14:paraId="7DC1BE3A" w14:textId="77777777" w:rsidR="00E037B5" w:rsidRDefault="00E037B5"/>
    <w:p w14:paraId="5D463058" w14:textId="77777777" w:rsidR="00CF6FF8" w:rsidRPr="00831798" w:rsidRDefault="00831798">
      <w:pPr>
        <w:rPr>
          <w:rFonts w:ascii="Arial" w:hAnsi="Arial" w:cs="Arial"/>
          <w:b/>
          <w:szCs w:val="24"/>
        </w:rPr>
      </w:pPr>
      <w:r w:rsidRPr="00831798">
        <w:rPr>
          <w:rFonts w:ascii="Arial" w:hAnsi="Arial" w:cs="Arial"/>
          <w:b/>
          <w:szCs w:val="24"/>
        </w:rPr>
        <w:t>Interpretation</w:t>
      </w:r>
    </w:p>
    <w:p w14:paraId="68B98951" w14:textId="77777777" w:rsidR="00831798" w:rsidRPr="00831798" w:rsidRDefault="00831798" w:rsidP="0005741A">
      <w:pPr>
        <w:spacing w:before="120" w:line="260" w:lineRule="exact"/>
      </w:pPr>
      <w:r w:rsidRPr="00831798">
        <w:t>In this instrument</w:t>
      </w:r>
    </w:p>
    <w:p w14:paraId="30D5D11A" w14:textId="77777777" w:rsidR="00BD36D7" w:rsidRPr="00BD36D7" w:rsidRDefault="00BD36D7" w:rsidP="009D0FC7">
      <w:pPr>
        <w:pStyle w:val="IP"/>
        <w:ind w:left="0" w:firstLine="0"/>
        <w:rPr>
          <w:bCs/>
          <w:iCs/>
        </w:rPr>
      </w:pPr>
      <w:r>
        <w:rPr>
          <w:b/>
          <w:bCs/>
          <w:i/>
          <w:iCs/>
        </w:rPr>
        <w:t xml:space="preserve">ADI </w:t>
      </w:r>
      <w:r>
        <w:rPr>
          <w:bCs/>
          <w:iCs/>
        </w:rPr>
        <w:t>is short for authorised depo</w:t>
      </w:r>
      <w:r w:rsidRPr="00BD36D7">
        <w:rPr>
          <w:bCs/>
          <w:iCs/>
        </w:rPr>
        <w:t xml:space="preserve">sit-taking institution and has the meaning given in section 5 of the </w:t>
      </w:r>
      <w:r w:rsidRPr="00BD36D7">
        <w:rPr>
          <w:bCs/>
          <w:i/>
          <w:iCs/>
        </w:rPr>
        <w:t>Banking Act 195</w:t>
      </w:r>
      <w:r w:rsidR="009D0FC7">
        <w:rPr>
          <w:bCs/>
          <w:i/>
          <w:iCs/>
        </w:rPr>
        <w:t>9.</w:t>
      </w:r>
    </w:p>
    <w:p w14:paraId="15C3A2C5" w14:textId="77777777" w:rsidR="006D2ED0" w:rsidRDefault="00831798" w:rsidP="006D2ED0">
      <w:pPr>
        <w:spacing w:before="80" w:line="260" w:lineRule="exact"/>
      </w:pPr>
      <w:r w:rsidRPr="00831798">
        <w:rPr>
          <w:b/>
          <w:i/>
        </w:rPr>
        <w:t>APRA</w:t>
      </w:r>
      <w:r>
        <w:rPr>
          <w:b/>
        </w:rPr>
        <w:t xml:space="preserve"> </w:t>
      </w:r>
      <w:r w:rsidRPr="00831798">
        <w:t>means the Australian Prudential Regulation Authority</w:t>
      </w:r>
      <w:r w:rsidR="009D0FC7">
        <w:t>.</w:t>
      </w:r>
    </w:p>
    <w:p w14:paraId="597D0EF3" w14:textId="6F2DC746" w:rsidR="00E24FEC" w:rsidRDefault="00370180" w:rsidP="006D2ED0">
      <w:pPr>
        <w:spacing w:before="80" w:line="260" w:lineRule="exact"/>
      </w:pPr>
      <w:r w:rsidRPr="00C528E3">
        <w:rPr>
          <w:b/>
          <w:i/>
        </w:rPr>
        <w:t>RBA</w:t>
      </w:r>
      <w:r>
        <w:t xml:space="preserve"> means the Reserve Bank of Australia</w:t>
      </w:r>
    </w:p>
    <w:p w14:paraId="6AE7D746" w14:textId="39309C85" w:rsidR="00CF6FF8" w:rsidRDefault="00507717" w:rsidP="0005741A">
      <w:pPr>
        <w:spacing w:before="240"/>
        <w:rPr>
          <w:rFonts w:ascii="Arial" w:hAnsi="Arial"/>
          <w:b/>
          <w:sz w:val="28"/>
          <w:szCs w:val="28"/>
        </w:rPr>
      </w:pPr>
      <w:r>
        <w:rPr>
          <w:rFonts w:ascii="Arial" w:hAnsi="Arial"/>
          <w:b/>
          <w:sz w:val="28"/>
          <w:szCs w:val="28"/>
        </w:rPr>
        <w:br w:type="page"/>
      </w:r>
      <w:r w:rsidR="006D2ED0" w:rsidRPr="0005741A">
        <w:rPr>
          <w:rFonts w:ascii="Arial" w:hAnsi="Arial"/>
          <w:b/>
          <w:sz w:val="28"/>
          <w:szCs w:val="28"/>
        </w:rPr>
        <w:lastRenderedPageBreak/>
        <w:t>S</w:t>
      </w:r>
      <w:r w:rsidR="009454A7">
        <w:rPr>
          <w:rFonts w:ascii="Arial" w:hAnsi="Arial"/>
          <w:b/>
          <w:sz w:val="28"/>
          <w:szCs w:val="28"/>
        </w:rPr>
        <w:t>chedule of charges</w:t>
      </w:r>
    </w:p>
    <w:p w14:paraId="1D4AD35F" w14:textId="485B88FB" w:rsidR="00D35A55" w:rsidRPr="00132C28" w:rsidRDefault="00050078" w:rsidP="0005741A">
      <w:pPr>
        <w:spacing w:before="240"/>
        <w:rPr>
          <w:i/>
          <w:u w:val="single"/>
        </w:rPr>
      </w:pPr>
      <w:r w:rsidRPr="00132C28">
        <w:rPr>
          <w:u w:val="single"/>
        </w:rPr>
        <w:t xml:space="preserve">Review of applications made to APRA under Attachment </w:t>
      </w:r>
      <w:proofErr w:type="gramStart"/>
      <w:r w:rsidRPr="00132C28">
        <w:rPr>
          <w:u w:val="single"/>
        </w:rPr>
        <w:t>A</w:t>
      </w:r>
      <w:proofErr w:type="gramEnd"/>
      <w:r w:rsidRPr="00132C28">
        <w:rPr>
          <w:u w:val="single"/>
        </w:rPr>
        <w:t xml:space="preserve">, paragraph 17 of </w:t>
      </w:r>
      <w:r w:rsidRPr="00132C28">
        <w:rPr>
          <w:i/>
          <w:u w:val="single"/>
        </w:rPr>
        <w:t>Prudential Standard APS 210 – Liquidity</w:t>
      </w:r>
    </w:p>
    <w:p w14:paraId="183FB390" w14:textId="77777777" w:rsidR="000760E4" w:rsidRDefault="000760E4" w:rsidP="0005741A">
      <w:pPr>
        <w:spacing w:before="240"/>
        <w:rPr>
          <w:i/>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1701"/>
        <w:gridCol w:w="3119"/>
        <w:gridCol w:w="1984"/>
      </w:tblGrid>
      <w:tr w:rsidR="000760E4" w:rsidRPr="00D90DD3" w14:paraId="1BBAA303" w14:textId="77777777" w:rsidTr="00DC5ECB">
        <w:trPr>
          <w:tblHeader/>
        </w:trPr>
        <w:tc>
          <w:tcPr>
            <w:tcW w:w="2861" w:type="dxa"/>
            <w:tcBorders>
              <w:top w:val="single" w:sz="4" w:space="0" w:color="auto"/>
              <w:bottom w:val="nil"/>
            </w:tcBorders>
          </w:tcPr>
          <w:p w14:paraId="01CD261F" w14:textId="77777777" w:rsidR="000760E4" w:rsidRPr="00D90DD3" w:rsidRDefault="000760E4" w:rsidP="00DC5ECB">
            <w:pPr>
              <w:spacing w:after="120"/>
              <w:rPr>
                <w:b/>
                <w:sz w:val="23"/>
                <w:szCs w:val="23"/>
                <w:u w:val="single"/>
              </w:rPr>
            </w:pPr>
            <w:r>
              <w:rPr>
                <w:b/>
                <w:sz w:val="23"/>
                <w:szCs w:val="23"/>
                <w:u w:val="single"/>
              </w:rPr>
              <w:t>C</w:t>
            </w:r>
            <w:r w:rsidRPr="00D90DD3">
              <w:rPr>
                <w:b/>
                <w:sz w:val="23"/>
                <w:szCs w:val="23"/>
                <w:u w:val="single"/>
              </w:rPr>
              <w:t>olumn 1</w:t>
            </w:r>
          </w:p>
          <w:p w14:paraId="363C2FE1" w14:textId="77777777" w:rsidR="000760E4" w:rsidRPr="00D90DD3" w:rsidRDefault="000760E4" w:rsidP="00DC5ECB">
            <w:pPr>
              <w:spacing w:after="120"/>
              <w:rPr>
                <w:b/>
                <w:sz w:val="23"/>
                <w:szCs w:val="23"/>
              </w:rPr>
            </w:pPr>
            <w:r>
              <w:rPr>
                <w:b/>
                <w:sz w:val="23"/>
                <w:szCs w:val="23"/>
              </w:rPr>
              <w:t>Nature of s</w:t>
            </w:r>
            <w:r w:rsidRPr="00D90DD3">
              <w:rPr>
                <w:b/>
                <w:sz w:val="23"/>
                <w:szCs w:val="23"/>
              </w:rPr>
              <w:t>ervices</w:t>
            </w:r>
            <w:r>
              <w:rPr>
                <w:b/>
                <w:sz w:val="23"/>
                <w:szCs w:val="23"/>
              </w:rPr>
              <w:t xml:space="preserve"> and applications</w:t>
            </w:r>
            <w:r w:rsidRPr="00D90DD3">
              <w:rPr>
                <w:b/>
                <w:sz w:val="23"/>
                <w:szCs w:val="23"/>
              </w:rPr>
              <w:t xml:space="preserve"> for which the charge is imposed</w:t>
            </w:r>
          </w:p>
        </w:tc>
        <w:tc>
          <w:tcPr>
            <w:tcW w:w="1701" w:type="dxa"/>
            <w:tcBorders>
              <w:top w:val="single" w:sz="4" w:space="0" w:color="auto"/>
              <w:bottom w:val="nil"/>
            </w:tcBorders>
          </w:tcPr>
          <w:p w14:paraId="3E05A28F" w14:textId="77777777" w:rsidR="000760E4" w:rsidRPr="00D90DD3" w:rsidRDefault="000760E4" w:rsidP="00DC5ECB">
            <w:pPr>
              <w:spacing w:after="120"/>
              <w:rPr>
                <w:b/>
                <w:sz w:val="23"/>
                <w:szCs w:val="23"/>
                <w:u w:val="single"/>
              </w:rPr>
            </w:pPr>
            <w:r w:rsidRPr="00D90DD3">
              <w:rPr>
                <w:b/>
                <w:sz w:val="23"/>
                <w:szCs w:val="23"/>
                <w:u w:val="single"/>
              </w:rPr>
              <w:t>Column 2</w:t>
            </w:r>
          </w:p>
          <w:p w14:paraId="793A0DEE" w14:textId="77777777" w:rsidR="000760E4" w:rsidRPr="00D90DD3" w:rsidRDefault="000760E4" w:rsidP="00DC5ECB">
            <w:pPr>
              <w:rPr>
                <w:b/>
                <w:sz w:val="23"/>
                <w:szCs w:val="23"/>
              </w:rPr>
            </w:pPr>
            <w:r w:rsidRPr="00D90DD3">
              <w:rPr>
                <w:b/>
                <w:sz w:val="23"/>
                <w:szCs w:val="23"/>
              </w:rPr>
              <w:t>Amount of the charge</w:t>
            </w:r>
            <w:r>
              <w:rPr>
                <w:rStyle w:val="FootnoteReference"/>
                <w:b/>
                <w:sz w:val="23"/>
                <w:szCs w:val="23"/>
              </w:rPr>
              <w:footnoteReference w:id="1"/>
            </w:r>
            <w:r>
              <w:rPr>
                <w:b/>
                <w:sz w:val="23"/>
                <w:szCs w:val="23"/>
              </w:rPr>
              <w:t xml:space="preserve"> </w:t>
            </w:r>
            <w:r>
              <w:rPr>
                <w:rStyle w:val="FootnoteReference"/>
                <w:b/>
                <w:sz w:val="23"/>
                <w:szCs w:val="23"/>
              </w:rPr>
              <w:footnoteReference w:id="2"/>
            </w:r>
            <w:r>
              <w:rPr>
                <w:b/>
                <w:sz w:val="23"/>
                <w:szCs w:val="23"/>
              </w:rPr>
              <w:t xml:space="preserve"> </w:t>
            </w:r>
            <w:r>
              <w:rPr>
                <w:rStyle w:val="FootnoteReference"/>
                <w:b/>
                <w:sz w:val="23"/>
                <w:szCs w:val="23"/>
              </w:rPr>
              <w:footnoteReference w:id="3"/>
            </w:r>
          </w:p>
        </w:tc>
        <w:tc>
          <w:tcPr>
            <w:tcW w:w="3119" w:type="dxa"/>
            <w:tcBorders>
              <w:top w:val="single" w:sz="4" w:space="0" w:color="auto"/>
              <w:bottom w:val="nil"/>
            </w:tcBorders>
          </w:tcPr>
          <w:p w14:paraId="43355653" w14:textId="77777777" w:rsidR="000760E4" w:rsidRPr="00D90DD3" w:rsidRDefault="000760E4" w:rsidP="00DC5ECB">
            <w:pPr>
              <w:spacing w:after="120"/>
              <w:rPr>
                <w:b/>
                <w:sz w:val="23"/>
                <w:szCs w:val="23"/>
                <w:u w:val="single"/>
              </w:rPr>
            </w:pPr>
            <w:r w:rsidRPr="00D90DD3">
              <w:rPr>
                <w:b/>
                <w:sz w:val="23"/>
                <w:szCs w:val="23"/>
                <w:u w:val="single"/>
              </w:rPr>
              <w:t>Column 3</w:t>
            </w:r>
          </w:p>
          <w:p w14:paraId="703D9986" w14:textId="77777777" w:rsidR="000760E4" w:rsidRPr="00D90DD3" w:rsidRDefault="000760E4" w:rsidP="00DC5ECB">
            <w:pPr>
              <w:rPr>
                <w:b/>
                <w:sz w:val="23"/>
                <w:szCs w:val="23"/>
              </w:rPr>
            </w:pPr>
            <w:r w:rsidRPr="00D90DD3">
              <w:rPr>
                <w:b/>
                <w:sz w:val="23"/>
                <w:szCs w:val="23"/>
              </w:rPr>
              <w:t>Person required to pay the charge</w:t>
            </w:r>
          </w:p>
        </w:tc>
        <w:tc>
          <w:tcPr>
            <w:tcW w:w="1984" w:type="dxa"/>
            <w:tcBorders>
              <w:top w:val="single" w:sz="4" w:space="0" w:color="auto"/>
              <w:bottom w:val="single" w:sz="4" w:space="0" w:color="auto"/>
              <w:right w:val="single" w:sz="4" w:space="0" w:color="auto"/>
            </w:tcBorders>
            <w:shd w:val="clear" w:color="auto" w:fill="auto"/>
          </w:tcPr>
          <w:p w14:paraId="06378EB0" w14:textId="77777777" w:rsidR="000760E4" w:rsidRPr="00D90DD3" w:rsidRDefault="000760E4" w:rsidP="00DC5ECB">
            <w:pPr>
              <w:rPr>
                <w:b/>
                <w:sz w:val="23"/>
                <w:szCs w:val="23"/>
                <w:u w:val="single"/>
              </w:rPr>
            </w:pPr>
            <w:r w:rsidRPr="00D90DD3">
              <w:rPr>
                <w:b/>
                <w:sz w:val="23"/>
                <w:szCs w:val="23"/>
                <w:u w:val="single"/>
              </w:rPr>
              <w:t>Column 4</w:t>
            </w:r>
          </w:p>
          <w:p w14:paraId="1C69A3B9" w14:textId="77777777" w:rsidR="000760E4" w:rsidRPr="00D90DD3" w:rsidRDefault="000760E4" w:rsidP="00DC5ECB">
            <w:pPr>
              <w:spacing w:before="120"/>
              <w:rPr>
                <w:b/>
                <w:sz w:val="23"/>
                <w:szCs w:val="23"/>
              </w:rPr>
            </w:pPr>
            <w:r w:rsidRPr="00D90DD3">
              <w:rPr>
                <w:b/>
                <w:sz w:val="23"/>
                <w:szCs w:val="23"/>
              </w:rPr>
              <w:t>When the charge is to be paid</w:t>
            </w:r>
          </w:p>
        </w:tc>
      </w:tr>
      <w:tr w:rsidR="000760E4" w:rsidRPr="009C588F" w14:paraId="303B72F2" w14:textId="77777777" w:rsidTr="00CE0A08">
        <w:trPr>
          <w:trHeight w:val="285"/>
          <w:tblHeader/>
        </w:trPr>
        <w:tc>
          <w:tcPr>
            <w:tcW w:w="2861" w:type="dxa"/>
            <w:vMerge w:val="restart"/>
            <w:tcBorders>
              <w:top w:val="single" w:sz="6" w:space="0" w:color="auto"/>
            </w:tcBorders>
          </w:tcPr>
          <w:p w14:paraId="620C6369" w14:textId="77777777" w:rsidR="000760E4" w:rsidRDefault="000760E4" w:rsidP="00DC5ECB">
            <w:pPr>
              <w:spacing w:before="120"/>
              <w:rPr>
                <w:sz w:val="23"/>
                <w:szCs w:val="23"/>
              </w:rPr>
            </w:pPr>
            <w:r>
              <w:rPr>
                <w:sz w:val="23"/>
                <w:szCs w:val="23"/>
              </w:rPr>
              <w:t xml:space="preserve">Review of applications made to APRA under Attachment A, paragraph 17 of </w:t>
            </w:r>
            <w:r>
              <w:rPr>
                <w:i/>
                <w:sz w:val="23"/>
                <w:szCs w:val="23"/>
              </w:rPr>
              <w:t>Prudential Standard APS 210 – Liquidity</w:t>
            </w:r>
            <w:r>
              <w:rPr>
                <w:sz w:val="23"/>
                <w:szCs w:val="23"/>
              </w:rPr>
              <w:t xml:space="preserve"> made under subsection 11AF(1) of the </w:t>
            </w:r>
            <w:r>
              <w:rPr>
                <w:i/>
                <w:sz w:val="23"/>
                <w:szCs w:val="23"/>
              </w:rPr>
              <w:t>Banking Act 1959</w:t>
            </w:r>
            <w:r>
              <w:rPr>
                <w:sz w:val="23"/>
                <w:szCs w:val="23"/>
              </w:rPr>
              <w:t xml:space="preserve"> and assessment and determination of appropriate size of Committed Liquidity Facility (CLF) sought by ADIs and offered by the RBA.</w:t>
            </w:r>
          </w:p>
        </w:tc>
        <w:tc>
          <w:tcPr>
            <w:tcW w:w="1701" w:type="dxa"/>
            <w:tcBorders>
              <w:top w:val="single" w:sz="6" w:space="0" w:color="auto"/>
              <w:bottom w:val="single" w:sz="6" w:space="0" w:color="auto"/>
            </w:tcBorders>
          </w:tcPr>
          <w:p w14:paraId="104E8B43" w14:textId="77777777" w:rsidR="000760E4" w:rsidRDefault="000760E4" w:rsidP="00DC5ECB">
            <w:pPr>
              <w:spacing w:before="120" w:after="60"/>
              <w:rPr>
                <w:sz w:val="23"/>
                <w:szCs w:val="23"/>
              </w:rPr>
            </w:pPr>
            <w:r>
              <w:rPr>
                <w:sz w:val="23"/>
                <w:szCs w:val="23"/>
              </w:rPr>
              <w:t>$11,000</w:t>
            </w:r>
          </w:p>
        </w:tc>
        <w:tc>
          <w:tcPr>
            <w:tcW w:w="3119" w:type="dxa"/>
            <w:tcBorders>
              <w:top w:val="single" w:sz="6" w:space="0" w:color="auto"/>
              <w:bottom w:val="single" w:sz="6" w:space="0" w:color="auto"/>
            </w:tcBorders>
          </w:tcPr>
          <w:p w14:paraId="30415432" w14:textId="77777777" w:rsidR="000760E4" w:rsidRDefault="000760E4" w:rsidP="00DC5ECB">
            <w:pPr>
              <w:pStyle w:val="Header"/>
              <w:numPr>
                <w:ilvl w:val="0"/>
                <w:numId w:val="6"/>
              </w:numPr>
              <w:tabs>
                <w:tab w:val="clear" w:pos="4153"/>
                <w:tab w:val="clear" w:pos="8306"/>
                <w:tab w:val="left" w:pos="0"/>
                <w:tab w:val="num" w:pos="317"/>
              </w:tabs>
              <w:spacing w:before="120" w:after="60"/>
              <w:ind w:left="284" w:hanging="284"/>
              <w:rPr>
                <w:sz w:val="23"/>
                <w:szCs w:val="23"/>
              </w:rPr>
            </w:pPr>
            <w:r>
              <w:rPr>
                <w:sz w:val="23"/>
                <w:szCs w:val="23"/>
              </w:rPr>
              <w:t xml:space="preserve">Payable by ADIs where the number of APRA days assessing the size of the CLF that may be recognised for LCR purposes is estimated to be “10 or less” </w:t>
            </w:r>
          </w:p>
        </w:tc>
        <w:tc>
          <w:tcPr>
            <w:tcW w:w="1984" w:type="dxa"/>
            <w:vMerge w:val="restart"/>
            <w:tcBorders>
              <w:top w:val="single" w:sz="4" w:space="0" w:color="auto"/>
              <w:right w:val="single" w:sz="4" w:space="0" w:color="auto"/>
            </w:tcBorders>
            <w:shd w:val="clear" w:color="auto" w:fill="auto"/>
          </w:tcPr>
          <w:p w14:paraId="5547C73F" w14:textId="77777777" w:rsidR="000760E4" w:rsidRPr="009C588F" w:rsidRDefault="000760E4" w:rsidP="00DC5ECB">
            <w:pPr>
              <w:spacing w:before="120"/>
              <w:rPr>
                <w:sz w:val="23"/>
                <w:szCs w:val="23"/>
              </w:rPr>
            </w:pPr>
            <w:r w:rsidRPr="009C588F">
              <w:rPr>
                <w:sz w:val="23"/>
                <w:szCs w:val="23"/>
              </w:rPr>
              <w:t>14 days after receipt of APRA’s invoice for the charge.</w:t>
            </w:r>
          </w:p>
          <w:p w14:paraId="3DB3A7DC" w14:textId="77777777" w:rsidR="000760E4" w:rsidRPr="009C588F" w:rsidRDefault="000760E4" w:rsidP="00DC5ECB">
            <w:pPr>
              <w:spacing w:before="120"/>
              <w:rPr>
                <w:sz w:val="23"/>
                <w:szCs w:val="23"/>
              </w:rPr>
            </w:pPr>
            <w:r w:rsidRPr="009C588F">
              <w:rPr>
                <w:sz w:val="23"/>
                <w:szCs w:val="23"/>
              </w:rPr>
              <w:t>The invoice may be issued at any time after this instrument</w:t>
            </w:r>
            <w:r>
              <w:rPr>
                <w:sz w:val="23"/>
                <w:szCs w:val="23"/>
              </w:rPr>
              <w:t xml:space="preserve"> commences</w:t>
            </w:r>
            <w:r w:rsidRPr="009C588F">
              <w:rPr>
                <w:sz w:val="23"/>
                <w:szCs w:val="23"/>
              </w:rPr>
              <w:t>.</w:t>
            </w:r>
          </w:p>
        </w:tc>
      </w:tr>
      <w:tr w:rsidR="000760E4" w:rsidRPr="009C588F" w14:paraId="01AF3081" w14:textId="77777777" w:rsidTr="00CE0A08">
        <w:trPr>
          <w:trHeight w:val="285"/>
          <w:tblHeader/>
        </w:trPr>
        <w:tc>
          <w:tcPr>
            <w:tcW w:w="2861" w:type="dxa"/>
            <w:vMerge/>
          </w:tcPr>
          <w:p w14:paraId="0AC6B170" w14:textId="77777777" w:rsidR="000760E4" w:rsidRDefault="000760E4" w:rsidP="000760E4">
            <w:pPr>
              <w:spacing w:before="120"/>
              <w:rPr>
                <w:sz w:val="23"/>
                <w:szCs w:val="23"/>
              </w:rPr>
            </w:pPr>
          </w:p>
        </w:tc>
        <w:tc>
          <w:tcPr>
            <w:tcW w:w="1701" w:type="dxa"/>
            <w:tcBorders>
              <w:top w:val="single" w:sz="6" w:space="0" w:color="auto"/>
              <w:bottom w:val="single" w:sz="6" w:space="0" w:color="auto"/>
            </w:tcBorders>
          </w:tcPr>
          <w:p w14:paraId="0391C5DF" w14:textId="08E4EE07" w:rsidR="000760E4" w:rsidRDefault="000760E4" w:rsidP="000760E4">
            <w:pPr>
              <w:spacing w:before="120" w:after="60"/>
              <w:rPr>
                <w:sz w:val="23"/>
                <w:szCs w:val="23"/>
              </w:rPr>
            </w:pPr>
            <w:r>
              <w:rPr>
                <w:sz w:val="23"/>
                <w:szCs w:val="23"/>
              </w:rPr>
              <w:t>$16,500</w:t>
            </w:r>
          </w:p>
        </w:tc>
        <w:tc>
          <w:tcPr>
            <w:tcW w:w="3119" w:type="dxa"/>
            <w:tcBorders>
              <w:top w:val="single" w:sz="6" w:space="0" w:color="auto"/>
              <w:bottom w:val="single" w:sz="6" w:space="0" w:color="auto"/>
            </w:tcBorders>
          </w:tcPr>
          <w:p w14:paraId="0A60A7A0" w14:textId="518C4202" w:rsidR="000760E4" w:rsidRDefault="000760E4" w:rsidP="00AC7F99">
            <w:pPr>
              <w:pStyle w:val="Header"/>
              <w:numPr>
                <w:ilvl w:val="0"/>
                <w:numId w:val="6"/>
              </w:numPr>
              <w:tabs>
                <w:tab w:val="clear" w:pos="502"/>
                <w:tab w:val="clear" w:pos="4153"/>
                <w:tab w:val="clear" w:pos="8306"/>
                <w:tab w:val="left" w:pos="0"/>
              </w:tabs>
              <w:spacing w:before="120" w:after="60"/>
              <w:ind w:left="317"/>
              <w:rPr>
                <w:sz w:val="23"/>
                <w:szCs w:val="23"/>
              </w:rPr>
            </w:pPr>
            <w:r>
              <w:rPr>
                <w:sz w:val="23"/>
                <w:szCs w:val="23"/>
              </w:rPr>
              <w:t>Payable by ADIs where the number of APRA days assessing the size of the CLF that may be recognised for LCR purposes is estimated to be “between 11 and 15 (inclusive)”</w:t>
            </w:r>
          </w:p>
        </w:tc>
        <w:tc>
          <w:tcPr>
            <w:tcW w:w="1984" w:type="dxa"/>
            <w:vMerge/>
            <w:tcBorders>
              <w:right w:val="single" w:sz="4" w:space="0" w:color="auto"/>
            </w:tcBorders>
            <w:shd w:val="clear" w:color="auto" w:fill="auto"/>
          </w:tcPr>
          <w:p w14:paraId="390B4DA9" w14:textId="77777777" w:rsidR="000760E4" w:rsidRPr="009C588F" w:rsidRDefault="000760E4" w:rsidP="000760E4">
            <w:pPr>
              <w:spacing w:before="120"/>
              <w:rPr>
                <w:sz w:val="23"/>
                <w:szCs w:val="23"/>
              </w:rPr>
            </w:pPr>
          </w:p>
        </w:tc>
      </w:tr>
      <w:tr w:rsidR="000760E4" w:rsidRPr="009C588F" w14:paraId="776E7C85" w14:textId="77777777" w:rsidTr="00CE0A08">
        <w:trPr>
          <w:trHeight w:val="285"/>
          <w:tblHeader/>
        </w:trPr>
        <w:tc>
          <w:tcPr>
            <w:tcW w:w="2861" w:type="dxa"/>
            <w:vMerge/>
          </w:tcPr>
          <w:p w14:paraId="4289352B" w14:textId="77777777" w:rsidR="000760E4" w:rsidRDefault="000760E4" w:rsidP="000760E4">
            <w:pPr>
              <w:spacing w:before="120"/>
              <w:rPr>
                <w:sz w:val="23"/>
                <w:szCs w:val="23"/>
              </w:rPr>
            </w:pPr>
          </w:p>
        </w:tc>
        <w:tc>
          <w:tcPr>
            <w:tcW w:w="1701" w:type="dxa"/>
            <w:tcBorders>
              <w:top w:val="single" w:sz="6" w:space="0" w:color="auto"/>
              <w:bottom w:val="single" w:sz="6" w:space="0" w:color="auto"/>
            </w:tcBorders>
          </w:tcPr>
          <w:p w14:paraId="24C98784" w14:textId="0CCD1ACD" w:rsidR="000760E4" w:rsidRDefault="000760E4" w:rsidP="000760E4">
            <w:pPr>
              <w:spacing w:before="120" w:after="60"/>
              <w:rPr>
                <w:sz w:val="23"/>
                <w:szCs w:val="23"/>
              </w:rPr>
            </w:pPr>
            <w:r>
              <w:rPr>
                <w:sz w:val="23"/>
                <w:szCs w:val="23"/>
              </w:rPr>
              <w:t>$33,000</w:t>
            </w:r>
          </w:p>
        </w:tc>
        <w:tc>
          <w:tcPr>
            <w:tcW w:w="3119" w:type="dxa"/>
            <w:tcBorders>
              <w:top w:val="single" w:sz="6" w:space="0" w:color="auto"/>
              <w:bottom w:val="single" w:sz="6" w:space="0" w:color="auto"/>
            </w:tcBorders>
          </w:tcPr>
          <w:p w14:paraId="6260A513" w14:textId="3389D64F" w:rsidR="000760E4" w:rsidRDefault="000760E4" w:rsidP="00AC7F99">
            <w:pPr>
              <w:pStyle w:val="Header"/>
              <w:numPr>
                <w:ilvl w:val="0"/>
                <w:numId w:val="6"/>
              </w:numPr>
              <w:tabs>
                <w:tab w:val="clear" w:pos="502"/>
                <w:tab w:val="clear" w:pos="4153"/>
                <w:tab w:val="clear" w:pos="8306"/>
                <w:tab w:val="left" w:pos="0"/>
              </w:tabs>
              <w:spacing w:before="120" w:after="60"/>
              <w:ind w:left="317"/>
              <w:rPr>
                <w:sz w:val="23"/>
                <w:szCs w:val="23"/>
              </w:rPr>
            </w:pPr>
            <w:r>
              <w:rPr>
                <w:sz w:val="23"/>
                <w:szCs w:val="23"/>
              </w:rPr>
              <w:t>Payable by ADIs where the number of APRA days assessing the size of the CLF that may be recognised for LCR purposes is estimated to be “between 16 and 30 (inclusive)”</w:t>
            </w:r>
          </w:p>
        </w:tc>
        <w:tc>
          <w:tcPr>
            <w:tcW w:w="1984" w:type="dxa"/>
            <w:vMerge/>
            <w:tcBorders>
              <w:right w:val="single" w:sz="4" w:space="0" w:color="auto"/>
            </w:tcBorders>
            <w:shd w:val="clear" w:color="auto" w:fill="auto"/>
          </w:tcPr>
          <w:p w14:paraId="30A9A6BD" w14:textId="77777777" w:rsidR="000760E4" w:rsidRPr="009C588F" w:rsidRDefault="000760E4" w:rsidP="000760E4">
            <w:pPr>
              <w:spacing w:before="120"/>
              <w:rPr>
                <w:sz w:val="23"/>
                <w:szCs w:val="23"/>
              </w:rPr>
            </w:pPr>
          </w:p>
        </w:tc>
      </w:tr>
      <w:tr w:rsidR="000760E4" w:rsidRPr="009C588F" w14:paraId="75778D90" w14:textId="77777777" w:rsidTr="00CE0A08">
        <w:trPr>
          <w:trHeight w:val="285"/>
          <w:tblHeader/>
        </w:trPr>
        <w:tc>
          <w:tcPr>
            <w:tcW w:w="2861" w:type="dxa"/>
            <w:vMerge/>
            <w:tcBorders>
              <w:bottom w:val="single" w:sz="6" w:space="0" w:color="auto"/>
            </w:tcBorders>
          </w:tcPr>
          <w:p w14:paraId="314EA281" w14:textId="77777777" w:rsidR="000760E4" w:rsidRDefault="000760E4" w:rsidP="000760E4">
            <w:pPr>
              <w:spacing w:before="120"/>
              <w:rPr>
                <w:sz w:val="23"/>
                <w:szCs w:val="23"/>
              </w:rPr>
            </w:pPr>
          </w:p>
        </w:tc>
        <w:tc>
          <w:tcPr>
            <w:tcW w:w="1701" w:type="dxa"/>
            <w:tcBorders>
              <w:top w:val="single" w:sz="6" w:space="0" w:color="auto"/>
              <w:bottom w:val="single" w:sz="6" w:space="0" w:color="auto"/>
            </w:tcBorders>
          </w:tcPr>
          <w:p w14:paraId="30BCFF43" w14:textId="49EF5224" w:rsidR="000760E4" w:rsidRDefault="000760E4" w:rsidP="000760E4">
            <w:pPr>
              <w:spacing w:before="120" w:after="60"/>
              <w:rPr>
                <w:sz w:val="23"/>
                <w:szCs w:val="23"/>
              </w:rPr>
            </w:pPr>
            <w:r>
              <w:rPr>
                <w:sz w:val="23"/>
                <w:szCs w:val="23"/>
              </w:rPr>
              <w:t>$88,000</w:t>
            </w:r>
          </w:p>
        </w:tc>
        <w:tc>
          <w:tcPr>
            <w:tcW w:w="3119" w:type="dxa"/>
            <w:tcBorders>
              <w:top w:val="single" w:sz="6" w:space="0" w:color="auto"/>
              <w:bottom w:val="single" w:sz="6" w:space="0" w:color="auto"/>
            </w:tcBorders>
          </w:tcPr>
          <w:p w14:paraId="5D99835B" w14:textId="7D2F06D1" w:rsidR="000760E4" w:rsidRDefault="000760E4" w:rsidP="00AC7F99">
            <w:pPr>
              <w:pStyle w:val="Header"/>
              <w:numPr>
                <w:ilvl w:val="0"/>
                <w:numId w:val="6"/>
              </w:numPr>
              <w:tabs>
                <w:tab w:val="clear" w:pos="502"/>
                <w:tab w:val="clear" w:pos="4153"/>
                <w:tab w:val="clear" w:pos="8306"/>
                <w:tab w:val="left" w:pos="0"/>
              </w:tabs>
              <w:spacing w:before="120" w:after="60"/>
              <w:ind w:left="317"/>
              <w:rPr>
                <w:sz w:val="23"/>
                <w:szCs w:val="23"/>
              </w:rPr>
            </w:pPr>
            <w:r>
              <w:rPr>
                <w:sz w:val="23"/>
                <w:szCs w:val="23"/>
              </w:rPr>
              <w:t>Payable by ADIs where the number of APRA days assessing the size of the CLF that may be recognised for LCR purposes is estimated to be “between 31 and 80 (inclusive)”</w:t>
            </w:r>
          </w:p>
        </w:tc>
        <w:tc>
          <w:tcPr>
            <w:tcW w:w="1984" w:type="dxa"/>
            <w:vMerge/>
            <w:tcBorders>
              <w:bottom w:val="single" w:sz="4" w:space="0" w:color="auto"/>
              <w:right w:val="single" w:sz="4" w:space="0" w:color="auto"/>
            </w:tcBorders>
            <w:shd w:val="clear" w:color="auto" w:fill="auto"/>
          </w:tcPr>
          <w:p w14:paraId="655127FA" w14:textId="77777777" w:rsidR="000760E4" w:rsidRPr="009C588F" w:rsidRDefault="000760E4" w:rsidP="000760E4">
            <w:pPr>
              <w:spacing w:before="120"/>
              <w:rPr>
                <w:sz w:val="23"/>
                <w:szCs w:val="23"/>
              </w:rPr>
            </w:pPr>
          </w:p>
        </w:tc>
      </w:tr>
    </w:tbl>
    <w:p w14:paraId="38C4BD0A" w14:textId="77777777" w:rsidR="000760E4" w:rsidRDefault="000760E4" w:rsidP="000760E4">
      <w:pPr>
        <w:spacing w:before="240"/>
      </w:pPr>
    </w:p>
    <w:p w14:paraId="6475DA2C" w14:textId="77777777" w:rsidR="000760E4" w:rsidRDefault="000760E4">
      <w:r>
        <w:br w:type="page"/>
      </w:r>
    </w:p>
    <w:p w14:paraId="72D0B514" w14:textId="6E94FB34" w:rsidR="000760E4" w:rsidRDefault="000760E4" w:rsidP="000760E4">
      <w:pPr>
        <w:spacing w:before="240"/>
        <w:rPr>
          <w:i/>
          <w:u w:val="single"/>
        </w:rPr>
      </w:pPr>
      <w:r w:rsidRPr="00132C28">
        <w:rPr>
          <w:u w:val="single"/>
        </w:rPr>
        <w:lastRenderedPageBreak/>
        <w:t xml:space="preserve">Review of applications made to APRA under Attachment </w:t>
      </w:r>
      <w:proofErr w:type="gramStart"/>
      <w:r w:rsidRPr="00132C28">
        <w:rPr>
          <w:u w:val="single"/>
        </w:rPr>
        <w:t>A</w:t>
      </w:r>
      <w:proofErr w:type="gramEnd"/>
      <w:r w:rsidRPr="00132C28">
        <w:rPr>
          <w:u w:val="single"/>
        </w:rPr>
        <w:t xml:space="preserve">, paragraph 19 of </w:t>
      </w:r>
      <w:r w:rsidRPr="00132C28">
        <w:rPr>
          <w:i/>
          <w:u w:val="single"/>
        </w:rPr>
        <w:t>Prudential Standard APS 210 – Liquidity</w:t>
      </w:r>
    </w:p>
    <w:p w14:paraId="3E151154" w14:textId="77777777" w:rsidR="007228B9" w:rsidRDefault="007228B9" w:rsidP="000760E4">
      <w:pPr>
        <w:spacing w:before="240"/>
        <w:rPr>
          <w:i/>
          <w:u w:val="single"/>
        </w:rPr>
      </w:pP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1"/>
        <w:gridCol w:w="1701"/>
        <w:gridCol w:w="3119"/>
        <w:gridCol w:w="1984"/>
      </w:tblGrid>
      <w:tr w:rsidR="007228B9" w:rsidRPr="00D90DD3" w14:paraId="5059851A" w14:textId="77777777" w:rsidTr="00DC5ECB">
        <w:trPr>
          <w:tblHeader/>
        </w:trPr>
        <w:tc>
          <w:tcPr>
            <w:tcW w:w="2861" w:type="dxa"/>
            <w:tcBorders>
              <w:top w:val="single" w:sz="4" w:space="0" w:color="auto"/>
              <w:bottom w:val="nil"/>
            </w:tcBorders>
          </w:tcPr>
          <w:p w14:paraId="7168C202" w14:textId="77777777" w:rsidR="007228B9" w:rsidRPr="00D90DD3" w:rsidRDefault="007228B9" w:rsidP="00DC5ECB">
            <w:pPr>
              <w:spacing w:after="120"/>
              <w:rPr>
                <w:b/>
                <w:sz w:val="23"/>
                <w:szCs w:val="23"/>
                <w:u w:val="single"/>
              </w:rPr>
            </w:pPr>
            <w:r>
              <w:rPr>
                <w:b/>
                <w:sz w:val="23"/>
                <w:szCs w:val="23"/>
                <w:u w:val="single"/>
              </w:rPr>
              <w:t>C</w:t>
            </w:r>
            <w:r w:rsidRPr="00D90DD3">
              <w:rPr>
                <w:b/>
                <w:sz w:val="23"/>
                <w:szCs w:val="23"/>
                <w:u w:val="single"/>
              </w:rPr>
              <w:t>olumn 1</w:t>
            </w:r>
          </w:p>
          <w:p w14:paraId="5AE7BBEA" w14:textId="77777777" w:rsidR="007228B9" w:rsidRPr="00D90DD3" w:rsidRDefault="007228B9" w:rsidP="00DC5ECB">
            <w:pPr>
              <w:spacing w:after="120"/>
              <w:rPr>
                <w:b/>
                <w:sz w:val="23"/>
                <w:szCs w:val="23"/>
              </w:rPr>
            </w:pPr>
            <w:r>
              <w:rPr>
                <w:b/>
                <w:sz w:val="23"/>
                <w:szCs w:val="23"/>
              </w:rPr>
              <w:t>Nature of s</w:t>
            </w:r>
            <w:r w:rsidRPr="00D90DD3">
              <w:rPr>
                <w:b/>
                <w:sz w:val="23"/>
                <w:szCs w:val="23"/>
              </w:rPr>
              <w:t>ervices</w:t>
            </w:r>
            <w:r>
              <w:rPr>
                <w:b/>
                <w:sz w:val="23"/>
                <w:szCs w:val="23"/>
              </w:rPr>
              <w:t xml:space="preserve"> and applications</w:t>
            </w:r>
            <w:r w:rsidRPr="00D90DD3">
              <w:rPr>
                <w:b/>
                <w:sz w:val="23"/>
                <w:szCs w:val="23"/>
              </w:rPr>
              <w:t xml:space="preserve"> for which the charge is imposed</w:t>
            </w:r>
          </w:p>
        </w:tc>
        <w:tc>
          <w:tcPr>
            <w:tcW w:w="1701" w:type="dxa"/>
            <w:tcBorders>
              <w:top w:val="single" w:sz="4" w:space="0" w:color="auto"/>
              <w:bottom w:val="nil"/>
            </w:tcBorders>
          </w:tcPr>
          <w:p w14:paraId="0720DD26" w14:textId="77777777" w:rsidR="007228B9" w:rsidRPr="00D90DD3" w:rsidRDefault="007228B9" w:rsidP="00DC5ECB">
            <w:pPr>
              <w:spacing w:after="120"/>
              <w:rPr>
                <w:b/>
                <w:sz w:val="23"/>
                <w:szCs w:val="23"/>
                <w:u w:val="single"/>
              </w:rPr>
            </w:pPr>
            <w:r w:rsidRPr="00D90DD3">
              <w:rPr>
                <w:b/>
                <w:sz w:val="23"/>
                <w:szCs w:val="23"/>
                <w:u w:val="single"/>
              </w:rPr>
              <w:t>Column 2</w:t>
            </w:r>
          </w:p>
          <w:p w14:paraId="12D0A5D1" w14:textId="77777777" w:rsidR="007228B9" w:rsidRPr="00D90DD3" w:rsidRDefault="007228B9" w:rsidP="00DC5ECB">
            <w:pPr>
              <w:rPr>
                <w:b/>
                <w:sz w:val="23"/>
                <w:szCs w:val="23"/>
              </w:rPr>
            </w:pPr>
            <w:r w:rsidRPr="00D90DD3">
              <w:rPr>
                <w:b/>
                <w:sz w:val="23"/>
                <w:szCs w:val="23"/>
              </w:rPr>
              <w:t>Amount of the charge</w:t>
            </w:r>
            <w:r>
              <w:rPr>
                <w:rStyle w:val="FootnoteReference"/>
                <w:b/>
                <w:sz w:val="23"/>
                <w:szCs w:val="23"/>
              </w:rPr>
              <w:footnoteReference w:id="4"/>
            </w:r>
            <w:r>
              <w:rPr>
                <w:b/>
                <w:sz w:val="23"/>
                <w:szCs w:val="23"/>
              </w:rPr>
              <w:t xml:space="preserve"> </w:t>
            </w:r>
            <w:r>
              <w:rPr>
                <w:rStyle w:val="FootnoteReference"/>
                <w:b/>
                <w:sz w:val="23"/>
                <w:szCs w:val="23"/>
              </w:rPr>
              <w:footnoteReference w:id="5"/>
            </w:r>
            <w:r>
              <w:rPr>
                <w:b/>
                <w:sz w:val="23"/>
                <w:szCs w:val="23"/>
              </w:rPr>
              <w:t xml:space="preserve"> </w:t>
            </w:r>
            <w:r>
              <w:rPr>
                <w:rStyle w:val="FootnoteReference"/>
                <w:b/>
                <w:sz w:val="23"/>
                <w:szCs w:val="23"/>
              </w:rPr>
              <w:footnoteReference w:id="6"/>
            </w:r>
          </w:p>
        </w:tc>
        <w:tc>
          <w:tcPr>
            <w:tcW w:w="3119" w:type="dxa"/>
            <w:tcBorders>
              <w:top w:val="single" w:sz="4" w:space="0" w:color="auto"/>
              <w:bottom w:val="nil"/>
            </w:tcBorders>
          </w:tcPr>
          <w:p w14:paraId="69760071" w14:textId="77777777" w:rsidR="007228B9" w:rsidRPr="00D90DD3" w:rsidRDefault="007228B9" w:rsidP="00DC5ECB">
            <w:pPr>
              <w:spacing w:after="120"/>
              <w:rPr>
                <w:b/>
                <w:sz w:val="23"/>
                <w:szCs w:val="23"/>
                <w:u w:val="single"/>
              </w:rPr>
            </w:pPr>
            <w:r w:rsidRPr="00D90DD3">
              <w:rPr>
                <w:b/>
                <w:sz w:val="23"/>
                <w:szCs w:val="23"/>
                <w:u w:val="single"/>
              </w:rPr>
              <w:t>Column 3</w:t>
            </w:r>
          </w:p>
          <w:p w14:paraId="6EFBCDC2" w14:textId="77777777" w:rsidR="007228B9" w:rsidRPr="00D90DD3" w:rsidRDefault="007228B9" w:rsidP="00DC5ECB">
            <w:pPr>
              <w:rPr>
                <w:b/>
                <w:sz w:val="23"/>
                <w:szCs w:val="23"/>
              </w:rPr>
            </w:pPr>
            <w:r w:rsidRPr="00D90DD3">
              <w:rPr>
                <w:b/>
                <w:sz w:val="23"/>
                <w:szCs w:val="23"/>
              </w:rPr>
              <w:t>Person required to pay the charge</w:t>
            </w:r>
          </w:p>
        </w:tc>
        <w:tc>
          <w:tcPr>
            <w:tcW w:w="1984" w:type="dxa"/>
            <w:tcBorders>
              <w:top w:val="single" w:sz="4" w:space="0" w:color="auto"/>
              <w:bottom w:val="single" w:sz="4" w:space="0" w:color="auto"/>
              <w:right w:val="single" w:sz="4" w:space="0" w:color="auto"/>
            </w:tcBorders>
            <w:shd w:val="clear" w:color="auto" w:fill="auto"/>
          </w:tcPr>
          <w:p w14:paraId="4D117C18" w14:textId="77777777" w:rsidR="007228B9" w:rsidRPr="00D90DD3" w:rsidRDefault="007228B9" w:rsidP="00DC5ECB">
            <w:pPr>
              <w:rPr>
                <w:b/>
                <w:sz w:val="23"/>
                <w:szCs w:val="23"/>
                <w:u w:val="single"/>
              </w:rPr>
            </w:pPr>
            <w:r w:rsidRPr="00D90DD3">
              <w:rPr>
                <w:b/>
                <w:sz w:val="23"/>
                <w:szCs w:val="23"/>
                <w:u w:val="single"/>
              </w:rPr>
              <w:t>Column 4</w:t>
            </w:r>
          </w:p>
          <w:p w14:paraId="32D27EDC" w14:textId="77777777" w:rsidR="007228B9" w:rsidRPr="00D90DD3" w:rsidRDefault="007228B9" w:rsidP="00DC5ECB">
            <w:pPr>
              <w:spacing w:before="120"/>
              <w:rPr>
                <w:b/>
                <w:sz w:val="23"/>
                <w:szCs w:val="23"/>
              </w:rPr>
            </w:pPr>
            <w:r w:rsidRPr="00D90DD3">
              <w:rPr>
                <w:b/>
                <w:sz w:val="23"/>
                <w:szCs w:val="23"/>
              </w:rPr>
              <w:t>When the charge is to be paid</w:t>
            </w:r>
          </w:p>
        </w:tc>
      </w:tr>
      <w:tr w:rsidR="007228B9" w:rsidRPr="009C588F" w14:paraId="550723A5" w14:textId="77777777" w:rsidTr="00DC5ECB">
        <w:trPr>
          <w:trHeight w:val="285"/>
          <w:tblHeader/>
        </w:trPr>
        <w:tc>
          <w:tcPr>
            <w:tcW w:w="2861" w:type="dxa"/>
            <w:vMerge w:val="restart"/>
            <w:tcBorders>
              <w:top w:val="single" w:sz="6" w:space="0" w:color="auto"/>
            </w:tcBorders>
          </w:tcPr>
          <w:p w14:paraId="155425B7" w14:textId="334B1A73" w:rsidR="007228B9" w:rsidRDefault="007228B9" w:rsidP="00DC5ECB">
            <w:pPr>
              <w:spacing w:before="120"/>
              <w:rPr>
                <w:sz w:val="23"/>
                <w:szCs w:val="23"/>
              </w:rPr>
            </w:pPr>
            <w:r>
              <w:rPr>
                <w:sz w:val="23"/>
                <w:szCs w:val="23"/>
              </w:rPr>
              <w:t xml:space="preserve">Review of applications made to APRA under Attachment A, paragraph 19 of </w:t>
            </w:r>
            <w:r>
              <w:rPr>
                <w:i/>
                <w:sz w:val="23"/>
                <w:szCs w:val="23"/>
              </w:rPr>
              <w:t>Prudential Standard APS 210 – Liquidity</w:t>
            </w:r>
            <w:r>
              <w:rPr>
                <w:sz w:val="23"/>
                <w:szCs w:val="23"/>
              </w:rPr>
              <w:t xml:space="preserve"> made under subsection 11AF(1) of the </w:t>
            </w:r>
            <w:r>
              <w:rPr>
                <w:i/>
                <w:sz w:val="23"/>
                <w:szCs w:val="23"/>
              </w:rPr>
              <w:t>Banking Act 1959</w:t>
            </w:r>
            <w:r>
              <w:rPr>
                <w:sz w:val="23"/>
                <w:szCs w:val="23"/>
              </w:rPr>
              <w:t xml:space="preserve"> and assessment and determination of appropriate size of Committed Liquidity Facility (CLF) sought by ADIs and offered by the RBA.</w:t>
            </w:r>
          </w:p>
        </w:tc>
        <w:tc>
          <w:tcPr>
            <w:tcW w:w="1701" w:type="dxa"/>
            <w:tcBorders>
              <w:top w:val="single" w:sz="6" w:space="0" w:color="auto"/>
              <w:bottom w:val="single" w:sz="6" w:space="0" w:color="auto"/>
            </w:tcBorders>
          </w:tcPr>
          <w:p w14:paraId="5837AD34" w14:textId="77777777" w:rsidR="007228B9" w:rsidRDefault="007228B9" w:rsidP="00DC5ECB">
            <w:pPr>
              <w:spacing w:before="120" w:after="60"/>
              <w:rPr>
                <w:sz w:val="23"/>
                <w:szCs w:val="23"/>
              </w:rPr>
            </w:pPr>
            <w:r>
              <w:rPr>
                <w:sz w:val="23"/>
                <w:szCs w:val="23"/>
              </w:rPr>
              <w:t>$11,000</w:t>
            </w:r>
          </w:p>
        </w:tc>
        <w:tc>
          <w:tcPr>
            <w:tcW w:w="3119" w:type="dxa"/>
            <w:tcBorders>
              <w:top w:val="single" w:sz="6" w:space="0" w:color="auto"/>
              <w:bottom w:val="single" w:sz="6" w:space="0" w:color="auto"/>
            </w:tcBorders>
          </w:tcPr>
          <w:p w14:paraId="6AFC87EB" w14:textId="77777777" w:rsidR="007228B9" w:rsidRDefault="007228B9" w:rsidP="00DC5ECB">
            <w:pPr>
              <w:pStyle w:val="Header"/>
              <w:numPr>
                <w:ilvl w:val="0"/>
                <w:numId w:val="6"/>
              </w:numPr>
              <w:tabs>
                <w:tab w:val="clear" w:pos="4153"/>
                <w:tab w:val="clear" w:pos="8306"/>
                <w:tab w:val="left" w:pos="0"/>
                <w:tab w:val="num" w:pos="317"/>
              </w:tabs>
              <w:spacing w:before="120" w:after="60"/>
              <w:ind w:left="284" w:hanging="284"/>
              <w:rPr>
                <w:sz w:val="23"/>
                <w:szCs w:val="23"/>
              </w:rPr>
            </w:pPr>
            <w:r>
              <w:rPr>
                <w:sz w:val="23"/>
                <w:szCs w:val="23"/>
              </w:rPr>
              <w:t xml:space="preserve">Payable by ADIs where the number of APRA days assessing the size of the CLF that may be recognised for LCR purposes is estimated to be “10 or less” </w:t>
            </w:r>
          </w:p>
        </w:tc>
        <w:tc>
          <w:tcPr>
            <w:tcW w:w="1984" w:type="dxa"/>
            <w:vMerge w:val="restart"/>
            <w:tcBorders>
              <w:top w:val="single" w:sz="4" w:space="0" w:color="auto"/>
              <w:right w:val="single" w:sz="4" w:space="0" w:color="auto"/>
            </w:tcBorders>
            <w:shd w:val="clear" w:color="auto" w:fill="auto"/>
          </w:tcPr>
          <w:p w14:paraId="74F72F04" w14:textId="77777777" w:rsidR="007228B9" w:rsidRPr="009C588F" w:rsidRDefault="007228B9" w:rsidP="00DC5ECB">
            <w:pPr>
              <w:spacing w:before="120"/>
              <w:rPr>
                <w:sz w:val="23"/>
                <w:szCs w:val="23"/>
              </w:rPr>
            </w:pPr>
            <w:r w:rsidRPr="009C588F">
              <w:rPr>
                <w:sz w:val="23"/>
                <w:szCs w:val="23"/>
              </w:rPr>
              <w:t>14 days after receipt of APRA’s invoice for the charge.</w:t>
            </w:r>
          </w:p>
          <w:p w14:paraId="49D394FA" w14:textId="77777777" w:rsidR="007228B9" w:rsidRPr="009C588F" w:rsidRDefault="007228B9" w:rsidP="00DC5ECB">
            <w:pPr>
              <w:spacing w:before="120"/>
              <w:rPr>
                <w:sz w:val="23"/>
                <w:szCs w:val="23"/>
              </w:rPr>
            </w:pPr>
            <w:r w:rsidRPr="009C588F">
              <w:rPr>
                <w:sz w:val="23"/>
                <w:szCs w:val="23"/>
              </w:rPr>
              <w:t>The invoice may be issued at any time after this instrument</w:t>
            </w:r>
            <w:r>
              <w:rPr>
                <w:sz w:val="23"/>
                <w:szCs w:val="23"/>
              </w:rPr>
              <w:t xml:space="preserve"> commences</w:t>
            </w:r>
            <w:r w:rsidRPr="009C588F">
              <w:rPr>
                <w:sz w:val="23"/>
                <w:szCs w:val="23"/>
              </w:rPr>
              <w:t>.</w:t>
            </w:r>
          </w:p>
        </w:tc>
      </w:tr>
      <w:tr w:rsidR="007228B9" w:rsidRPr="009C588F" w14:paraId="4BD876C0" w14:textId="77777777" w:rsidTr="00DC5ECB">
        <w:trPr>
          <w:trHeight w:val="285"/>
          <w:tblHeader/>
        </w:trPr>
        <w:tc>
          <w:tcPr>
            <w:tcW w:w="2861" w:type="dxa"/>
            <w:vMerge/>
          </w:tcPr>
          <w:p w14:paraId="0DEF4F34" w14:textId="77777777" w:rsidR="007228B9" w:rsidRDefault="007228B9" w:rsidP="00DC5ECB">
            <w:pPr>
              <w:spacing w:before="120"/>
              <w:rPr>
                <w:sz w:val="23"/>
                <w:szCs w:val="23"/>
              </w:rPr>
            </w:pPr>
          </w:p>
        </w:tc>
        <w:tc>
          <w:tcPr>
            <w:tcW w:w="1701" w:type="dxa"/>
            <w:tcBorders>
              <w:top w:val="single" w:sz="6" w:space="0" w:color="auto"/>
              <w:bottom w:val="single" w:sz="6" w:space="0" w:color="auto"/>
            </w:tcBorders>
          </w:tcPr>
          <w:p w14:paraId="30BE44B3" w14:textId="77777777" w:rsidR="007228B9" w:rsidRDefault="007228B9" w:rsidP="00DC5ECB">
            <w:pPr>
              <w:spacing w:before="120" w:after="60"/>
              <w:rPr>
                <w:sz w:val="23"/>
                <w:szCs w:val="23"/>
              </w:rPr>
            </w:pPr>
            <w:r>
              <w:rPr>
                <w:sz w:val="23"/>
                <w:szCs w:val="23"/>
              </w:rPr>
              <w:t>$16,500</w:t>
            </w:r>
          </w:p>
        </w:tc>
        <w:tc>
          <w:tcPr>
            <w:tcW w:w="3119" w:type="dxa"/>
            <w:tcBorders>
              <w:top w:val="single" w:sz="6" w:space="0" w:color="auto"/>
              <w:bottom w:val="single" w:sz="6" w:space="0" w:color="auto"/>
            </w:tcBorders>
          </w:tcPr>
          <w:p w14:paraId="0E5E5375" w14:textId="77777777" w:rsidR="007228B9" w:rsidRDefault="007228B9" w:rsidP="00AC7F99">
            <w:pPr>
              <w:pStyle w:val="Header"/>
              <w:numPr>
                <w:ilvl w:val="0"/>
                <w:numId w:val="6"/>
              </w:numPr>
              <w:tabs>
                <w:tab w:val="clear" w:pos="502"/>
                <w:tab w:val="clear" w:pos="4153"/>
                <w:tab w:val="clear" w:pos="8306"/>
                <w:tab w:val="left" w:pos="0"/>
              </w:tabs>
              <w:spacing w:before="120" w:after="60"/>
              <w:ind w:left="317"/>
              <w:rPr>
                <w:sz w:val="23"/>
                <w:szCs w:val="23"/>
              </w:rPr>
            </w:pPr>
            <w:r>
              <w:rPr>
                <w:sz w:val="23"/>
                <w:szCs w:val="23"/>
              </w:rPr>
              <w:t>Payable by ADIs where the number of APRA days assessing the size of the CLF that may be recognised for LCR purposes is estimated to be “between 11 and 15 (inclusive)”</w:t>
            </w:r>
          </w:p>
        </w:tc>
        <w:tc>
          <w:tcPr>
            <w:tcW w:w="1984" w:type="dxa"/>
            <w:vMerge/>
            <w:tcBorders>
              <w:right w:val="single" w:sz="4" w:space="0" w:color="auto"/>
            </w:tcBorders>
            <w:shd w:val="clear" w:color="auto" w:fill="auto"/>
          </w:tcPr>
          <w:p w14:paraId="53B46D78" w14:textId="77777777" w:rsidR="007228B9" w:rsidRPr="009C588F" w:rsidRDefault="007228B9" w:rsidP="00DC5ECB">
            <w:pPr>
              <w:spacing w:before="120"/>
              <w:rPr>
                <w:sz w:val="23"/>
                <w:szCs w:val="23"/>
              </w:rPr>
            </w:pPr>
          </w:p>
        </w:tc>
      </w:tr>
      <w:tr w:rsidR="007228B9" w:rsidRPr="009C588F" w14:paraId="289CB862" w14:textId="77777777" w:rsidTr="00DC5ECB">
        <w:trPr>
          <w:trHeight w:val="285"/>
          <w:tblHeader/>
        </w:trPr>
        <w:tc>
          <w:tcPr>
            <w:tcW w:w="2861" w:type="dxa"/>
            <w:vMerge/>
          </w:tcPr>
          <w:p w14:paraId="4A507BA4" w14:textId="77777777" w:rsidR="007228B9" w:rsidRDefault="007228B9" w:rsidP="00DC5ECB">
            <w:pPr>
              <w:spacing w:before="120"/>
              <w:rPr>
                <w:sz w:val="23"/>
                <w:szCs w:val="23"/>
              </w:rPr>
            </w:pPr>
          </w:p>
        </w:tc>
        <w:tc>
          <w:tcPr>
            <w:tcW w:w="1701" w:type="dxa"/>
            <w:tcBorders>
              <w:top w:val="single" w:sz="6" w:space="0" w:color="auto"/>
              <w:bottom w:val="single" w:sz="6" w:space="0" w:color="auto"/>
            </w:tcBorders>
          </w:tcPr>
          <w:p w14:paraId="0CA41EE5" w14:textId="77777777" w:rsidR="007228B9" w:rsidRDefault="007228B9" w:rsidP="00DC5ECB">
            <w:pPr>
              <w:spacing w:before="120" w:after="60"/>
              <w:rPr>
                <w:sz w:val="23"/>
                <w:szCs w:val="23"/>
              </w:rPr>
            </w:pPr>
            <w:r>
              <w:rPr>
                <w:sz w:val="23"/>
                <w:szCs w:val="23"/>
              </w:rPr>
              <w:t>$33,000</w:t>
            </w:r>
          </w:p>
        </w:tc>
        <w:tc>
          <w:tcPr>
            <w:tcW w:w="3119" w:type="dxa"/>
            <w:tcBorders>
              <w:top w:val="single" w:sz="6" w:space="0" w:color="auto"/>
              <w:bottom w:val="single" w:sz="6" w:space="0" w:color="auto"/>
            </w:tcBorders>
          </w:tcPr>
          <w:p w14:paraId="0F41E247" w14:textId="77777777" w:rsidR="007228B9" w:rsidRDefault="007228B9" w:rsidP="00AC7F99">
            <w:pPr>
              <w:pStyle w:val="Header"/>
              <w:numPr>
                <w:ilvl w:val="0"/>
                <w:numId w:val="6"/>
              </w:numPr>
              <w:tabs>
                <w:tab w:val="clear" w:pos="502"/>
                <w:tab w:val="clear" w:pos="4153"/>
                <w:tab w:val="clear" w:pos="8306"/>
                <w:tab w:val="left" w:pos="0"/>
              </w:tabs>
              <w:spacing w:before="120" w:after="60"/>
              <w:ind w:left="317"/>
              <w:rPr>
                <w:sz w:val="23"/>
                <w:szCs w:val="23"/>
              </w:rPr>
            </w:pPr>
            <w:r>
              <w:rPr>
                <w:sz w:val="23"/>
                <w:szCs w:val="23"/>
              </w:rPr>
              <w:t>Payable by ADIs where the number of APRA days assessing the size of the CLF that may be recognised for LCR purposes is estimated to be “between 16 and 30 (inclusive)”</w:t>
            </w:r>
          </w:p>
        </w:tc>
        <w:tc>
          <w:tcPr>
            <w:tcW w:w="1984" w:type="dxa"/>
            <w:vMerge/>
            <w:tcBorders>
              <w:right w:val="single" w:sz="4" w:space="0" w:color="auto"/>
            </w:tcBorders>
            <w:shd w:val="clear" w:color="auto" w:fill="auto"/>
          </w:tcPr>
          <w:p w14:paraId="6D928246" w14:textId="77777777" w:rsidR="007228B9" w:rsidRPr="009C588F" w:rsidRDefault="007228B9" w:rsidP="00DC5ECB">
            <w:pPr>
              <w:spacing w:before="120"/>
              <w:rPr>
                <w:sz w:val="23"/>
                <w:szCs w:val="23"/>
              </w:rPr>
            </w:pPr>
          </w:p>
        </w:tc>
      </w:tr>
      <w:tr w:rsidR="007228B9" w:rsidRPr="009C588F" w14:paraId="5A08626A" w14:textId="77777777" w:rsidTr="00DC5ECB">
        <w:trPr>
          <w:trHeight w:val="285"/>
          <w:tblHeader/>
        </w:trPr>
        <w:tc>
          <w:tcPr>
            <w:tcW w:w="2861" w:type="dxa"/>
            <w:vMerge/>
            <w:tcBorders>
              <w:bottom w:val="single" w:sz="6" w:space="0" w:color="auto"/>
            </w:tcBorders>
          </w:tcPr>
          <w:p w14:paraId="1F5A524F" w14:textId="77777777" w:rsidR="007228B9" w:rsidRDefault="007228B9" w:rsidP="00DC5ECB">
            <w:pPr>
              <w:spacing w:before="120"/>
              <w:rPr>
                <w:sz w:val="23"/>
                <w:szCs w:val="23"/>
              </w:rPr>
            </w:pPr>
          </w:p>
        </w:tc>
        <w:tc>
          <w:tcPr>
            <w:tcW w:w="1701" w:type="dxa"/>
            <w:tcBorders>
              <w:top w:val="single" w:sz="6" w:space="0" w:color="auto"/>
              <w:bottom w:val="single" w:sz="6" w:space="0" w:color="auto"/>
            </w:tcBorders>
          </w:tcPr>
          <w:p w14:paraId="671457D8" w14:textId="77777777" w:rsidR="007228B9" w:rsidRDefault="007228B9" w:rsidP="00DC5ECB">
            <w:pPr>
              <w:spacing w:before="120" w:after="60"/>
              <w:rPr>
                <w:sz w:val="23"/>
                <w:szCs w:val="23"/>
              </w:rPr>
            </w:pPr>
            <w:r>
              <w:rPr>
                <w:sz w:val="23"/>
                <w:szCs w:val="23"/>
              </w:rPr>
              <w:t>$88,000</w:t>
            </w:r>
          </w:p>
        </w:tc>
        <w:tc>
          <w:tcPr>
            <w:tcW w:w="3119" w:type="dxa"/>
            <w:tcBorders>
              <w:top w:val="single" w:sz="6" w:space="0" w:color="auto"/>
              <w:bottom w:val="single" w:sz="6" w:space="0" w:color="auto"/>
            </w:tcBorders>
          </w:tcPr>
          <w:p w14:paraId="127AEDB0" w14:textId="77777777" w:rsidR="007228B9" w:rsidRDefault="007228B9" w:rsidP="00AC7F99">
            <w:pPr>
              <w:pStyle w:val="Header"/>
              <w:numPr>
                <w:ilvl w:val="0"/>
                <w:numId w:val="6"/>
              </w:numPr>
              <w:tabs>
                <w:tab w:val="clear" w:pos="502"/>
                <w:tab w:val="clear" w:pos="4153"/>
                <w:tab w:val="clear" w:pos="8306"/>
                <w:tab w:val="left" w:pos="0"/>
              </w:tabs>
              <w:spacing w:before="120" w:after="60"/>
              <w:ind w:left="317"/>
              <w:rPr>
                <w:sz w:val="23"/>
                <w:szCs w:val="23"/>
              </w:rPr>
            </w:pPr>
            <w:r>
              <w:rPr>
                <w:sz w:val="23"/>
                <w:szCs w:val="23"/>
              </w:rPr>
              <w:t>Payable by ADIs where the number of APRA days assessing the size of the CLF that may be recognised for LCR purposes is estimated to be “between 31 and 80 (inclusive)”</w:t>
            </w:r>
          </w:p>
        </w:tc>
        <w:tc>
          <w:tcPr>
            <w:tcW w:w="1984" w:type="dxa"/>
            <w:vMerge/>
            <w:tcBorders>
              <w:bottom w:val="single" w:sz="4" w:space="0" w:color="auto"/>
              <w:right w:val="single" w:sz="4" w:space="0" w:color="auto"/>
            </w:tcBorders>
            <w:shd w:val="clear" w:color="auto" w:fill="auto"/>
          </w:tcPr>
          <w:p w14:paraId="10FD21DA" w14:textId="77777777" w:rsidR="007228B9" w:rsidRPr="009C588F" w:rsidRDefault="007228B9" w:rsidP="00DC5ECB">
            <w:pPr>
              <w:spacing w:before="120"/>
              <w:rPr>
                <w:sz w:val="23"/>
                <w:szCs w:val="23"/>
              </w:rPr>
            </w:pPr>
          </w:p>
        </w:tc>
      </w:tr>
    </w:tbl>
    <w:p w14:paraId="0938FE31" w14:textId="2A356EE3" w:rsidR="007228B9" w:rsidRDefault="007228B9" w:rsidP="000760E4">
      <w:pPr>
        <w:spacing w:before="240"/>
        <w:rPr>
          <w:i/>
          <w:u w:val="single"/>
        </w:rPr>
      </w:pPr>
    </w:p>
    <w:p w14:paraId="7503B4A1" w14:textId="77777777" w:rsidR="007228B9" w:rsidRDefault="007228B9" w:rsidP="000760E4">
      <w:pPr>
        <w:spacing w:before="240"/>
        <w:rPr>
          <w:i/>
          <w:u w:val="single"/>
        </w:rPr>
      </w:pPr>
    </w:p>
    <w:p w14:paraId="1C3409D4" w14:textId="77777777" w:rsidR="007228B9" w:rsidRPr="00132C28" w:rsidRDefault="007228B9" w:rsidP="000760E4">
      <w:pPr>
        <w:spacing w:before="240"/>
        <w:rPr>
          <w:i/>
          <w:u w:val="single"/>
        </w:rPr>
      </w:pPr>
    </w:p>
    <w:p w14:paraId="37C52F7E" w14:textId="1A5B2268" w:rsidR="00050078" w:rsidRDefault="00050078" w:rsidP="00AF4721">
      <w:pPr>
        <w:tabs>
          <w:tab w:val="left" w:pos="567"/>
        </w:tabs>
        <w:rPr>
          <w:sz w:val="23"/>
          <w:szCs w:val="23"/>
        </w:rPr>
      </w:pPr>
    </w:p>
    <w:p w14:paraId="44A573E0" w14:textId="77777777" w:rsidR="00050078" w:rsidRDefault="00050078" w:rsidP="00AF4721">
      <w:pPr>
        <w:tabs>
          <w:tab w:val="left" w:pos="567"/>
        </w:tabs>
        <w:rPr>
          <w:sz w:val="23"/>
          <w:szCs w:val="23"/>
        </w:rPr>
      </w:pPr>
    </w:p>
    <w:p w14:paraId="5EF4149B" w14:textId="65DD7C8C" w:rsidR="00E24FEC" w:rsidRPr="004B3E50" w:rsidRDefault="00E24FEC" w:rsidP="00132C28">
      <w:pPr>
        <w:rPr>
          <w:sz w:val="23"/>
          <w:szCs w:val="23"/>
        </w:rPr>
      </w:pPr>
    </w:p>
    <w:sectPr w:rsidR="00E24FEC" w:rsidRPr="004B3E50" w:rsidSect="00F4234E">
      <w:headerReference w:type="even" r:id="rId28"/>
      <w:pgSz w:w="11907" w:h="16840" w:code="9"/>
      <w:pgMar w:top="1134" w:right="1418" w:bottom="1134"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51AA2" w14:textId="77777777" w:rsidR="00904860" w:rsidRDefault="00904860">
      <w:r>
        <w:separator/>
      </w:r>
    </w:p>
  </w:endnote>
  <w:endnote w:type="continuationSeparator" w:id="0">
    <w:p w14:paraId="27AA0188" w14:textId="77777777" w:rsidR="00904860" w:rsidRDefault="0090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CC5E4" w14:textId="77777777" w:rsidR="00904860" w:rsidRDefault="00904860">
      <w:r>
        <w:separator/>
      </w:r>
    </w:p>
  </w:footnote>
  <w:footnote w:type="continuationSeparator" w:id="0">
    <w:p w14:paraId="1589AA98" w14:textId="77777777" w:rsidR="00904860" w:rsidRDefault="00904860">
      <w:r>
        <w:continuationSeparator/>
      </w:r>
    </w:p>
  </w:footnote>
  <w:footnote w:id="1">
    <w:p w14:paraId="73B58773" w14:textId="77777777" w:rsidR="000760E4" w:rsidRPr="00283702" w:rsidRDefault="000760E4" w:rsidP="000760E4">
      <w:pPr>
        <w:pStyle w:val="FootnoteText"/>
        <w:rPr>
          <w:lang w:val="en-AU"/>
        </w:rPr>
      </w:pPr>
      <w:r>
        <w:rPr>
          <w:rStyle w:val="FootnoteReference"/>
        </w:rPr>
        <w:footnoteRef/>
      </w:r>
      <w:r>
        <w:t xml:space="preserve"> </w:t>
      </w:r>
      <w:r>
        <w:rPr>
          <w:lang w:val="en-AU"/>
        </w:rPr>
        <w:t>Inclusive of GST.</w:t>
      </w:r>
    </w:p>
  </w:footnote>
  <w:footnote w:id="2">
    <w:p w14:paraId="161A494E" w14:textId="77777777" w:rsidR="000760E4" w:rsidRPr="00283702" w:rsidRDefault="000760E4" w:rsidP="000760E4">
      <w:pPr>
        <w:pStyle w:val="FootnoteText"/>
        <w:rPr>
          <w:lang w:val="en-AU"/>
        </w:rPr>
      </w:pPr>
      <w:r>
        <w:rPr>
          <w:rStyle w:val="FootnoteReference"/>
        </w:rPr>
        <w:footnoteRef/>
      </w:r>
      <w:r>
        <w:t xml:space="preserve"> </w:t>
      </w:r>
      <w:r>
        <w:rPr>
          <w:lang w:val="en-AU"/>
        </w:rPr>
        <w:t>Charge per entity.</w:t>
      </w:r>
    </w:p>
  </w:footnote>
  <w:footnote w:id="3">
    <w:p w14:paraId="097AF900" w14:textId="77777777" w:rsidR="000760E4" w:rsidRPr="00FB2F87" w:rsidRDefault="000760E4" w:rsidP="000760E4">
      <w:pPr>
        <w:pStyle w:val="FootnoteText"/>
        <w:rPr>
          <w:lang w:val="en-AU"/>
        </w:rPr>
      </w:pPr>
      <w:r>
        <w:rPr>
          <w:rStyle w:val="FootnoteReference"/>
        </w:rPr>
        <w:footnoteRef/>
      </w:r>
      <w:r>
        <w:t xml:space="preserve"> Non-refundable and payable whether or not the ADI obtains approval.</w:t>
      </w:r>
    </w:p>
  </w:footnote>
  <w:footnote w:id="4">
    <w:p w14:paraId="0EB45B85" w14:textId="77777777" w:rsidR="007228B9" w:rsidRPr="00283702" w:rsidRDefault="007228B9" w:rsidP="007228B9">
      <w:pPr>
        <w:pStyle w:val="FootnoteText"/>
        <w:rPr>
          <w:lang w:val="en-AU"/>
        </w:rPr>
      </w:pPr>
      <w:r>
        <w:rPr>
          <w:rStyle w:val="FootnoteReference"/>
        </w:rPr>
        <w:footnoteRef/>
      </w:r>
      <w:r>
        <w:t xml:space="preserve"> </w:t>
      </w:r>
      <w:r>
        <w:rPr>
          <w:lang w:val="en-AU"/>
        </w:rPr>
        <w:t>Inclusive of GST.</w:t>
      </w:r>
    </w:p>
  </w:footnote>
  <w:footnote w:id="5">
    <w:p w14:paraId="3827BD15" w14:textId="77777777" w:rsidR="007228B9" w:rsidRPr="00283702" w:rsidRDefault="007228B9" w:rsidP="007228B9">
      <w:pPr>
        <w:pStyle w:val="FootnoteText"/>
        <w:rPr>
          <w:lang w:val="en-AU"/>
        </w:rPr>
      </w:pPr>
      <w:r>
        <w:rPr>
          <w:rStyle w:val="FootnoteReference"/>
        </w:rPr>
        <w:footnoteRef/>
      </w:r>
      <w:r>
        <w:t xml:space="preserve"> </w:t>
      </w:r>
      <w:r>
        <w:rPr>
          <w:lang w:val="en-AU"/>
        </w:rPr>
        <w:t>Charge per entity.</w:t>
      </w:r>
    </w:p>
  </w:footnote>
  <w:footnote w:id="6">
    <w:p w14:paraId="678D9835" w14:textId="77777777" w:rsidR="007228B9" w:rsidRPr="00FB2F87" w:rsidRDefault="007228B9" w:rsidP="007228B9">
      <w:pPr>
        <w:pStyle w:val="FootnoteText"/>
        <w:rPr>
          <w:lang w:val="en-AU"/>
        </w:rPr>
      </w:pPr>
      <w:r>
        <w:rPr>
          <w:rStyle w:val="FootnoteReference"/>
        </w:rPr>
        <w:footnoteRef/>
      </w:r>
      <w:r>
        <w:t xml:space="preserve"> Non-refundable and payable whether or not the ADI obtains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EF95" w14:textId="77777777" w:rsidR="009D0FC7" w:rsidRDefault="009D0FC7" w:rsidP="00F423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869">
      <w:rPr>
        <w:rStyle w:val="PageNumber"/>
        <w:noProof/>
      </w:rPr>
      <w:t>3</w:t>
    </w:r>
    <w:r>
      <w:rPr>
        <w:rStyle w:val="PageNumber"/>
      </w:rPr>
      <w:fldChar w:fldCharType="end"/>
    </w:r>
  </w:p>
  <w:p w14:paraId="67FF022A" w14:textId="77777777" w:rsidR="009D0FC7" w:rsidRDefault="009D0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2E3C30"/>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154B0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8D16D9"/>
    <w:multiLevelType w:val="hybridMultilevel"/>
    <w:tmpl w:val="FD487670"/>
    <w:lvl w:ilvl="0" w:tplc="0C090001">
      <w:start w:val="1"/>
      <w:numFmt w:val="bullet"/>
      <w:lvlText w:val=""/>
      <w:lvlJc w:val="left"/>
      <w:pPr>
        <w:tabs>
          <w:tab w:val="num" w:pos="502"/>
        </w:tabs>
        <w:ind w:left="50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74982"/>
    <w:multiLevelType w:val="hybridMultilevel"/>
    <w:tmpl w:val="8B7466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AC0D3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4"/>
    <w:rsid w:val="00003E23"/>
    <w:rsid w:val="000049A4"/>
    <w:rsid w:val="00007E24"/>
    <w:rsid w:val="00012DB3"/>
    <w:rsid w:val="00013571"/>
    <w:rsid w:val="00014CE2"/>
    <w:rsid w:val="000175EC"/>
    <w:rsid w:val="00020ABF"/>
    <w:rsid w:val="00027C0F"/>
    <w:rsid w:val="00030110"/>
    <w:rsid w:val="00030E16"/>
    <w:rsid w:val="00033CE3"/>
    <w:rsid w:val="00035897"/>
    <w:rsid w:val="0004051B"/>
    <w:rsid w:val="000410D9"/>
    <w:rsid w:val="00045FB6"/>
    <w:rsid w:val="000463EE"/>
    <w:rsid w:val="00046F42"/>
    <w:rsid w:val="00050078"/>
    <w:rsid w:val="00050151"/>
    <w:rsid w:val="00050893"/>
    <w:rsid w:val="0005741A"/>
    <w:rsid w:val="00067702"/>
    <w:rsid w:val="00067728"/>
    <w:rsid w:val="00067869"/>
    <w:rsid w:val="000739D5"/>
    <w:rsid w:val="000760E4"/>
    <w:rsid w:val="00081834"/>
    <w:rsid w:val="00081C85"/>
    <w:rsid w:val="0008499C"/>
    <w:rsid w:val="000866A1"/>
    <w:rsid w:val="000904C5"/>
    <w:rsid w:val="00090795"/>
    <w:rsid w:val="00092AE8"/>
    <w:rsid w:val="00094D2E"/>
    <w:rsid w:val="00095B68"/>
    <w:rsid w:val="000A7F16"/>
    <w:rsid w:val="000B1949"/>
    <w:rsid w:val="000B2EBA"/>
    <w:rsid w:val="000B3381"/>
    <w:rsid w:val="000B57A4"/>
    <w:rsid w:val="000B5EF6"/>
    <w:rsid w:val="000C07AB"/>
    <w:rsid w:val="000C11E1"/>
    <w:rsid w:val="000D175D"/>
    <w:rsid w:val="000E77EB"/>
    <w:rsid w:val="000F13E5"/>
    <w:rsid w:val="000F4CD1"/>
    <w:rsid w:val="00102363"/>
    <w:rsid w:val="0010625F"/>
    <w:rsid w:val="001275AF"/>
    <w:rsid w:val="00132C28"/>
    <w:rsid w:val="001343ED"/>
    <w:rsid w:val="00141778"/>
    <w:rsid w:val="00142AB8"/>
    <w:rsid w:val="00143FA5"/>
    <w:rsid w:val="0014522B"/>
    <w:rsid w:val="001522AB"/>
    <w:rsid w:val="00154CAB"/>
    <w:rsid w:val="001559E0"/>
    <w:rsid w:val="001601FD"/>
    <w:rsid w:val="001625F0"/>
    <w:rsid w:val="0017322E"/>
    <w:rsid w:val="001912D6"/>
    <w:rsid w:val="001A17A5"/>
    <w:rsid w:val="001A265E"/>
    <w:rsid w:val="001A4D1F"/>
    <w:rsid w:val="001A50D1"/>
    <w:rsid w:val="001B3CFD"/>
    <w:rsid w:val="001B4BC9"/>
    <w:rsid w:val="001B6D13"/>
    <w:rsid w:val="001B7DBA"/>
    <w:rsid w:val="001C0B39"/>
    <w:rsid w:val="001E3DBA"/>
    <w:rsid w:val="001E6B39"/>
    <w:rsid w:val="00206073"/>
    <w:rsid w:val="0021153F"/>
    <w:rsid w:val="00211B7A"/>
    <w:rsid w:val="00216FEF"/>
    <w:rsid w:val="002174E5"/>
    <w:rsid w:val="00222C6B"/>
    <w:rsid w:val="00223FE1"/>
    <w:rsid w:val="002247F8"/>
    <w:rsid w:val="00231012"/>
    <w:rsid w:val="00232097"/>
    <w:rsid w:val="00234B04"/>
    <w:rsid w:val="00255461"/>
    <w:rsid w:val="00277454"/>
    <w:rsid w:val="00283702"/>
    <w:rsid w:val="00284498"/>
    <w:rsid w:val="0028546A"/>
    <w:rsid w:val="00296BEB"/>
    <w:rsid w:val="00296CA6"/>
    <w:rsid w:val="002C4EA5"/>
    <w:rsid w:val="002D0498"/>
    <w:rsid w:val="002D141F"/>
    <w:rsid w:val="002D3601"/>
    <w:rsid w:val="002D732E"/>
    <w:rsid w:val="002E2FB6"/>
    <w:rsid w:val="002E7463"/>
    <w:rsid w:val="002F086C"/>
    <w:rsid w:val="002F090D"/>
    <w:rsid w:val="002F4952"/>
    <w:rsid w:val="00312AE7"/>
    <w:rsid w:val="00314164"/>
    <w:rsid w:val="003169E0"/>
    <w:rsid w:val="00321FC5"/>
    <w:rsid w:val="003253FB"/>
    <w:rsid w:val="003260B8"/>
    <w:rsid w:val="003261B1"/>
    <w:rsid w:val="00326EAD"/>
    <w:rsid w:val="003279C1"/>
    <w:rsid w:val="003319CF"/>
    <w:rsid w:val="00332A60"/>
    <w:rsid w:val="00342E82"/>
    <w:rsid w:val="003459BB"/>
    <w:rsid w:val="00346EF5"/>
    <w:rsid w:val="00367279"/>
    <w:rsid w:val="00370180"/>
    <w:rsid w:val="00370C74"/>
    <w:rsid w:val="003712B2"/>
    <w:rsid w:val="00371B01"/>
    <w:rsid w:val="00373081"/>
    <w:rsid w:val="00374069"/>
    <w:rsid w:val="00383759"/>
    <w:rsid w:val="00383A82"/>
    <w:rsid w:val="003841E4"/>
    <w:rsid w:val="00387377"/>
    <w:rsid w:val="00390647"/>
    <w:rsid w:val="00393C90"/>
    <w:rsid w:val="00393CDB"/>
    <w:rsid w:val="00394AC8"/>
    <w:rsid w:val="00395D96"/>
    <w:rsid w:val="003A05F2"/>
    <w:rsid w:val="003A2166"/>
    <w:rsid w:val="003A56E9"/>
    <w:rsid w:val="003B0431"/>
    <w:rsid w:val="003C0F99"/>
    <w:rsid w:val="003C1557"/>
    <w:rsid w:val="003D3C73"/>
    <w:rsid w:val="003D5A84"/>
    <w:rsid w:val="003E219E"/>
    <w:rsid w:val="003F74AD"/>
    <w:rsid w:val="004055D2"/>
    <w:rsid w:val="00407856"/>
    <w:rsid w:val="00414886"/>
    <w:rsid w:val="00421549"/>
    <w:rsid w:val="00423F23"/>
    <w:rsid w:val="00433E9E"/>
    <w:rsid w:val="00436DB6"/>
    <w:rsid w:val="00440DB3"/>
    <w:rsid w:val="0045130A"/>
    <w:rsid w:val="00464485"/>
    <w:rsid w:val="00466B7D"/>
    <w:rsid w:val="004678CA"/>
    <w:rsid w:val="0047204F"/>
    <w:rsid w:val="004827F2"/>
    <w:rsid w:val="00484D44"/>
    <w:rsid w:val="00485B43"/>
    <w:rsid w:val="00485E84"/>
    <w:rsid w:val="00493620"/>
    <w:rsid w:val="00493EEA"/>
    <w:rsid w:val="00496CFC"/>
    <w:rsid w:val="004A478A"/>
    <w:rsid w:val="004B3E50"/>
    <w:rsid w:val="004C791A"/>
    <w:rsid w:val="004D035D"/>
    <w:rsid w:val="004D19A9"/>
    <w:rsid w:val="004D236F"/>
    <w:rsid w:val="004D50DB"/>
    <w:rsid w:val="004E7839"/>
    <w:rsid w:val="004F4D30"/>
    <w:rsid w:val="004F5284"/>
    <w:rsid w:val="005063A1"/>
    <w:rsid w:val="00507717"/>
    <w:rsid w:val="00515413"/>
    <w:rsid w:val="00520B1F"/>
    <w:rsid w:val="00525586"/>
    <w:rsid w:val="005401AD"/>
    <w:rsid w:val="005436D7"/>
    <w:rsid w:val="005500CE"/>
    <w:rsid w:val="005534ED"/>
    <w:rsid w:val="00554DCC"/>
    <w:rsid w:val="0056317E"/>
    <w:rsid w:val="005663FA"/>
    <w:rsid w:val="00575554"/>
    <w:rsid w:val="005829F0"/>
    <w:rsid w:val="005967CF"/>
    <w:rsid w:val="005A29CA"/>
    <w:rsid w:val="005A32B4"/>
    <w:rsid w:val="005B34D6"/>
    <w:rsid w:val="005B56FB"/>
    <w:rsid w:val="005C2251"/>
    <w:rsid w:val="005D1273"/>
    <w:rsid w:val="005D5B0C"/>
    <w:rsid w:val="005D5F21"/>
    <w:rsid w:val="005E4CBD"/>
    <w:rsid w:val="005F2BF4"/>
    <w:rsid w:val="005F4AC0"/>
    <w:rsid w:val="00601496"/>
    <w:rsid w:val="00616E7D"/>
    <w:rsid w:val="00620A35"/>
    <w:rsid w:val="00631F94"/>
    <w:rsid w:val="0063312C"/>
    <w:rsid w:val="00635B14"/>
    <w:rsid w:val="006427DC"/>
    <w:rsid w:val="00644ECE"/>
    <w:rsid w:val="00645760"/>
    <w:rsid w:val="00662534"/>
    <w:rsid w:val="00664612"/>
    <w:rsid w:val="00666397"/>
    <w:rsid w:val="0067268A"/>
    <w:rsid w:val="0067399E"/>
    <w:rsid w:val="00677F8B"/>
    <w:rsid w:val="00682089"/>
    <w:rsid w:val="00687922"/>
    <w:rsid w:val="006A275D"/>
    <w:rsid w:val="006A2D8B"/>
    <w:rsid w:val="006A402D"/>
    <w:rsid w:val="006A5CF8"/>
    <w:rsid w:val="006B164F"/>
    <w:rsid w:val="006B1EB0"/>
    <w:rsid w:val="006B37EE"/>
    <w:rsid w:val="006B3B17"/>
    <w:rsid w:val="006B4716"/>
    <w:rsid w:val="006D2586"/>
    <w:rsid w:val="006D2ED0"/>
    <w:rsid w:val="006D5972"/>
    <w:rsid w:val="006E016F"/>
    <w:rsid w:val="006E0EF2"/>
    <w:rsid w:val="006E2DC6"/>
    <w:rsid w:val="006E3284"/>
    <w:rsid w:val="006F3CC8"/>
    <w:rsid w:val="006F5116"/>
    <w:rsid w:val="006F71CD"/>
    <w:rsid w:val="007039FB"/>
    <w:rsid w:val="00705BA8"/>
    <w:rsid w:val="007063D7"/>
    <w:rsid w:val="00711D4D"/>
    <w:rsid w:val="00712487"/>
    <w:rsid w:val="00712AC6"/>
    <w:rsid w:val="007228B9"/>
    <w:rsid w:val="00726A4D"/>
    <w:rsid w:val="00733628"/>
    <w:rsid w:val="00734758"/>
    <w:rsid w:val="00737D2C"/>
    <w:rsid w:val="00746A11"/>
    <w:rsid w:val="00753438"/>
    <w:rsid w:val="00761190"/>
    <w:rsid w:val="00761B51"/>
    <w:rsid w:val="007628DC"/>
    <w:rsid w:val="00762E54"/>
    <w:rsid w:val="007649D2"/>
    <w:rsid w:val="007650BF"/>
    <w:rsid w:val="007750F4"/>
    <w:rsid w:val="007A46D1"/>
    <w:rsid w:val="007B1DDB"/>
    <w:rsid w:val="007B333D"/>
    <w:rsid w:val="007B37C7"/>
    <w:rsid w:val="007B656F"/>
    <w:rsid w:val="007C121E"/>
    <w:rsid w:val="007C784B"/>
    <w:rsid w:val="007D176F"/>
    <w:rsid w:val="007D1DFD"/>
    <w:rsid w:val="007E1071"/>
    <w:rsid w:val="007E659A"/>
    <w:rsid w:val="007F0EEB"/>
    <w:rsid w:val="007F2879"/>
    <w:rsid w:val="007F6D98"/>
    <w:rsid w:val="0080698A"/>
    <w:rsid w:val="00807B2A"/>
    <w:rsid w:val="00812C6E"/>
    <w:rsid w:val="008130C6"/>
    <w:rsid w:val="0082792D"/>
    <w:rsid w:val="00831798"/>
    <w:rsid w:val="00837204"/>
    <w:rsid w:val="00840120"/>
    <w:rsid w:val="008669E7"/>
    <w:rsid w:val="00867A1A"/>
    <w:rsid w:val="008723F2"/>
    <w:rsid w:val="00881662"/>
    <w:rsid w:val="00890D8C"/>
    <w:rsid w:val="008978D8"/>
    <w:rsid w:val="008A7057"/>
    <w:rsid w:val="008A78C1"/>
    <w:rsid w:val="008B4266"/>
    <w:rsid w:val="008B5D55"/>
    <w:rsid w:val="008C1CA2"/>
    <w:rsid w:val="008C389C"/>
    <w:rsid w:val="008C5625"/>
    <w:rsid w:val="008D16BD"/>
    <w:rsid w:val="008D6B3D"/>
    <w:rsid w:val="008F3F62"/>
    <w:rsid w:val="008F5CAC"/>
    <w:rsid w:val="008F7972"/>
    <w:rsid w:val="009033EF"/>
    <w:rsid w:val="00904860"/>
    <w:rsid w:val="00904F26"/>
    <w:rsid w:val="00913644"/>
    <w:rsid w:val="00915A19"/>
    <w:rsid w:val="00926486"/>
    <w:rsid w:val="009300D0"/>
    <w:rsid w:val="00940486"/>
    <w:rsid w:val="00945402"/>
    <w:rsid w:val="009454A7"/>
    <w:rsid w:val="00961479"/>
    <w:rsid w:val="009615CF"/>
    <w:rsid w:val="00962BF3"/>
    <w:rsid w:val="00964D1E"/>
    <w:rsid w:val="00975315"/>
    <w:rsid w:val="00981E11"/>
    <w:rsid w:val="0098537D"/>
    <w:rsid w:val="00992DE0"/>
    <w:rsid w:val="00996DD1"/>
    <w:rsid w:val="009A0934"/>
    <w:rsid w:val="009A0953"/>
    <w:rsid w:val="009A0DA7"/>
    <w:rsid w:val="009A4902"/>
    <w:rsid w:val="009B0E6F"/>
    <w:rsid w:val="009C588F"/>
    <w:rsid w:val="009D0FC7"/>
    <w:rsid w:val="009D1891"/>
    <w:rsid w:val="009D482E"/>
    <w:rsid w:val="009E132F"/>
    <w:rsid w:val="009E2EC9"/>
    <w:rsid w:val="009E3431"/>
    <w:rsid w:val="009F46F0"/>
    <w:rsid w:val="009F626F"/>
    <w:rsid w:val="009F723E"/>
    <w:rsid w:val="00A038CF"/>
    <w:rsid w:val="00A13727"/>
    <w:rsid w:val="00A22152"/>
    <w:rsid w:val="00A301D0"/>
    <w:rsid w:val="00A363F8"/>
    <w:rsid w:val="00A410AA"/>
    <w:rsid w:val="00A43413"/>
    <w:rsid w:val="00A51ED1"/>
    <w:rsid w:val="00A54E35"/>
    <w:rsid w:val="00A71DF1"/>
    <w:rsid w:val="00A72E7D"/>
    <w:rsid w:val="00A76CDD"/>
    <w:rsid w:val="00A811A1"/>
    <w:rsid w:val="00A8531E"/>
    <w:rsid w:val="00A86BAA"/>
    <w:rsid w:val="00A91A4B"/>
    <w:rsid w:val="00A93AEF"/>
    <w:rsid w:val="00A94021"/>
    <w:rsid w:val="00A95943"/>
    <w:rsid w:val="00AA3BC8"/>
    <w:rsid w:val="00AA5022"/>
    <w:rsid w:val="00AB08C6"/>
    <w:rsid w:val="00AB1AD9"/>
    <w:rsid w:val="00AB5913"/>
    <w:rsid w:val="00AC3E49"/>
    <w:rsid w:val="00AC7F99"/>
    <w:rsid w:val="00AD29DD"/>
    <w:rsid w:val="00AD3C44"/>
    <w:rsid w:val="00AD4F64"/>
    <w:rsid w:val="00AD73C9"/>
    <w:rsid w:val="00AE55E1"/>
    <w:rsid w:val="00AE6A36"/>
    <w:rsid w:val="00AF4721"/>
    <w:rsid w:val="00B03D6B"/>
    <w:rsid w:val="00B11668"/>
    <w:rsid w:val="00B13164"/>
    <w:rsid w:val="00B16DC2"/>
    <w:rsid w:val="00B211C3"/>
    <w:rsid w:val="00B25E27"/>
    <w:rsid w:val="00B35F81"/>
    <w:rsid w:val="00B364B1"/>
    <w:rsid w:val="00B3687C"/>
    <w:rsid w:val="00B377C2"/>
    <w:rsid w:val="00B44570"/>
    <w:rsid w:val="00B522A6"/>
    <w:rsid w:val="00B52B43"/>
    <w:rsid w:val="00B62E69"/>
    <w:rsid w:val="00B7390A"/>
    <w:rsid w:val="00B751A4"/>
    <w:rsid w:val="00B80DE6"/>
    <w:rsid w:val="00B93173"/>
    <w:rsid w:val="00BA367E"/>
    <w:rsid w:val="00BC2DEB"/>
    <w:rsid w:val="00BC53FF"/>
    <w:rsid w:val="00BD07C8"/>
    <w:rsid w:val="00BD171C"/>
    <w:rsid w:val="00BD36D7"/>
    <w:rsid w:val="00BD7F88"/>
    <w:rsid w:val="00BE458D"/>
    <w:rsid w:val="00BE740F"/>
    <w:rsid w:val="00BF2E9A"/>
    <w:rsid w:val="00C02432"/>
    <w:rsid w:val="00C10109"/>
    <w:rsid w:val="00C158DE"/>
    <w:rsid w:val="00C35057"/>
    <w:rsid w:val="00C371C7"/>
    <w:rsid w:val="00C44BFE"/>
    <w:rsid w:val="00C45FEA"/>
    <w:rsid w:val="00C528E3"/>
    <w:rsid w:val="00C55723"/>
    <w:rsid w:val="00C57277"/>
    <w:rsid w:val="00C57C54"/>
    <w:rsid w:val="00C81A9A"/>
    <w:rsid w:val="00C84AAE"/>
    <w:rsid w:val="00C97188"/>
    <w:rsid w:val="00CA1F4F"/>
    <w:rsid w:val="00CB4500"/>
    <w:rsid w:val="00CD57C1"/>
    <w:rsid w:val="00CF66B0"/>
    <w:rsid w:val="00CF6FF8"/>
    <w:rsid w:val="00D020E4"/>
    <w:rsid w:val="00D02610"/>
    <w:rsid w:val="00D03B05"/>
    <w:rsid w:val="00D07AB0"/>
    <w:rsid w:val="00D13CE9"/>
    <w:rsid w:val="00D170B4"/>
    <w:rsid w:val="00D23523"/>
    <w:rsid w:val="00D25ADC"/>
    <w:rsid w:val="00D30BE0"/>
    <w:rsid w:val="00D32636"/>
    <w:rsid w:val="00D35A55"/>
    <w:rsid w:val="00D4327C"/>
    <w:rsid w:val="00D4502A"/>
    <w:rsid w:val="00D63065"/>
    <w:rsid w:val="00D645BD"/>
    <w:rsid w:val="00D66D00"/>
    <w:rsid w:val="00D75380"/>
    <w:rsid w:val="00D8183F"/>
    <w:rsid w:val="00D81B84"/>
    <w:rsid w:val="00D90DD3"/>
    <w:rsid w:val="00D944D7"/>
    <w:rsid w:val="00D95F82"/>
    <w:rsid w:val="00DB5EE9"/>
    <w:rsid w:val="00DB6264"/>
    <w:rsid w:val="00DB651E"/>
    <w:rsid w:val="00DB6FE6"/>
    <w:rsid w:val="00DD4D19"/>
    <w:rsid w:val="00DF1D6D"/>
    <w:rsid w:val="00DF56D0"/>
    <w:rsid w:val="00DF5873"/>
    <w:rsid w:val="00DF5C1A"/>
    <w:rsid w:val="00DF6816"/>
    <w:rsid w:val="00E037B5"/>
    <w:rsid w:val="00E04F37"/>
    <w:rsid w:val="00E140A4"/>
    <w:rsid w:val="00E1512E"/>
    <w:rsid w:val="00E20AF7"/>
    <w:rsid w:val="00E24FEC"/>
    <w:rsid w:val="00E27DED"/>
    <w:rsid w:val="00E3023A"/>
    <w:rsid w:val="00E3424C"/>
    <w:rsid w:val="00E458F6"/>
    <w:rsid w:val="00E500A1"/>
    <w:rsid w:val="00E523D2"/>
    <w:rsid w:val="00E5443C"/>
    <w:rsid w:val="00E578C4"/>
    <w:rsid w:val="00E70B71"/>
    <w:rsid w:val="00E75D2B"/>
    <w:rsid w:val="00E76259"/>
    <w:rsid w:val="00E76DEF"/>
    <w:rsid w:val="00E92323"/>
    <w:rsid w:val="00E976A7"/>
    <w:rsid w:val="00EB11F9"/>
    <w:rsid w:val="00EB4F9A"/>
    <w:rsid w:val="00EC0C88"/>
    <w:rsid w:val="00EC1473"/>
    <w:rsid w:val="00EC1830"/>
    <w:rsid w:val="00EC19B6"/>
    <w:rsid w:val="00EC23E8"/>
    <w:rsid w:val="00EC56EB"/>
    <w:rsid w:val="00EC5704"/>
    <w:rsid w:val="00ED3F69"/>
    <w:rsid w:val="00EE4F38"/>
    <w:rsid w:val="00EF43DA"/>
    <w:rsid w:val="00F07FB2"/>
    <w:rsid w:val="00F11D75"/>
    <w:rsid w:val="00F14FF7"/>
    <w:rsid w:val="00F4234E"/>
    <w:rsid w:val="00F73306"/>
    <w:rsid w:val="00F75B3B"/>
    <w:rsid w:val="00F830B7"/>
    <w:rsid w:val="00F857C9"/>
    <w:rsid w:val="00F86528"/>
    <w:rsid w:val="00F920F3"/>
    <w:rsid w:val="00F97A5F"/>
    <w:rsid w:val="00FA7936"/>
    <w:rsid w:val="00FB15A4"/>
    <w:rsid w:val="00FB1998"/>
    <w:rsid w:val="00FB2F87"/>
    <w:rsid w:val="00FB568E"/>
    <w:rsid w:val="00FB5882"/>
    <w:rsid w:val="00FC4775"/>
    <w:rsid w:val="00FC6D32"/>
    <w:rsid w:val="00FD1906"/>
    <w:rsid w:val="00FD3ECC"/>
    <w:rsid w:val="00FD6E9F"/>
    <w:rsid w:val="00FF4FB4"/>
    <w:rsid w:val="00FF5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241F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1B1"/>
    <w:rPr>
      <w:sz w:val="24"/>
      <w:lang w:val="en-GB"/>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lang w:val="en-US"/>
    </w:rPr>
  </w:style>
  <w:style w:type="paragraph" w:styleId="BodyTextIndent">
    <w:name w:val="Body Text Indent"/>
    <w:basedOn w:val="Normal"/>
    <w:pPr>
      <w:ind w:left="360"/>
      <w:jc w:val="both"/>
    </w:pPr>
    <w:rPr>
      <w:b/>
    </w:rPr>
  </w:style>
  <w:style w:type="paragraph" w:styleId="BodyText">
    <w:name w:val="Body Text"/>
    <w:basedOn w:val="Normal"/>
    <w:rPr>
      <w:sz w:val="22"/>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81B84"/>
    <w:rPr>
      <w:rFonts w:ascii="Tahoma" w:hAnsi="Tahoma" w:cs="Tahoma"/>
      <w:sz w:val="16"/>
      <w:szCs w:val="16"/>
    </w:rPr>
  </w:style>
  <w:style w:type="table" w:styleId="TableGrid">
    <w:name w:val="Table Grid"/>
    <w:basedOn w:val="TableNormal"/>
    <w:rsid w:val="00E2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FD6E9F"/>
    <w:pPr>
      <w:keepNext/>
      <w:spacing w:before="240" w:after="60"/>
      <w:outlineLvl w:val="0"/>
    </w:pPr>
    <w:rPr>
      <w:rFonts w:ascii="Trebuchet MS" w:hAnsi="Trebuchet MS" w:cs="Arial"/>
      <w:b/>
      <w:kern w:val="32"/>
      <w:sz w:val="26"/>
      <w:szCs w:val="32"/>
      <w:lang w:val="en-AU" w:eastAsia="en-US"/>
    </w:rPr>
  </w:style>
  <w:style w:type="paragraph" w:customStyle="1" w:styleId="ActTitle">
    <w:name w:val="Act Title"/>
    <w:basedOn w:val="Normal"/>
    <w:next w:val="Normal"/>
    <w:rsid w:val="009033EF"/>
    <w:pPr>
      <w:pBdr>
        <w:bottom w:val="single" w:sz="4" w:space="3" w:color="auto"/>
      </w:pBdr>
      <w:spacing w:before="480" w:after="240"/>
    </w:pPr>
    <w:rPr>
      <w:rFonts w:ascii="Arial" w:hAnsi="Arial"/>
      <w:i/>
      <w:iCs/>
      <w:sz w:val="28"/>
      <w:lang w:val="en-AU"/>
    </w:rPr>
  </w:style>
  <w:style w:type="character" w:styleId="CommentReference">
    <w:name w:val="annotation reference"/>
    <w:semiHidden/>
    <w:rsid w:val="00090795"/>
    <w:rPr>
      <w:sz w:val="16"/>
      <w:szCs w:val="16"/>
    </w:rPr>
  </w:style>
  <w:style w:type="paragraph" w:styleId="CommentText">
    <w:name w:val="annotation text"/>
    <w:basedOn w:val="Normal"/>
    <w:semiHidden/>
    <w:rsid w:val="00090795"/>
    <w:rPr>
      <w:sz w:val="20"/>
    </w:rPr>
  </w:style>
  <w:style w:type="paragraph" w:styleId="CommentSubject">
    <w:name w:val="annotation subject"/>
    <w:basedOn w:val="CommentText"/>
    <w:next w:val="CommentText"/>
    <w:semiHidden/>
    <w:rsid w:val="00090795"/>
    <w:rPr>
      <w:b/>
      <w:bCs/>
    </w:rPr>
  </w:style>
  <w:style w:type="paragraph" w:customStyle="1" w:styleId="IntroTo">
    <w:name w:val="IntroTo:"/>
    <w:basedOn w:val="Normal"/>
    <w:rsid w:val="006D2ED0"/>
    <w:pPr>
      <w:ind w:left="720" w:hanging="720"/>
    </w:pPr>
    <w:rPr>
      <w:lang w:val="en-AU" w:eastAsia="en-US"/>
    </w:rPr>
  </w:style>
  <w:style w:type="paragraph" w:customStyle="1" w:styleId="IP">
    <w:name w:val="IP"/>
    <w:aliases w:val="Interpretation paragraph"/>
    <w:basedOn w:val="Normal"/>
    <w:next w:val="Normal"/>
    <w:rsid w:val="006D2ED0"/>
    <w:pPr>
      <w:keepNext/>
      <w:tabs>
        <w:tab w:val="right" w:pos="794"/>
      </w:tabs>
      <w:spacing w:before="120" w:line="260" w:lineRule="exact"/>
      <w:ind w:left="964" w:hanging="964"/>
      <w:jc w:val="both"/>
    </w:pPr>
    <w:rPr>
      <w:szCs w:val="24"/>
      <w:lang w:val="en-AU" w:eastAsia="en-US"/>
    </w:rPr>
  </w:style>
  <w:style w:type="paragraph" w:styleId="Footer">
    <w:name w:val="footer"/>
    <w:basedOn w:val="Normal"/>
    <w:link w:val="FooterChar"/>
    <w:uiPriority w:val="99"/>
    <w:unhideWhenUsed/>
    <w:rsid w:val="00367279"/>
    <w:pPr>
      <w:tabs>
        <w:tab w:val="center" w:pos="4513"/>
        <w:tab w:val="right" w:pos="9026"/>
      </w:tabs>
    </w:pPr>
  </w:style>
  <w:style w:type="character" w:customStyle="1" w:styleId="FooterChar">
    <w:name w:val="Footer Char"/>
    <w:link w:val="Footer"/>
    <w:uiPriority w:val="99"/>
    <w:rsid w:val="00367279"/>
    <w:rPr>
      <w:sz w:val="24"/>
      <w:lang w:val="en-GB"/>
    </w:rPr>
  </w:style>
  <w:style w:type="character" w:styleId="Hyperlink">
    <w:name w:val="Hyperlink"/>
    <w:uiPriority w:val="99"/>
    <w:unhideWhenUsed/>
    <w:rsid w:val="004D236F"/>
    <w:rPr>
      <w:color w:val="0563C1"/>
      <w:u w:val="single"/>
    </w:rPr>
  </w:style>
  <w:style w:type="paragraph" w:styleId="ListParagraph">
    <w:name w:val="List Paragraph"/>
    <w:basedOn w:val="Normal"/>
    <w:uiPriority w:val="34"/>
    <w:qFormat/>
    <w:rsid w:val="004B3E50"/>
    <w:pPr>
      <w:ind w:left="720"/>
      <w:contextualSpacing/>
    </w:pPr>
  </w:style>
  <w:style w:type="paragraph" w:styleId="Revision">
    <w:name w:val="Revision"/>
    <w:hidden/>
    <w:uiPriority w:val="99"/>
    <w:semiHidden/>
    <w:rsid w:val="00726A4D"/>
    <w:rPr>
      <w:sz w:val="24"/>
      <w:lang w:val="en-GB"/>
    </w:rPr>
  </w:style>
  <w:style w:type="paragraph" w:styleId="FootnoteText">
    <w:name w:val="footnote text"/>
    <w:basedOn w:val="Normal"/>
    <w:link w:val="FootnoteTextChar"/>
    <w:uiPriority w:val="99"/>
    <w:semiHidden/>
    <w:unhideWhenUsed/>
    <w:rsid w:val="008669E7"/>
    <w:rPr>
      <w:sz w:val="20"/>
    </w:rPr>
  </w:style>
  <w:style w:type="character" w:customStyle="1" w:styleId="FootnoteTextChar">
    <w:name w:val="Footnote Text Char"/>
    <w:basedOn w:val="DefaultParagraphFont"/>
    <w:link w:val="FootnoteText"/>
    <w:uiPriority w:val="99"/>
    <w:semiHidden/>
    <w:rsid w:val="008669E7"/>
    <w:rPr>
      <w:lang w:val="en-GB"/>
    </w:rPr>
  </w:style>
  <w:style w:type="character" w:styleId="FootnoteReference">
    <w:name w:val="footnote reference"/>
    <w:basedOn w:val="DefaultParagraphFont"/>
    <w:uiPriority w:val="99"/>
    <w:semiHidden/>
    <w:unhideWhenUsed/>
    <w:rsid w:val="00866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customXml" Target="ink/ink3.xml"/><Relationship Id="rId26" Type="http://schemas.openxmlformats.org/officeDocument/2006/relationships/customXml" Target="ink/ink7.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customXml" Target="ink/ink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ink/ink6.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 Id="rId22" Type="http://schemas.openxmlformats.org/officeDocument/2006/relationships/customXml" Target="ink/ink5.xml"/><Relationship Id="rId27" Type="http://schemas.openxmlformats.org/officeDocument/2006/relationships/image" Target="media/image8.emf"/><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8.513"/>
    </inkml:context>
    <inkml:brush xml:id="br0">
      <inkml:brushProperty name="width" value="0.04667" units="cm"/>
      <inkml:brushProperty name="height" value="0.04667" units="cm"/>
      <inkml:brushProperty name="fitToCurve" value="1"/>
    </inkml:brush>
  </inkml:definitions>
  <inkml:trace contextRef="#ctx0" brushRef="#br0">0 83 2296 0,'0'0'51'0,"0"0"10"0,0 0 3 0,0 0 0 0,0 0-52 0,0 0-12 0,0 0 0 0,8 3 0 16,7 4 45-16,0-7 7 0,11 3 0 0,8 1 1 15,0-4-45-15,7 0-8 0,8-4 0 0,0 4-8 16,0-3 17-16,4 3 4 0,-1-7 1 0,-3 4 0 15,4 0-14-15,-4-4 0 0,0 0 8 0,0 1-8 16,-4-4-26 0,7-4-8-16,5-2-2 0,-1-4-1052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8.190"/>
    </inkml:context>
    <inkml:brush xml:id="br0">
      <inkml:brushProperty name="width" value="0.04667" units="cm"/>
      <inkml:brushProperty name="height" value="0.04667" units="cm"/>
      <inkml:brushProperty name="fitToCurve" value="1"/>
    </inkml:brush>
  </inkml:definitions>
  <inkml:trace contextRef="#ctx0" brushRef="#br0">291 341 1177 0,'0'0'52'0,"0"0"11"16,0 0-51-16,0 0-12 0,0 0 0 0,0 0 0 15,0 0 64-15,7-6 9 0,-7 6 3 0,0 0 0 0,0 0-11 0,0 0-1 16,0-7-1-16,0 7 0 0,-7-3 2 0,-1-4 1 15,4 0 0-15,-3 4 0 0,-5-4-20 0,5 0-4 16,-4 1-1-16,-1-1 0 0,5 4-10 0,-5-1-3 16,-6 1 0-16,10 0 0 0,0-1-4 0,-3 4-2 15,-4 0 0-15,0 0 0 0,4 4-8 0,3-1-2 0,-3 0 0 0,-4-3 0 16,-4 7-12-16,4-4 0 0,4 4 0 0,-1 0 0 16,-3 0-8-16,8-1 8 0,3 4-12 0,4-3 12 15,-4 3-23-15,0 0 3 0,4-3 0 0,8 3 0 31,-1-3-11-31,-7-7-1 0,-3 10-1 0,3-10 0 0,7 6 1 0,-7-6 1 16,0 0 0-16,0 0 0 0,0 0 14 0,8 0 2 16,3 0 1-16,-11 0 0 0,0 0 14 0,11-6 0 15,8 2 0-15,0-2-9 0,-8 2 9 0,1 1 0 16,3 0 0-16,-4-1 0 0,4 4 0 0,-4 0 0 16,1 4-9-16,-1-1 9 0,4 4 0 0,-4-4 0 15,-11-3 0-15,8 10 8 0,3 0 1 0,-3 0 0 16,-1 0 0-16,-3-3 0 0,4 3 14 0,-5-3 2 0,-3-7 1 0,8 10 0 15,-8-10-26-15,0 0 0 0,8 3 0 0,-8-3 0 16,0 0 0-16,7 3-11 0,1-3 3 0,3-3 0 16,-4 0 8-16,5-7 9 0,-5-4-1 0,5 1-8 15,-5-4-22-15,1 0-11 0,3-3-3 0,0 0 0 0,-3-3 14 0,3-1 2 16,-3 4 1-16,-1-3 0 0,1-1 19 0,-4 1 0 16,3 3 0-16,-3-4 0 0,3 4 12 0,-3 0 5 15,0 3 2-15,0-3 0 0,-1 7 13 0,1-1 4 0,0 4 0 0,0 0 0 16,0 3-22-16,-4 7-4 0,0 0-1 0,0 0 0 15,0 0 2-15,0 0 0 0,0 0 0 0,0 0 0 16,0 0 2-16,3 7 1 0,1 6 0 0,0 1 0 16,-4-4-14-16,0 3 9 0,0 4-9 0,0 0 8 15,-4 0-8-15,4-1 0 0,0 1 0 0,0 0 8 16,4 0-8-16,-4-4 0 16,0-3 0-16,4 4 8 0,-4-14-8 0,3 6 0 15,-3-6 0-15,8 7 8 0,-8-7-8 0,8 7 0 16,-8-7 0-16,11-4-11 0,0 1 1 0,0 0 0 15,1-4 0-15,-1 0 0 0,-3-3 10 0,-1 0-8 16,4-3 8-16,1-1-8 0,-5 4 8 0,1-3 0 0,-4-1 0 0,3-2-8 16,1 2 8-16,-1 1 0 0,1-1 0 0,-1-2 0 15,-3 2 14-15,4 1-2 0,-5-1 0 0,1 4 0 0,0 0-3 16,3 4-1-16,-3-4 0 0,-4 10 0 0,0 0-8 0,0 0 0 16,0 0 0-16,0 0 8 0,12 6 5 0,-9 4 1 15,5 0 0-15,-4 4 0 0,-1 3-14 0,1 3 0 16,0-4 0-16,-4 5 0 0,4-1 0 0,-1 0 0 15,1-4 0-15,4 5 0 0,-1-5 0 0,1 1 0 32,-1-3 0-32,9-1 0 0,-1-3 0 0,3-3 0 0,1-4-8 0,4-6 8 15,0-1-12-15,7-2 2 0,0-8 0 0,0 1 0 16,3-4 10-16,5 0 0 0,-1-3 0 0,5 0 0 16,-4 3 0-16,3-3 8 0,0 3-8 0,-3 4 11 15,4 0 9-15,-5 3 3 0,-3 0 0 0,4 3 0 16,-4 0 17-16,0 4 4 0,0-1 1 0,4 1 0 15,-5 3-4-15,1-3-1 0,0 3 0 0,-4 0 0 0,1 3-8 0,-1-3-1 16,-4 3-1-16,1 1 0 16,-9-1-48-16,5 0-10 0,3 1-1 0,-7-4-1 15,-4 3-20-15,0-3-4 0,-3-3-1 0,-1 3 0 16,-3 0-117-16,-8 0-23 0,7-4-5 0,-7 4 0 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7.141"/>
    </inkml:context>
    <inkml:brush xml:id="br0">
      <inkml:brushProperty name="width" value="0.04667" units="cm"/>
      <inkml:brushProperty name="height" value="0.04667" units="cm"/>
      <inkml:brushProperty name="fitToCurve" value="1"/>
    </inkml:brush>
  </inkml:definitions>
  <inkml:trace contextRef="#ctx0" brushRef="#br0">43 683 288 0,'-19'3'12'0,"19"-3"4"15,0 0-16-15,0 0 0 0,0 0 0 0,0 0 0 16,-11 4 285-16,11-4 55 0,0 0 10 0,0 0 2 0,-11 0-262 0,11 0-53 16,0 0-10-16,0 0-3 0,0 0 14 0,0 0 2 15,0 0 1-15,0 0 0 0,11-10-24 0,-7 3-5 16,-8-6 0-16,0 2-1 16,8-5 3-16,0-1 1 0,-8 0 0 0,0-3 0 15,4 0-15-15,4 0 0 0,0-7 8 0,-8 0-8 16,-7 1 0-16,7-1 9 0,15 0-9 0,-7 4 8 15,-8-4-8-15,0 7 0 0,12-4 0 0,-1 8 8 16,9 2-8-16,-13 1 0 0,1 3 0 0,4 3 0 16,7 1 62-16,-8 6 10 0,-7 0 3 0,0 0 0 15,11 0-55-15,-3 3-10 0,-8-3-2 0,4 10-8 16,-4 0-44-16,3 3-16 0,1-3-4 0,0 4 0 0,-8-1 48 0,4 4 16 16,8-7-12-16,-1 3 12 0,-7-6 0 0,0-7-9 15,8 7 9-15,-1-1 0 0,12-2-10 0,-8-8 10 16,-11 4-12-16,12-6 12 0,6-1-19 0,1-6 3 15,-11-4 1-15,7 0 0 0,-4-3-5 0,4 0-2 0,4-3 0 16,-8-1 0 0,-3 1 12-16,-1-1 10 0,12 1-13 0,-8-1 5 15,-7 1 8-15,4 3 12 0,3 0-2 0,0 0-1 16,1 3 19-16,-5 4 4 0,-3 3 1 0,3 0 0 16,5 6 2-16,-12 4 0 0,0 0 0 0,0 0 0 0,0 0-11 0,7 10-3 15,-3 4 0-15,-8 2 0 0,0 4-13 0,1 4-8 16,3 3 8-16,-4 3-8 0,-7 0 17 0,3 0-1 15,8 0 0-15,0 0 0 0,-4 0-6 0,1 4-2 0,-1-4 0 0,4 0 0 16,7-3-8-16,-7-4-11 0,-3 1 3 0,3-4-648 16,7-3-128-16</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6.355"/>
    </inkml:context>
    <inkml:brush xml:id="br0">
      <inkml:brushProperty name="width" value="0.04667" units="cm"/>
      <inkml:brushProperty name="height" value="0.04667" units="cm"/>
      <inkml:brushProperty name="fitToCurve" value="1"/>
    </inkml:brush>
  </inkml:definitions>
  <inkml:trace contextRef="#ctx0" brushRef="#br0">19 141 172 0,'3'10'16'0,"-3"-7"-16"16,8-3 0-16,-4 0 0 0,-4 0 236 0,0 0 44 0,3 4 8 0,5-1 3 16,0-3-193-16,-5 0-38 0,1 0-8 0,4 0-2 15,-1 0-30-15,-7 0-7 0,0 0-1 0,0 0 0 16,0 0 16-16,4 0 4 0,-4 0 0 0,0 0 0 16,0 0-16-16,0 0-2 0,7-7-1 0,-3 0 0 15,-4 7-13-15,0 0 0 0,0-10 0 0,4 7 0 16,-4-7 0-16,0 3 0 15,0 1 0-15,0-4 0 0,0 10 0 0,0-7-8 16,0 7 8-16,0-7 0 0,0 0 0 0,0 7 0 0,-4-6 0 0,0 2 9 16,4 4-9-16,0 0 0 0,0-3 0 0,-3 0 0 15,-1-1 11-15,4 4-3 0,0 0-8 0,-4 0 12 16,-3 4 2-16,-1 2 0 0,8-6 0 0,-4 7 0 16,-3 0-2-16,3 0 0 0,0-1 0 0,0 1 0 15,1 3 3-15,-1 0 0 0,-4 0 0 0,5 0 0 0,-1 4-15 0,0-4 9 16,4 3-9-16,-4 0 8 0,1-3 0 0,3 4-8 15,0-1 12-15,-4-3-4 0,4 4-8 0,0-1 0 16,0-6 0-16,0 3 0 0,0-10 0 0,4 7 10 16,-1 3-1-16,-3-10 0 0,8 6-9 0,-8-6 8 15,7 7-8-15,1-4 8 0,-1 1-8 0,-7-4 0 16,0 0 0-16,8 0 0 16,3 0 0-16,1 0 0 0,-12 0 0 0,7-4 8 15,1-2-8-15,-1-1 0 0,1 0 9 0,-1 1-9 16,-3-1 0-16,4-3 8 0,-5 3-8 0,5-3 0 15,-1 3 0-15,-3-3 0 0,8 4 0 0,-9-4 0 16,5 0 0-16,-4-1 0 0,-1 5 0 0,1-1 0 16,4 0 0-16,-4 1 0 0,-4 6 0 0,0 0 0 0,3-7 0 0,-3 7 0 15,0 0 0-15,0 0 0 0,0 0 0 0,0 0 8 0,4-7-8 0,-4 7 0 16,0 0 8-16,0 0-8 0,0 0 8 0,0 0-8 16,0 0 13-16,0 0-1 0,0 0-1 0,0 0 0 15,8 4 1-15,-8-4 1 0,3 6 0 0,1 1 0 16,-4-7-1-16,4 7 0 0,-4-7 0 0,0 0 0 15,0 0-12-15,0 0 9 0,0 0-9 0,0 0 8 16,-4 10-8-16,4-10 0 0,0 0 9 0,0 0-9 0,0 0 0 0,0 0 0 16,0 0-12-16,0 0 4 0,0 0-14 0,0 0-2 15,0 0-1-15,0 0 0 0,11-4 1 0,-11 4 0 16,0 0 0-16,8-3 0 0,7-4 10 0,-7 1 2 16,3-1 1-16,-4 4 0 0,1-4 11 0,7 4 0 15,0-1 0-15,-4 1 0 0,-3-1 0 0,3 1-8 16,8 0 8-16,0-1-8 15,-8 1 16-15,1 0 4 0,10-1 1 0,-3 4 0 16,4 0 2-16,-12-3 0 0,-3-4 0 0,7 7 0 16,4-3-7-16,-4 0 0 0,-15 3-8 0,7-4 12 0,4-2-12 0,1 2 9 15,-5-6-9-15,1 3 8 0,-12 1-20 0,8-4-4 16,3 3 0-16,-3-3-1 16,-8 3-24-16,4-3-5 0,4 0-1 0,0 3 0 15,0-3 5-15,-4 10 1 0,0 0 0 0,0 0 0 0,7-3 30 0,-7 3 11 0,-7-3 0 0,7 3-9 16,0 0 9-16,0 0 0 0,-4 6 0 0,-7 8 0 15,3-1 24-15,1 1 0 0,7 2 0 0,-8-2 0 32,-7 3 12-32,7-1 2 0,12 1 1 0,-4-4 0 0,-7 1-25 0,3-4-5 15,4 3-1-15,4 1 0 0,7-1 4 0,-7-3 1 16,-4 0 0-16,7 0 0 0,1 0 3 0,-4 0 0 16,-4-3 0-16,0 3 0 0,7 0-16 0,-3-3 0 15,3 0 0-15,-7-7 0 16,0 0-113-16,0 0-16 0,12 10-3 0,-12-10-1 0</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5.222"/>
    </inkml:context>
    <inkml:brush xml:id="br0">
      <inkml:brushProperty name="width" value="0.04667" units="cm"/>
      <inkml:brushProperty name="height" value="0.04667" units="cm"/>
      <inkml:brushProperty name="fitToCurve" value="1"/>
    </inkml:brush>
  </inkml:definitions>
  <inkml:trace contextRef="#ctx0" brushRef="#br0">0 40 921 0,'0'0'82'0,"0"0"-66"0,0 0-16 0,0 0 0 0,0 0 159 0,0 0 28 16,0 0 5-16,0 0 2 0,0 0-146 0,0 0-30 16,11 4-6-16,0-1 0 0,1-3-12 0,-1 0 0 15,0 3 0-15,-3 1 0 0,7-4 0 0,-4 0 13 16,1 0-1-16,-1-4-1 0,-4 1 14 0,1 3 3 16,7-3 1-16,0 3 0 0,-4-4-29 0,5 1 0 15,-9-4 0-15,8 1 0 16,0-1-30-16,-7 0-12 0,3-3-2 0</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4.953"/>
    </inkml:context>
    <inkml:brush xml:id="br0">
      <inkml:brushProperty name="width" value="0.04667" units="cm"/>
      <inkml:brushProperty name="height" value="0.04667" units="cm"/>
      <inkml:brushProperty name="fitToCurve" value="1"/>
    </inkml:brush>
  </inkml:definitions>
  <inkml:trace contextRef="#ctx0" brushRef="#br0">107 15 230 0,'0'0'20'0,"0"0"-20"16,0 0 0-16,0 0 0 0,0 0 156 0,0 0 26 15,0 0 6-15,0 0 0 0,0 0-91 0,0 0-18 0,0 0-4 0,-4-7-1 16,0 1-16-16,1 2-3 0,3 4-1 0,0 0 0 16,0 0 15-16,0 0 3 0,0 0 1 0,0 0 0 15,0 0-1-15,0 0 0 0,0 0 0 0,0 0 0 16,0 0-25-16,0 0-6 0,0 0-1 0,0 0 0 0,-4 7-20 0,0 3-4 16,4 0 0-16,-4 0-1 0,-3 3-3 0,3 1 0 15,-3 2 0-15,-1 4 0 0,1 0 0 0,3 4 0 16,0-1 0-16,1 0 0 0,-5 1 7 0,4-1 1 15,1-3 0-15,3-3 0 0,-4 3-20 0,4-3 0 16,-4-1 8-16,4 1-8 0,-3 0 0 0,-1-4 0 16,4 0 0-16,-4-3 0 31,0 0-28-31,4 0-4 0,-3-3 0 0,3-7 0 16,0 0-17-16,0 0-4 0,0 0-1 0,0 7 0 0,0-7-34 0,0 0-8 0,0 0 0 0,0 0-421 15,0 0-84-15</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0-05-29T01:27:34.329"/>
    </inkml:context>
    <inkml:brush xml:id="br0">
      <inkml:brushProperty name="width" value="0.04667" units="cm"/>
      <inkml:brushProperty name="height" value="0.04667" units="cm"/>
      <inkml:brushProperty name="fitToCurve" value="1"/>
    </inkml:brush>
  </inkml:definitions>
  <inkml:trace contextRef="#ctx0" brushRef="#br0">6 693 615 0,'-8'0'27'0,"8"0"6"0,0 0-33 0,0 0 0 16,0 0 0-16,0 0 0 0,0 0 48 0,0 0 4 16,0 0 0-16,0 0 0 0,0 0-1 0,0 0 0 0,0 0 0 0,0 0 0 15,0 0-2-15,0 0 0 0,0 0 0 0,0 0 0 16,0 0-3-16,0 0-1 15,0 0 0-15,0 0 0 0,0 0-12 0,0 0-2 16,0 0-1-16,0 0 0 0,0 0-4 0,0 0-1 16,0 0 0-16,0 0 0 0,0 0-9 0,0 0-3 15,0 0 0-15,0 0 0 0,0 0 4 0,0 0 1 16,0 0 0-16,0 0 0 0,0 0-6 0,0 0-2 0,0 0 0 0,0 0 0 0,0 0 2 0,0 0 1 16,0 0 0-16,0 0 0 0,0 0 5 0,0 0 1 15,-3-6 0-15,3 6 0 0,11-7-19 0,-11 7 8 16,0-7-8-16,7 1 0 0,1-1 8 0,3 0-8 15,-3 4 0-15,-1-4 0 0,-3 0 11 0,0 1-2 16,11-1 0-16,-4 0 0 0,-3 1 1 0,3-1 0 16,0-3 0-16,1 3 0 15,-1-3 3-15,0 0 1 0,4 0 0 0,-3 0 0 16,-1 0-14-16,3 0 0 0,-3-3 0 0,1-1 0 16,-1 1 0-16,0 0 8 0,8-4-8 0,-11 4 9 15,3-5-9-15,4 5 8 0,-4-4-8 0,1 0 8 0,-5 0-8 16,5 1 0-16,-1-1 0 0,0 0 8 0,-3 4 8 0,3-4 2 15,0 4 0-15,1 0 0 0,-1-1-18 0,0 1-14 16,-3-1 2-16,-1 1 1 0,5 3 11 0,-5 0 11 0,1-3-3 0,-1 3 0 16,1-4 2-16,-4 4 0 0,-1 0 0 0,1 0 0 15,4 0-2-15,-4 0-8 0,-1 0 12 0,1 0-4 16,-4 3-8-16,0-3 8 0,0 4-8 0,4-1 8 16,-4 0-8-16,0 1 0 0,0-1 0 0,0 0 8 15,0 7-8-15,0 0 0 0,0 0 0 0,0-3 8 16,0 0-8-16,0 3 8 15,-8-7-8-15,5 4 8 0,3 3-8 0,-8 0 8 16,0 0-8-16,1 0 8 0,-4 3-8 0,3 0 0 16,4 4 0-16,-3 3 0 0,-5 0-9 0,5 7 9 15,-1-4-12-15,1 0 12 0,3 4-10 0,-3 0 10 16,3 0-8-16,0-1 8 0,4 1-8 0,0 0 8 16,0 3-8-16,0-4 8 0,4 1-11 0,-4 0 11 0,7 0-13 15,-7-1 5-15,4 1 8 0,0 0 0 0,0-4 0 0,-1 4 0 16,1-4 0-16,0 0-8 0,0 1 0 0,-1-4 0 15,-3 3 8-15,-3-3 0 0,-1 4 0 0,0-3 0 0,4-1 0 16,-7 3 11-16,-1-6-3 0,1 3 0 0,-1 0 0 0,0 0-8 16,-3-3 12-16,0-1-4 0,0 1-8 0,-1 0 12 15,-3-4-12-15,4 4 12 0,-8-1-12 0,8-2-14 16,-1-1 3-16,-3-3 1 31,4 0-42-31,0 0-8 0,3 0-1 0,-3 0-794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BASEL III CRIS - CLF </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Approval of ADIs’ applications with respect to the RBA’s Committed Liquidity Facility - Calendar Year 2019</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5JENXJJSCC7A-445999044-11076</_dlc_DocId>
    <_dlc_DocIdUrl xmlns="814d62cb-2db6-4c25-ab62-b9075facbc11">
      <Url>https://im/teams/LEGAL/_layouts/15/DocIdRedir.aspx?ID=5JENXJJSCC7A-445999044-11076</Url>
      <Description>5JENXJJSCC7A-445999044-11076</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7D83-5795-4A38-8A1E-1F41CDF39181}">
  <ds:schemaRefs>
    <ds:schemaRef ds:uri="http://schemas.microsoft.com/sharepoint/events"/>
  </ds:schemaRefs>
</ds:datastoreItem>
</file>

<file path=customXml/itemProps2.xml><?xml version="1.0" encoding="utf-8"?>
<ds:datastoreItem xmlns:ds="http://schemas.openxmlformats.org/officeDocument/2006/customXml" ds:itemID="{169D1976-F1C5-48B5-9392-5D44BDCC6BDA}">
  <ds:schemaRefs>
    <ds:schemaRef ds:uri="http://schemas.microsoft.com/sharepoint/v3/contenttype/forms"/>
  </ds:schemaRefs>
</ds:datastoreItem>
</file>

<file path=customXml/itemProps3.xml><?xml version="1.0" encoding="utf-8"?>
<ds:datastoreItem xmlns:ds="http://schemas.openxmlformats.org/officeDocument/2006/customXml" ds:itemID="{876BC378-9763-4795-8686-4ABB91972B94}">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B4E4136-E5F7-4C39-8A1A-AFF63E95B3EE}">
  <ds:schemaRefs>
    <ds:schemaRef ds:uri="Microsoft.SharePoint.Taxonomy.ContentTypeSync"/>
  </ds:schemaRefs>
</ds:datastoreItem>
</file>

<file path=customXml/itemProps5.xml><?xml version="1.0" encoding="utf-8"?>
<ds:datastoreItem xmlns:ds="http://schemas.openxmlformats.org/officeDocument/2006/customXml" ds:itemID="{209CA236-6C80-4812-B5F7-EE04E91C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53BE96-FBAC-422C-99A0-7977EDF4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3165</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APRA Instrument Fixing Charges No.7 of 2018 (CLFs) - Final</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Fixing Charges No. 2 of 2020</dc:title>
  <dc:subject/>
  <dc:creator/>
  <cp:keywords>[SEC=UNCLASSIFIED]</cp:keywords>
  <cp:lastModifiedBy/>
  <cp:revision>1</cp:revision>
  <dcterms:created xsi:type="dcterms:W3CDTF">2020-06-03T04:43:00Z</dcterms:created>
  <dcterms:modified xsi:type="dcterms:W3CDTF">2020-06-03T04:44:00Z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D114558E6F7826245122193D3F4E0CEB36FD3B17</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D611F4340A9D4F0C9458593F90EF2A53</vt:lpwstr>
  </property>
  <property fmtid="{D5CDD505-2E9C-101B-9397-08002B2CF9AE}" pid="16" name="PM_OriginationTimeStamp">
    <vt:lpwstr>2020-06-03T04:41:47Z</vt:lpwstr>
  </property>
  <property fmtid="{D5CDD505-2E9C-101B-9397-08002B2CF9AE}" pid="17" name="PM_Hash_Version">
    <vt:lpwstr>2018.0</vt:lpwstr>
  </property>
  <property fmtid="{D5CDD505-2E9C-101B-9397-08002B2CF9AE}" pid="18" name="PM_Hash_Salt_Prev">
    <vt:lpwstr>A772793BD038FF55D18CA841D9E900A1</vt:lpwstr>
  </property>
  <property fmtid="{D5CDD505-2E9C-101B-9397-08002B2CF9AE}" pid="19" name="PM_Hash_Salt">
    <vt:lpwstr>661358A821CFCC1406A8A1E3BA98762F</vt:lpwstr>
  </property>
  <property fmtid="{D5CDD505-2E9C-101B-9397-08002B2CF9AE}" pid="20" name="PM_MinimumSecurityClassification">
    <vt:lpwstr/>
  </property>
  <property fmtid="{D5CDD505-2E9C-101B-9397-08002B2CF9AE}" pid="21" name="PM_SecurityClassification_Prev">
    <vt:lpwstr>UNCLASSIFIED</vt:lpwstr>
  </property>
  <property fmtid="{D5CDD505-2E9C-101B-9397-08002B2CF9AE}" pid="22" name="PM_Qualifier_Prev">
    <vt:lpwstr/>
  </property>
  <property fmtid="{D5CDD505-2E9C-101B-9397-08002B2CF9AE}" pid="23" name="ContentTypeId">
    <vt:lpwstr>0x0101008CA7A4F8331B45C7B0D3158B4994D0CA0200577EC0F5A1FBFC498F9A8436B963F8A6</vt:lpwstr>
  </property>
  <property fmtid="{D5CDD505-2E9C-101B-9397-08002B2CF9AE}" pid="24" name="_dlc_DocIdItemGuid">
    <vt:lpwstr>3e632f57-e980-4e11-b2ef-4e7cb59bb877</vt:lpwstr>
  </property>
  <property fmtid="{D5CDD505-2E9C-101B-9397-08002B2CF9AE}" pid="25" name="IsLocked">
    <vt:lpwstr>False</vt:lpwstr>
  </property>
  <property fmtid="{D5CDD505-2E9C-101B-9397-08002B2CF9AE}" pid="26"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27" name="IT system type">
    <vt:lpwstr/>
  </property>
  <property fmtid="{D5CDD505-2E9C-101B-9397-08002B2CF9AE}" pid="28" name="APRACategory">
    <vt:lpwstr/>
  </property>
  <property fmtid="{D5CDD505-2E9C-101B-9397-08002B2CF9AE}" pid="29" name="APRADocumentType">
    <vt:lpwstr>58;#Legal instrument|71fd6ed3-d6d6-4975-ba99-bfe45802e734</vt:lpwstr>
  </property>
  <property fmtid="{D5CDD505-2E9C-101B-9397-08002B2CF9AE}" pid="30" name="APRAStatus">
    <vt:lpwstr>19;#Final|84d6b2d0-8498-4d62-bf46-bab38babbe9e</vt:lpwstr>
  </property>
  <property fmtid="{D5CDD505-2E9C-101B-9397-08002B2CF9AE}" pid="31" name="APRAPRSG">
    <vt:lpwstr/>
  </property>
  <property fmtid="{D5CDD505-2E9C-101B-9397-08002B2CF9AE}" pid="32" name="APRAActivity">
    <vt:lpwstr>109;#Statutory instrument|fe68928c-5a9c-4caf-bc8c-6c18cedcb17f;#10;#Registration|390476ce-d76d-4e8d-905f-28e32d2df127</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
  </property>
  <property fmtid="{D5CDD505-2E9C-101B-9397-08002B2CF9AE}" pid="36" name="APRAYear">
    <vt:lpwstr>229;#2020|29ca90e3-c619-4296-b1bf-6e33e4d24a28</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{3e632f57-e980-4e11-b2ef-4e7cb59bb877}</vt:lpwstr>
  </property>
  <property fmtid="{D5CDD505-2E9C-101B-9397-08002B2CF9AE}" pid="45" name="RecordPoint_RecordNumberSubmitted">
    <vt:lpwstr>R0001104416</vt:lpwstr>
  </property>
  <property fmtid="{D5CDD505-2E9C-101B-9397-08002B2CF9AE}" pid="46" name="RecordPoint_SubmissionCompleted">
    <vt:lpwstr>2020-06-03T19:25:21.2061204+10:00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PM_Note">
    <vt:lpwstr/>
  </property>
  <property fmtid="{D5CDD505-2E9C-101B-9397-08002B2CF9AE}" pid="51" name="PM_Markers">
    <vt:lpwstr/>
  </property>
</Properties>
</file>