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0557" w14:textId="3961AF0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93DBEEF"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2F69AAF1BAD74733A146A2A7A82371C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F60AAC">
            <w:rPr>
              <w:sz w:val="24"/>
              <w:szCs w:val="24"/>
            </w:rPr>
            <w:t>Assistant Minister for Finance, Charities and Electoral Matters</w:t>
          </w:r>
        </w:sdtContent>
      </w:sdt>
    </w:p>
    <w:p w14:paraId="60D2B8FB" w14:textId="77777777" w:rsidR="00F109D4" w:rsidRDefault="00F60AAC" w:rsidP="003C7907">
      <w:pPr>
        <w:spacing w:before="240" w:after="240"/>
        <w:jc w:val="center"/>
        <w:rPr>
          <w:i/>
        </w:rPr>
      </w:pPr>
      <w:r>
        <w:rPr>
          <w:i/>
        </w:rPr>
        <w:t>Taxation Administration Act 1953</w:t>
      </w:r>
    </w:p>
    <w:p w14:paraId="0F0F4D14" w14:textId="4AAA5A7A" w:rsidR="00F109D4" w:rsidRPr="00503E44" w:rsidRDefault="001617DC" w:rsidP="00AA1689">
      <w:pPr>
        <w:tabs>
          <w:tab w:val="left" w:pos="1418"/>
        </w:tabs>
        <w:spacing w:before="0" w:after="240"/>
        <w:jc w:val="center"/>
        <w:rPr>
          <w:i/>
        </w:rPr>
      </w:pPr>
      <w:r w:rsidRPr="000474DD">
        <w:rPr>
          <w:i/>
        </w:rPr>
        <w:t>Taxation Administration (Coronavirus Economic Response Package—Ancillary Funds) Amendment Guidelines 2020</w:t>
      </w:r>
    </w:p>
    <w:p w14:paraId="590CAE36" w14:textId="6E9EED10" w:rsidR="00F109D4" w:rsidRDefault="00C55D29" w:rsidP="00647BB7">
      <w:pPr>
        <w:spacing w:before="240"/>
      </w:pPr>
      <w:r w:rsidRPr="00503E44">
        <w:t>Section</w:t>
      </w:r>
      <w:r w:rsidR="00F60AAC">
        <w:t>s 426-103 and</w:t>
      </w:r>
      <w:r w:rsidRPr="00503E44">
        <w:t xml:space="preserve"> </w:t>
      </w:r>
      <w:r w:rsidR="00F60AAC">
        <w:t>426-110 in Schedule 1 to</w:t>
      </w:r>
      <w:r w:rsidR="005E4BAC">
        <w:t xml:space="preserve"> </w:t>
      </w:r>
      <w:r w:rsidR="00F109D4" w:rsidRPr="00503E44">
        <w:t xml:space="preserve">the </w:t>
      </w:r>
      <w:r w:rsidR="00F60AAC" w:rsidRPr="00F60AAC">
        <w:rPr>
          <w:i/>
        </w:rPr>
        <w:t>Taxation Administration Act 1953</w:t>
      </w:r>
      <w:r w:rsidR="00F109D4" w:rsidRPr="00503E44">
        <w:t xml:space="preserve"> </w:t>
      </w:r>
      <w:r w:rsidR="00F60AAC">
        <w:t>(the Act) provide</w:t>
      </w:r>
      <w:r w:rsidR="00F109D4" w:rsidRPr="00503E44">
        <w:t xml:space="preserve"> </w:t>
      </w:r>
      <w:r w:rsidR="00CF4B3D">
        <w:t xml:space="preserve">that the Minister </w:t>
      </w:r>
      <w:r w:rsidR="00F60AAC">
        <w:t xml:space="preserve">must </w:t>
      </w:r>
      <w:r w:rsidR="00F109D4" w:rsidRPr="00503E44">
        <w:t xml:space="preserve">make </w:t>
      </w:r>
      <w:r w:rsidR="00F60AAC">
        <w:t>guidelines setting out rules for private ancillary funds</w:t>
      </w:r>
      <w:r w:rsidR="009F62BA">
        <w:t>, public ancillary funds and their trustees that must be complied with in order for the funds to become or remain endorsed as deductible gift recipients</w:t>
      </w:r>
      <w:r w:rsidR="00F109D4" w:rsidRPr="00503E44">
        <w:t>.</w:t>
      </w:r>
    </w:p>
    <w:p w14:paraId="5684456D" w14:textId="0498A15D" w:rsidR="00F109D4" w:rsidRPr="009F62BA" w:rsidRDefault="009F62BA" w:rsidP="00647BB7">
      <w:pPr>
        <w:spacing w:before="240"/>
      </w:pPr>
      <w:r>
        <w:t xml:space="preserve">The purpose of </w:t>
      </w:r>
      <w:r w:rsidR="001304B1">
        <w:t xml:space="preserve">the </w:t>
      </w:r>
      <w:r w:rsidR="001304B1" w:rsidRPr="000474DD">
        <w:rPr>
          <w:i/>
        </w:rPr>
        <w:t>Taxation Administration (Coronavirus Economic Response Package—Ancillary Funds) Amendment Guidelines 2020</w:t>
      </w:r>
      <w:r w:rsidR="001304B1">
        <w:t xml:space="preserve"> (the Amending Instrument)</w:t>
      </w:r>
      <w:r>
        <w:t xml:space="preserve"> is to amend the </w:t>
      </w:r>
      <w:r w:rsidR="001304B1">
        <w:rPr>
          <w:i/>
        </w:rPr>
        <w:t>Public Ancillary Fund Guidelines 2011</w:t>
      </w:r>
      <w:r w:rsidR="001304B1">
        <w:t xml:space="preserve"> (PUAF Guidelines) and the </w:t>
      </w:r>
      <w:r w:rsidRPr="009F62BA">
        <w:rPr>
          <w:i/>
        </w:rPr>
        <w:t>Taxation Administration (Private Ancillary Fund) Guidelines 2019</w:t>
      </w:r>
      <w:r>
        <w:t xml:space="preserve"> </w:t>
      </w:r>
      <w:r w:rsidR="00F01D5B">
        <w:t xml:space="preserve">(PAF Guidelines) (collectively, the Guidelines) </w:t>
      </w:r>
      <w:r>
        <w:t xml:space="preserve">to support giving by these funds in the </w:t>
      </w:r>
      <w:r w:rsidR="00593664">
        <w:t>2019-20 and 2020-21 financial years</w:t>
      </w:r>
      <w:r>
        <w:t xml:space="preserve"> in response to the effects of the coro</w:t>
      </w:r>
      <w:r w:rsidR="001304B1">
        <w:t>navirus known as COVID-19 (the C</w:t>
      </w:r>
      <w:r>
        <w:t>oronavirus)</w:t>
      </w:r>
      <w:r w:rsidR="00F01D5B">
        <w:t>.</w:t>
      </w:r>
    </w:p>
    <w:p w14:paraId="2B685172" w14:textId="24957D84" w:rsidR="009C7283" w:rsidRDefault="001617DC" w:rsidP="00F01D5B">
      <w:pPr>
        <w:shd w:val="clear" w:color="auto" w:fill="FFFFFF"/>
        <w:spacing w:before="0" w:after="240"/>
        <w:rPr>
          <w:color w:val="000000"/>
          <w:szCs w:val="24"/>
        </w:rPr>
      </w:pPr>
      <w:r>
        <w:rPr>
          <w:color w:val="000000"/>
          <w:szCs w:val="24"/>
        </w:rPr>
        <w:t xml:space="preserve">Public </w:t>
      </w:r>
      <w:r w:rsidR="009C7283" w:rsidRPr="00F01D5B">
        <w:rPr>
          <w:color w:val="000000"/>
          <w:szCs w:val="24"/>
        </w:rPr>
        <w:t>ancillary fund</w:t>
      </w:r>
      <w:r>
        <w:rPr>
          <w:color w:val="000000"/>
          <w:szCs w:val="24"/>
        </w:rPr>
        <w:t>s</w:t>
      </w:r>
      <w:r w:rsidR="009C7283" w:rsidRPr="00F01D5B">
        <w:rPr>
          <w:color w:val="000000"/>
          <w:szCs w:val="24"/>
        </w:rPr>
        <w:t xml:space="preserve"> </w:t>
      </w:r>
      <w:r w:rsidR="009C7283">
        <w:rPr>
          <w:color w:val="000000"/>
          <w:szCs w:val="24"/>
        </w:rPr>
        <w:t xml:space="preserve">and </w:t>
      </w:r>
      <w:r>
        <w:rPr>
          <w:color w:val="000000"/>
          <w:szCs w:val="24"/>
        </w:rPr>
        <w:t xml:space="preserve">private </w:t>
      </w:r>
      <w:r w:rsidR="009C7283">
        <w:rPr>
          <w:color w:val="000000"/>
          <w:szCs w:val="24"/>
        </w:rPr>
        <w:t xml:space="preserve">ancillary funds are </w:t>
      </w:r>
      <w:r w:rsidR="00C76E64">
        <w:rPr>
          <w:color w:val="000000"/>
          <w:szCs w:val="24"/>
        </w:rPr>
        <w:t xml:space="preserve">types </w:t>
      </w:r>
      <w:r w:rsidR="009C7283" w:rsidRPr="00F01D5B">
        <w:rPr>
          <w:color w:val="000000"/>
          <w:szCs w:val="24"/>
        </w:rPr>
        <w:t xml:space="preserve">of ancillary trust fund </w:t>
      </w:r>
      <w:r w:rsidR="005D2958">
        <w:rPr>
          <w:color w:val="000000"/>
          <w:szCs w:val="24"/>
        </w:rPr>
        <w:t>that are eligible to be endorsed as deductible gift recipients</w:t>
      </w:r>
      <w:r w:rsidR="009C7283">
        <w:rPr>
          <w:color w:val="000000"/>
          <w:szCs w:val="24"/>
        </w:rPr>
        <w:t>. The funds do not directly engag</w:t>
      </w:r>
      <w:r w:rsidR="005D2958">
        <w:rPr>
          <w:color w:val="000000"/>
          <w:szCs w:val="24"/>
        </w:rPr>
        <w:t xml:space="preserve">e in charitable activities but instead provide financial support for other </w:t>
      </w:r>
      <w:r>
        <w:rPr>
          <w:color w:val="000000"/>
          <w:szCs w:val="24"/>
        </w:rPr>
        <w:t xml:space="preserve">deductible gift recipients </w:t>
      </w:r>
      <w:r w:rsidR="00BE09EB">
        <w:rPr>
          <w:color w:val="000000"/>
          <w:szCs w:val="24"/>
        </w:rPr>
        <w:t>to engage in those activities.</w:t>
      </w:r>
    </w:p>
    <w:p w14:paraId="5C095D00" w14:textId="164A0C58" w:rsidR="00F01D5B" w:rsidRDefault="00F01D5B" w:rsidP="00F01D5B">
      <w:pPr>
        <w:shd w:val="clear" w:color="auto" w:fill="FFFFFF"/>
        <w:spacing w:before="0" w:after="240"/>
        <w:rPr>
          <w:color w:val="000000"/>
          <w:szCs w:val="24"/>
        </w:rPr>
      </w:pPr>
      <w:r w:rsidRPr="00F01D5B">
        <w:rPr>
          <w:color w:val="000000"/>
          <w:szCs w:val="24"/>
        </w:rPr>
        <w:t xml:space="preserve">The purpose of the Guidelines is to set minimum standards for </w:t>
      </w:r>
      <w:r>
        <w:rPr>
          <w:color w:val="000000"/>
          <w:szCs w:val="24"/>
        </w:rPr>
        <w:t xml:space="preserve">the governance and conduct of </w:t>
      </w:r>
      <w:r w:rsidR="001617DC">
        <w:rPr>
          <w:color w:val="000000"/>
          <w:szCs w:val="24"/>
        </w:rPr>
        <w:t>public</w:t>
      </w:r>
      <w:r w:rsidRPr="00F01D5B">
        <w:rPr>
          <w:color w:val="000000"/>
          <w:szCs w:val="24"/>
        </w:rPr>
        <w:t xml:space="preserve"> </w:t>
      </w:r>
      <w:r>
        <w:rPr>
          <w:color w:val="000000"/>
          <w:szCs w:val="24"/>
        </w:rPr>
        <w:t xml:space="preserve">and private </w:t>
      </w:r>
      <w:r w:rsidRPr="00F01D5B">
        <w:rPr>
          <w:color w:val="000000"/>
          <w:szCs w:val="24"/>
        </w:rPr>
        <w:t>ancillary fund</w:t>
      </w:r>
      <w:r>
        <w:rPr>
          <w:color w:val="000000"/>
          <w:szCs w:val="24"/>
        </w:rPr>
        <w:t>s</w:t>
      </w:r>
      <w:r w:rsidRPr="00F01D5B">
        <w:rPr>
          <w:color w:val="000000"/>
          <w:szCs w:val="24"/>
        </w:rPr>
        <w:t xml:space="preserve"> and </w:t>
      </w:r>
      <w:r>
        <w:rPr>
          <w:color w:val="000000"/>
          <w:szCs w:val="24"/>
        </w:rPr>
        <w:t xml:space="preserve">their </w:t>
      </w:r>
      <w:r w:rsidRPr="00F01D5B">
        <w:rPr>
          <w:color w:val="000000"/>
          <w:szCs w:val="24"/>
        </w:rPr>
        <w:t>trustee</w:t>
      </w:r>
      <w:r>
        <w:rPr>
          <w:color w:val="000000"/>
          <w:szCs w:val="24"/>
        </w:rPr>
        <w:t>s.</w:t>
      </w:r>
      <w:r w:rsidRPr="00F01D5B">
        <w:rPr>
          <w:color w:val="000000"/>
          <w:szCs w:val="24"/>
        </w:rPr>
        <w:t xml:space="preserve"> The Guidelines aim to ensure that private ancillary funds </w:t>
      </w:r>
      <w:r>
        <w:rPr>
          <w:color w:val="000000"/>
          <w:szCs w:val="24"/>
        </w:rPr>
        <w:t xml:space="preserve">and public ancillary funds respectively </w:t>
      </w:r>
      <w:r w:rsidRPr="00F01D5B">
        <w:rPr>
          <w:color w:val="000000"/>
          <w:szCs w:val="24"/>
        </w:rPr>
        <w:t>are properly accountable and act in the manner expected of an entity holding philanthropic funds for a broad public benefit.</w:t>
      </w:r>
    </w:p>
    <w:p w14:paraId="6E41B9FD" w14:textId="6FEF8B70" w:rsidR="005D2958" w:rsidRDefault="005D2958" w:rsidP="00F01D5B">
      <w:pPr>
        <w:shd w:val="clear" w:color="auto" w:fill="FFFFFF"/>
        <w:spacing w:before="0" w:after="240"/>
        <w:rPr>
          <w:color w:val="000000"/>
          <w:szCs w:val="24"/>
        </w:rPr>
      </w:pPr>
      <w:r>
        <w:rPr>
          <w:color w:val="000000"/>
          <w:szCs w:val="24"/>
        </w:rPr>
        <w:t xml:space="preserve">Among other things the Guidelines require public and private ancillary funds to </w:t>
      </w:r>
      <w:r w:rsidR="003C6750">
        <w:rPr>
          <w:color w:val="000000"/>
          <w:szCs w:val="24"/>
        </w:rPr>
        <w:t xml:space="preserve">distribute </w:t>
      </w:r>
      <w:r w:rsidR="000C4ED5">
        <w:rPr>
          <w:color w:val="000000"/>
          <w:szCs w:val="24"/>
        </w:rPr>
        <w:t>an amount that is at least equal to 4 or 5 per cent</w:t>
      </w:r>
      <w:r w:rsidR="001617DC">
        <w:rPr>
          <w:color w:val="000000"/>
          <w:szCs w:val="24"/>
        </w:rPr>
        <w:t>, respectively,</w:t>
      </w:r>
      <w:r w:rsidR="000C4ED5">
        <w:rPr>
          <w:color w:val="000000"/>
          <w:szCs w:val="24"/>
        </w:rPr>
        <w:t xml:space="preserve"> of the market value of the net assets of the fund – the minimum annual distribution rate</w:t>
      </w:r>
      <w:r w:rsidR="003C6750">
        <w:rPr>
          <w:color w:val="000000"/>
          <w:szCs w:val="24"/>
        </w:rPr>
        <w:t xml:space="preserve">. </w:t>
      </w:r>
    </w:p>
    <w:p w14:paraId="6A891BD0" w14:textId="0932509D" w:rsidR="001304B1" w:rsidRPr="001304B1" w:rsidRDefault="001304B1" w:rsidP="00F01D5B">
      <w:pPr>
        <w:shd w:val="clear" w:color="auto" w:fill="FFFFFF"/>
        <w:spacing w:before="0" w:after="240"/>
      </w:pPr>
      <w:r>
        <w:t xml:space="preserve">The amendments would encourage </w:t>
      </w:r>
      <w:r w:rsidR="001617DC">
        <w:t xml:space="preserve">additional </w:t>
      </w:r>
      <w:r>
        <w:t>giving by these funds in 2019-20 and 2020-21 financial years</w:t>
      </w:r>
      <w:r w:rsidR="00C13A9C">
        <w:t>. It would do so by provide that</w:t>
      </w:r>
      <w:r>
        <w:t xml:space="preserve"> </w:t>
      </w:r>
      <w:r w:rsidR="00C13A9C">
        <w:t xml:space="preserve">funds that make </w:t>
      </w:r>
      <w:r>
        <w:t xml:space="preserve">donations that </w:t>
      </w:r>
      <w:r w:rsidR="00C13A9C">
        <w:t xml:space="preserve">sufficiently </w:t>
      </w:r>
      <w:r>
        <w:t xml:space="preserve">exceed the minimum required distributions under the Guidelines </w:t>
      </w:r>
      <w:r w:rsidR="00C13A9C">
        <w:t>for the 2019</w:t>
      </w:r>
      <w:r w:rsidR="00C13A9C">
        <w:noBreakHyphen/>
        <w:t xml:space="preserve">20 and 2020-21 financial years </w:t>
      </w:r>
      <w:r>
        <w:t xml:space="preserve">to </w:t>
      </w:r>
      <w:r w:rsidR="00C13A9C">
        <w:t xml:space="preserve">benefit from a </w:t>
      </w:r>
      <w:r>
        <w:t>reduce</w:t>
      </w:r>
      <w:r w:rsidR="00C13A9C">
        <w:t>d</w:t>
      </w:r>
      <w:r>
        <w:t xml:space="preserve"> minimum </w:t>
      </w:r>
      <w:r w:rsidR="00C13A9C">
        <w:t>annual</w:t>
      </w:r>
      <w:r>
        <w:t xml:space="preserve"> </w:t>
      </w:r>
      <w:r w:rsidR="001617DC">
        <w:t>distribution</w:t>
      </w:r>
      <w:r w:rsidR="00C13A9C">
        <w:t xml:space="preserve"> rate</w:t>
      </w:r>
      <w:r>
        <w:t xml:space="preserve"> in the 2021-22 financial year and </w:t>
      </w:r>
      <w:r w:rsidR="003B3152">
        <w:t xml:space="preserve">potentially </w:t>
      </w:r>
      <w:r>
        <w:t>later financial years.</w:t>
      </w:r>
    </w:p>
    <w:p w14:paraId="28FCF2F9" w14:textId="77777777" w:rsidR="003C6750" w:rsidRDefault="003C6750" w:rsidP="00F01D5B">
      <w:pPr>
        <w:shd w:val="clear" w:color="auto" w:fill="FFFFFF"/>
        <w:spacing w:before="0" w:after="240"/>
        <w:rPr>
          <w:color w:val="000000"/>
          <w:shd w:val="clear" w:color="auto" w:fill="FFFFFF"/>
        </w:rPr>
      </w:pPr>
      <w:r>
        <w:rPr>
          <w:color w:val="000000"/>
          <w:shd w:val="clear" w:color="auto" w:fill="FFFFFF"/>
        </w:rPr>
        <w:t xml:space="preserve">Further explanation of </w:t>
      </w:r>
      <w:r w:rsidR="00BD6185">
        <w:rPr>
          <w:color w:val="000000"/>
          <w:shd w:val="clear" w:color="auto" w:fill="FFFFFF"/>
        </w:rPr>
        <w:t>details of the Amending Instrument are set out</w:t>
      </w:r>
      <w:r>
        <w:rPr>
          <w:color w:val="000000"/>
          <w:shd w:val="clear" w:color="auto" w:fill="FFFFFF"/>
        </w:rPr>
        <w:t xml:space="preserve"> in</w:t>
      </w:r>
      <w:r w:rsidR="00BD6185">
        <w:rPr>
          <w:color w:val="000000"/>
          <w:shd w:val="clear" w:color="auto" w:fill="FFFFFF"/>
        </w:rPr>
        <w:t xml:space="preserve"> </w:t>
      </w:r>
      <w:r>
        <w:rPr>
          <w:color w:val="000000"/>
          <w:u w:val="single"/>
          <w:shd w:val="clear" w:color="auto" w:fill="FFFFFF"/>
        </w:rPr>
        <w:t>Attachment</w:t>
      </w:r>
      <w:r w:rsidR="00BD6185">
        <w:rPr>
          <w:color w:val="000000"/>
          <w:u w:val="single"/>
          <w:shd w:val="clear" w:color="auto" w:fill="FFFFFF"/>
        </w:rPr>
        <w:t> </w:t>
      </w:r>
      <w:r>
        <w:rPr>
          <w:color w:val="000000"/>
          <w:u w:val="single"/>
          <w:shd w:val="clear" w:color="auto" w:fill="FFFFFF"/>
        </w:rPr>
        <w:t>A</w:t>
      </w:r>
      <w:r>
        <w:rPr>
          <w:color w:val="000000"/>
          <w:shd w:val="clear" w:color="auto" w:fill="FFFFFF"/>
        </w:rPr>
        <w:t>.</w:t>
      </w:r>
    </w:p>
    <w:p w14:paraId="0B021054" w14:textId="77777777" w:rsidR="003C6750" w:rsidRDefault="003C6750" w:rsidP="00F01D5B">
      <w:pPr>
        <w:shd w:val="clear" w:color="auto" w:fill="FFFFFF"/>
        <w:spacing w:before="0" w:after="240"/>
        <w:rPr>
          <w:color w:val="000000"/>
          <w:shd w:val="clear" w:color="auto" w:fill="FFFFFF"/>
        </w:rPr>
      </w:pPr>
      <w:r>
        <w:rPr>
          <w:color w:val="000000"/>
          <w:shd w:val="clear" w:color="auto" w:fill="FFFFFF"/>
        </w:rPr>
        <w:t>The Act does not specify any conditions that need to be met before the power to make the Amending Instrument may be exercised.</w:t>
      </w:r>
    </w:p>
    <w:p w14:paraId="69392022" w14:textId="49CD6939" w:rsidR="003C6750" w:rsidRPr="00F01D5B" w:rsidRDefault="003C6750" w:rsidP="00F01D5B">
      <w:pPr>
        <w:shd w:val="clear" w:color="auto" w:fill="FFFFFF"/>
        <w:spacing w:before="0" w:after="240"/>
        <w:rPr>
          <w:color w:val="000000"/>
          <w:szCs w:val="24"/>
        </w:rPr>
      </w:pPr>
      <w:r>
        <w:rPr>
          <w:color w:val="000000"/>
          <w:shd w:val="clear" w:color="auto" w:fill="FFFFFF"/>
        </w:rPr>
        <w:lastRenderedPageBreak/>
        <w:t xml:space="preserve">The </w:t>
      </w:r>
      <w:r w:rsidR="008A3DE2">
        <w:t xml:space="preserve">Amending Instrument </w:t>
      </w:r>
      <w:r>
        <w:rPr>
          <w:color w:val="000000"/>
          <w:shd w:val="clear" w:color="auto" w:fill="FFFFFF"/>
        </w:rPr>
        <w:t>commence</w:t>
      </w:r>
      <w:r w:rsidR="008A3DE2">
        <w:rPr>
          <w:color w:val="000000"/>
          <w:shd w:val="clear" w:color="auto" w:fill="FFFFFF"/>
        </w:rPr>
        <w:t>d</w:t>
      </w:r>
      <w:r>
        <w:rPr>
          <w:color w:val="000000"/>
          <w:shd w:val="clear" w:color="auto" w:fill="FFFFFF"/>
        </w:rPr>
        <w:t xml:space="preserve"> on the day after the instrument </w:t>
      </w:r>
      <w:r w:rsidR="00625D69">
        <w:rPr>
          <w:color w:val="000000"/>
          <w:shd w:val="clear" w:color="auto" w:fill="FFFFFF"/>
        </w:rPr>
        <w:t>wa</w:t>
      </w:r>
      <w:bookmarkStart w:id="0" w:name="_GoBack"/>
      <w:bookmarkEnd w:id="0"/>
      <w:r>
        <w:rPr>
          <w:color w:val="000000"/>
          <w:shd w:val="clear" w:color="auto" w:fill="FFFFFF"/>
        </w:rPr>
        <w:t>s registered on the Federal Register of Legislation.</w:t>
      </w:r>
    </w:p>
    <w:p w14:paraId="4F92AC57" w14:textId="6AA4AB2C" w:rsidR="0088467C" w:rsidRDefault="003C6750" w:rsidP="00647BB7">
      <w:pPr>
        <w:spacing w:before="240"/>
      </w:pPr>
      <w:r>
        <w:t xml:space="preserve">Consultation was undertaken on the draft amendments </w:t>
      </w:r>
      <w:r w:rsidR="001617DC">
        <w:t>with the Australian Taxation Offic</w:t>
      </w:r>
      <w:r w:rsidR="00C13A9C">
        <w:t>e. Further public</w:t>
      </w:r>
      <w:r w:rsidR="001617DC">
        <w:t xml:space="preserve"> consultation was not undertaken </w:t>
      </w:r>
      <w:r>
        <w:t xml:space="preserve">as the change was </w:t>
      </w:r>
      <w:r w:rsidR="00CE3FFC">
        <w:t xml:space="preserve">minor, wholly optional </w:t>
      </w:r>
      <w:r w:rsidR="00756108">
        <w:t xml:space="preserve">and beneficial for funds </w:t>
      </w:r>
      <w:r w:rsidR="00CE3FFC">
        <w:t xml:space="preserve">and urgent, in order that funds </w:t>
      </w:r>
      <w:r w:rsidR="00756108">
        <w:t xml:space="preserve">be able to </w:t>
      </w:r>
      <w:r w:rsidR="00CE3FFC">
        <w:t>provide additional support for charitable activities as soon as possible in light of the ongoing economic effects of the coronavirus.</w:t>
      </w:r>
    </w:p>
    <w:p w14:paraId="48EA6656" w14:textId="77777777" w:rsidR="002C226C" w:rsidRDefault="002C226C" w:rsidP="00647BB7">
      <w:pPr>
        <w:spacing w:before="240"/>
      </w:pPr>
      <w:r>
        <w:t>The</w:t>
      </w:r>
      <w:r w:rsidRPr="00D3322F">
        <w:t xml:space="preserve"> </w:t>
      </w:r>
      <w:r w:rsidR="00A0388E">
        <w:t>Amending Instrument is</w:t>
      </w:r>
      <w:r w:rsidRPr="00D3322F">
        <w:t xml:space="preserve"> a legislative instrument for the purposes of the</w:t>
      </w:r>
      <w:r w:rsidRPr="00322524">
        <w:t xml:space="preserve"> </w:t>
      </w:r>
      <w:r w:rsidRPr="00D3322F">
        <w:rPr>
          <w:i/>
        </w:rPr>
        <w:t>Legislation</w:t>
      </w:r>
      <w:r w:rsidR="003C6750">
        <w:rPr>
          <w:i/>
        </w:rPr>
        <w:t> </w:t>
      </w:r>
      <w:r w:rsidRPr="00D3322F">
        <w:rPr>
          <w:i/>
        </w:rPr>
        <w:t>Act</w:t>
      </w:r>
      <w:r w:rsidR="003C6750">
        <w:rPr>
          <w:i/>
        </w:rPr>
        <w:t> </w:t>
      </w:r>
      <w:r w:rsidRPr="00D3322F">
        <w:rPr>
          <w:i/>
        </w:rPr>
        <w:t>2003</w:t>
      </w:r>
      <w:r w:rsidRPr="00D3322F">
        <w:t>.</w:t>
      </w:r>
    </w:p>
    <w:p w14:paraId="6364DE30" w14:textId="05B6F8F1" w:rsidR="00EB2AEF" w:rsidRDefault="008A3DE2" w:rsidP="00647BB7">
      <w:pPr>
        <w:spacing w:before="240"/>
      </w:pPr>
      <w:r>
        <w:t>A S</w:t>
      </w:r>
      <w:r w:rsidR="00EB2AEF">
        <w:t xml:space="preserve">tatement of Compatibility with Human Rights is at </w:t>
      </w:r>
      <w:r w:rsidR="00EB2AEF" w:rsidRPr="000B39A1">
        <w:rPr>
          <w:u w:val="single"/>
        </w:rPr>
        <w:t xml:space="preserve">Attachment </w:t>
      </w:r>
      <w:r w:rsidR="00CE3FFC">
        <w:rPr>
          <w:u w:val="single"/>
        </w:rPr>
        <w:t>B</w:t>
      </w:r>
      <w:r w:rsidR="000B39A1" w:rsidRPr="000B39A1">
        <w:t>.</w:t>
      </w:r>
    </w:p>
    <w:p w14:paraId="2FACB553" w14:textId="77777777" w:rsidR="00EA4DD8" w:rsidRDefault="00EA4DD8" w:rsidP="00EA4DD8">
      <w:pPr>
        <w:pageBreakBefore/>
        <w:spacing w:before="240"/>
        <w:jc w:val="right"/>
        <w:rPr>
          <w:b/>
          <w:u w:val="single"/>
        </w:rPr>
      </w:pPr>
      <w:r w:rsidRPr="007B335E">
        <w:rPr>
          <w:b/>
          <w:u w:val="single"/>
        </w:rPr>
        <w:lastRenderedPageBreak/>
        <w:t xml:space="preserve">ATTACHMENT </w:t>
      </w:r>
      <w:r w:rsidR="002232AD">
        <w:rPr>
          <w:b/>
          <w:u w:val="single"/>
        </w:rPr>
        <w:t>A</w:t>
      </w:r>
    </w:p>
    <w:p w14:paraId="0FB4FB7C" w14:textId="4C88BAC1" w:rsidR="00EA4DD8" w:rsidRDefault="00EA4DD8" w:rsidP="00EA4DD8">
      <w:pPr>
        <w:spacing w:before="240"/>
        <w:ind w:right="91"/>
        <w:rPr>
          <w:b/>
          <w:bCs/>
          <w:szCs w:val="24"/>
          <w:u w:val="single"/>
        </w:rPr>
      </w:pPr>
      <w:r>
        <w:rPr>
          <w:b/>
          <w:bCs/>
          <w:u w:val="single"/>
        </w:rPr>
        <w:t xml:space="preserve">Details of the </w:t>
      </w:r>
      <w:r w:rsidR="000474DD" w:rsidRPr="000474DD">
        <w:rPr>
          <w:b/>
          <w:i/>
          <w:u w:val="single"/>
        </w:rPr>
        <w:t>Taxation Administration (Coronavirus Economic Response Package—Ancillary Funds) Amendment Guidelines 2020</w:t>
      </w:r>
      <w:r>
        <w:rPr>
          <w:b/>
          <w:bCs/>
          <w:u w:val="single"/>
        </w:rPr>
        <w:t xml:space="preserve"> </w:t>
      </w:r>
    </w:p>
    <w:p w14:paraId="2D207EB8" w14:textId="77777777" w:rsidR="00EA4DD8" w:rsidRDefault="00EA4DD8" w:rsidP="00EA4DD8">
      <w:pPr>
        <w:spacing w:before="240"/>
        <w:rPr>
          <w:rFonts w:ascii="Calibri" w:hAnsi="Calibri"/>
          <w:sz w:val="22"/>
          <w:szCs w:val="22"/>
          <w:u w:val="single"/>
          <w:lang w:eastAsia="en-US"/>
        </w:rPr>
      </w:pPr>
      <w:r>
        <w:rPr>
          <w:u w:val="single"/>
        </w:rPr>
        <w:t xml:space="preserve">Section 1 – Name of the </w:t>
      </w:r>
      <w:r w:rsidR="00CE3FFC">
        <w:rPr>
          <w:u w:val="single"/>
        </w:rPr>
        <w:t>Instrument</w:t>
      </w:r>
    </w:p>
    <w:p w14:paraId="52AA14EF" w14:textId="2B1B2B0C" w:rsidR="00EA4DD8" w:rsidRDefault="00EA4DD8" w:rsidP="00EA4DD8">
      <w:pPr>
        <w:spacing w:before="240"/>
      </w:pPr>
      <w:r>
        <w:t xml:space="preserve">This section provides that the name of the </w:t>
      </w:r>
      <w:r w:rsidR="00CE3FFC">
        <w:t>Instrument</w:t>
      </w:r>
      <w:r>
        <w:t xml:space="preserve"> is the </w:t>
      </w:r>
      <w:r w:rsidR="000474DD" w:rsidRPr="000474DD">
        <w:rPr>
          <w:i/>
        </w:rPr>
        <w:t>Taxation Administration (Coronavirus Economic Response Package—Ancillary Funds) Amendment Guidelines</w:t>
      </w:r>
      <w:r w:rsidR="00C76E64">
        <w:rPr>
          <w:i/>
        </w:rPr>
        <w:t> </w:t>
      </w:r>
      <w:r w:rsidR="000474DD" w:rsidRPr="000474DD">
        <w:rPr>
          <w:i/>
        </w:rPr>
        <w:t>2020</w:t>
      </w:r>
      <w:r>
        <w:t xml:space="preserve"> (the </w:t>
      </w:r>
      <w:r w:rsidR="00CE3FFC">
        <w:t>Amending Instrument</w:t>
      </w:r>
      <w:r>
        <w:t>).</w:t>
      </w:r>
    </w:p>
    <w:p w14:paraId="61F20896" w14:textId="77777777" w:rsidR="00EA4DD8" w:rsidRDefault="00EA4DD8" w:rsidP="00EA4DD8">
      <w:pPr>
        <w:spacing w:before="240"/>
        <w:ind w:right="91"/>
        <w:rPr>
          <w:u w:val="single"/>
        </w:rPr>
      </w:pPr>
      <w:r>
        <w:rPr>
          <w:u w:val="single"/>
        </w:rPr>
        <w:t>Section 2 – Commencement</w:t>
      </w:r>
    </w:p>
    <w:p w14:paraId="1D4054AF" w14:textId="06DF1219" w:rsidR="00EA4DD8" w:rsidRDefault="00756108" w:rsidP="00EA4DD8">
      <w:pPr>
        <w:spacing w:before="240"/>
        <w:ind w:right="91"/>
      </w:pPr>
      <w:r>
        <w:t>T</w:t>
      </w:r>
      <w:r w:rsidR="00EA4DD8" w:rsidRPr="00CE3FFC">
        <w:t xml:space="preserve">he </w:t>
      </w:r>
      <w:r w:rsidR="00CE3FFC" w:rsidRPr="00CE3FFC">
        <w:t xml:space="preserve">Amending Instrument </w:t>
      </w:r>
      <w:r w:rsidR="00EA4DD8" w:rsidRPr="00CE3FFC">
        <w:t>commence</w:t>
      </w:r>
      <w:r>
        <w:t>s</w:t>
      </w:r>
      <w:r w:rsidR="00CE3FFC" w:rsidRPr="00CE3FFC">
        <w:t xml:space="preserve"> on </w:t>
      </w:r>
      <w:r w:rsidR="00EA4DD8" w:rsidRPr="00CE3FFC">
        <w:t xml:space="preserve">the day after the instrument is registered </w:t>
      </w:r>
      <w:r w:rsidR="00EA4DD8">
        <w:t>on the Federal Register of Legislation.</w:t>
      </w:r>
    </w:p>
    <w:p w14:paraId="47FD9085" w14:textId="77777777" w:rsidR="00EA4DD8" w:rsidRDefault="00EA4DD8" w:rsidP="00EA4DD8">
      <w:pPr>
        <w:spacing w:before="240"/>
        <w:ind w:right="91"/>
        <w:rPr>
          <w:u w:val="single"/>
        </w:rPr>
      </w:pPr>
      <w:r>
        <w:rPr>
          <w:u w:val="single"/>
        </w:rPr>
        <w:t>Section 3 – Authority</w:t>
      </w:r>
    </w:p>
    <w:p w14:paraId="659E1B13" w14:textId="77777777" w:rsidR="00EA4DD8" w:rsidRDefault="00EA4DD8" w:rsidP="00EA4DD8">
      <w:pPr>
        <w:spacing w:before="240"/>
        <w:ind w:right="91"/>
      </w:pPr>
      <w:r>
        <w:t xml:space="preserve">The </w:t>
      </w:r>
      <w:r w:rsidR="00DB64CD" w:rsidRPr="00CE3FFC">
        <w:t>Amending Instrument</w:t>
      </w:r>
      <w:r>
        <w:t xml:space="preserve"> </w:t>
      </w:r>
      <w:r w:rsidR="00DB64CD">
        <w:t xml:space="preserve">is </w:t>
      </w:r>
      <w:r>
        <w:t xml:space="preserve">made under the </w:t>
      </w:r>
      <w:r w:rsidR="00DB64CD">
        <w:rPr>
          <w:i/>
          <w:iCs/>
          <w:color w:val="000000"/>
          <w:shd w:val="clear" w:color="auto" w:fill="FFFFFF"/>
        </w:rPr>
        <w:t>Taxation Administration Act 1953</w:t>
      </w:r>
      <w:r w:rsidR="005B49AA">
        <w:rPr>
          <w:color w:val="000000"/>
          <w:shd w:val="clear" w:color="auto" w:fill="FFFFFF"/>
        </w:rPr>
        <w:t xml:space="preserve"> </w:t>
      </w:r>
      <w:r>
        <w:t>(the Act).</w:t>
      </w:r>
    </w:p>
    <w:p w14:paraId="7D81A328" w14:textId="77777777" w:rsidR="00EA4DD8" w:rsidRDefault="00EA4DD8" w:rsidP="00EA4DD8">
      <w:pPr>
        <w:spacing w:before="240"/>
        <w:ind w:right="91"/>
        <w:rPr>
          <w:u w:val="single"/>
        </w:rPr>
      </w:pPr>
      <w:r>
        <w:rPr>
          <w:u w:val="single"/>
        </w:rPr>
        <w:t>Section 4 – Schedu</w:t>
      </w:r>
      <w:r w:rsidRPr="00DB64CD">
        <w:rPr>
          <w:u w:val="single"/>
        </w:rPr>
        <w:t>le</w:t>
      </w:r>
      <w:r w:rsidR="00DB64CD" w:rsidRPr="00DB64CD">
        <w:rPr>
          <w:u w:val="single"/>
        </w:rPr>
        <w:t>s</w:t>
      </w:r>
    </w:p>
    <w:p w14:paraId="715D2E03" w14:textId="77777777" w:rsidR="00EA4DD8" w:rsidRDefault="00EA4DD8" w:rsidP="00EA4DD8">
      <w:pPr>
        <w:spacing w:before="240" w:after="200"/>
        <w:ind w:right="91"/>
        <w:rPr>
          <w:u w:val="single"/>
        </w:rPr>
      </w:pPr>
      <w:r>
        <w:t>This section provides that each ins</w:t>
      </w:r>
      <w:r w:rsidR="00DB64CD">
        <w:t>trument that is specified in a Schedule</w:t>
      </w:r>
      <w:r>
        <w:t xml:space="preserve"> to this instrument will be amended or repealed as set out in the a</w:t>
      </w:r>
      <w:r w:rsidR="00DB64CD">
        <w:t>pplicable items in the Schedule</w:t>
      </w:r>
      <w:r>
        <w:t xml:space="preserve">, and any other item in </w:t>
      </w:r>
      <w:r w:rsidR="00DB64CD">
        <w:t>a Schedule</w:t>
      </w:r>
      <w:r>
        <w:t xml:space="preserve"> to this instrument has effect according to its terms.</w:t>
      </w:r>
    </w:p>
    <w:p w14:paraId="1EBB2C4B" w14:textId="77777777" w:rsidR="000474DD" w:rsidRDefault="000474DD" w:rsidP="000474DD">
      <w:pPr>
        <w:spacing w:after="0"/>
        <w:ind w:right="91"/>
        <w:rPr>
          <w:u w:val="single"/>
        </w:rPr>
      </w:pPr>
      <w:r>
        <w:rPr>
          <w:u w:val="single"/>
        </w:rPr>
        <w:t xml:space="preserve">Schedule 1 – Amendments to the </w:t>
      </w:r>
      <w:r w:rsidRPr="009846C5">
        <w:rPr>
          <w:i/>
          <w:u w:val="single"/>
        </w:rPr>
        <w:t>Public Ancillary Fund Guidelines 2011</w:t>
      </w:r>
    </w:p>
    <w:p w14:paraId="0D9EEED3" w14:textId="77777777" w:rsidR="000474DD" w:rsidRDefault="000474DD" w:rsidP="000474DD">
      <w:pPr>
        <w:spacing w:after="0"/>
        <w:ind w:right="91"/>
      </w:pPr>
      <w:r>
        <w:t>Schedule 1 to the Amendin</w:t>
      </w:r>
      <w:r w:rsidR="002654F7">
        <w:t>g Instrument inserts a new guideline, guideline 57, in</w:t>
      </w:r>
      <w:r>
        <w:t xml:space="preserve"> the </w:t>
      </w:r>
      <w:r>
        <w:rPr>
          <w:i/>
        </w:rPr>
        <w:t>Public Ancillary Fund Guidelines 2011</w:t>
      </w:r>
      <w:r>
        <w:t xml:space="preserve"> (PUAF Guidelines).</w:t>
      </w:r>
    </w:p>
    <w:p w14:paraId="253CC342" w14:textId="2B0998CF" w:rsidR="000474DD" w:rsidRDefault="002654F7" w:rsidP="000474DD">
      <w:pPr>
        <w:spacing w:after="0"/>
        <w:ind w:right="91"/>
      </w:pPr>
      <w:r>
        <w:t>This guideline provides</w:t>
      </w:r>
      <w:r w:rsidR="000474DD">
        <w:t xml:space="preserve"> the minimum annual distribution rate for a public ancillary fund in the 2021-22 financial year </w:t>
      </w:r>
      <w:r w:rsidR="002C264B">
        <w:t xml:space="preserve">and certain later financial years </w:t>
      </w:r>
      <w:r w:rsidR="000474DD">
        <w:t xml:space="preserve">is reduced </w:t>
      </w:r>
      <w:r>
        <w:t>from 4</w:t>
      </w:r>
      <w:r w:rsidR="009846C5">
        <w:t> </w:t>
      </w:r>
      <w:r>
        <w:t xml:space="preserve">per cent to 3 per cent </w:t>
      </w:r>
      <w:r w:rsidR="000474DD">
        <w:t xml:space="preserve">if the distributions by the fund in </w:t>
      </w:r>
      <w:r w:rsidR="009846C5">
        <w:t xml:space="preserve">the </w:t>
      </w:r>
      <w:r w:rsidR="000474DD">
        <w:t xml:space="preserve">2019-20 and </w:t>
      </w:r>
      <w:r w:rsidR="00756108">
        <w:t>2020-21 financial years exceed</w:t>
      </w:r>
      <w:r w:rsidR="000474DD">
        <w:t xml:space="preserve"> the minimum annual distribution rate for those years by at least 4</w:t>
      </w:r>
      <w:r>
        <w:t> </w:t>
      </w:r>
      <w:r w:rsidR="000474DD">
        <w:t>percentage points</w:t>
      </w:r>
      <w:r>
        <w:t>, as determined using the method statement set out in guideline</w:t>
      </w:r>
      <w:r w:rsidR="003B3152">
        <w:t xml:space="preserve"> 57</w:t>
      </w:r>
      <w:r w:rsidR="00BE09EB">
        <w:t>.</w:t>
      </w:r>
    </w:p>
    <w:p w14:paraId="2A0ED73C" w14:textId="2513BD19" w:rsidR="00077FE9" w:rsidRPr="008A3DE2" w:rsidRDefault="00077FE9" w:rsidP="00077FE9">
      <w:pPr>
        <w:spacing w:after="0"/>
        <w:ind w:right="91"/>
      </w:pPr>
      <w:r>
        <w:t>The method statement in guideline 57 provides that the amount by which a fund exceeds its annual minimum distribution for the 2019-20 and 2020-21 financial years (the excess) is determined by, broadly, first determining the proportion of the capital of the fund actually distributed in each of 2019-20 and 2020-21, adding these amounts together and then subtracting 8 (representing the combined minimum distribution rate for each year) from the total. The excess is the resulting amount. However, if the amount would be less than zero it is instead zero.</w:t>
      </w:r>
    </w:p>
    <w:p w14:paraId="1D2BA0F6" w14:textId="7D92C186" w:rsidR="002C264B" w:rsidRDefault="003B3152" w:rsidP="003B3152">
      <w:pPr>
        <w:spacing w:after="0"/>
        <w:ind w:right="91"/>
      </w:pPr>
      <w:r>
        <w:t xml:space="preserve">The reduction </w:t>
      </w:r>
      <w:r w:rsidR="002C264B">
        <w:t xml:space="preserve">to </w:t>
      </w:r>
      <w:r>
        <w:t xml:space="preserve">the minimum distribution rate </w:t>
      </w:r>
      <w:r w:rsidR="002C264B">
        <w:t>only applies in eligible years</w:t>
      </w:r>
      <w:r>
        <w:t>.</w:t>
      </w:r>
    </w:p>
    <w:p w14:paraId="26CBE3E0" w14:textId="168F099D" w:rsidR="002C264B" w:rsidRDefault="002C264B" w:rsidP="003B3152">
      <w:pPr>
        <w:spacing w:after="0"/>
        <w:ind w:right="91"/>
      </w:pPr>
      <w:r>
        <w:t>The 2021-22 and 2022-23 financial years are eligible year</w:t>
      </w:r>
      <w:r w:rsidR="00FE2330">
        <w:t>s</w:t>
      </w:r>
      <w:r>
        <w:t xml:space="preserve"> for the reduction for all funds to which the reducti</w:t>
      </w:r>
      <w:r w:rsidR="00BE09EB">
        <w:t>on applies.</w:t>
      </w:r>
    </w:p>
    <w:p w14:paraId="271B9411" w14:textId="6B87CA72" w:rsidR="003B3152" w:rsidRDefault="002C264B" w:rsidP="003B3152">
      <w:pPr>
        <w:spacing w:after="0"/>
        <w:ind w:right="91"/>
      </w:pPr>
      <w:r>
        <w:t xml:space="preserve">Whether a subsequent year is an eligible year is determined based on the amount of the excess </w:t>
      </w:r>
      <w:r w:rsidR="009846C5">
        <w:t>worked out</w:t>
      </w:r>
      <w:r>
        <w:t xml:space="preserve"> using the method statement set out in guideline 57</w:t>
      </w:r>
      <w:r w:rsidR="00A82290">
        <w:t xml:space="preserve"> of the </w:t>
      </w:r>
      <w:r w:rsidR="00A82290">
        <w:lastRenderedPageBreak/>
        <w:t>PUAF Guidelines</w:t>
      </w:r>
      <w:r>
        <w:t xml:space="preserve">. </w:t>
      </w:r>
      <w:r w:rsidR="00FE2330">
        <w:t xml:space="preserve">A fund is entitled to a further subsequent year for each amount of 2 </w:t>
      </w:r>
      <w:r w:rsidR="009B1DE7">
        <w:t>by which the excess exceeds four. Expressed differently, a subsequent year is an eligible year if the total of the number of prior eligible years plus the current year does not exceed half the amount of the excess.</w:t>
      </w:r>
    </w:p>
    <w:p w14:paraId="35898F11" w14:textId="67AF59A8" w:rsidR="003B3152" w:rsidRDefault="003B3152" w:rsidP="003B3152">
      <w:pPr>
        <w:spacing w:after="0"/>
        <w:ind w:right="91"/>
      </w:pPr>
      <w:r>
        <w:t xml:space="preserve">For example, a fund that made </w:t>
      </w:r>
      <w:r w:rsidR="009C101F">
        <w:t>distributions</w:t>
      </w:r>
      <w:r>
        <w:t xml:space="preserve"> in the 2019-20 and 2020-21 financial years that exceeded the required amount by a total of 7 percentage points would be entitled to a reduction in the minimum annual distribution rate to </w:t>
      </w:r>
      <w:r w:rsidR="00C76E64">
        <w:t>3</w:t>
      </w:r>
      <w:r>
        <w:t xml:space="preserve"> per cent for 2021</w:t>
      </w:r>
      <w:r>
        <w:noBreakHyphen/>
        <w:t xml:space="preserve">22 and 2022-23 automatically. It would also be entitled to a reduction in the maximum annual distribution rate for 2023-24 </w:t>
      </w:r>
      <w:r w:rsidR="00E9198B">
        <w:t xml:space="preserve">but </w:t>
      </w:r>
      <w:r w:rsidR="00A82290">
        <w:t>would not be entitled to reductions in a</w:t>
      </w:r>
      <w:r w:rsidR="00E9198B">
        <w:t xml:space="preserve">ny subsequent </w:t>
      </w:r>
      <w:r w:rsidR="00A82290">
        <w:t xml:space="preserve">financial year </w:t>
      </w:r>
      <w:r>
        <w:t>as the amount of the excess – 7 –</w:t>
      </w:r>
      <w:r w:rsidR="00E9198B">
        <w:t xml:space="preserve"> exceeds </w:t>
      </w:r>
      <w:r w:rsidR="00A82290">
        <w:t>4</w:t>
      </w:r>
      <w:r w:rsidR="00E9198B">
        <w:t xml:space="preserve"> by an amount of 2 only once</w:t>
      </w:r>
      <w:r w:rsidR="00BE09EB">
        <w:t>.</w:t>
      </w:r>
    </w:p>
    <w:p w14:paraId="794249A7" w14:textId="686503F0" w:rsidR="000474DD" w:rsidRDefault="00077FE9" w:rsidP="000474DD">
      <w:pPr>
        <w:spacing w:after="0"/>
        <w:ind w:right="91"/>
      </w:pPr>
      <w:r>
        <w:t>In effect the new guidelines</w:t>
      </w:r>
      <w:r w:rsidR="00F64E0C">
        <w:t xml:space="preserve"> entitle</w:t>
      </w:r>
      <w:r>
        <w:t xml:space="preserve"> eligible funds to a </w:t>
      </w:r>
      <w:r w:rsidR="003B3152">
        <w:t>total r</w:t>
      </w:r>
      <w:r>
        <w:t xml:space="preserve">eduction </w:t>
      </w:r>
      <w:r w:rsidR="00F64E0C">
        <w:t xml:space="preserve">in the proportion of the capital of the fund they must distribute in later years </w:t>
      </w:r>
      <w:r>
        <w:t>equal to around</w:t>
      </w:r>
      <w:r w:rsidR="003B3152">
        <w:t xml:space="preserve"> half the amount of their additional donations in 2019-20 and 2020-21</w:t>
      </w:r>
      <w:r w:rsidR="00F64E0C">
        <w:t xml:space="preserve"> as a proportion of the capital of the fund in those years</w:t>
      </w:r>
      <w:r w:rsidR="003B3152">
        <w:t xml:space="preserve">, rounded down. </w:t>
      </w:r>
      <w:r w:rsidR="000474DD">
        <w:t xml:space="preserve">This will assist </w:t>
      </w:r>
      <w:r w:rsidR="003B3152">
        <w:t>public</w:t>
      </w:r>
      <w:r w:rsidR="000474DD">
        <w:t xml:space="preserve"> ancillary funds that may wish to make additional contributions in the context of the Coronavirus but may be concerned about the impact on their longer-term philanthropic strategy.</w:t>
      </w:r>
    </w:p>
    <w:p w14:paraId="363D9981" w14:textId="77777777" w:rsidR="00DB64CD" w:rsidRDefault="00EA4DD8" w:rsidP="00EA4DD8">
      <w:pPr>
        <w:spacing w:after="0"/>
        <w:ind w:right="91"/>
        <w:rPr>
          <w:u w:val="single"/>
        </w:rPr>
      </w:pPr>
      <w:r>
        <w:rPr>
          <w:u w:val="single"/>
        </w:rPr>
        <w:t>Schedule 1 – Amendments</w:t>
      </w:r>
      <w:r w:rsidR="00DB64CD">
        <w:rPr>
          <w:u w:val="single"/>
        </w:rPr>
        <w:t xml:space="preserve"> to the </w:t>
      </w:r>
      <w:r w:rsidR="00DB64CD" w:rsidRPr="008A3DE2">
        <w:rPr>
          <w:i/>
          <w:u w:val="single"/>
        </w:rPr>
        <w:t>Taxation Administration (Private Ancillary Fund) Guidelines 2019</w:t>
      </w:r>
    </w:p>
    <w:p w14:paraId="7436BF0E" w14:textId="77777777" w:rsidR="00DB64CD" w:rsidRDefault="00A0388E" w:rsidP="00DB64CD">
      <w:pPr>
        <w:spacing w:after="0"/>
        <w:ind w:right="91"/>
      </w:pPr>
      <w:r>
        <w:t xml:space="preserve">Schedule 1 to the Amending Instrument </w:t>
      </w:r>
      <w:r w:rsidR="002654F7">
        <w:t xml:space="preserve">also </w:t>
      </w:r>
      <w:r w:rsidR="00617899">
        <w:t>inserts a new section</w:t>
      </w:r>
      <w:r w:rsidR="002654F7">
        <w:t>, section</w:t>
      </w:r>
      <w:r w:rsidR="00617899">
        <w:t xml:space="preserve"> 31</w:t>
      </w:r>
      <w:r w:rsidR="002654F7">
        <w:t>,</w:t>
      </w:r>
      <w:r w:rsidR="00617899">
        <w:t xml:space="preserve"> in </w:t>
      </w:r>
      <w:r>
        <w:t xml:space="preserve">the </w:t>
      </w:r>
      <w:r w:rsidR="008A3DE2" w:rsidRPr="008A3DE2">
        <w:rPr>
          <w:i/>
        </w:rPr>
        <w:t>Taxation Administration (Private Ancillary Fund) Guidelines 2019</w:t>
      </w:r>
      <w:r w:rsidR="008A3DE2">
        <w:t xml:space="preserve"> (PAF Guidelines).</w:t>
      </w:r>
    </w:p>
    <w:p w14:paraId="734C6A14" w14:textId="54D69AD8" w:rsidR="005C5077" w:rsidRDefault="00442E0D" w:rsidP="00DB64CD">
      <w:pPr>
        <w:spacing w:after="0"/>
        <w:ind w:right="91"/>
      </w:pPr>
      <w:r>
        <w:t>Th</w:t>
      </w:r>
      <w:r w:rsidR="002654F7">
        <w:t>is section provides that</w:t>
      </w:r>
      <w:r w:rsidR="008A3DE2">
        <w:t xml:space="preserve"> the minimum </w:t>
      </w:r>
      <w:r w:rsidR="005C5077">
        <w:t xml:space="preserve">annual </w:t>
      </w:r>
      <w:r w:rsidR="008A3DE2">
        <w:t xml:space="preserve">distribution </w:t>
      </w:r>
      <w:r w:rsidR="005C5077">
        <w:t xml:space="preserve">rate for </w:t>
      </w:r>
      <w:r w:rsidR="008A3DE2">
        <w:t xml:space="preserve">a private ancillary fund in the 2021-22 financial year </w:t>
      </w:r>
      <w:r w:rsidR="00D672D1">
        <w:t xml:space="preserve">and later financial years </w:t>
      </w:r>
      <w:r w:rsidR="009846C5">
        <w:t>is</w:t>
      </w:r>
      <w:r w:rsidR="00D672D1">
        <w:t xml:space="preserve"> reduced </w:t>
      </w:r>
      <w:r w:rsidR="005F76D8">
        <w:t>from 5</w:t>
      </w:r>
      <w:r w:rsidR="002654F7">
        <w:t> </w:t>
      </w:r>
      <w:r w:rsidR="005F76D8">
        <w:t xml:space="preserve">per cent to 4 per cent </w:t>
      </w:r>
      <w:r w:rsidR="005C5077">
        <w:t xml:space="preserve">if the </w:t>
      </w:r>
      <w:r w:rsidR="008A3DE2">
        <w:t xml:space="preserve">distributions </w:t>
      </w:r>
      <w:r w:rsidR="005C5077">
        <w:t xml:space="preserve">by the fund in </w:t>
      </w:r>
      <w:r w:rsidR="009846C5">
        <w:t xml:space="preserve">the </w:t>
      </w:r>
      <w:r w:rsidR="008A3DE2">
        <w:t>2019-20 and 2020-21 financial years</w:t>
      </w:r>
      <w:r w:rsidR="000C4ED5">
        <w:t xml:space="preserve"> exceed the minimum annual distribution rate for those years</w:t>
      </w:r>
      <w:r w:rsidR="003B0CA7">
        <w:t xml:space="preserve"> by at least 4</w:t>
      </w:r>
      <w:r w:rsidR="005B49AA">
        <w:t> </w:t>
      </w:r>
      <w:r w:rsidR="003B0CA7">
        <w:t>percentage points</w:t>
      </w:r>
      <w:r w:rsidR="00617899">
        <w:t xml:space="preserve">, as determined </w:t>
      </w:r>
      <w:r w:rsidR="002654F7">
        <w:t xml:space="preserve">using </w:t>
      </w:r>
      <w:r w:rsidR="00617899">
        <w:t>the method statement set out in section</w:t>
      </w:r>
      <w:r w:rsidR="009846C5">
        <w:t> </w:t>
      </w:r>
      <w:r w:rsidR="003B3152">
        <w:t>31</w:t>
      </w:r>
      <w:r w:rsidR="008A3DE2">
        <w:t xml:space="preserve">. </w:t>
      </w:r>
    </w:p>
    <w:p w14:paraId="772D4F7B" w14:textId="674E0AD0" w:rsidR="009846C5" w:rsidRPr="008A3DE2" w:rsidRDefault="009846C5" w:rsidP="009846C5">
      <w:pPr>
        <w:spacing w:after="0"/>
        <w:ind w:right="91"/>
      </w:pPr>
      <w:r>
        <w:t>The method statement in section 31 provides that the amount by which a fund exceeds its annual minimum distribution for the 2019-20 and 2020-21 financial years (the excess) is determined by, broadly, first determining the proportion of the capital of the fund actually distributed in each of 2019-20 and 2020-21, adding these amounts together and then subtracting 10 (representing the combined minimum distribution rate for each year) from the total. The excess is the resulting amount. However, if the amount would be less than zero it is instead zero.</w:t>
      </w:r>
    </w:p>
    <w:p w14:paraId="20B78C12" w14:textId="559B2BE3" w:rsidR="009846C5" w:rsidRDefault="009846C5" w:rsidP="009846C5">
      <w:pPr>
        <w:spacing w:after="0"/>
        <w:ind w:right="91"/>
      </w:pPr>
      <w:r>
        <w:t>The reduction to the minimum distribution rate only applies</w:t>
      </w:r>
      <w:r w:rsidR="00BE09EB">
        <w:t xml:space="preserve"> in eligible years.</w:t>
      </w:r>
    </w:p>
    <w:p w14:paraId="795D862F" w14:textId="26EFFD78" w:rsidR="009846C5" w:rsidRDefault="009846C5" w:rsidP="009846C5">
      <w:pPr>
        <w:spacing w:after="0"/>
        <w:ind w:right="91"/>
      </w:pPr>
      <w:r>
        <w:t xml:space="preserve">The 2021-22 and 2022-23 financial years are eligible years for the reduction for all funds </w:t>
      </w:r>
      <w:r w:rsidR="00BE09EB">
        <w:t>to which the reduction applies.</w:t>
      </w:r>
    </w:p>
    <w:p w14:paraId="18E98625" w14:textId="34D59E55" w:rsidR="009846C5" w:rsidRDefault="009846C5" w:rsidP="00DB64CD">
      <w:pPr>
        <w:spacing w:after="0"/>
        <w:ind w:right="91"/>
      </w:pPr>
      <w:r>
        <w:t>Whether a subsequent year is an eligible year is determined based on the amount of the excess worked using the method statement set out in section 31</w:t>
      </w:r>
      <w:r w:rsidR="00A82290">
        <w:t xml:space="preserve"> of the PAF Guidelines</w:t>
      </w:r>
      <w:r>
        <w:t>. A fund is entitled to a further subsequent year for each amount of 2 by which the excess exceeds four. Expressed differently, a subsequent year is an eligible year if the total of the number of prior eligible years plus the current year does not exceed half the amount of the excess.</w:t>
      </w:r>
    </w:p>
    <w:p w14:paraId="40B353B2" w14:textId="125D44C2" w:rsidR="009846C5" w:rsidRDefault="009846C5" w:rsidP="00DB64CD">
      <w:pPr>
        <w:spacing w:after="0"/>
        <w:ind w:right="91"/>
      </w:pPr>
      <w:r>
        <w:lastRenderedPageBreak/>
        <w:t xml:space="preserve">For example, a fund that made </w:t>
      </w:r>
      <w:r w:rsidR="009C101F">
        <w:t>distributions</w:t>
      </w:r>
      <w:r>
        <w:t xml:space="preserve"> in the 2019-20 and 2020-21 financial years that exceeded the required amount by a total of 7 percentage points would be entitled to a reduction in the minimum annual distribution rate to 4 per cent for 2021</w:t>
      </w:r>
      <w:r>
        <w:noBreakHyphen/>
        <w:t xml:space="preserve">22 and 2022-23 automatically. </w:t>
      </w:r>
      <w:r w:rsidR="00A82290">
        <w:t>It would also be entitled to a reduction in the maximum annual distribution rate for 2023-24 but would not be entitled to reductions in any subsequent financial year as the amount of the excess – 7 – exceeds four by an amount of 2 only once.</w:t>
      </w:r>
    </w:p>
    <w:p w14:paraId="49A18856" w14:textId="01EC3A98" w:rsidR="007D1ADD" w:rsidRPr="008A3DE2" w:rsidRDefault="0094100D" w:rsidP="00DB64CD">
      <w:pPr>
        <w:spacing w:after="0"/>
        <w:ind w:right="91"/>
      </w:pPr>
      <w:r>
        <w:t xml:space="preserve">In effect </w:t>
      </w:r>
      <w:r w:rsidR="00F64E0C">
        <w:t xml:space="preserve">the new section </w:t>
      </w:r>
      <w:r>
        <w:t>entitles elig</w:t>
      </w:r>
      <w:r w:rsidR="009846C5">
        <w:t xml:space="preserve">ible funds to a total reduction </w:t>
      </w:r>
      <w:r w:rsidR="00F64E0C">
        <w:t xml:space="preserve">in the proportion of the capital of the fund they must distribute in later years </w:t>
      </w:r>
      <w:r w:rsidR="009846C5">
        <w:t>equal to</w:t>
      </w:r>
      <w:r>
        <w:t xml:space="preserve"> </w:t>
      </w:r>
      <w:r w:rsidR="009846C5">
        <w:t xml:space="preserve">around </w:t>
      </w:r>
      <w:r>
        <w:t xml:space="preserve">half the </w:t>
      </w:r>
      <w:r w:rsidR="00F64E0C">
        <w:t xml:space="preserve">proportionate </w:t>
      </w:r>
      <w:r>
        <w:t xml:space="preserve">amount of their additional donations in 2019-20 and 2020-21, rounded down. </w:t>
      </w:r>
      <w:r w:rsidR="007D1ADD">
        <w:t xml:space="preserve">This will assist private ancillary funds </w:t>
      </w:r>
      <w:r w:rsidR="00E40443">
        <w:t>that may wish to make additional contributions in the context of the Coronavirus but may be concerned about the impact on their longer-term philanthropic strategy.</w:t>
      </w:r>
    </w:p>
    <w:p w14:paraId="54F82B73" w14:textId="77777777" w:rsidR="00EA4DD8" w:rsidRDefault="00EA4DD8" w:rsidP="00EA4DD8">
      <w:pPr>
        <w:spacing w:before="0" w:after="0"/>
        <w:rPr>
          <w:b/>
          <w:kern w:val="28"/>
        </w:rPr>
      </w:pPr>
      <w:r>
        <w:br w:type="page"/>
      </w:r>
    </w:p>
    <w:p w14:paraId="4FA7BD4F" w14:textId="77777777" w:rsidR="007A55A7" w:rsidRDefault="007A55A7" w:rsidP="00013390">
      <w:pPr>
        <w:pageBreakBefore/>
        <w:spacing w:before="240"/>
        <w:jc w:val="right"/>
        <w:rPr>
          <w:b/>
          <w:u w:val="single"/>
        </w:rPr>
      </w:pPr>
      <w:r w:rsidRPr="007B335E">
        <w:rPr>
          <w:b/>
          <w:u w:val="single"/>
        </w:rPr>
        <w:lastRenderedPageBreak/>
        <w:t xml:space="preserve">ATTACHMENT </w:t>
      </w:r>
      <w:r w:rsidR="005B49AA">
        <w:rPr>
          <w:b/>
          <w:u w:val="single"/>
        </w:rPr>
        <w:t>B</w:t>
      </w:r>
    </w:p>
    <w:p w14:paraId="71165411" w14:textId="77777777" w:rsidR="00E4438C" w:rsidRPr="00462095" w:rsidRDefault="00E4438C" w:rsidP="003D4968">
      <w:pPr>
        <w:pStyle w:val="Heading3"/>
        <w:jc w:val="center"/>
      </w:pPr>
      <w:r w:rsidRPr="00462095">
        <w:t>Statement of Compatibility with Human Rights</w:t>
      </w:r>
    </w:p>
    <w:p w14:paraId="00A3FE4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E5D8A49" w14:textId="17FEA67A" w:rsidR="00E4438C" w:rsidRPr="00647BB7" w:rsidRDefault="00442E0D" w:rsidP="003E1CE3">
      <w:pPr>
        <w:pStyle w:val="Heading3"/>
        <w:jc w:val="center"/>
      </w:pPr>
      <w:r w:rsidRPr="000474DD">
        <w:rPr>
          <w:i/>
        </w:rPr>
        <w:t>Taxation Administration (Coronavirus Economic Response Package—Ancillary Funds) Amendment Guidelines 2020</w:t>
      </w:r>
    </w:p>
    <w:p w14:paraId="558ECC5D"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242F9D1" w14:textId="77777777" w:rsidR="00E4438C" w:rsidRPr="00647BB7" w:rsidRDefault="00E4438C" w:rsidP="003E1CE3">
      <w:pPr>
        <w:pStyle w:val="Heading3"/>
      </w:pPr>
      <w:r w:rsidRPr="00647BB7">
        <w:t>Overview of the Legislative Instrument</w:t>
      </w:r>
    </w:p>
    <w:p w14:paraId="3E76A9FB" w14:textId="4BFDC728" w:rsidR="00593664" w:rsidRPr="009F62BA" w:rsidRDefault="00593664" w:rsidP="00593664">
      <w:pPr>
        <w:spacing w:before="240"/>
      </w:pPr>
      <w:r>
        <w:t xml:space="preserve">The purpose of </w:t>
      </w:r>
      <w:r w:rsidR="00442E0D" w:rsidRPr="000474DD">
        <w:rPr>
          <w:i/>
        </w:rPr>
        <w:t>Taxation Administration (Coronavirus Economic Response Package—Ancillary Funds) Amendment Guidelines 2020</w:t>
      </w:r>
      <w:r>
        <w:t xml:space="preserve"> is to amend the </w:t>
      </w:r>
      <w:r w:rsidRPr="009F62BA">
        <w:rPr>
          <w:i/>
        </w:rPr>
        <w:t>Taxation Administration (Private Ancillary Fund) Guidelines 2019</w:t>
      </w:r>
      <w:r>
        <w:t xml:space="preserve"> (PAF Guidelines) and the </w:t>
      </w:r>
      <w:r>
        <w:rPr>
          <w:i/>
        </w:rPr>
        <w:t>Public Ancillary Fund Guidelines 2011</w:t>
      </w:r>
      <w:r>
        <w:t xml:space="preserve"> (PUAF Guidelines) (collectively, the Guidelines) to support giving by these funds in the 2019-20 and 2020-21 financial years in response to the effects of the coronavirus known as COVID-19 (the coronavirus). The amendments achieve this by allowing donations made in this period that are in excess of the minimum required distributions under the Guidelines to reduce the minimum required contribution in the 2021-22 </w:t>
      </w:r>
      <w:r w:rsidR="003B3152">
        <w:t xml:space="preserve">financial </w:t>
      </w:r>
      <w:r>
        <w:t>year</w:t>
      </w:r>
      <w:r w:rsidR="003B3152">
        <w:t xml:space="preserve"> and potentially later financial years</w:t>
      </w:r>
      <w:r>
        <w:t>.</w:t>
      </w:r>
    </w:p>
    <w:p w14:paraId="6963E0F7" w14:textId="77777777" w:rsidR="00E4438C" w:rsidRPr="00647BB7" w:rsidRDefault="00E4438C" w:rsidP="003E1CE3">
      <w:pPr>
        <w:pStyle w:val="Heading3"/>
      </w:pPr>
      <w:r w:rsidRPr="00647BB7">
        <w:t>Human rights implications</w:t>
      </w:r>
    </w:p>
    <w:p w14:paraId="37BA5B51" w14:textId="77777777" w:rsidR="00E4438C" w:rsidRPr="00647BB7" w:rsidRDefault="00E4438C" w:rsidP="00647BB7">
      <w:pPr>
        <w:spacing w:before="240"/>
      </w:pPr>
      <w:r w:rsidRPr="00647BB7">
        <w:t>This Legislative Instrument does not engage any of th</w:t>
      </w:r>
      <w:r w:rsidR="00593664">
        <w:t xml:space="preserve">e applicable rights or freedoms </w:t>
      </w:r>
      <w:r w:rsidR="00593664">
        <w:rPr>
          <w:color w:val="000000"/>
          <w:shd w:val="clear" w:color="auto" w:fill="FFFFFF"/>
        </w:rPr>
        <w:t>because it varies rules for specific types of philanthropic funds rather than affecting the rights or freedoms of individuals.</w:t>
      </w:r>
    </w:p>
    <w:p w14:paraId="034E085F" w14:textId="77777777" w:rsidR="00E4438C" w:rsidRPr="00647BB7" w:rsidRDefault="00E4438C" w:rsidP="003E1CE3">
      <w:pPr>
        <w:pStyle w:val="Heading3"/>
      </w:pPr>
      <w:r w:rsidRPr="00647BB7">
        <w:t>Conclusion</w:t>
      </w:r>
    </w:p>
    <w:p w14:paraId="2198DFF4" w14:textId="2A413406" w:rsidR="00482B81" w:rsidRPr="00EA4DD8" w:rsidRDefault="00E4438C" w:rsidP="00BE09EB">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CC43" w14:textId="77777777" w:rsidR="009724E0" w:rsidRDefault="009724E0" w:rsidP="00954679">
      <w:pPr>
        <w:spacing w:before="0" w:after="0"/>
      </w:pPr>
      <w:r>
        <w:separator/>
      </w:r>
    </w:p>
  </w:endnote>
  <w:endnote w:type="continuationSeparator" w:id="0">
    <w:p w14:paraId="0EACE829" w14:textId="77777777" w:rsidR="009724E0" w:rsidRDefault="009724E0" w:rsidP="00954679">
      <w:pPr>
        <w:spacing w:before="0" w:after="0"/>
      </w:pPr>
      <w:r>
        <w:continuationSeparator/>
      </w:r>
    </w:p>
  </w:endnote>
  <w:endnote w:type="continuationNotice" w:id="1">
    <w:p w14:paraId="0F5EEB0D" w14:textId="77777777" w:rsidR="00415B2B" w:rsidRDefault="00415B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17DB17C" w14:textId="296E896A" w:rsidR="009724E0" w:rsidRDefault="009724E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25D69">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25D69">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01D8" w14:textId="77777777" w:rsidR="009724E0" w:rsidRDefault="009724E0" w:rsidP="00954679">
      <w:pPr>
        <w:spacing w:before="0" w:after="0"/>
      </w:pPr>
      <w:r>
        <w:separator/>
      </w:r>
    </w:p>
  </w:footnote>
  <w:footnote w:type="continuationSeparator" w:id="0">
    <w:p w14:paraId="1DECA930" w14:textId="77777777" w:rsidR="009724E0" w:rsidRDefault="009724E0" w:rsidP="00954679">
      <w:pPr>
        <w:spacing w:before="0" w:after="0"/>
      </w:pPr>
      <w:r>
        <w:continuationSeparator/>
      </w:r>
    </w:p>
  </w:footnote>
  <w:footnote w:type="continuationNotice" w:id="1">
    <w:p w14:paraId="612F0BF3" w14:textId="77777777" w:rsidR="00415B2B" w:rsidRDefault="00415B2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AC"/>
    <w:rsid w:val="00013390"/>
    <w:rsid w:val="00016EA2"/>
    <w:rsid w:val="000474DD"/>
    <w:rsid w:val="00076178"/>
    <w:rsid w:val="00077FE9"/>
    <w:rsid w:val="00095211"/>
    <w:rsid w:val="000B39A1"/>
    <w:rsid w:val="000C10DF"/>
    <w:rsid w:val="000C4ED5"/>
    <w:rsid w:val="000C6935"/>
    <w:rsid w:val="00113B45"/>
    <w:rsid w:val="001304B1"/>
    <w:rsid w:val="001617DC"/>
    <w:rsid w:val="00187188"/>
    <w:rsid w:val="001B7535"/>
    <w:rsid w:val="001E6A74"/>
    <w:rsid w:val="001F41D0"/>
    <w:rsid w:val="00220F16"/>
    <w:rsid w:val="002232AD"/>
    <w:rsid w:val="00254C5B"/>
    <w:rsid w:val="002654F7"/>
    <w:rsid w:val="002A7E1F"/>
    <w:rsid w:val="002C226C"/>
    <w:rsid w:val="002C264B"/>
    <w:rsid w:val="003041FA"/>
    <w:rsid w:val="003342CD"/>
    <w:rsid w:val="00335042"/>
    <w:rsid w:val="00362B70"/>
    <w:rsid w:val="00392BBA"/>
    <w:rsid w:val="003954FD"/>
    <w:rsid w:val="003B0CA7"/>
    <w:rsid w:val="003B3152"/>
    <w:rsid w:val="003C6750"/>
    <w:rsid w:val="003C7907"/>
    <w:rsid w:val="003D4968"/>
    <w:rsid w:val="003D60D7"/>
    <w:rsid w:val="003E1CE3"/>
    <w:rsid w:val="00415B2B"/>
    <w:rsid w:val="00442E0D"/>
    <w:rsid w:val="00462095"/>
    <w:rsid w:val="00482B81"/>
    <w:rsid w:val="00482D4C"/>
    <w:rsid w:val="004A47B0"/>
    <w:rsid w:val="004B3C0F"/>
    <w:rsid w:val="004C05E4"/>
    <w:rsid w:val="004E39E1"/>
    <w:rsid w:val="004F56D0"/>
    <w:rsid w:val="00503E44"/>
    <w:rsid w:val="00515283"/>
    <w:rsid w:val="00533926"/>
    <w:rsid w:val="0055675D"/>
    <w:rsid w:val="00566E8F"/>
    <w:rsid w:val="0057422E"/>
    <w:rsid w:val="005833BE"/>
    <w:rsid w:val="00593664"/>
    <w:rsid w:val="005B49AA"/>
    <w:rsid w:val="005C5077"/>
    <w:rsid w:val="005D2958"/>
    <w:rsid w:val="005D7D5A"/>
    <w:rsid w:val="005E4BAC"/>
    <w:rsid w:val="005F6DB4"/>
    <w:rsid w:val="005F76D8"/>
    <w:rsid w:val="0060130D"/>
    <w:rsid w:val="00617899"/>
    <w:rsid w:val="00625D69"/>
    <w:rsid w:val="0064129F"/>
    <w:rsid w:val="00647BB7"/>
    <w:rsid w:val="00670278"/>
    <w:rsid w:val="00680297"/>
    <w:rsid w:val="006873CE"/>
    <w:rsid w:val="006A0786"/>
    <w:rsid w:val="00710E94"/>
    <w:rsid w:val="00727D8A"/>
    <w:rsid w:val="00731FEA"/>
    <w:rsid w:val="00736F61"/>
    <w:rsid w:val="00742253"/>
    <w:rsid w:val="00753E5C"/>
    <w:rsid w:val="00756108"/>
    <w:rsid w:val="007662C7"/>
    <w:rsid w:val="00776306"/>
    <w:rsid w:val="007A55A7"/>
    <w:rsid w:val="007B1F10"/>
    <w:rsid w:val="007B335E"/>
    <w:rsid w:val="007D1ADD"/>
    <w:rsid w:val="007E018D"/>
    <w:rsid w:val="007E31C2"/>
    <w:rsid w:val="007F1B71"/>
    <w:rsid w:val="00807E7D"/>
    <w:rsid w:val="00831675"/>
    <w:rsid w:val="00872718"/>
    <w:rsid w:val="0088467C"/>
    <w:rsid w:val="00894579"/>
    <w:rsid w:val="008A3DE2"/>
    <w:rsid w:val="008A5B67"/>
    <w:rsid w:val="008D16F7"/>
    <w:rsid w:val="008E1427"/>
    <w:rsid w:val="009143A0"/>
    <w:rsid w:val="00936902"/>
    <w:rsid w:val="0094100D"/>
    <w:rsid w:val="00954679"/>
    <w:rsid w:val="009724E0"/>
    <w:rsid w:val="009846C5"/>
    <w:rsid w:val="009B1DE7"/>
    <w:rsid w:val="009C101F"/>
    <w:rsid w:val="009C6A1E"/>
    <w:rsid w:val="009C7283"/>
    <w:rsid w:val="009E2F86"/>
    <w:rsid w:val="009F62BA"/>
    <w:rsid w:val="00A0388E"/>
    <w:rsid w:val="00A12209"/>
    <w:rsid w:val="00A36DF3"/>
    <w:rsid w:val="00A532DD"/>
    <w:rsid w:val="00A80BCF"/>
    <w:rsid w:val="00A82290"/>
    <w:rsid w:val="00A8369C"/>
    <w:rsid w:val="00AA1689"/>
    <w:rsid w:val="00AA5770"/>
    <w:rsid w:val="00AC1D15"/>
    <w:rsid w:val="00B07B0C"/>
    <w:rsid w:val="00B13A03"/>
    <w:rsid w:val="00B24D17"/>
    <w:rsid w:val="00B25563"/>
    <w:rsid w:val="00B26D48"/>
    <w:rsid w:val="00B42EE1"/>
    <w:rsid w:val="00B8293D"/>
    <w:rsid w:val="00B92478"/>
    <w:rsid w:val="00BA6188"/>
    <w:rsid w:val="00BD6185"/>
    <w:rsid w:val="00BD61A2"/>
    <w:rsid w:val="00BE09EB"/>
    <w:rsid w:val="00BE484D"/>
    <w:rsid w:val="00C13A9C"/>
    <w:rsid w:val="00C37E05"/>
    <w:rsid w:val="00C55D29"/>
    <w:rsid w:val="00C76E64"/>
    <w:rsid w:val="00CA0BE9"/>
    <w:rsid w:val="00CA138D"/>
    <w:rsid w:val="00CC7641"/>
    <w:rsid w:val="00CE3FFC"/>
    <w:rsid w:val="00CF4B3D"/>
    <w:rsid w:val="00D13794"/>
    <w:rsid w:val="00D24052"/>
    <w:rsid w:val="00D24386"/>
    <w:rsid w:val="00D31575"/>
    <w:rsid w:val="00D34626"/>
    <w:rsid w:val="00D34FB4"/>
    <w:rsid w:val="00D4257A"/>
    <w:rsid w:val="00D62665"/>
    <w:rsid w:val="00D672D1"/>
    <w:rsid w:val="00D82E47"/>
    <w:rsid w:val="00DB64CD"/>
    <w:rsid w:val="00DC0CDE"/>
    <w:rsid w:val="00DC4D72"/>
    <w:rsid w:val="00E0624D"/>
    <w:rsid w:val="00E40443"/>
    <w:rsid w:val="00E4438C"/>
    <w:rsid w:val="00E457F3"/>
    <w:rsid w:val="00E84872"/>
    <w:rsid w:val="00E9198B"/>
    <w:rsid w:val="00EA4DD8"/>
    <w:rsid w:val="00EB2AEF"/>
    <w:rsid w:val="00EB7E71"/>
    <w:rsid w:val="00F01D5B"/>
    <w:rsid w:val="00F109D4"/>
    <w:rsid w:val="00F15EE9"/>
    <w:rsid w:val="00F47585"/>
    <w:rsid w:val="00F60AAC"/>
    <w:rsid w:val="00F64E0C"/>
    <w:rsid w:val="00F85E6F"/>
    <w:rsid w:val="00FE04E4"/>
    <w:rsid w:val="00FE2330"/>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71A97"/>
  <w15:docId w15:val="{822C4613-8C64-4E1D-911A-E830F332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49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65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69AAF1BAD74733A146A2A7A82371CC"/>
        <w:category>
          <w:name w:val="General"/>
          <w:gallery w:val="placeholder"/>
        </w:category>
        <w:types>
          <w:type w:val="bbPlcHdr"/>
        </w:types>
        <w:behaviors>
          <w:behavior w:val="content"/>
        </w:behaviors>
        <w:guid w:val="{24354BFE-B5F4-4D83-A4EC-25C42331A41B}"/>
      </w:docPartPr>
      <w:docPartBody>
        <w:p w:rsidR="00000BD8" w:rsidRDefault="00000BD8">
          <w:pPr>
            <w:pStyle w:val="2F69AAF1BAD74733A146A2A7A82371C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8"/>
    <w:rsid w:val="00000BD8"/>
    <w:rsid w:val="0068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69AAF1BAD74733A146A2A7A82371CC">
    <w:name w:val="2F69AAF1BAD74733A146A2A7A82371CC"/>
  </w:style>
  <w:style w:type="paragraph" w:customStyle="1" w:styleId="A3FAD60A659C4B56891CD44B139D320C">
    <w:name w:val="A3FAD60A659C4B56891CD44B139D320C"/>
  </w:style>
  <w:style w:type="paragraph" w:customStyle="1" w:styleId="D52BCFA076764F64B01AF485F30638FD">
    <w:name w:val="D52BCFA076764F64B01AF485F30638FD"/>
  </w:style>
  <w:style w:type="paragraph" w:customStyle="1" w:styleId="1A8EF027EC61423BAA0C2D287F197AFF">
    <w:name w:val="1A8EF027EC61423BAA0C2D287F197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685" ma:contentTypeDescription=" " ma:contentTypeScope="" ma:versionID="588eadfd9d3567daa6e2bfddf069e45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2020RG-111-14759</_dlc_DocId>
    <_dlc_DocIdUrl xmlns="0f563589-9cf9-4143-b1eb-fb0534803d38">
      <Url>http://tweb/sites/rg/ldp/lmu/_layouts/15/DocIdRedir.aspx?ID=2020RG-111-14759</Url>
      <Description>2020RG-111-14759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98BC8264-4FDB-4B18-8141-771F09033C87}"/>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2292589A-D22B-4913-8E52-D6DECBDE3349}"/>
</file>

<file path=customXml/itemProps5.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AD85800F-4A65-4C80-9932-F4F91A9D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555</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Boyd, Patrick</cp:lastModifiedBy>
  <cp:revision>12</cp:revision>
  <cp:lastPrinted>2020-06-01T22:37:00Z</cp:lastPrinted>
  <dcterms:created xsi:type="dcterms:W3CDTF">2020-05-20T00:58:00Z</dcterms:created>
  <dcterms:modified xsi:type="dcterms:W3CDTF">2020-06-02T02:34:00Z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_dlc_DocIdItemGuid">
    <vt:lpwstr>06ba276e-8196-41fc-b651-66a6507ee98b</vt:lpwstr>
  </property>
  <property fmtid="{D5CDD505-2E9C-101B-9397-08002B2CF9AE}" pid="11" name="RecordPoint_WorkflowType">
    <vt:lpwstr>ActiveSubmitStub</vt:lpwstr>
  </property>
  <property fmtid="{D5CDD505-2E9C-101B-9397-08002B2CF9AE}" pid="12" name="RecordPoint_ActiveItemUniqueId">
    <vt:lpwstr>{e3a8499c-2fa7-4e36-9e66-1d8c01c03688}</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RecordPoint_RecordNumberSubmitted">
    <vt:lpwstr>R0002268709</vt:lpwstr>
  </property>
  <property fmtid="{D5CDD505-2E9C-101B-9397-08002B2CF9AE}" pid="17" name="TSYRecordClass">
    <vt:lpwstr>7;#TSY RA-9236 - Retain as national archives|c6a225b4-6b93-473e-bcbb-6bc6ab25b623</vt:lpwstr>
  </property>
  <property fmtid="{D5CDD505-2E9C-101B-9397-08002B2CF9AE}" pid="18" name="RecordPoint_SubmissionCompleted">
    <vt:lpwstr>2020-06-03T14:52:09.7357506+10:00</vt:lpwstr>
  </property>
</Properties>
</file>