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137B4" w14:textId="09E863EC" w:rsidR="00703828" w:rsidRPr="00E318F7" w:rsidRDefault="00703828" w:rsidP="00703828">
      <w:pPr>
        <w:rPr>
          <w:rFonts w:ascii="Times New Roman" w:hAnsi="Times New Roman" w:cs="Times New Roman"/>
          <w:sz w:val="28"/>
        </w:rPr>
      </w:pPr>
      <w:r w:rsidRPr="00E318F7">
        <w:rPr>
          <w:rFonts w:ascii="Times New Roman" w:hAnsi="Times New Roman" w:cs="Times New Roman"/>
          <w:noProof/>
          <w:lang w:eastAsia="en-AU"/>
        </w:rPr>
        <w:drawing>
          <wp:anchor distT="0" distB="0" distL="114300" distR="114300" simplePos="0" relativeHeight="251658240" behindDoc="0" locked="0" layoutInCell="1" allowOverlap="1" wp14:anchorId="3C864967" wp14:editId="0F033A83">
            <wp:simplePos x="914400" y="977900"/>
            <wp:positionH relativeFrom="column">
              <wp:align>left</wp:align>
            </wp:positionH>
            <wp:positionV relativeFrom="paragraph">
              <wp:align>top</wp:align>
            </wp:positionV>
            <wp:extent cx="1503328" cy="1105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anchor>
        </w:drawing>
      </w:r>
      <w:r w:rsidR="00276805">
        <w:rPr>
          <w:rFonts w:ascii="Times New Roman" w:hAnsi="Times New Roman" w:cs="Times New Roman"/>
          <w:sz w:val="28"/>
        </w:rPr>
        <w:br w:type="textWrapping" w:clear="all"/>
      </w:r>
    </w:p>
    <w:p w14:paraId="15D2A925" w14:textId="77777777" w:rsidR="00703828" w:rsidRPr="00E318F7" w:rsidRDefault="00703828" w:rsidP="00703828">
      <w:pPr>
        <w:rPr>
          <w:rFonts w:ascii="Times New Roman" w:hAnsi="Times New Roman" w:cs="Times New Roman"/>
          <w:sz w:val="19"/>
        </w:rPr>
      </w:pPr>
    </w:p>
    <w:p w14:paraId="7C4ED86C" w14:textId="77777777" w:rsidR="00BF4E46" w:rsidRPr="000113F5" w:rsidRDefault="00BF4E46" w:rsidP="00BF4E46">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color w:val="000000"/>
          <w:sz w:val="36"/>
          <w:szCs w:val="36"/>
          <w:lang w:eastAsia="en-AU"/>
        </w:rPr>
        <w:t xml:space="preserve">A </w:t>
      </w:r>
      <w:r w:rsidRPr="000113F5">
        <w:rPr>
          <w:rFonts w:ascii="Times New Roman" w:eastAsia="Times New Roman" w:hAnsi="Times New Roman" w:cs="Times New Roman"/>
          <w:b/>
          <w:bCs/>
          <w:color w:val="000000"/>
          <w:sz w:val="36"/>
          <w:szCs w:val="36"/>
          <w:lang w:eastAsia="en-AU"/>
        </w:rPr>
        <w:t>Code of Access to Telecommunications</w:t>
      </w:r>
    </w:p>
    <w:p w14:paraId="77D1A603" w14:textId="77777777" w:rsidR="00BF4E46" w:rsidRPr="000113F5" w:rsidRDefault="00BF4E46" w:rsidP="00BF4E46">
      <w:pPr>
        <w:shd w:val="clear" w:color="auto" w:fill="FFFFFF"/>
        <w:spacing w:after="0" w:line="240" w:lineRule="auto"/>
        <w:rPr>
          <w:rFonts w:ascii="Times New Roman" w:eastAsia="Times New Roman" w:hAnsi="Times New Roman" w:cs="Times New Roman"/>
          <w:color w:val="000000"/>
          <w:sz w:val="24"/>
          <w:szCs w:val="24"/>
          <w:lang w:eastAsia="en-AU"/>
        </w:rPr>
      </w:pPr>
      <w:r w:rsidRPr="000113F5">
        <w:rPr>
          <w:rFonts w:ascii="Times New Roman" w:eastAsia="Times New Roman" w:hAnsi="Times New Roman" w:cs="Times New Roman"/>
          <w:b/>
          <w:bCs/>
          <w:color w:val="000000"/>
          <w:sz w:val="36"/>
          <w:szCs w:val="36"/>
          <w:lang w:eastAsia="en-AU"/>
        </w:rPr>
        <w:t>Transmission Towers, Sites of Towers</w:t>
      </w:r>
    </w:p>
    <w:p w14:paraId="40DAA7D1" w14:textId="212B72B6" w:rsidR="00BF4E46" w:rsidRPr="000113F5" w:rsidRDefault="00BF4E46" w:rsidP="00BF4E46">
      <w:pPr>
        <w:shd w:val="clear" w:color="auto" w:fill="FFFFFF"/>
        <w:spacing w:after="0" w:line="240" w:lineRule="auto"/>
        <w:rPr>
          <w:rFonts w:ascii="Times New Roman" w:eastAsia="Times New Roman" w:hAnsi="Times New Roman" w:cs="Times New Roman"/>
          <w:color w:val="000000"/>
          <w:sz w:val="24"/>
          <w:szCs w:val="24"/>
          <w:lang w:eastAsia="en-AU"/>
        </w:rPr>
      </w:pPr>
      <w:r w:rsidRPr="000113F5">
        <w:rPr>
          <w:rFonts w:ascii="Times New Roman" w:eastAsia="Times New Roman" w:hAnsi="Times New Roman" w:cs="Times New Roman"/>
          <w:b/>
          <w:bCs/>
          <w:color w:val="000000"/>
          <w:sz w:val="36"/>
          <w:szCs w:val="36"/>
          <w:lang w:eastAsia="en-AU"/>
        </w:rPr>
        <w:t>and Underground Facilities</w:t>
      </w:r>
      <w:r>
        <w:rPr>
          <w:rFonts w:ascii="Times New Roman" w:eastAsia="Times New Roman" w:hAnsi="Times New Roman" w:cs="Times New Roman"/>
          <w:b/>
          <w:bCs/>
          <w:color w:val="000000"/>
          <w:sz w:val="36"/>
          <w:szCs w:val="36"/>
          <w:lang w:eastAsia="en-AU"/>
        </w:rPr>
        <w:t xml:space="preserve"> Amendment 2020</w:t>
      </w:r>
      <w:r w:rsidR="008D4451">
        <w:rPr>
          <w:rFonts w:ascii="Times New Roman" w:eastAsia="Times New Roman" w:hAnsi="Times New Roman" w:cs="Times New Roman"/>
          <w:b/>
          <w:bCs/>
          <w:color w:val="000000"/>
          <w:sz w:val="36"/>
          <w:szCs w:val="36"/>
          <w:lang w:eastAsia="en-AU"/>
        </w:rPr>
        <w:t xml:space="preserve"> (No. 1)</w:t>
      </w:r>
    </w:p>
    <w:p w14:paraId="65784851" w14:textId="77777777" w:rsidR="00703828" w:rsidRPr="00E318F7" w:rsidRDefault="00703828" w:rsidP="00703828">
      <w:pPr>
        <w:pStyle w:val="SignCoverPageStart"/>
        <w:spacing w:before="0" w:line="240" w:lineRule="auto"/>
        <w:rPr>
          <w:szCs w:val="22"/>
        </w:rPr>
      </w:pPr>
    </w:p>
    <w:p w14:paraId="4EF8EB3A" w14:textId="77777777" w:rsidR="00BF4E46" w:rsidRPr="001E45EA" w:rsidRDefault="00BF4E46" w:rsidP="00BF4E46">
      <w:pPr>
        <w:pStyle w:val="SignCoverPageStart"/>
        <w:spacing w:before="0" w:line="240" w:lineRule="auto"/>
        <w:rPr>
          <w:szCs w:val="22"/>
        </w:rPr>
      </w:pPr>
      <w:r w:rsidRPr="00E318F7">
        <w:rPr>
          <w:szCs w:val="22"/>
        </w:rPr>
        <w:t xml:space="preserve">The Australian </w:t>
      </w:r>
      <w:r>
        <w:rPr>
          <w:szCs w:val="22"/>
        </w:rPr>
        <w:t xml:space="preserve">Competition and Consumer Commission </w:t>
      </w:r>
      <w:r w:rsidRPr="00E318F7">
        <w:rPr>
          <w:szCs w:val="22"/>
        </w:rPr>
        <w:t xml:space="preserve">makes the following </w:t>
      </w:r>
      <w:r>
        <w:rPr>
          <w:szCs w:val="22"/>
        </w:rPr>
        <w:t>instrument under subclause 37(1) of Schedule 1 to the</w:t>
      </w:r>
      <w:r>
        <w:t xml:space="preserve"> </w:t>
      </w:r>
      <w:r>
        <w:rPr>
          <w:i/>
        </w:rPr>
        <w:t>Telecommunications Act 1997</w:t>
      </w:r>
      <w:r>
        <w:t>.</w:t>
      </w:r>
    </w:p>
    <w:p w14:paraId="5E47FA36" w14:textId="2FF84843" w:rsidR="00703828" w:rsidRPr="00E318F7" w:rsidRDefault="00703828" w:rsidP="00703828">
      <w:pPr>
        <w:keepNext/>
        <w:spacing w:before="300" w:line="240" w:lineRule="atLeast"/>
        <w:ind w:right="397"/>
        <w:jc w:val="both"/>
        <w:rPr>
          <w:rFonts w:ascii="Times New Roman" w:hAnsi="Times New Roman" w:cs="Times New Roman"/>
        </w:rPr>
      </w:pPr>
      <w:r w:rsidRPr="00E318F7">
        <w:rPr>
          <w:rFonts w:ascii="Times New Roman" w:hAnsi="Times New Roman" w:cs="Times New Roman"/>
        </w:rPr>
        <w:t>Dated</w:t>
      </w:r>
      <w:bookmarkStart w:id="0" w:name="BKCheck15B_1"/>
      <w:bookmarkEnd w:id="0"/>
      <w:r w:rsidRPr="00E318F7">
        <w:rPr>
          <w:rFonts w:ascii="Times New Roman" w:hAnsi="Times New Roman" w:cs="Times New Roman"/>
        </w:rPr>
        <w:t>:</w:t>
      </w:r>
      <w:r w:rsidR="00E220DE">
        <w:rPr>
          <w:rFonts w:ascii="Times New Roman" w:hAnsi="Times New Roman" w:cs="Times New Roman"/>
        </w:rPr>
        <w:t xml:space="preserve"> 5 June 2020</w:t>
      </w:r>
      <w:bookmarkStart w:id="1" w:name="_GoBack"/>
      <w:bookmarkEnd w:id="1"/>
    </w:p>
    <w:p w14:paraId="71413411"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p>
    <w:p w14:paraId="50BC689B"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p>
    <w:p w14:paraId="2D089657"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p>
    <w:p w14:paraId="0629387A"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p>
    <w:p w14:paraId="381F8F2C" w14:textId="7DFD9F63" w:rsidR="00BF4E46" w:rsidRDefault="00E220DE" w:rsidP="00BF4E46">
      <w:pPr>
        <w:tabs>
          <w:tab w:val="left" w:pos="3119"/>
          <w:tab w:val="left" w:pos="3861"/>
          <w:tab w:val="right" w:pos="8652"/>
        </w:tabs>
        <w:spacing w:after="0" w:line="300" w:lineRule="atLeast"/>
        <w:ind w:right="374"/>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signed</w:t>
      </w:r>
      <w:proofErr w:type="gramEnd"/>
      <w:r>
        <w:rPr>
          <w:rFonts w:ascii="Times New Roman" w:hAnsi="Times New Roman" w:cs="Times New Roman"/>
        </w:rPr>
        <w:t>]</w:t>
      </w:r>
    </w:p>
    <w:p w14:paraId="606B7AB2"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p>
    <w:p w14:paraId="7149E64A" w14:textId="2DC457DD"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r>
        <w:rPr>
          <w:rFonts w:ascii="Times New Roman" w:hAnsi="Times New Roman" w:cs="Times New Roman"/>
        </w:rPr>
        <w:t>Rodney Graham Sims</w:t>
      </w:r>
    </w:p>
    <w:p w14:paraId="3B149247"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r>
        <w:rPr>
          <w:rFonts w:ascii="Times New Roman" w:hAnsi="Times New Roman" w:cs="Times New Roman"/>
        </w:rPr>
        <w:t>Chairman</w:t>
      </w:r>
    </w:p>
    <w:p w14:paraId="1F3C8F21" w14:textId="77777777" w:rsidR="00BF4E46" w:rsidRDefault="00BF4E46" w:rsidP="00BF4E46">
      <w:pPr>
        <w:tabs>
          <w:tab w:val="left" w:pos="3119"/>
          <w:tab w:val="left" w:pos="3861"/>
          <w:tab w:val="right" w:pos="8652"/>
        </w:tabs>
        <w:spacing w:after="0" w:line="300" w:lineRule="atLeast"/>
        <w:ind w:right="374"/>
        <w:jc w:val="right"/>
        <w:rPr>
          <w:rFonts w:ascii="Times New Roman" w:hAnsi="Times New Roman" w:cs="Times New Roman"/>
        </w:rPr>
      </w:pPr>
      <w:r>
        <w:rPr>
          <w:rFonts w:ascii="Times New Roman" w:hAnsi="Times New Roman" w:cs="Times New Roman"/>
        </w:rPr>
        <w:t>Australian Competition and Consumer Commission</w:t>
      </w:r>
    </w:p>
    <w:p w14:paraId="1F0FF050" w14:textId="77777777" w:rsidR="00703828" w:rsidRPr="00E318F7" w:rsidRDefault="00703828" w:rsidP="00703828">
      <w:pPr>
        <w:pStyle w:val="SignCoverPageEnd"/>
        <w:rPr>
          <w:szCs w:val="22"/>
        </w:rPr>
      </w:pPr>
    </w:p>
    <w:p w14:paraId="1AF6FCDB" w14:textId="77777777" w:rsidR="00BF4E46" w:rsidRDefault="00BF4E46" w:rsidP="00703828">
      <w:pPr>
        <w:pStyle w:val="SignCoverPageEnd"/>
        <w:rPr>
          <w:szCs w:val="22"/>
        </w:rPr>
      </w:pPr>
    </w:p>
    <w:p w14:paraId="47A31188" w14:textId="77777777" w:rsidR="00BF4E46" w:rsidRDefault="00BF4E46" w:rsidP="00703828">
      <w:pPr>
        <w:pStyle w:val="SignCoverPageEnd"/>
        <w:rPr>
          <w:szCs w:val="22"/>
        </w:rPr>
      </w:pPr>
    </w:p>
    <w:p w14:paraId="36FBA500" w14:textId="77777777" w:rsidR="00BF4E46" w:rsidRDefault="00BF4E46" w:rsidP="00703828">
      <w:pPr>
        <w:pStyle w:val="SignCoverPageEnd"/>
        <w:rPr>
          <w:szCs w:val="22"/>
        </w:rPr>
      </w:pPr>
    </w:p>
    <w:p w14:paraId="684D390B" w14:textId="77777777" w:rsidR="00BF4E46" w:rsidRDefault="00BF4E46" w:rsidP="00703828">
      <w:pPr>
        <w:pStyle w:val="SignCoverPageEnd"/>
        <w:rPr>
          <w:szCs w:val="22"/>
        </w:rPr>
      </w:pPr>
    </w:p>
    <w:p w14:paraId="399BD6EE" w14:textId="77777777" w:rsidR="00BF4E46" w:rsidRDefault="00BF4E46" w:rsidP="00703828">
      <w:pPr>
        <w:pStyle w:val="SignCoverPageEnd"/>
        <w:rPr>
          <w:szCs w:val="22"/>
        </w:rPr>
      </w:pPr>
    </w:p>
    <w:p w14:paraId="4182E99B" w14:textId="53492EF9" w:rsidR="00703828" w:rsidRPr="00E318F7" w:rsidRDefault="00703828" w:rsidP="00703828">
      <w:pPr>
        <w:pStyle w:val="SignCoverPageEnd"/>
        <w:rPr>
          <w:szCs w:val="22"/>
        </w:rPr>
      </w:pPr>
      <w:r w:rsidRPr="00E318F7">
        <w:rPr>
          <w:szCs w:val="22"/>
        </w:rPr>
        <w:t>Australian Com</w:t>
      </w:r>
      <w:r w:rsidR="00BF4E46">
        <w:rPr>
          <w:szCs w:val="22"/>
        </w:rPr>
        <w:t>petition and Consumer Commission</w:t>
      </w:r>
    </w:p>
    <w:p w14:paraId="5648B028" w14:textId="77777777" w:rsidR="0017734A" w:rsidRPr="00E318F7" w:rsidRDefault="0017734A">
      <w:pPr>
        <w:rPr>
          <w:rFonts w:ascii="Times New Roman" w:hAnsi="Times New Roman" w:cs="Times New Roman"/>
        </w:rPr>
      </w:pPr>
    </w:p>
    <w:p w14:paraId="3D9AC7FF" w14:textId="77777777" w:rsidR="0017734A" w:rsidRPr="00E318F7" w:rsidRDefault="0017734A">
      <w:pPr>
        <w:rPr>
          <w:rFonts w:ascii="Times New Roman" w:hAnsi="Times New Roman" w:cs="Times New Roman"/>
        </w:rPr>
      </w:pPr>
    </w:p>
    <w:p w14:paraId="2BD73285" w14:textId="77777777" w:rsidR="00E7332E" w:rsidRDefault="00E7332E" w:rsidP="00E7332E">
      <w:pPr>
        <w:rPr>
          <w:rFonts w:ascii="Times New Roman" w:hAnsi="Times New Roman" w:cs="Times New Roman"/>
        </w:rPr>
      </w:pPr>
    </w:p>
    <w:p w14:paraId="6D078026" w14:textId="2C6C933D" w:rsidR="005957A6" w:rsidRPr="00E7332E" w:rsidRDefault="005957A6" w:rsidP="00E7332E">
      <w:pPr>
        <w:tabs>
          <w:tab w:val="center" w:pos="4513"/>
        </w:tabs>
        <w:rPr>
          <w:rFonts w:ascii="Times New Roman" w:hAnsi="Times New Roman" w:cs="Times New Roman"/>
        </w:rPr>
        <w:sectPr w:rsidR="005957A6" w:rsidRPr="00E7332E" w:rsidSect="002F0E3F">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17D783CB" w14:textId="77777777" w:rsidR="0091792E" w:rsidRPr="00BA34C5" w:rsidRDefault="0091792E" w:rsidP="0091792E">
      <w:pPr>
        <w:pStyle w:val="ActHead5"/>
        <w:spacing w:before="0"/>
        <w:ind w:left="0" w:firstLine="0"/>
        <w:rPr>
          <w:rStyle w:val="CharSectno"/>
          <w:szCs w:val="24"/>
        </w:rPr>
      </w:pPr>
      <w:bookmarkStart w:id="2" w:name="_Toc444596031"/>
    </w:p>
    <w:p w14:paraId="5B3FCD21" w14:textId="5D918EBB" w:rsidR="00F31EC9" w:rsidRPr="00BA34C5" w:rsidRDefault="00BA34C5" w:rsidP="00BA34C5">
      <w:pPr>
        <w:pStyle w:val="ActHead5"/>
        <w:spacing w:before="0"/>
        <w:ind w:left="0" w:firstLine="0"/>
        <w:rPr>
          <w:sz w:val="32"/>
          <w:szCs w:val="32"/>
        </w:rPr>
      </w:pPr>
      <w:r w:rsidRPr="008E3E51">
        <w:rPr>
          <w:rStyle w:val="CharSectno"/>
        </w:rPr>
        <w:t>1</w:t>
      </w:r>
      <w:r w:rsidRPr="008E3E51">
        <w:t xml:space="preserve">  Name</w:t>
      </w:r>
    </w:p>
    <w:p w14:paraId="39AD4640" w14:textId="414F3D41" w:rsidR="00F31EC9" w:rsidRPr="008E3E51" w:rsidRDefault="00F31EC9" w:rsidP="00F31EC9">
      <w:pPr>
        <w:pStyle w:val="subsection"/>
      </w:pPr>
      <w:r w:rsidRPr="008E3E51">
        <w:tab/>
      </w:r>
      <w:r w:rsidRPr="008E3E51">
        <w:tab/>
      </w:r>
      <w:r w:rsidR="00BF4E46" w:rsidRPr="00BF4E46">
        <w:t xml:space="preserve">This is </w:t>
      </w:r>
      <w:bookmarkStart w:id="3" w:name="BKCheck15B_3"/>
      <w:bookmarkEnd w:id="3"/>
      <w:r w:rsidR="00BF4E46" w:rsidRPr="00BF4E46">
        <w:t xml:space="preserve">the </w:t>
      </w:r>
      <w:r w:rsidR="00BF4E46" w:rsidRPr="00BF4E46">
        <w:rPr>
          <w:i/>
        </w:rPr>
        <w:t>A Code of Access to Telecommunications Transmission Towers, Sites of Towers and Underground Facilities Amendment 2020</w:t>
      </w:r>
      <w:r w:rsidR="00186F43">
        <w:rPr>
          <w:i/>
        </w:rPr>
        <w:t xml:space="preserve"> (No. 1)</w:t>
      </w:r>
      <w:r w:rsidR="00BF4E46">
        <w:rPr>
          <w:i/>
        </w:rPr>
        <w:t>.</w:t>
      </w:r>
    </w:p>
    <w:p w14:paraId="476CE83B" w14:textId="77777777" w:rsidR="00F31EC9" w:rsidRPr="008E3E51" w:rsidRDefault="00F31EC9" w:rsidP="00F31EC9">
      <w:pPr>
        <w:pStyle w:val="ActHead5"/>
      </w:pPr>
      <w:bookmarkStart w:id="4" w:name="_Toc444596032"/>
      <w:r w:rsidRPr="008E3E51">
        <w:rPr>
          <w:rStyle w:val="CharSectno"/>
        </w:rPr>
        <w:t>2</w:t>
      </w:r>
      <w:r w:rsidRPr="008E3E51">
        <w:t xml:space="preserve">  Commencement</w:t>
      </w:r>
      <w:bookmarkEnd w:id="4"/>
    </w:p>
    <w:p w14:paraId="3815F740" w14:textId="3EB6AED7" w:rsidR="00F31EC9" w:rsidRDefault="00F31EC9" w:rsidP="00F31EC9">
      <w:pPr>
        <w:pStyle w:val="subsection"/>
      </w:pPr>
      <w:r>
        <w:tab/>
      </w:r>
      <w:r w:rsidRPr="008E3E51">
        <w:tab/>
        <w:t>This instrument</w:t>
      </w:r>
      <w:r>
        <w:t xml:space="preserve"> commences at the start of the day after it is registered</w:t>
      </w:r>
      <w:r w:rsidR="00F26DEC">
        <w:t xml:space="preserve"> on the Federal Register of Legislation</w:t>
      </w:r>
      <w:r>
        <w:t xml:space="preserve">. </w:t>
      </w:r>
    </w:p>
    <w:p w14:paraId="3DBB2798" w14:textId="12DA1513" w:rsidR="00F31EC9" w:rsidRDefault="00F31EC9" w:rsidP="000340E0">
      <w:pPr>
        <w:pStyle w:val="LI-BodyTextNote"/>
        <w:spacing w:before="122"/>
      </w:pPr>
      <w:r w:rsidRPr="00F61B09">
        <w:t>Note:</w:t>
      </w:r>
      <w:r w:rsidRPr="00F61B09">
        <w:tab/>
      </w:r>
      <w:r>
        <w:t>The Federa</w:t>
      </w:r>
      <w:r w:rsidR="00F26DEC">
        <w:t xml:space="preserve">l Register of Legislation </w:t>
      </w:r>
      <w:r w:rsidRPr="00572BB1">
        <w:t xml:space="preserve">may </w:t>
      </w:r>
      <w:r>
        <w:t xml:space="preserve">be accessed </w:t>
      </w:r>
      <w:r w:rsidR="00BE2492">
        <w:t xml:space="preserve">free of charge </w:t>
      </w:r>
      <w:r>
        <w:t xml:space="preserve">at </w:t>
      </w:r>
      <w:hyperlink r:id="rId13" w:history="1">
        <w:r w:rsidRPr="008B4C0E">
          <w:rPr>
            <w:rStyle w:val="Hyperlink"/>
            <w:rFonts w:eastAsiaTheme="majorEastAsia"/>
          </w:rPr>
          <w:t>www.legislation.gov.au</w:t>
        </w:r>
      </w:hyperlink>
      <w:r>
        <w:t>.</w:t>
      </w:r>
    </w:p>
    <w:p w14:paraId="4FEAC7C9" w14:textId="77777777" w:rsidR="00F31EC9" w:rsidRPr="008E3E51" w:rsidRDefault="00F31EC9" w:rsidP="00F31EC9">
      <w:pPr>
        <w:pStyle w:val="ActHead5"/>
      </w:pPr>
      <w:bookmarkStart w:id="5" w:name="_Toc444596033"/>
      <w:r w:rsidRPr="008E3E51">
        <w:rPr>
          <w:rStyle w:val="CharSectno"/>
        </w:rPr>
        <w:t>3</w:t>
      </w:r>
      <w:r w:rsidRPr="008E3E51">
        <w:t xml:space="preserve">  Authority</w:t>
      </w:r>
      <w:bookmarkEnd w:id="5"/>
    </w:p>
    <w:p w14:paraId="7CFF547D" w14:textId="7210ED6F" w:rsidR="00F31EC9" w:rsidRPr="008E3E51" w:rsidRDefault="00F31EC9" w:rsidP="00F31EC9">
      <w:pPr>
        <w:pStyle w:val="subsection"/>
      </w:pPr>
      <w:r w:rsidRPr="008E3E51">
        <w:tab/>
      </w:r>
      <w:r w:rsidRPr="008E3E51">
        <w:tab/>
      </w:r>
      <w:r w:rsidR="00BF4E46" w:rsidRPr="00BF4E46">
        <w:t xml:space="preserve">This instrument is made under subclause 37(1) of Schedule 1 to the </w:t>
      </w:r>
      <w:r w:rsidR="00BF4E46" w:rsidRPr="00BF4E46">
        <w:rPr>
          <w:i/>
        </w:rPr>
        <w:t>Telecommunications Act 1997</w:t>
      </w:r>
      <w:r w:rsidR="00BF4E46" w:rsidRPr="00BF4E46">
        <w:t>.</w:t>
      </w:r>
    </w:p>
    <w:p w14:paraId="6A5943E2" w14:textId="6A4B74EC" w:rsidR="00F31EC9" w:rsidRPr="008E3E51" w:rsidRDefault="00F31EC9" w:rsidP="00F31CFC">
      <w:pPr>
        <w:pStyle w:val="ActHead5"/>
        <w:ind w:left="1843" w:hanging="1843"/>
      </w:pPr>
      <w:bookmarkStart w:id="6" w:name="_Toc444596034"/>
      <w:r>
        <w:t>4</w:t>
      </w:r>
      <w:r w:rsidRPr="008E3E51">
        <w:t xml:space="preserve">  </w:t>
      </w:r>
      <w:r w:rsidR="00C4249D">
        <w:t>Amendment</w:t>
      </w:r>
      <w:r w:rsidR="00130C48">
        <w:t>s</w:t>
      </w:r>
      <w:r w:rsidR="00F31CFC">
        <w:t xml:space="preserve"> </w:t>
      </w:r>
    </w:p>
    <w:p w14:paraId="7D8E1455" w14:textId="76E80FC6" w:rsidR="00F31EC9" w:rsidRDefault="00F31EC9" w:rsidP="00F31EC9">
      <w:pPr>
        <w:pStyle w:val="subsection"/>
        <w:rPr>
          <w:rStyle w:val="CharSectno"/>
        </w:rPr>
      </w:pPr>
      <w:r>
        <w:tab/>
      </w:r>
      <w:r w:rsidRPr="008E3E51">
        <w:tab/>
      </w:r>
      <w:r w:rsidR="00C4249D">
        <w:t>The</w:t>
      </w:r>
      <w:r w:rsidR="00EF6088" w:rsidRPr="00D41825">
        <w:t xml:space="preserve"> instrument that is specified in Schedule</w:t>
      </w:r>
      <w:r w:rsidR="00C4249D">
        <w:t xml:space="preserve"> 1</w:t>
      </w:r>
      <w:r w:rsidR="00EF6088" w:rsidRPr="00D41825">
        <w:t xml:space="preserve"> is amended as set ou</w:t>
      </w:r>
      <w:r w:rsidR="00C4249D">
        <w:t>t in the applicable items in</w:t>
      </w:r>
      <w:r w:rsidR="00130C48">
        <w:t xml:space="preserve"> that</w:t>
      </w:r>
      <w:r w:rsidR="00C4249D">
        <w:t xml:space="preserve"> </w:t>
      </w:r>
      <w:r w:rsidR="00EF6088" w:rsidRPr="00D41825">
        <w:t>Schedul</w:t>
      </w:r>
      <w:r w:rsidR="00C4249D">
        <w:t>e</w:t>
      </w:r>
      <w:r w:rsidR="00EF6088" w:rsidRPr="00D41825">
        <w:t>.</w:t>
      </w:r>
      <w:r w:rsidR="00EF6088" w:rsidRPr="00A742AC">
        <w:rPr>
          <w:i/>
        </w:rPr>
        <w:t xml:space="preserve"> </w:t>
      </w:r>
    </w:p>
    <w:bookmarkEnd w:id="6"/>
    <w:p w14:paraId="0210BC6A" w14:textId="190BC6ED" w:rsidR="00F31EC9" w:rsidRPr="008E3E51" w:rsidRDefault="00F31EC9" w:rsidP="00F856A6">
      <w:pPr>
        <w:pStyle w:val="notetext"/>
      </w:pPr>
      <w:r>
        <w:t xml:space="preserve"> </w:t>
      </w:r>
    </w:p>
    <w:bookmarkEnd w:id="2"/>
    <w:p w14:paraId="73817C1C" w14:textId="77777777" w:rsidR="0091792E" w:rsidRDefault="0091792E">
      <w:pPr>
        <w:rPr>
          <w:rFonts w:ascii="Times New Roman" w:hAnsi="Times New Roman" w:cs="Times New Roman"/>
          <w:b/>
          <w:sz w:val="24"/>
          <w:szCs w:val="24"/>
        </w:rPr>
        <w:sectPr w:rsidR="0091792E" w:rsidSect="00F31EC9">
          <w:headerReference w:type="default" r:id="rId14"/>
          <w:pgSz w:w="11906" w:h="16838"/>
          <w:pgMar w:top="1440" w:right="1440" w:bottom="1440" w:left="1440" w:header="708" w:footer="708" w:gutter="0"/>
          <w:pgNumType w:start="1"/>
          <w:cols w:space="708"/>
          <w:docGrid w:linePitch="360"/>
        </w:sectPr>
      </w:pPr>
    </w:p>
    <w:p w14:paraId="1ECB8FDC" w14:textId="77777777" w:rsidR="0091792E" w:rsidRDefault="0091792E" w:rsidP="0091792E">
      <w:pPr>
        <w:pStyle w:val="ActHead5"/>
        <w:spacing w:before="0"/>
        <w:ind w:left="0" w:firstLine="0"/>
        <w:rPr>
          <w:rStyle w:val="CharSectno"/>
          <w:sz w:val="32"/>
          <w:szCs w:val="32"/>
        </w:rPr>
      </w:pPr>
    </w:p>
    <w:p w14:paraId="5C0412ED" w14:textId="14FA7613" w:rsidR="006F5CF2" w:rsidRPr="00265688" w:rsidRDefault="00265688" w:rsidP="0091792E">
      <w:pPr>
        <w:pStyle w:val="ActHead5"/>
        <w:spacing w:before="0"/>
        <w:ind w:left="0" w:firstLine="0"/>
        <w:rPr>
          <w:rStyle w:val="CharSectno"/>
          <w:rFonts w:ascii="Arial" w:hAnsi="Arial" w:cs="Arial"/>
          <w:sz w:val="32"/>
          <w:szCs w:val="32"/>
        </w:rPr>
      </w:pPr>
      <w:r w:rsidRPr="00265688">
        <w:rPr>
          <w:rStyle w:val="CharSectno"/>
          <w:rFonts w:ascii="Arial" w:hAnsi="Arial" w:cs="Arial"/>
          <w:sz w:val="32"/>
          <w:szCs w:val="32"/>
        </w:rPr>
        <w:t>Schedule 1</w:t>
      </w:r>
      <w:r w:rsidR="006F5CF2" w:rsidRPr="00265688">
        <w:rPr>
          <w:rFonts w:ascii="Arial" w:hAnsi="Arial" w:cs="Arial"/>
          <w:sz w:val="32"/>
          <w:szCs w:val="32"/>
        </w:rPr>
        <w:t>—</w:t>
      </w:r>
      <w:r w:rsidRPr="00265688">
        <w:rPr>
          <w:rFonts w:ascii="Arial" w:hAnsi="Arial" w:cs="Arial"/>
          <w:sz w:val="32"/>
          <w:szCs w:val="32"/>
        </w:rPr>
        <w:t>Amendments</w:t>
      </w:r>
    </w:p>
    <w:p w14:paraId="5B1178A7" w14:textId="347D0CC2" w:rsidR="00265688" w:rsidRPr="002B0455" w:rsidRDefault="00B30E00" w:rsidP="00C4249D">
      <w:pPr>
        <w:pStyle w:val="ActHead9"/>
        <w:ind w:left="0" w:firstLine="0"/>
      </w:pPr>
      <w:bookmarkStart w:id="7" w:name="_Toc444596036"/>
      <w:r w:rsidRPr="002B0455">
        <w:t xml:space="preserve">A Code of Access to Telecommunications </w:t>
      </w:r>
      <w:r w:rsidR="005E4159">
        <w:t xml:space="preserve">Transmission </w:t>
      </w:r>
      <w:r w:rsidRPr="002B0455">
        <w:t>Towers, Sites of Towers and Underground Facilities</w:t>
      </w:r>
      <w:r w:rsidR="00F31CFC">
        <w:rPr>
          <w:szCs w:val="28"/>
        </w:rPr>
        <w:t xml:space="preserve"> </w:t>
      </w:r>
      <w:r w:rsidR="00F31CFC" w:rsidRPr="00F31CFC">
        <w:rPr>
          <w:i w:val="0"/>
          <w:szCs w:val="28"/>
        </w:rPr>
        <w:t>[</w:t>
      </w:r>
      <w:r w:rsidRPr="00F31CFC">
        <w:rPr>
          <w:bCs/>
          <w:i w:val="0"/>
          <w:szCs w:val="28"/>
        </w:rPr>
        <w:t>F2005B01098</w:t>
      </w:r>
      <w:r w:rsidR="00F31CFC" w:rsidRPr="00F31CFC">
        <w:rPr>
          <w:i w:val="0"/>
          <w:szCs w:val="28"/>
        </w:rPr>
        <w:t>]</w:t>
      </w:r>
    </w:p>
    <w:p w14:paraId="484E8C5D" w14:textId="29478FE9" w:rsidR="00265688" w:rsidRPr="002B0455" w:rsidRDefault="00265688" w:rsidP="00265688">
      <w:pPr>
        <w:pStyle w:val="ItemHead"/>
      </w:pPr>
      <w:r w:rsidRPr="002B0455">
        <w:t xml:space="preserve">1  </w:t>
      </w:r>
      <w:r w:rsidR="00DD2A0F">
        <w:t>Paragraph 2.3(3)(ii)</w:t>
      </w:r>
    </w:p>
    <w:p w14:paraId="086BA2A1" w14:textId="7CEC1E59" w:rsidR="00265688" w:rsidRPr="002B0455" w:rsidRDefault="00DD2A0F" w:rsidP="00265688">
      <w:pPr>
        <w:pStyle w:val="Item"/>
      </w:pPr>
      <w:r>
        <w:t>After “queuing policy.”, insert</w:t>
      </w:r>
      <w:r w:rsidR="00270C74">
        <w:t xml:space="preserve"> </w:t>
      </w:r>
      <w:r>
        <w:t>“</w:t>
      </w:r>
      <w:r w:rsidR="000B4063">
        <w:t>Subject to sub-clause</w:t>
      </w:r>
      <w:r w:rsidR="0062407B">
        <w:t>s</w:t>
      </w:r>
      <w:r w:rsidR="000B4063">
        <w:t xml:space="preserve"> (7)</w:t>
      </w:r>
      <w:r w:rsidR="0062407B">
        <w:t xml:space="preserve"> and (8)</w:t>
      </w:r>
      <w:r w:rsidR="000B4063">
        <w:t>, t</w:t>
      </w:r>
      <w:r w:rsidRPr="00DD2A0F">
        <w:t xml:space="preserve">his includes a requirement </w:t>
      </w:r>
      <w:r w:rsidR="00EC0AD2" w:rsidRPr="00EC0AD2">
        <w:t xml:space="preserve">that a Facilities Access Application must be removed from the queue for a Tower and/or </w:t>
      </w:r>
      <w:r w:rsidR="00E84D54">
        <w:t>Tower Site</w:t>
      </w:r>
      <w:r w:rsidR="00EC0AD2" w:rsidRPr="00EC0AD2">
        <w:t xml:space="preserve"> after 24 </w:t>
      </w:r>
      <w:r w:rsidR="00B4115D">
        <w:t>months</w:t>
      </w:r>
      <w:r w:rsidR="00EC0AD2" w:rsidRPr="00EC0AD2">
        <w:t xml:space="preserve"> </w:t>
      </w:r>
      <w:r w:rsidR="005E4159">
        <w:t xml:space="preserve">from the date that application was accepted, </w:t>
      </w:r>
      <w:r w:rsidR="00EC0AD2" w:rsidRPr="00EC0AD2">
        <w:t>if the Carrier has not commenced ordering and/or installing Equipment on or in that Tower and/or Tower Site. The Carrier may then lodge a new Facilities Access Application</w:t>
      </w:r>
      <w:r w:rsidRPr="00DD2A0F">
        <w:t>.</w:t>
      </w:r>
      <w:r w:rsidR="00DF211B">
        <w:t>”</w:t>
      </w:r>
    </w:p>
    <w:p w14:paraId="244AC1F9" w14:textId="58D816DA" w:rsidR="00265688" w:rsidRPr="002B0455" w:rsidRDefault="00265688" w:rsidP="00265688">
      <w:pPr>
        <w:pStyle w:val="ItemHead"/>
      </w:pPr>
      <w:r w:rsidRPr="002B0455">
        <w:t xml:space="preserve">2  </w:t>
      </w:r>
      <w:r w:rsidR="004331DD">
        <w:t xml:space="preserve">After </w:t>
      </w:r>
      <w:r w:rsidR="000B4063">
        <w:t>sub-clause 2.3(6)</w:t>
      </w:r>
    </w:p>
    <w:p w14:paraId="55C14BA1" w14:textId="6B088996" w:rsidR="00621187" w:rsidRPr="00EC0AD2" w:rsidRDefault="000B4063" w:rsidP="00EC0AD2">
      <w:pPr>
        <w:pStyle w:val="Item"/>
      </w:pPr>
      <w:r>
        <w:t>Insert:</w:t>
      </w:r>
    </w:p>
    <w:p w14:paraId="2BC0D34E" w14:textId="77777777" w:rsidR="005902F1" w:rsidRPr="000B4063" w:rsidRDefault="005902F1" w:rsidP="000B4063">
      <w:pPr>
        <w:autoSpaceDE w:val="0"/>
        <w:autoSpaceDN w:val="0"/>
        <w:adjustRightInd w:val="0"/>
        <w:spacing w:after="0" w:line="240" w:lineRule="auto"/>
        <w:ind w:left="2127" w:hanging="426"/>
        <w:rPr>
          <w:rFonts w:ascii="Times New Roman" w:eastAsia="Times New Roman" w:hAnsi="Times New Roman" w:cs="Times New Roman"/>
          <w:color w:val="000000"/>
          <w:lang w:eastAsia="en-AU"/>
        </w:rPr>
      </w:pPr>
    </w:p>
    <w:p w14:paraId="195B93FE" w14:textId="3603612C" w:rsidR="00621187" w:rsidRDefault="00621187" w:rsidP="00621187">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sidRPr="000B4063">
        <w:rPr>
          <w:rFonts w:ascii="Times New Roman" w:eastAsia="Times New Roman" w:hAnsi="Times New Roman" w:cs="Times New Roman"/>
          <w:color w:val="000000"/>
          <w:lang w:eastAsia="en-AU"/>
        </w:rPr>
        <w:t xml:space="preserve">(7)  </w:t>
      </w:r>
      <w:r w:rsidR="0062407B">
        <w:rPr>
          <w:rFonts w:ascii="Times New Roman" w:eastAsia="Times New Roman" w:hAnsi="Times New Roman" w:cs="Times New Roman"/>
          <w:color w:val="000000"/>
          <w:lang w:eastAsia="en-AU"/>
        </w:rPr>
        <w:t>Paragraph</w:t>
      </w:r>
      <w:r w:rsidRPr="000B4063">
        <w:rPr>
          <w:rFonts w:ascii="Times New Roman" w:eastAsia="Times New Roman" w:hAnsi="Times New Roman" w:cs="Times New Roman"/>
          <w:color w:val="000000"/>
          <w:lang w:eastAsia="en-AU"/>
        </w:rPr>
        <w:t xml:space="preserve"> </w:t>
      </w:r>
      <w:r w:rsidR="0062407B">
        <w:rPr>
          <w:rFonts w:ascii="Times New Roman" w:eastAsia="Times New Roman" w:hAnsi="Times New Roman" w:cs="Times New Roman"/>
          <w:color w:val="000000"/>
          <w:lang w:eastAsia="en-AU"/>
        </w:rPr>
        <w:t xml:space="preserve">2.3(3)(ii) does not apply to </w:t>
      </w:r>
      <w:r w:rsidR="00EC0AD2">
        <w:rPr>
          <w:rFonts w:ascii="Times New Roman" w:eastAsia="Times New Roman" w:hAnsi="Times New Roman" w:cs="Times New Roman"/>
          <w:color w:val="000000"/>
          <w:lang w:eastAsia="en-AU"/>
        </w:rPr>
        <w:t>Facilities Access Applications</w:t>
      </w:r>
      <w:r w:rsidR="0062407B">
        <w:rPr>
          <w:rFonts w:ascii="Times New Roman" w:eastAsia="Times New Roman" w:hAnsi="Times New Roman" w:cs="Times New Roman"/>
          <w:color w:val="000000"/>
          <w:lang w:eastAsia="en-AU"/>
        </w:rPr>
        <w:t xml:space="preserve"> </w:t>
      </w:r>
      <w:r w:rsidR="00482F4F">
        <w:rPr>
          <w:rFonts w:ascii="Times New Roman" w:eastAsia="Times New Roman" w:hAnsi="Times New Roman" w:cs="Times New Roman"/>
          <w:color w:val="000000"/>
          <w:lang w:eastAsia="en-AU"/>
        </w:rPr>
        <w:t>submitted</w:t>
      </w:r>
      <w:r w:rsidR="0062407B">
        <w:rPr>
          <w:rFonts w:ascii="Times New Roman" w:eastAsia="Times New Roman" w:hAnsi="Times New Roman" w:cs="Times New Roman"/>
          <w:color w:val="000000"/>
          <w:lang w:eastAsia="en-AU"/>
        </w:rPr>
        <w:t xml:space="preserve"> before the commencement of the </w:t>
      </w:r>
      <w:r w:rsidR="0062407B" w:rsidRPr="0062407B">
        <w:rPr>
          <w:rFonts w:ascii="Times New Roman" w:eastAsia="Times New Roman" w:hAnsi="Times New Roman" w:cs="Times New Roman"/>
          <w:i/>
          <w:color w:val="000000"/>
          <w:lang w:eastAsia="en-AU"/>
        </w:rPr>
        <w:t>A Code of Access to Telecommunications Transmission Towers, Sites of Towers and Underground Facilities Amendment 2020</w:t>
      </w:r>
      <w:r w:rsidR="00B4115D">
        <w:rPr>
          <w:rFonts w:ascii="Times New Roman" w:eastAsia="Times New Roman" w:hAnsi="Times New Roman" w:cs="Times New Roman"/>
          <w:i/>
          <w:color w:val="000000"/>
          <w:lang w:eastAsia="en-AU"/>
        </w:rPr>
        <w:t xml:space="preserve"> (No. 1)</w:t>
      </w:r>
      <w:r w:rsidR="0062407B">
        <w:rPr>
          <w:rFonts w:ascii="Times New Roman" w:eastAsia="Times New Roman" w:hAnsi="Times New Roman" w:cs="Times New Roman"/>
          <w:color w:val="000000"/>
          <w:lang w:eastAsia="en-AU"/>
        </w:rPr>
        <w:t>.</w:t>
      </w:r>
    </w:p>
    <w:p w14:paraId="6A6C5644" w14:textId="77777777" w:rsidR="0062407B" w:rsidRDefault="0062407B" w:rsidP="00621187">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p>
    <w:p w14:paraId="61591CC2" w14:textId="5468D14E" w:rsidR="00C85A51" w:rsidRDefault="0062407B" w:rsidP="00B4115D">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w:t>
      </w:r>
      <w:r w:rsidRPr="000B4063">
        <w:rPr>
          <w:rFonts w:ascii="Times New Roman" w:eastAsia="Times New Roman" w:hAnsi="Times New Roman" w:cs="Times New Roman"/>
          <w:color w:val="000000"/>
          <w:lang w:eastAsia="en-AU"/>
        </w:rPr>
        <w:t xml:space="preserve">)  </w:t>
      </w:r>
      <w:r w:rsidR="00C85A51">
        <w:rPr>
          <w:rFonts w:ascii="Times New Roman" w:eastAsia="Times New Roman" w:hAnsi="Times New Roman" w:cs="Times New Roman"/>
          <w:color w:val="000000"/>
          <w:lang w:eastAsia="en-AU"/>
        </w:rPr>
        <w:t>In circumstances where:</w:t>
      </w:r>
    </w:p>
    <w:p w14:paraId="1BB6CDBD" w14:textId="5108BED9" w:rsidR="00131943" w:rsidRPr="00131943" w:rsidRDefault="00131943" w:rsidP="00131943">
      <w:pPr>
        <w:autoSpaceDE w:val="0"/>
        <w:autoSpaceDN w:val="0"/>
        <w:adjustRightInd w:val="0"/>
        <w:spacing w:before="120" w:after="0" w:line="240" w:lineRule="auto"/>
        <w:ind w:left="2127" w:hanging="33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(i)</w:t>
      </w:r>
      <w:r>
        <w:rPr>
          <w:rFonts w:ascii="Times New Roman" w:eastAsia="Times New Roman" w:hAnsi="Times New Roman" w:cs="Times New Roman"/>
          <w:color w:val="000000"/>
          <w:lang w:eastAsia="en-AU"/>
        </w:rPr>
        <w:tab/>
      </w:r>
      <w:r w:rsidRPr="00131943">
        <w:rPr>
          <w:rFonts w:ascii="Times New Roman" w:eastAsia="Times New Roman" w:hAnsi="Times New Roman" w:cs="Times New Roman"/>
          <w:color w:val="000000"/>
          <w:lang w:eastAsia="en-AU"/>
        </w:rPr>
        <w:t xml:space="preserve">a Facilities Access Application </w:t>
      </w:r>
      <w:r w:rsidR="008E0093">
        <w:rPr>
          <w:rFonts w:ascii="Times New Roman" w:eastAsia="Times New Roman" w:hAnsi="Times New Roman" w:cs="Times New Roman"/>
          <w:color w:val="000000"/>
          <w:lang w:eastAsia="en-AU"/>
        </w:rPr>
        <w:t>from</w:t>
      </w:r>
      <w:r w:rsidRPr="00131943">
        <w:rPr>
          <w:rFonts w:ascii="Times New Roman" w:eastAsia="Times New Roman" w:hAnsi="Times New Roman" w:cs="Times New Roman"/>
          <w:color w:val="000000"/>
          <w:lang w:eastAsia="en-AU"/>
        </w:rPr>
        <w:t xml:space="preserve"> a Carrier the period ending six months after the commencement of the </w:t>
      </w:r>
      <w:r w:rsidRPr="00131943">
        <w:rPr>
          <w:rFonts w:ascii="Times New Roman" w:eastAsia="Times New Roman" w:hAnsi="Times New Roman" w:cs="Times New Roman"/>
          <w:i/>
          <w:color w:val="000000"/>
          <w:lang w:eastAsia="en-AU"/>
        </w:rPr>
        <w:t>A Code of Access to Telecommunications Transmission Towers, Sites of Towers and Underground Facilities Amendment 2020 (No. 1)</w:t>
      </w:r>
      <w:r w:rsidRPr="00131943">
        <w:rPr>
          <w:rFonts w:ascii="Times New Roman" w:eastAsia="Times New Roman" w:hAnsi="Times New Roman" w:cs="Times New Roman"/>
          <w:color w:val="000000"/>
          <w:lang w:eastAsia="en-AU"/>
        </w:rPr>
        <w:t>; and</w:t>
      </w:r>
    </w:p>
    <w:p w14:paraId="4EFF9BD5" w14:textId="3F012D76" w:rsidR="00131943" w:rsidRPr="00131943" w:rsidRDefault="00131943" w:rsidP="00131943">
      <w:pPr>
        <w:autoSpaceDE w:val="0"/>
        <w:autoSpaceDN w:val="0"/>
        <w:adjustRightInd w:val="0"/>
        <w:spacing w:before="120" w:after="0" w:line="240" w:lineRule="auto"/>
        <w:ind w:left="2127" w:hanging="330"/>
        <w:rPr>
          <w:rFonts w:ascii="Times New Roman" w:eastAsia="Times New Roman" w:hAnsi="Times New Roman" w:cs="Times New Roman"/>
          <w:color w:val="000000"/>
          <w:lang w:eastAsia="en-AU"/>
        </w:rPr>
      </w:pPr>
      <w:r w:rsidRPr="00131943">
        <w:rPr>
          <w:rFonts w:ascii="Times New Roman" w:eastAsia="Times New Roman" w:hAnsi="Times New Roman" w:cs="Times New Roman"/>
          <w:color w:val="000000"/>
          <w:lang w:eastAsia="en-AU"/>
        </w:rPr>
        <w:t>(ii)</w:t>
      </w:r>
      <w:r w:rsidRPr="00131943">
        <w:rPr>
          <w:rFonts w:ascii="Times New Roman" w:eastAsia="Times New Roman" w:hAnsi="Times New Roman" w:cs="Times New Roman"/>
          <w:color w:val="000000"/>
          <w:lang w:eastAsia="en-AU"/>
        </w:rPr>
        <w:tab/>
        <w:t xml:space="preserve">the Carrier has not, within 30 months </w:t>
      </w:r>
      <w:r w:rsidR="005E4159">
        <w:rPr>
          <w:rFonts w:ascii="Times New Roman" w:eastAsia="Times New Roman" w:hAnsi="Times New Roman" w:cs="Times New Roman"/>
          <w:color w:val="000000"/>
          <w:lang w:eastAsia="en-AU"/>
        </w:rPr>
        <w:t xml:space="preserve">of </w:t>
      </w:r>
      <w:r w:rsidRPr="00131943">
        <w:rPr>
          <w:rFonts w:ascii="Times New Roman" w:eastAsia="Times New Roman" w:hAnsi="Times New Roman" w:cs="Times New Roman"/>
          <w:color w:val="000000"/>
          <w:lang w:eastAsia="en-AU"/>
        </w:rPr>
        <w:t>that Facilities Access Application</w:t>
      </w:r>
      <w:r w:rsidR="008E0093">
        <w:rPr>
          <w:rFonts w:ascii="Times New Roman" w:eastAsia="Times New Roman" w:hAnsi="Times New Roman" w:cs="Times New Roman"/>
          <w:color w:val="000000"/>
          <w:lang w:eastAsia="en-AU"/>
        </w:rPr>
        <w:t xml:space="preserve"> being accepted</w:t>
      </w:r>
      <w:r w:rsidRPr="00131943">
        <w:rPr>
          <w:rFonts w:ascii="Times New Roman" w:eastAsia="Times New Roman" w:hAnsi="Times New Roman" w:cs="Times New Roman"/>
          <w:color w:val="000000"/>
          <w:lang w:eastAsia="en-AU"/>
        </w:rPr>
        <w:t>, commenced ordering and/or installing Equipment on or in that Tower and/or Tower Site to which that Facilities Access Application relates;</w:t>
      </w:r>
    </w:p>
    <w:p w14:paraId="1E5B23E4" w14:textId="3AD312BB" w:rsidR="0062407B" w:rsidRDefault="00131943" w:rsidP="00131943">
      <w:pPr>
        <w:autoSpaceDE w:val="0"/>
        <w:autoSpaceDN w:val="0"/>
        <w:adjustRightInd w:val="0"/>
        <w:spacing w:before="120" w:after="0" w:line="240" w:lineRule="auto"/>
        <w:ind w:left="1797"/>
        <w:rPr>
          <w:rFonts w:ascii="Times New Roman" w:eastAsia="Times New Roman" w:hAnsi="Times New Roman" w:cs="Times New Roman"/>
          <w:color w:val="000000"/>
          <w:lang w:eastAsia="en-AU"/>
        </w:rPr>
      </w:pPr>
      <w:r w:rsidRPr="00131943">
        <w:rPr>
          <w:rFonts w:ascii="Times New Roman" w:eastAsia="Times New Roman" w:hAnsi="Times New Roman" w:cs="Times New Roman"/>
          <w:color w:val="000000"/>
          <w:lang w:eastAsia="en-AU"/>
        </w:rPr>
        <w:t>the Facilities Access Application</w:t>
      </w:r>
      <w:r>
        <w:rPr>
          <w:rFonts w:ascii="Times New Roman" w:eastAsia="Times New Roman" w:hAnsi="Times New Roman" w:cs="Times New Roman"/>
          <w:color w:val="000000"/>
          <w:lang w:eastAsia="en-AU"/>
        </w:rPr>
        <w:t xml:space="preserve"> must be removed from the queue</w:t>
      </w:r>
      <w:r w:rsidRPr="00131943">
        <w:rPr>
          <w:rFonts w:ascii="Times New Roman" w:eastAsia="Times New Roman" w:hAnsi="Times New Roman" w:cs="Times New Roman"/>
          <w:color w:val="000000"/>
          <w:lang w:eastAsia="en-AU"/>
        </w:rPr>
        <w:t>.</w:t>
      </w:r>
    </w:p>
    <w:p w14:paraId="189FEF9E" w14:textId="2249D202" w:rsidR="00265688" w:rsidRPr="002B0455" w:rsidRDefault="00265688" w:rsidP="00235334">
      <w:pPr>
        <w:pStyle w:val="ItemHead"/>
        <w:ind w:left="0" w:firstLine="0"/>
      </w:pPr>
      <w:r w:rsidRPr="002B0455">
        <w:t xml:space="preserve">3  </w:t>
      </w:r>
      <w:r w:rsidR="00A31F98">
        <w:t>Sub-clause 3.2(1)</w:t>
      </w:r>
    </w:p>
    <w:p w14:paraId="69EFB2EF" w14:textId="41906986" w:rsidR="00097890" w:rsidRDefault="00B94C2C" w:rsidP="00336C5B">
      <w:pPr>
        <w:pStyle w:val="Item"/>
      </w:pPr>
      <w:r>
        <w:t>After “</w:t>
      </w:r>
      <w:r w:rsidR="004B0201">
        <w:t xml:space="preserve">the type and location of </w:t>
      </w:r>
      <w:r>
        <w:t>Eligible Facilities</w:t>
      </w:r>
      <w:r w:rsidR="004B0201">
        <w:t>”, insert “</w:t>
      </w:r>
      <w:r w:rsidR="004B0201">
        <w:rPr>
          <w:color w:val="000000"/>
          <w:szCs w:val="22"/>
        </w:rPr>
        <w:t xml:space="preserve">and any plans to establish new </w:t>
      </w:r>
      <w:r w:rsidR="00AA1805">
        <w:rPr>
          <w:color w:val="000000"/>
          <w:szCs w:val="22"/>
        </w:rPr>
        <w:t>Towers</w:t>
      </w:r>
      <w:r w:rsidR="004B0201">
        <w:rPr>
          <w:color w:val="000000"/>
          <w:szCs w:val="22"/>
        </w:rPr>
        <w:t xml:space="preserve"> or </w:t>
      </w:r>
      <w:r w:rsidR="00AA1805">
        <w:rPr>
          <w:color w:val="000000"/>
          <w:szCs w:val="22"/>
        </w:rPr>
        <w:t>Tower Sites</w:t>
      </w:r>
      <w:r w:rsidR="004B0201">
        <w:rPr>
          <w:color w:val="000000"/>
          <w:szCs w:val="22"/>
        </w:rPr>
        <w:t>”.</w:t>
      </w:r>
      <w:bookmarkEnd w:id="7"/>
    </w:p>
    <w:p w14:paraId="0D60EF29" w14:textId="300A90E5" w:rsidR="004B0201" w:rsidRDefault="00714645" w:rsidP="004B0201">
      <w:pPr>
        <w:pStyle w:val="ItemHead"/>
        <w:ind w:left="0" w:firstLine="0"/>
      </w:pPr>
      <w:r>
        <w:t>4</w:t>
      </w:r>
      <w:r w:rsidR="004B0201" w:rsidRPr="002B0455">
        <w:t xml:space="preserve">  </w:t>
      </w:r>
      <w:r w:rsidR="00433455">
        <w:t>Clause 9 of Schedule A1</w:t>
      </w:r>
    </w:p>
    <w:p w14:paraId="0E31612A" w14:textId="2F6939BA" w:rsidR="00433455" w:rsidRPr="00433455" w:rsidRDefault="00433455" w:rsidP="00433455">
      <w:pPr>
        <w:pStyle w:val="Item"/>
      </w:pPr>
      <w:r>
        <w:t>Repeal the clause, substitute:</w:t>
      </w:r>
      <w:r>
        <w:br/>
      </w:r>
    </w:p>
    <w:p w14:paraId="723FB8D9" w14:textId="69432ACB" w:rsidR="00714645" w:rsidRPr="00714645" w:rsidRDefault="00714645" w:rsidP="00714645">
      <w:pPr>
        <w:autoSpaceDE w:val="0"/>
        <w:autoSpaceDN w:val="0"/>
        <w:adjustRightInd w:val="0"/>
        <w:ind w:left="1800" w:hanging="360"/>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r w:rsidRPr="00714645">
        <w:rPr>
          <w:rFonts w:ascii="Times New Roman" w:hAnsi="Times New Roman" w:cs="Times New Roman"/>
          <w:b/>
          <w:bCs/>
          <w:color w:val="000000"/>
          <w:sz w:val="26"/>
          <w:szCs w:val="26"/>
        </w:rPr>
        <w:t xml:space="preserve">. </w:t>
      </w:r>
      <w:r w:rsidRPr="00714645">
        <w:rPr>
          <w:rFonts w:ascii="Times New Roman" w:hAnsi="Times New Roman" w:cs="Times New Roman"/>
          <w:b/>
          <w:bCs/>
          <w:color w:val="000000"/>
          <w:sz w:val="26"/>
          <w:szCs w:val="26"/>
        </w:rPr>
        <w:tab/>
      </w:r>
      <w:r>
        <w:rPr>
          <w:rFonts w:ascii="Times New Roman" w:hAnsi="Times New Roman" w:cs="Times New Roman"/>
          <w:b/>
          <w:bCs/>
          <w:color w:val="000000"/>
          <w:sz w:val="26"/>
          <w:szCs w:val="26"/>
        </w:rPr>
        <w:t>Completion inspection</w:t>
      </w:r>
    </w:p>
    <w:p w14:paraId="19169C82" w14:textId="17D653D5" w:rsidR="00714645" w:rsidRPr="00714645" w:rsidRDefault="00714645" w:rsidP="00714645">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sidRPr="00714645">
        <w:rPr>
          <w:rFonts w:ascii="Times New Roman" w:eastAsia="Times New Roman" w:hAnsi="Times New Roman" w:cs="Times New Roman"/>
          <w:color w:val="000000"/>
          <w:lang w:eastAsia="en-AU"/>
        </w:rPr>
        <w:t xml:space="preserve">(1) </w:t>
      </w:r>
      <w:r w:rsidRPr="00714645">
        <w:rPr>
          <w:rFonts w:ascii="Times New Roman" w:eastAsia="Times New Roman" w:hAnsi="Times New Roman" w:cs="Times New Roman"/>
          <w:color w:val="000000"/>
          <w:lang w:eastAsia="en-AU"/>
        </w:rPr>
        <w:tab/>
      </w:r>
      <w:r>
        <w:rPr>
          <w:rFonts w:ascii="Times New Roman" w:eastAsia="Times New Roman" w:hAnsi="Times New Roman" w:cs="Times New Roman"/>
          <w:color w:val="000000"/>
          <w:lang w:eastAsia="en-AU"/>
        </w:rPr>
        <w:t>U</w:t>
      </w:r>
      <w:r w:rsidRPr="00714645">
        <w:rPr>
          <w:rFonts w:ascii="Times New Roman" w:eastAsia="Times New Roman" w:hAnsi="Times New Roman" w:cs="Times New Roman"/>
          <w:color w:val="000000"/>
          <w:lang w:eastAsia="en-AU"/>
        </w:rPr>
        <w:t xml:space="preserve">nless Carriers otherwise agree, </w:t>
      </w:r>
      <w:r>
        <w:rPr>
          <w:rFonts w:ascii="Times New Roman" w:eastAsia="Times New Roman" w:hAnsi="Times New Roman" w:cs="Times New Roman"/>
          <w:color w:val="000000"/>
          <w:lang w:eastAsia="en-AU"/>
        </w:rPr>
        <w:t>upon</w:t>
      </w:r>
      <w:r w:rsidRPr="00714645">
        <w:rPr>
          <w:rFonts w:ascii="Times New Roman" w:eastAsia="Times New Roman" w:hAnsi="Times New Roman" w:cs="Times New Roman"/>
          <w:color w:val="000000"/>
          <w:lang w:eastAsia="en-AU"/>
        </w:rPr>
        <w:t xml:space="preserve"> completion of installation</w:t>
      </w:r>
      <w:r>
        <w:rPr>
          <w:rFonts w:ascii="Times New Roman" w:eastAsia="Times New Roman" w:hAnsi="Times New Roman" w:cs="Times New Roman"/>
          <w:color w:val="000000"/>
          <w:lang w:eastAsia="en-AU"/>
        </w:rPr>
        <w:t xml:space="preserve"> work by the Second Carrier, there </w:t>
      </w:r>
      <w:r w:rsidRPr="00186F43">
        <w:rPr>
          <w:rFonts w:ascii="Times New Roman" w:eastAsia="Times New Roman" w:hAnsi="Times New Roman" w:cs="Times New Roman"/>
          <w:color w:val="000000"/>
          <w:lang w:eastAsia="en-AU"/>
        </w:rPr>
        <w:t>must</w:t>
      </w:r>
      <w:r>
        <w:rPr>
          <w:rFonts w:ascii="Times New Roman" w:eastAsia="Times New Roman" w:hAnsi="Times New Roman" w:cs="Times New Roman"/>
          <w:color w:val="000000"/>
          <w:lang w:eastAsia="en-AU"/>
        </w:rPr>
        <w:t xml:space="preserve"> be a joint on-site inspection by the First Carrier and Second Carrier to ensure that Make Ready Work and installation work have been satisfactorily completed and to agree whether facilities access and installed Equipment</w:t>
      </w:r>
      <w:r w:rsidR="00590F0D">
        <w:rPr>
          <w:rFonts w:ascii="Times New Roman" w:eastAsia="Times New Roman" w:hAnsi="Times New Roman" w:cs="Times New Roman"/>
          <w:color w:val="000000"/>
          <w:lang w:eastAsia="en-AU"/>
        </w:rPr>
        <w:t xml:space="preserve"> are in accordance with the details of the approved Facilities Access Application</w:t>
      </w:r>
      <w:r w:rsidRPr="00714645">
        <w:rPr>
          <w:rFonts w:ascii="Times New Roman" w:eastAsia="Times New Roman" w:hAnsi="Times New Roman" w:cs="Times New Roman"/>
          <w:color w:val="000000"/>
          <w:lang w:eastAsia="en-AU"/>
        </w:rPr>
        <w:t>.</w:t>
      </w:r>
    </w:p>
    <w:p w14:paraId="3F22B250" w14:textId="4311B341" w:rsidR="00714645" w:rsidRDefault="00714645" w:rsidP="00714645">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p>
    <w:p w14:paraId="26F360CA" w14:textId="69AE6169" w:rsidR="004B0201" w:rsidRPr="00336C5B" w:rsidRDefault="00714645" w:rsidP="00336C5B">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(2)  U</w:t>
      </w:r>
      <w:r w:rsidRPr="00714645">
        <w:rPr>
          <w:rFonts w:ascii="Times New Roman" w:eastAsia="Times New Roman" w:hAnsi="Times New Roman" w:cs="Times New Roman"/>
          <w:color w:val="000000"/>
          <w:lang w:eastAsia="en-AU"/>
        </w:rPr>
        <w:t>nless Carriers otherwise agree, within 20 Business Days of completion of installation work by the Second Carrier, the Second Carrier must provide written notification to the First Carrier that the installation work is complete.</w:t>
      </w:r>
    </w:p>
    <w:p w14:paraId="11D93B41" w14:textId="7A3FF00A" w:rsidR="00105571" w:rsidRDefault="00105571" w:rsidP="00105571">
      <w:pPr>
        <w:pStyle w:val="ItemHead"/>
        <w:ind w:left="0" w:firstLine="0"/>
      </w:pPr>
      <w:r>
        <w:t>5</w:t>
      </w:r>
      <w:r w:rsidRPr="002B0455">
        <w:t xml:space="preserve">  </w:t>
      </w:r>
      <w:r>
        <w:t>Clause 1.4 of Schedule A2</w:t>
      </w:r>
    </w:p>
    <w:p w14:paraId="55C2DA8B" w14:textId="77777777" w:rsidR="00105571" w:rsidRPr="00433455" w:rsidRDefault="00105571" w:rsidP="00105571">
      <w:pPr>
        <w:pStyle w:val="Item"/>
      </w:pPr>
      <w:r>
        <w:t>Repeal the clause, substitute:</w:t>
      </w:r>
      <w:r>
        <w:br/>
      </w:r>
    </w:p>
    <w:p w14:paraId="2F46ED99" w14:textId="01D6774B" w:rsidR="00105571" w:rsidRPr="00714645" w:rsidRDefault="00105571" w:rsidP="00105571">
      <w:pPr>
        <w:autoSpaceDE w:val="0"/>
        <w:autoSpaceDN w:val="0"/>
        <w:adjustRightInd w:val="0"/>
        <w:ind w:left="1800" w:hanging="360"/>
        <w:rPr>
          <w:rFonts w:ascii="Times New Roman" w:hAnsi="Times New Roman" w:cs="Times New Roman"/>
          <w:b/>
          <w:bCs/>
          <w:color w:val="000000"/>
          <w:sz w:val="26"/>
          <w:szCs w:val="26"/>
        </w:rPr>
      </w:pPr>
      <w:r>
        <w:rPr>
          <w:rFonts w:ascii="Times New Roman" w:hAnsi="Times New Roman" w:cs="Times New Roman"/>
          <w:b/>
          <w:bCs/>
          <w:color w:val="000000"/>
          <w:sz w:val="26"/>
          <w:szCs w:val="26"/>
        </w:rPr>
        <w:t>1.4   Completion inspection</w:t>
      </w:r>
    </w:p>
    <w:p w14:paraId="4F15DE06" w14:textId="08311C0F" w:rsidR="00105571" w:rsidRPr="00714645" w:rsidRDefault="00105571" w:rsidP="00105571">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sidRPr="00714645">
        <w:rPr>
          <w:rFonts w:ascii="Times New Roman" w:eastAsia="Times New Roman" w:hAnsi="Times New Roman" w:cs="Times New Roman"/>
          <w:color w:val="000000"/>
          <w:lang w:eastAsia="en-AU"/>
        </w:rPr>
        <w:t xml:space="preserve">(1) </w:t>
      </w:r>
      <w:r w:rsidRPr="00714645">
        <w:rPr>
          <w:rFonts w:ascii="Times New Roman" w:eastAsia="Times New Roman" w:hAnsi="Times New Roman" w:cs="Times New Roman"/>
          <w:color w:val="000000"/>
          <w:lang w:eastAsia="en-AU"/>
        </w:rPr>
        <w:tab/>
      </w:r>
      <w:r>
        <w:rPr>
          <w:rFonts w:ascii="Times New Roman" w:eastAsia="Times New Roman" w:hAnsi="Times New Roman" w:cs="Times New Roman"/>
          <w:color w:val="000000"/>
          <w:lang w:eastAsia="en-AU"/>
        </w:rPr>
        <w:t>U</w:t>
      </w:r>
      <w:r w:rsidRPr="00714645">
        <w:rPr>
          <w:rFonts w:ascii="Times New Roman" w:eastAsia="Times New Roman" w:hAnsi="Times New Roman" w:cs="Times New Roman"/>
          <w:color w:val="000000"/>
          <w:lang w:eastAsia="en-AU"/>
        </w:rPr>
        <w:t>nless otherwise agree</w:t>
      </w:r>
      <w:r>
        <w:rPr>
          <w:rFonts w:ascii="Times New Roman" w:eastAsia="Times New Roman" w:hAnsi="Times New Roman" w:cs="Times New Roman"/>
          <w:color w:val="000000"/>
          <w:lang w:eastAsia="en-AU"/>
        </w:rPr>
        <w:t>d</w:t>
      </w:r>
      <w:r w:rsidRPr="00714645">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upon</w:t>
      </w:r>
      <w:r w:rsidRPr="00714645">
        <w:rPr>
          <w:rFonts w:ascii="Times New Roman" w:eastAsia="Times New Roman" w:hAnsi="Times New Roman" w:cs="Times New Roman"/>
          <w:color w:val="000000"/>
          <w:lang w:eastAsia="en-AU"/>
        </w:rPr>
        <w:t xml:space="preserve"> completion of installation</w:t>
      </w:r>
      <w:r>
        <w:rPr>
          <w:rFonts w:ascii="Times New Roman" w:eastAsia="Times New Roman" w:hAnsi="Times New Roman" w:cs="Times New Roman"/>
          <w:color w:val="000000"/>
          <w:lang w:eastAsia="en-AU"/>
        </w:rPr>
        <w:t xml:space="preserve"> work by the Second Carrier, there </w:t>
      </w:r>
      <w:r w:rsidRPr="00AA1805">
        <w:rPr>
          <w:rFonts w:ascii="Times New Roman" w:eastAsia="Times New Roman" w:hAnsi="Times New Roman" w:cs="Times New Roman"/>
          <w:color w:val="000000"/>
          <w:lang w:eastAsia="en-AU"/>
        </w:rPr>
        <w:t>must</w:t>
      </w:r>
      <w:r>
        <w:rPr>
          <w:rFonts w:ascii="Times New Roman" w:eastAsia="Times New Roman" w:hAnsi="Times New Roman" w:cs="Times New Roman"/>
          <w:color w:val="000000"/>
          <w:lang w:eastAsia="en-AU"/>
        </w:rPr>
        <w:t xml:space="preserve"> be a joint on-site inspection by the First Carrier and Second Carrier to ensure that Make Ready Work and installation work have been satisfactorily completed and to agree whether facilities access and installed Equipment are in accordance with the details of the approved Facilities Access Application</w:t>
      </w:r>
      <w:r w:rsidRPr="00714645">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The scope of the completion inspection </w:t>
      </w:r>
      <w:r w:rsidRPr="00AA1805">
        <w:rPr>
          <w:rFonts w:ascii="Times New Roman" w:eastAsia="Times New Roman" w:hAnsi="Times New Roman" w:cs="Times New Roman"/>
          <w:color w:val="000000"/>
          <w:lang w:eastAsia="en-AU"/>
        </w:rPr>
        <w:t>must</w:t>
      </w:r>
      <w:r>
        <w:rPr>
          <w:rFonts w:ascii="Times New Roman" w:eastAsia="Times New Roman" w:hAnsi="Times New Roman" w:cs="Times New Roman"/>
          <w:color w:val="000000"/>
          <w:lang w:eastAsia="en-AU"/>
        </w:rPr>
        <w:t xml:space="preserve"> be agreed between the Carriers.</w:t>
      </w:r>
    </w:p>
    <w:p w14:paraId="14F3650C" w14:textId="77777777" w:rsidR="00105571" w:rsidRDefault="00105571" w:rsidP="00105571">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p>
    <w:p w14:paraId="5878412B" w14:textId="77777777" w:rsidR="00105571" w:rsidRPr="00714645" w:rsidRDefault="00105571" w:rsidP="00105571">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(2)  U</w:t>
      </w:r>
      <w:r w:rsidRPr="00714645">
        <w:rPr>
          <w:rFonts w:ascii="Times New Roman" w:eastAsia="Times New Roman" w:hAnsi="Times New Roman" w:cs="Times New Roman"/>
          <w:color w:val="000000"/>
          <w:lang w:eastAsia="en-AU"/>
        </w:rPr>
        <w:t>nless Carriers otherwise agree, within 20 Business Days of completion of installation work by the Second Carrier, the Second Carrier must provide written notification to the First Carrier that the installation work is complete.</w:t>
      </w:r>
    </w:p>
    <w:p w14:paraId="184AD914" w14:textId="6F7B0B09" w:rsidR="00105571" w:rsidRDefault="00105571" w:rsidP="00105571">
      <w:pPr>
        <w:pStyle w:val="ItemHead"/>
        <w:ind w:left="0" w:firstLine="0"/>
      </w:pPr>
      <w:r>
        <w:t>6</w:t>
      </w:r>
      <w:r w:rsidRPr="002B0455">
        <w:t xml:space="preserve">  </w:t>
      </w:r>
      <w:r>
        <w:t xml:space="preserve">After </w:t>
      </w:r>
      <w:r w:rsidR="002C4ED0">
        <w:t>sub-clause 2.4(2) of</w:t>
      </w:r>
      <w:r>
        <w:t xml:space="preserve"> Schedule A2</w:t>
      </w:r>
    </w:p>
    <w:p w14:paraId="7EB123F7" w14:textId="16C8D47F" w:rsidR="002C4ED0" w:rsidRPr="002C4ED0" w:rsidRDefault="002C4ED0" w:rsidP="002C4ED0">
      <w:pPr>
        <w:pStyle w:val="Item"/>
      </w:pPr>
      <w:r>
        <w:t>Insert:</w:t>
      </w:r>
      <w:r>
        <w:br/>
      </w:r>
    </w:p>
    <w:p w14:paraId="31474D11" w14:textId="1FA7C80D" w:rsidR="002C4ED0" w:rsidRPr="002C4ED0" w:rsidRDefault="002C4ED0" w:rsidP="002C4ED0">
      <w:pPr>
        <w:numPr>
          <w:ilvl w:val="0"/>
          <w:numId w:val="14"/>
        </w:numPr>
        <w:autoSpaceDE w:val="0"/>
        <w:autoSpaceDN w:val="0"/>
        <w:adjustRightInd w:val="0"/>
        <w:spacing w:after="0" w:line="240" w:lineRule="auto"/>
        <w:ind w:left="1843" w:hanging="425"/>
        <w:rPr>
          <w:rFonts w:ascii="Times New Roman" w:eastAsia="Times New Roman" w:hAnsi="Times New Roman" w:cs="Times New Roman"/>
          <w:color w:val="000000"/>
          <w:lang w:eastAsia="en-AU"/>
        </w:rPr>
      </w:pPr>
      <w:r w:rsidRPr="002C4ED0">
        <w:rPr>
          <w:rFonts w:ascii="Times New Roman" w:eastAsia="Times New Roman" w:hAnsi="Times New Roman" w:cs="Times New Roman"/>
          <w:color w:val="000000"/>
          <w:lang w:eastAsia="en-AU"/>
        </w:rPr>
        <w:t>Unless Carriers otherwise agree, within 20 Business Days of completion of installation work by the Second Carrier, the Second Carrier must provide written notification to the First Carrier that the installation work is complete.</w:t>
      </w:r>
    </w:p>
    <w:p w14:paraId="47ED1CF6" w14:textId="3C3A8FE5" w:rsidR="002C4ED0" w:rsidRDefault="000C2516" w:rsidP="002C4ED0">
      <w:pPr>
        <w:pStyle w:val="ItemHead"/>
        <w:ind w:left="0" w:firstLine="0"/>
      </w:pPr>
      <w:r>
        <w:t>7</w:t>
      </w:r>
      <w:r w:rsidR="002C4ED0" w:rsidRPr="002B0455">
        <w:t xml:space="preserve">  </w:t>
      </w:r>
      <w:r w:rsidR="002C4ED0">
        <w:t xml:space="preserve">Clause </w:t>
      </w:r>
      <w:r>
        <w:t>9</w:t>
      </w:r>
      <w:r w:rsidR="002C4ED0">
        <w:t xml:space="preserve"> of Schedule</w:t>
      </w:r>
      <w:r>
        <w:t xml:space="preserve"> B1</w:t>
      </w:r>
    </w:p>
    <w:p w14:paraId="6E7CE680" w14:textId="77777777" w:rsidR="002C4ED0" w:rsidRPr="00433455" w:rsidRDefault="002C4ED0" w:rsidP="002C4ED0">
      <w:pPr>
        <w:pStyle w:val="Item"/>
      </w:pPr>
      <w:r>
        <w:t>Repeal the clause, substitute:</w:t>
      </w:r>
      <w:r>
        <w:br/>
      </w:r>
    </w:p>
    <w:p w14:paraId="04BE562D" w14:textId="77777777" w:rsidR="000C2516" w:rsidRPr="00714645" w:rsidRDefault="000C2516" w:rsidP="000C2516">
      <w:pPr>
        <w:autoSpaceDE w:val="0"/>
        <w:autoSpaceDN w:val="0"/>
        <w:adjustRightInd w:val="0"/>
        <w:ind w:left="1800" w:hanging="360"/>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r w:rsidRPr="00714645">
        <w:rPr>
          <w:rFonts w:ascii="Times New Roman" w:hAnsi="Times New Roman" w:cs="Times New Roman"/>
          <w:b/>
          <w:bCs/>
          <w:color w:val="000000"/>
          <w:sz w:val="26"/>
          <w:szCs w:val="26"/>
        </w:rPr>
        <w:t xml:space="preserve">. </w:t>
      </w:r>
      <w:r w:rsidRPr="00714645">
        <w:rPr>
          <w:rFonts w:ascii="Times New Roman" w:hAnsi="Times New Roman" w:cs="Times New Roman"/>
          <w:b/>
          <w:bCs/>
          <w:color w:val="000000"/>
          <w:sz w:val="26"/>
          <w:szCs w:val="26"/>
        </w:rPr>
        <w:tab/>
      </w:r>
      <w:r>
        <w:rPr>
          <w:rFonts w:ascii="Times New Roman" w:hAnsi="Times New Roman" w:cs="Times New Roman"/>
          <w:b/>
          <w:bCs/>
          <w:color w:val="000000"/>
          <w:sz w:val="26"/>
          <w:szCs w:val="26"/>
        </w:rPr>
        <w:t>Completion inspection</w:t>
      </w:r>
    </w:p>
    <w:p w14:paraId="225FD94B" w14:textId="55F371E0" w:rsidR="000C2516" w:rsidRPr="00714645" w:rsidRDefault="000C2516" w:rsidP="000C2516">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sidRPr="00714645">
        <w:rPr>
          <w:rFonts w:ascii="Times New Roman" w:eastAsia="Times New Roman" w:hAnsi="Times New Roman" w:cs="Times New Roman"/>
          <w:color w:val="000000"/>
          <w:lang w:eastAsia="en-AU"/>
        </w:rPr>
        <w:t xml:space="preserve">(1) </w:t>
      </w:r>
      <w:r w:rsidRPr="00714645">
        <w:rPr>
          <w:rFonts w:ascii="Times New Roman" w:eastAsia="Times New Roman" w:hAnsi="Times New Roman" w:cs="Times New Roman"/>
          <w:color w:val="000000"/>
          <w:lang w:eastAsia="en-AU"/>
        </w:rPr>
        <w:tab/>
      </w:r>
      <w:r>
        <w:rPr>
          <w:rFonts w:ascii="Times New Roman" w:eastAsia="Times New Roman" w:hAnsi="Times New Roman" w:cs="Times New Roman"/>
          <w:color w:val="000000"/>
          <w:lang w:eastAsia="en-AU"/>
        </w:rPr>
        <w:t>U</w:t>
      </w:r>
      <w:r w:rsidRPr="00714645">
        <w:rPr>
          <w:rFonts w:ascii="Times New Roman" w:eastAsia="Times New Roman" w:hAnsi="Times New Roman" w:cs="Times New Roman"/>
          <w:color w:val="000000"/>
          <w:lang w:eastAsia="en-AU"/>
        </w:rPr>
        <w:t xml:space="preserve">nless Carriers otherwise agree, </w:t>
      </w:r>
      <w:r>
        <w:rPr>
          <w:rFonts w:ascii="Times New Roman" w:eastAsia="Times New Roman" w:hAnsi="Times New Roman" w:cs="Times New Roman"/>
          <w:color w:val="000000"/>
          <w:lang w:eastAsia="en-AU"/>
        </w:rPr>
        <w:t>upon</w:t>
      </w:r>
      <w:r w:rsidRPr="00714645">
        <w:rPr>
          <w:rFonts w:ascii="Times New Roman" w:eastAsia="Times New Roman" w:hAnsi="Times New Roman" w:cs="Times New Roman"/>
          <w:color w:val="000000"/>
          <w:lang w:eastAsia="en-AU"/>
        </w:rPr>
        <w:t xml:space="preserve"> completion of installation</w:t>
      </w:r>
      <w:r>
        <w:rPr>
          <w:rFonts w:ascii="Times New Roman" w:eastAsia="Times New Roman" w:hAnsi="Times New Roman" w:cs="Times New Roman"/>
          <w:color w:val="000000"/>
          <w:lang w:eastAsia="en-AU"/>
        </w:rPr>
        <w:t xml:space="preserve"> work by the Second Carrier, there </w:t>
      </w:r>
      <w:r w:rsidRPr="00AA1805">
        <w:rPr>
          <w:rFonts w:ascii="Times New Roman" w:eastAsia="Times New Roman" w:hAnsi="Times New Roman" w:cs="Times New Roman"/>
          <w:color w:val="000000"/>
          <w:lang w:eastAsia="en-AU"/>
        </w:rPr>
        <w:t>must</w:t>
      </w:r>
      <w:r>
        <w:rPr>
          <w:rFonts w:ascii="Times New Roman" w:eastAsia="Times New Roman" w:hAnsi="Times New Roman" w:cs="Times New Roman"/>
          <w:color w:val="000000"/>
          <w:lang w:eastAsia="en-AU"/>
        </w:rPr>
        <w:t xml:space="preserve"> be a joint on-site inspection by the First Carrier and Second Carrier to ensure that </w:t>
      </w:r>
      <w:r w:rsidR="00AA1805">
        <w:rPr>
          <w:rFonts w:ascii="Times New Roman" w:eastAsia="Times New Roman" w:hAnsi="Times New Roman" w:cs="Times New Roman"/>
          <w:color w:val="000000"/>
          <w:lang w:eastAsia="en-AU"/>
        </w:rPr>
        <w:t>Make Ready Work and installation w</w:t>
      </w:r>
      <w:r>
        <w:rPr>
          <w:rFonts w:ascii="Times New Roman" w:eastAsia="Times New Roman" w:hAnsi="Times New Roman" w:cs="Times New Roman"/>
          <w:color w:val="000000"/>
          <w:lang w:eastAsia="en-AU"/>
        </w:rPr>
        <w:t xml:space="preserve">ork have been satisfactorily completed and to agree whether </w:t>
      </w:r>
      <w:r w:rsidR="00583FEA">
        <w:rPr>
          <w:rFonts w:ascii="Times New Roman" w:eastAsia="Times New Roman" w:hAnsi="Times New Roman" w:cs="Times New Roman"/>
          <w:color w:val="000000"/>
          <w:lang w:eastAsia="en-AU"/>
        </w:rPr>
        <w:t>space</w:t>
      </w:r>
      <w:r>
        <w:rPr>
          <w:rFonts w:ascii="Times New Roman" w:eastAsia="Times New Roman" w:hAnsi="Times New Roman" w:cs="Times New Roman"/>
          <w:color w:val="000000"/>
          <w:lang w:eastAsia="en-AU"/>
        </w:rPr>
        <w:t xml:space="preserve"> access</w:t>
      </w:r>
      <w:r w:rsidR="00583FEA">
        <w:rPr>
          <w:rFonts w:ascii="Times New Roman" w:eastAsia="Times New Roman" w:hAnsi="Times New Roman" w:cs="Times New Roman"/>
          <w:color w:val="000000"/>
          <w:lang w:eastAsia="en-AU"/>
        </w:rPr>
        <w:t>ed</w:t>
      </w:r>
      <w:r>
        <w:rPr>
          <w:rFonts w:ascii="Times New Roman" w:eastAsia="Times New Roman" w:hAnsi="Times New Roman" w:cs="Times New Roman"/>
          <w:color w:val="000000"/>
          <w:lang w:eastAsia="en-AU"/>
        </w:rPr>
        <w:t xml:space="preserve"> and installed Equipment are in accordance with the details of the approved Facilities Access Application</w:t>
      </w:r>
      <w:r w:rsidRPr="00714645">
        <w:rPr>
          <w:rFonts w:ascii="Times New Roman" w:eastAsia="Times New Roman" w:hAnsi="Times New Roman" w:cs="Times New Roman"/>
          <w:color w:val="000000"/>
          <w:lang w:eastAsia="en-AU"/>
        </w:rPr>
        <w:t>.</w:t>
      </w:r>
      <w:r w:rsidR="00583FEA">
        <w:rPr>
          <w:rFonts w:ascii="Times New Roman" w:eastAsia="Times New Roman" w:hAnsi="Times New Roman" w:cs="Times New Roman"/>
          <w:color w:val="000000"/>
          <w:lang w:eastAsia="en-AU"/>
        </w:rPr>
        <w:t xml:space="preserve"> The scope of the completion inspection </w:t>
      </w:r>
      <w:r w:rsidR="00583FEA" w:rsidRPr="00AA1805">
        <w:rPr>
          <w:rFonts w:ascii="Times New Roman" w:eastAsia="Times New Roman" w:hAnsi="Times New Roman" w:cs="Times New Roman"/>
          <w:color w:val="000000"/>
          <w:lang w:eastAsia="en-AU"/>
        </w:rPr>
        <w:t>must</w:t>
      </w:r>
      <w:r w:rsidR="00583FEA" w:rsidRPr="00583FEA">
        <w:rPr>
          <w:rFonts w:ascii="Times New Roman" w:eastAsia="Times New Roman" w:hAnsi="Times New Roman" w:cs="Times New Roman"/>
          <w:b/>
          <w:color w:val="000000"/>
          <w:lang w:eastAsia="en-AU"/>
        </w:rPr>
        <w:t xml:space="preserve"> </w:t>
      </w:r>
      <w:r w:rsidR="00583FEA">
        <w:rPr>
          <w:rFonts w:ascii="Times New Roman" w:eastAsia="Times New Roman" w:hAnsi="Times New Roman" w:cs="Times New Roman"/>
          <w:color w:val="000000"/>
          <w:lang w:eastAsia="en-AU"/>
        </w:rPr>
        <w:t>be agreed to by the Carriers.</w:t>
      </w:r>
    </w:p>
    <w:p w14:paraId="521FE4E4" w14:textId="77777777" w:rsidR="000C2516" w:rsidRDefault="000C2516" w:rsidP="000C2516">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p>
    <w:p w14:paraId="269778BF" w14:textId="09BE88E6" w:rsidR="002C4ED0" w:rsidRPr="00583FEA" w:rsidRDefault="000C2516" w:rsidP="00583FEA">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(2)  U</w:t>
      </w:r>
      <w:r w:rsidRPr="00714645">
        <w:rPr>
          <w:rFonts w:ascii="Times New Roman" w:eastAsia="Times New Roman" w:hAnsi="Times New Roman" w:cs="Times New Roman"/>
          <w:color w:val="000000"/>
          <w:lang w:eastAsia="en-AU"/>
        </w:rPr>
        <w:t>nless Carriers otherwise agree, within 20 Business Days of completion of installation work by the Second Carrier, the Second Carrier must provide written notification to the First Carrier that the</w:t>
      </w:r>
      <w:r w:rsidR="00583FEA">
        <w:rPr>
          <w:rFonts w:ascii="Times New Roman" w:eastAsia="Times New Roman" w:hAnsi="Times New Roman" w:cs="Times New Roman"/>
          <w:color w:val="000000"/>
          <w:lang w:eastAsia="en-AU"/>
        </w:rPr>
        <w:t xml:space="preserve"> installation work is complete.</w:t>
      </w:r>
    </w:p>
    <w:p w14:paraId="572220E9" w14:textId="77777777" w:rsidR="00336C5B" w:rsidRDefault="00336C5B">
      <w:pPr>
        <w:rPr>
          <w:rFonts w:ascii="Arial" w:eastAsia="Times New Roman" w:hAnsi="Arial" w:cs="Times New Roman"/>
          <w:b/>
          <w:kern w:val="28"/>
          <w:sz w:val="24"/>
          <w:szCs w:val="20"/>
          <w:lang w:eastAsia="en-AU"/>
        </w:rPr>
      </w:pPr>
      <w:r>
        <w:br w:type="page"/>
      </w:r>
    </w:p>
    <w:p w14:paraId="10AE34CE" w14:textId="726D7EC3" w:rsidR="00583FEA" w:rsidRDefault="00336C5B" w:rsidP="00583FEA">
      <w:pPr>
        <w:pStyle w:val="ItemHead"/>
        <w:ind w:left="0" w:firstLine="0"/>
      </w:pPr>
      <w:r>
        <w:lastRenderedPageBreak/>
        <w:br/>
      </w:r>
      <w:r w:rsidR="00583FEA">
        <w:t>8</w:t>
      </w:r>
      <w:r w:rsidR="00583FEA" w:rsidRPr="002B0455">
        <w:t xml:space="preserve">  </w:t>
      </w:r>
      <w:r w:rsidR="00583FEA">
        <w:t>Clause 4 of Schedule B2</w:t>
      </w:r>
    </w:p>
    <w:p w14:paraId="062C6CE0" w14:textId="77777777" w:rsidR="00583FEA" w:rsidRPr="00433455" w:rsidRDefault="00583FEA" w:rsidP="00583FEA">
      <w:pPr>
        <w:pStyle w:val="Item"/>
      </w:pPr>
      <w:r>
        <w:t>Repeal the clause, substitute:</w:t>
      </w:r>
      <w:r>
        <w:br/>
      </w:r>
    </w:p>
    <w:p w14:paraId="71597D07" w14:textId="44CE7185" w:rsidR="00583FEA" w:rsidRPr="00714645" w:rsidRDefault="00583FEA" w:rsidP="00583FEA">
      <w:pPr>
        <w:autoSpaceDE w:val="0"/>
        <w:autoSpaceDN w:val="0"/>
        <w:adjustRightInd w:val="0"/>
        <w:ind w:left="1800" w:hanging="360"/>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Pr="00714645">
        <w:rPr>
          <w:rFonts w:ascii="Times New Roman" w:hAnsi="Times New Roman" w:cs="Times New Roman"/>
          <w:b/>
          <w:bCs/>
          <w:color w:val="000000"/>
          <w:sz w:val="26"/>
          <w:szCs w:val="26"/>
        </w:rPr>
        <w:t xml:space="preserve">. </w:t>
      </w:r>
      <w:r w:rsidRPr="00714645">
        <w:rPr>
          <w:rFonts w:ascii="Times New Roman" w:hAnsi="Times New Roman" w:cs="Times New Roman"/>
          <w:b/>
          <w:bCs/>
          <w:color w:val="000000"/>
          <w:sz w:val="26"/>
          <w:szCs w:val="26"/>
        </w:rPr>
        <w:tab/>
      </w:r>
      <w:r>
        <w:rPr>
          <w:rFonts w:ascii="Times New Roman" w:hAnsi="Times New Roman" w:cs="Times New Roman"/>
          <w:b/>
          <w:bCs/>
          <w:color w:val="000000"/>
          <w:sz w:val="26"/>
          <w:szCs w:val="26"/>
        </w:rPr>
        <w:t>Completion inspection</w:t>
      </w:r>
    </w:p>
    <w:p w14:paraId="111E6377" w14:textId="6BC1CE67" w:rsidR="00583FEA" w:rsidRPr="00714645" w:rsidRDefault="00583FEA" w:rsidP="00583FEA">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sidRPr="00714645">
        <w:rPr>
          <w:rFonts w:ascii="Times New Roman" w:eastAsia="Times New Roman" w:hAnsi="Times New Roman" w:cs="Times New Roman"/>
          <w:color w:val="000000"/>
          <w:lang w:eastAsia="en-AU"/>
        </w:rPr>
        <w:t xml:space="preserve">(1) </w:t>
      </w:r>
      <w:r w:rsidRPr="00714645">
        <w:rPr>
          <w:rFonts w:ascii="Times New Roman" w:eastAsia="Times New Roman" w:hAnsi="Times New Roman" w:cs="Times New Roman"/>
          <w:color w:val="000000"/>
          <w:lang w:eastAsia="en-AU"/>
        </w:rPr>
        <w:tab/>
      </w:r>
      <w:r>
        <w:rPr>
          <w:rFonts w:ascii="Times New Roman" w:eastAsia="Times New Roman" w:hAnsi="Times New Roman" w:cs="Times New Roman"/>
          <w:color w:val="000000"/>
          <w:lang w:eastAsia="en-AU"/>
        </w:rPr>
        <w:t>U</w:t>
      </w:r>
      <w:r w:rsidRPr="00714645">
        <w:rPr>
          <w:rFonts w:ascii="Times New Roman" w:eastAsia="Times New Roman" w:hAnsi="Times New Roman" w:cs="Times New Roman"/>
          <w:color w:val="000000"/>
          <w:lang w:eastAsia="en-AU"/>
        </w:rPr>
        <w:t xml:space="preserve">nless Carriers otherwise agree, </w:t>
      </w:r>
      <w:r>
        <w:rPr>
          <w:rFonts w:ascii="Times New Roman" w:eastAsia="Times New Roman" w:hAnsi="Times New Roman" w:cs="Times New Roman"/>
          <w:color w:val="000000"/>
          <w:lang w:eastAsia="en-AU"/>
        </w:rPr>
        <w:t>upon</w:t>
      </w:r>
      <w:r w:rsidRPr="00714645">
        <w:rPr>
          <w:rFonts w:ascii="Times New Roman" w:eastAsia="Times New Roman" w:hAnsi="Times New Roman" w:cs="Times New Roman"/>
          <w:color w:val="000000"/>
          <w:lang w:eastAsia="en-AU"/>
        </w:rPr>
        <w:t xml:space="preserve"> completion of installation</w:t>
      </w:r>
      <w:r>
        <w:rPr>
          <w:rFonts w:ascii="Times New Roman" w:eastAsia="Times New Roman" w:hAnsi="Times New Roman" w:cs="Times New Roman"/>
          <w:color w:val="000000"/>
          <w:lang w:eastAsia="en-AU"/>
        </w:rPr>
        <w:t xml:space="preserve"> work by the Second Carrier, there </w:t>
      </w:r>
      <w:r w:rsidRPr="00AA1805">
        <w:rPr>
          <w:rFonts w:ascii="Times New Roman" w:eastAsia="Times New Roman" w:hAnsi="Times New Roman" w:cs="Times New Roman"/>
          <w:color w:val="000000"/>
          <w:lang w:eastAsia="en-AU"/>
        </w:rPr>
        <w:t>must</w:t>
      </w:r>
      <w:r>
        <w:rPr>
          <w:rFonts w:ascii="Times New Roman" w:eastAsia="Times New Roman" w:hAnsi="Times New Roman" w:cs="Times New Roman"/>
          <w:color w:val="000000"/>
          <w:lang w:eastAsia="en-AU"/>
        </w:rPr>
        <w:t xml:space="preserve"> be a joint on-site inspection by the First Carrier and Second Carrier to e</w:t>
      </w:r>
      <w:r w:rsidR="00AA1805">
        <w:rPr>
          <w:rFonts w:ascii="Times New Roman" w:eastAsia="Times New Roman" w:hAnsi="Times New Roman" w:cs="Times New Roman"/>
          <w:color w:val="000000"/>
          <w:lang w:eastAsia="en-AU"/>
        </w:rPr>
        <w:t>nsure that Make Ready Work and installation w</w:t>
      </w:r>
      <w:r>
        <w:rPr>
          <w:rFonts w:ascii="Times New Roman" w:eastAsia="Times New Roman" w:hAnsi="Times New Roman" w:cs="Times New Roman"/>
          <w:color w:val="000000"/>
          <w:lang w:eastAsia="en-AU"/>
        </w:rPr>
        <w:t xml:space="preserve">ork have been satisfactorily completed and to agree whether space accessed </w:t>
      </w:r>
      <w:r w:rsidR="00DA79B9">
        <w:rPr>
          <w:rFonts w:ascii="Times New Roman" w:eastAsia="Times New Roman" w:hAnsi="Times New Roman" w:cs="Times New Roman"/>
          <w:color w:val="000000"/>
          <w:lang w:eastAsia="en-AU"/>
        </w:rPr>
        <w:t>is</w:t>
      </w:r>
      <w:r>
        <w:rPr>
          <w:rFonts w:ascii="Times New Roman" w:eastAsia="Times New Roman" w:hAnsi="Times New Roman" w:cs="Times New Roman"/>
          <w:color w:val="000000"/>
          <w:lang w:eastAsia="en-AU"/>
        </w:rPr>
        <w:t xml:space="preserve"> in accordance with </w:t>
      </w:r>
      <w:r w:rsidR="00DA79B9">
        <w:rPr>
          <w:rFonts w:ascii="Times New Roman" w:eastAsia="Times New Roman" w:hAnsi="Times New Roman" w:cs="Times New Roman"/>
          <w:color w:val="000000"/>
          <w:lang w:eastAsia="en-AU"/>
        </w:rPr>
        <w:t>an</w:t>
      </w:r>
      <w:r>
        <w:rPr>
          <w:rFonts w:ascii="Times New Roman" w:eastAsia="Times New Roman" w:hAnsi="Times New Roman" w:cs="Times New Roman"/>
          <w:color w:val="000000"/>
          <w:lang w:eastAsia="en-AU"/>
        </w:rPr>
        <w:t xml:space="preserve"> approved Facilities Access Application</w:t>
      </w:r>
      <w:r w:rsidRPr="00714645">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The scope of the completion inspection </w:t>
      </w:r>
      <w:r w:rsidRPr="00AA1805">
        <w:rPr>
          <w:rFonts w:ascii="Times New Roman" w:eastAsia="Times New Roman" w:hAnsi="Times New Roman" w:cs="Times New Roman"/>
          <w:color w:val="000000"/>
          <w:lang w:eastAsia="en-AU"/>
        </w:rPr>
        <w:t>must</w:t>
      </w:r>
      <w:r w:rsidRPr="00583FEA">
        <w:rPr>
          <w:rFonts w:ascii="Times New Roman" w:eastAsia="Times New Roman" w:hAnsi="Times New Roman" w:cs="Times New Roman"/>
          <w:b/>
          <w:color w:val="000000"/>
          <w:lang w:eastAsia="en-AU"/>
        </w:rPr>
        <w:t xml:space="preserve"> </w:t>
      </w:r>
      <w:r>
        <w:rPr>
          <w:rFonts w:ascii="Times New Roman" w:eastAsia="Times New Roman" w:hAnsi="Times New Roman" w:cs="Times New Roman"/>
          <w:color w:val="000000"/>
          <w:lang w:eastAsia="en-AU"/>
        </w:rPr>
        <w:t>be agreed to by the Carriers.</w:t>
      </w:r>
    </w:p>
    <w:p w14:paraId="55DA91B0" w14:textId="77777777" w:rsidR="00583FEA" w:rsidRDefault="00583FEA" w:rsidP="00583FEA">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p>
    <w:p w14:paraId="3D13F563" w14:textId="77777777" w:rsidR="00583FEA" w:rsidRPr="00714645" w:rsidRDefault="00583FEA" w:rsidP="00583FEA">
      <w:pPr>
        <w:autoSpaceDE w:val="0"/>
        <w:autoSpaceDN w:val="0"/>
        <w:adjustRightInd w:val="0"/>
        <w:spacing w:after="0" w:line="240" w:lineRule="auto"/>
        <w:ind w:left="1800" w:hanging="36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(2)  U</w:t>
      </w:r>
      <w:r w:rsidRPr="00714645">
        <w:rPr>
          <w:rFonts w:ascii="Times New Roman" w:eastAsia="Times New Roman" w:hAnsi="Times New Roman" w:cs="Times New Roman"/>
          <w:color w:val="000000"/>
          <w:lang w:eastAsia="en-AU"/>
        </w:rPr>
        <w:t>nless Carriers otherwise agree, within 20 Business Days of completion of installation work by the Second Carrier, the Second Carrier must provide written notification to the First Carrier that the installation work is complete.</w:t>
      </w:r>
    </w:p>
    <w:sectPr w:rsidR="00583FEA" w:rsidRPr="00714645" w:rsidSect="00957210">
      <w:head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D3059" w16cid:durableId="20E988C9"/>
  <w16cid:commentId w16cid:paraId="464427D3" w16cid:durableId="20E988CA"/>
  <w16cid:commentId w16cid:paraId="5866BC93" w16cid:durableId="20E988CB"/>
  <w16cid:commentId w16cid:paraId="6BDFF286" w16cid:durableId="20E988CC"/>
  <w16cid:commentId w16cid:paraId="0C1DE138" w16cid:durableId="20E988CD"/>
  <w16cid:commentId w16cid:paraId="69179C4B" w16cid:durableId="20E988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9079" w14:textId="77777777" w:rsidR="009D0A03" w:rsidRDefault="009D0A03" w:rsidP="0017734A">
      <w:pPr>
        <w:spacing w:after="0" w:line="240" w:lineRule="auto"/>
      </w:pPr>
      <w:r>
        <w:separator/>
      </w:r>
    </w:p>
  </w:endnote>
  <w:endnote w:type="continuationSeparator" w:id="0">
    <w:p w14:paraId="21AA65A1" w14:textId="77777777" w:rsidR="009D0A03" w:rsidRDefault="009D0A03"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78764"/>
      <w:docPartObj>
        <w:docPartGallery w:val="Page Numbers (Bottom of Page)"/>
        <w:docPartUnique/>
      </w:docPartObj>
    </w:sdtPr>
    <w:sdtEndPr>
      <w:rPr>
        <w:rFonts w:ascii="Times New Roman" w:hAnsi="Times New Roman" w:cs="Times New Roman"/>
        <w:i/>
        <w:noProof/>
      </w:rPr>
    </w:sdtEndPr>
    <w:sdtContent>
      <w:sdt>
        <w:sdtPr>
          <w:id w:val="2022127335"/>
          <w:docPartObj>
            <w:docPartGallery w:val="Page Numbers (Bottom of Page)"/>
            <w:docPartUnique/>
          </w:docPartObj>
        </w:sdtPr>
        <w:sdtEndPr>
          <w:rPr>
            <w:rFonts w:ascii="Times New Roman" w:hAnsi="Times New Roman" w:cs="Times New Roman"/>
            <w:noProof/>
            <w:sz w:val="18"/>
            <w:szCs w:val="18"/>
          </w:rPr>
        </w:sdtEndPr>
        <w:sdtContent>
          <w:p w14:paraId="723070D7" w14:textId="4C7DFE5F" w:rsidR="008A1C79" w:rsidRDefault="008A1C79" w:rsidP="00957210">
            <w:pPr>
              <w:pStyle w:val="Footer"/>
              <w:pBdr>
                <w:top w:val="single" w:sz="4" w:space="1" w:color="auto"/>
              </w:pBdr>
              <w:jc w:val="center"/>
              <w:rPr>
                <w:rFonts w:ascii="Times New Roman" w:hAnsi="Times New Roman" w:cs="Times New Roman"/>
                <w:i/>
                <w:sz w:val="18"/>
                <w:szCs w:val="18"/>
              </w:rPr>
            </w:pPr>
          </w:p>
          <w:p w14:paraId="28F81A9E" w14:textId="6A78E675" w:rsidR="008A1C79" w:rsidRPr="00957210" w:rsidRDefault="008A1C79" w:rsidP="00957210">
            <w:pPr>
              <w:pStyle w:val="Footer"/>
              <w:jc w:val="center"/>
              <w:rPr>
                <w:rFonts w:ascii="Times New Roman" w:hAnsi="Times New Roman" w:cs="Times New Roman"/>
                <w:noProof/>
                <w:sz w:val="18"/>
                <w:szCs w:val="18"/>
              </w:rPr>
            </w:pPr>
            <w:r w:rsidRPr="002B0455">
              <w:rPr>
                <w:rFonts w:ascii="Times New Roman" w:hAnsi="Times New Roman" w:cs="Times New Roman"/>
                <w:i/>
                <w:sz w:val="18"/>
                <w:szCs w:val="18"/>
              </w:rPr>
              <w:t>A Code of Access to Telecommunications Transmission Towers, Sites of Towers and Underground Facilities Amendment 2020</w:t>
            </w:r>
            <w:r w:rsidR="00186F43">
              <w:rPr>
                <w:rFonts w:ascii="Times New Roman" w:hAnsi="Times New Roman" w:cs="Times New Roman"/>
                <w:i/>
                <w:sz w:val="18"/>
                <w:szCs w:val="18"/>
              </w:rPr>
              <w:t xml:space="preserve"> (No. 1)</w:t>
            </w:r>
          </w:p>
        </w:sdtContent>
      </w:sdt>
      <w:p w14:paraId="24DE2742" w14:textId="217F4A83" w:rsidR="008A1C79" w:rsidRDefault="008A1C79">
        <w:pPr>
          <w:pStyle w:val="Footer"/>
          <w:jc w:val="right"/>
          <w:rPr>
            <w:rFonts w:ascii="Times New Roman" w:hAnsi="Times New Roman" w:cs="Times New Roman"/>
            <w:i/>
            <w:noProof/>
          </w:rPr>
        </w:pPr>
        <w:r w:rsidRPr="00957210">
          <w:rPr>
            <w:rFonts w:ascii="Times New Roman" w:hAnsi="Times New Roman" w:cs="Times New Roman"/>
            <w:i/>
          </w:rPr>
          <w:fldChar w:fldCharType="begin"/>
        </w:r>
        <w:r w:rsidRPr="00957210">
          <w:rPr>
            <w:rFonts w:ascii="Times New Roman" w:hAnsi="Times New Roman" w:cs="Times New Roman"/>
            <w:i/>
          </w:rPr>
          <w:instrText xml:space="preserve"> PAGE   \* MERGEFORMAT </w:instrText>
        </w:r>
        <w:r w:rsidRPr="00957210">
          <w:rPr>
            <w:rFonts w:ascii="Times New Roman" w:hAnsi="Times New Roman" w:cs="Times New Roman"/>
            <w:i/>
          </w:rPr>
          <w:fldChar w:fldCharType="separate"/>
        </w:r>
        <w:r w:rsidR="00E220DE">
          <w:rPr>
            <w:rFonts w:ascii="Times New Roman" w:hAnsi="Times New Roman" w:cs="Times New Roman"/>
            <w:i/>
            <w:noProof/>
          </w:rPr>
          <w:t>1</w:t>
        </w:r>
        <w:r w:rsidRPr="00957210">
          <w:rPr>
            <w:rFonts w:ascii="Times New Roman" w:hAnsi="Times New Roman" w:cs="Times New Roman"/>
            <w:i/>
            <w:noProof/>
          </w:rPr>
          <w:fldChar w:fldCharType="end"/>
        </w:r>
      </w:p>
      <w:p w14:paraId="46816DB6" w14:textId="7994D508" w:rsidR="008A1C79" w:rsidRPr="00957210" w:rsidRDefault="009D0A03">
        <w:pPr>
          <w:pStyle w:val="Footer"/>
          <w:jc w:val="right"/>
          <w:rPr>
            <w:rFonts w:ascii="Times New Roman" w:hAnsi="Times New Roman" w:cs="Times New Roman"/>
            <w:i/>
          </w:rPr>
        </w:pPr>
      </w:p>
    </w:sdtContent>
  </w:sdt>
  <w:p w14:paraId="17E7C9CC" w14:textId="67CD3544" w:rsidR="008A1C79" w:rsidRPr="008D642E" w:rsidRDefault="008A1C79" w:rsidP="002F0E3F">
    <w:pPr>
      <w:pStyle w:val="Footer"/>
      <w:jc w:val="right"/>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B77D" w14:textId="77777777" w:rsidR="008A1C79" w:rsidRDefault="008A1C79" w:rsidP="00892659">
    <w:pPr>
      <w:pStyle w:val="Footer"/>
      <w:pBdr>
        <w:top w:val="single" w:sz="4" w:space="1" w:color="auto"/>
      </w:pBdr>
      <w:jc w:val="center"/>
      <w:rPr>
        <w:rFonts w:ascii="Times New Roman" w:hAnsi="Times New Roman" w:cs="Times New Roman"/>
        <w:i/>
        <w:sz w:val="18"/>
        <w:szCs w:val="18"/>
      </w:rPr>
    </w:pPr>
  </w:p>
  <w:p w14:paraId="026A7B5E" w14:textId="5E798A57" w:rsidR="008A1C79" w:rsidRPr="008D642E" w:rsidRDefault="008A1C79" w:rsidP="00892659">
    <w:pPr>
      <w:pStyle w:val="Footer"/>
      <w:jc w:val="right"/>
      <w:rPr>
        <w:rFonts w:ascii="Times New Roman" w:hAnsi="Times New Roman"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4996" w14:textId="77777777" w:rsidR="009D0A03" w:rsidRDefault="009D0A03" w:rsidP="0017734A">
      <w:pPr>
        <w:spacing w:after="0" w:line="240" w:lineRule="auto"/>
      </w:pPr>
      <w:r>
        <w:separator/>
      </w:r>
    </w:p>
  </w:footnote>
  <w:footnote w:type="continuationSeparator" w:id="0">
    <w:p w14:paraId="4B57B048" w14:textId="77777777" w:rsidR="009D0A03" w:rsidRDefault="009D0A03" w:rsidP="0017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BD47" w14:textId="77777777" w:rsidR="008A1C79" w:rsidRDefault="008A1C79" w:rsidP="00E7332E">
    <w:pPr>
      <w:pStyle w:val="Header"/>
    </w:pPr>
  </w:p>
  <w:p w14:paraId="019F3552" w14:textId="77777777" w:rsidR="008A1C79" w:rsidRDefault="008A1C79" w:rsidP="00E7332E">
    <w:pPr>
      <w:pStyle w:val="Header"/>
      <w:pBdr>
        <w:bottom w:val="single" w:sz="4" w:space="1" w:color="auto"/>
      </w:pBdr>
      <w:tabs>
        <w:tab w:val="clear" w:pos="4513"/>
        <w:tab w:val="clear" w:pos="9026"/>
        <w:tab w:val="left" w:pos="3200"/>
      </w:tabs>
    </w:pPr>
  </w:p>
  <w:p w14:paraId="53CD4D2D" w14:textId="77777777" w:rsidR="008A1C79" w:rsidRDefault="008A1C79" w:rsidP="00E7332E">
    <w:pPr>
      <w:pStyle w:val="Header"/>
      <w:pBdr>
        <w:bottom w:val="single" w:sz="4" w:space="1" w:color="auto"/>
      </w:pBdr>
      <w:tabs>
        <w:tab w:val="clear" w:pos="4513"/>
        <w:tab w:val="clear" w:pos="9026"/>
        <w:tab w:val="left" w:pos="32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21D4" w14:textId="77777777" w:rsidR="008A1C79" w:rsidRDefault="008A1C79" w:rsidP="00892659">
    <w:pPr>
      <w:pStyle w:val="Header"/>
      <w:pBdr>
        <w:bottom w:val="single" w:sz="4" w:space="1" w:color="auto"/>
      </w:pBdr>
    </w:pPr>
  </w:p>
  <w:p w14:paraId="09B7987D" w14:textId="77777777" w:rsidR="008A1C79" w:rsidRDefault="008A1C79" w:rsidP="00892659">
    <w:pPr>
      <w:pStyle w:val="Header"/>
      <w:pBdr>
        <w:bottom w:val="single" w:sz="4" w:space="1" w:color="auto"/>
      </w:pBdr>
    </w:pPr>
  </w:p>
  <w:p w14:paraId="6361980C" w14:textId="77777777" w:rsidR="008A1C79" w:rsidRPr="00CC64DD" w:rsidRDefault="008A1C79" w:rsidP="00892659">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Section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35DB" w14:textId="77777777" w:rsidR="008A1C79" w:rsidRDefault="008A1C79" w:rsidP="00892659">
    <w:pPr>
      <w:pStyle w:val="Header"/>
      <w:pBdr>
        <w:bottom w:val="single" w:sz="4" w:space="1" w:color="auto"/>
      </w:pBdr>
    </w:pPr>
  </w:p>
  <w:p w14:paraId="799DF623" w14:textId="77777777" w:rsidR="008A1C79" w:rsidRDefault="008A1C79" w:rsidP="00892659">
    <w:pPr>
      <w:pStyle w:val="Header"/>
      <w:pBdr>
        <w:bottom w:val="single" w:sz="4" w:space="1" w:color="auto"/>
      </w:pBdr>
    </w:pPr>
  </w:p>
  <w:p w14:paraId="3BF885EA" w14:textId="22A89000" w:rsidR="008A1C79" w:rsidRPr="00CC64DD" w:rsidRDefault="008A1C79" w:rsidP="00892659">
    <w:pPr>
      <w:pStyle w:val="Header"/>
      <w:pBdr>
        <w:bottom w:val="single" w:sz="4" w:space="1" w:color="auto"/>
      </w:pBd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4DC"/>
    <w:multiLevelType w:val="hybridMultilevel"/>
    <w:tmpl w:val="C582A2AE"/>
    <w:lvl w:ilvl="0" w:tplc="09B008A0">
      <w:start w:val="3"/>
      <w:numFmt w:val="decimal"/>
      <w:lvlText w:val="(%1)"/>
      <w:lvlJc w:val="left"/>
      <w:pPr>
        <w:ind w:left="216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7C2F04"/>
    <w:multiLevelType w:val="hybridMultilevel"/>
    <w:tmpl w:val="77A2E2A6"/>
    <w:lvl w:ilvl="0" w:tplc="23FCE400">
      <w:start w:val="1"/>
      <w:numFmt w:val="lowerRoman"/>
      <w:lvlText w:val="(%1)"/>
      <w:lvlJc w:val="left"/>
      <w:pPr>
        <w:ind w:left="2520" w:hanging="72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7057D6"/>
    <w:multiLevelType w:val="hybridMultilevel"/>
    <w:tmpl w:val="C2A490E0"/>
    <w:lvl w:ilvl="0" w:tplc="C486D7B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56030F"/>
    <w:multiLevelType w:val="hybridMultilevel"/>
    <w:tmpl w:val="EF2E6C94"/>
    <w:lvl w:ilvl="0" w:tplc="01069078">
      <w:start w:val="1"/>
      <w:numFmt w:val="decimal"/>
      <w:lvlText w:val="(%1)"/>
      <w:lvlJc w:val="left"/>
      <w:pPr>
        <w:ind w:left="2160" w:hanging="360"/>
      </w:pPr>
      <w:rPr>
        <w:rFonts w:cs="Times New Roman" w:hint="default"/>
        <w:sz w:val="22"/>
        <w:szCs w:val="22"/>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CA59E3"/>
    <w:multiLevelType w:val="hybridMultilevel"/>
    <w:tmpl w:val="77A2E2A6"/>
    <w:lvl w:ilvl="0" w:tplc="23FCE400">
      <w:start w:val="1"/>
      <w:numFmt w:val="lowerRoman"/>
      <w:lvlText w:val="(%1)"/>
      <w:lvlJc w:val="left"/>
      <w:pPr>
        <w:ind w:left="2520" w:hanging="72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9" w15:restartNumberingAfterBreak="0">
    <w:nsid w:val="49807626"/>
    <w:multiLevelType w:val="hybridMultilevel"/>
    <w:tmpl w:val="E652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125DF"/>
    <w:multiLevelType w:val="hybridMultilevel"/>
    <w:tmpl w:val="77A2E2A6"/>
    <w:lvl w:ilvl="0" w:tplc="23FCE400">
      <w:start w:val="1"/>
      <w:numFmt w:val="lowerRoman"/>
      <w:lvlText w:val="(%1)"/>
      <w:lvlJc w:val="left"/>
      <w:pPr>
        <w:ind w:left="2520" w:hanging="72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1"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1"/>
  </w:num>
  <w:num w:numId="5">
    <w:abstractNumId w:val="5"/>
  </w:num>
  <w:num w:numId="6">
    <w:abstractNumId w:val="1"/>
  </w:num>
  <w:num w:numId="7">
    <w:abstractNumId w:val="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4A"/>
    <w:rsid w:val="00006492"/>
    <w:rsid w:val="00010EAB"/>
    <w:rsid w:val="000340E0"/>
    <w:rsid w:val="00051E40"/>
    <w:rsid w:val="0009015F"/>
    <w:rsid w:val="00097890"/>
    <w:rsid w:val="000A430B"/>
    <w:rsid w:val="000B4063"/>
    <w:rsid w:val="000B4E1A"/>
    <w:rsid w:val="000C2516"/>
    <w:rsid w:val="000C5A8B"/>
    <w:rsid w:val="000C6616"/>
    <w:rsid w:val="00105571"/>
    <w:rsid w:val="00121BB9"/>
    <w:rsid w:val="00130C48"/>
    <w:rsid w:val="00131943"/>
    <w:rsid w:val="00155BD3"/>
    <w:rsid w:val="0017734A"/>
    <w:rsid w:val="00186F43"/>
    <w:rsid w:val="001C12ED"/>
    <w:rsid w:val="001C1DAB"/>
    <w:rsid w:val="001C3589"/>
    <w:rsid w:val="0020657F"/>
    <w:rsid w:val="0023229F"/>
    <w:rsid w:val="00235334"/>
    <w:rsid w:val="00250C70"/>
    <w:rsid w:val="00265688"/>
    <w:rsid w:val="00270C74"/>
    <w:rsid w:val="00276805"/>
    <w:rsid w:val="00294E99"/>
    <w:rsid w:val="002B0455"/>
    <w:rsid w:val="002B5793"/>
    <w:rsid w:val="002B73D8"/>
    <w:rsid w:val="002C4ED0"/>
    <w:rsid w:val="002F0E3F"/>
    <w:rsid w:val="002F2B06"/>
    <w:rsid w:val="00316A4C"/>
    <w:rsid w:val="00336C5B"/>
    <w:rsid w:val="003974E2"/>
    <w:rsid w:val="003C44A9"/>
    <w:rsid w:val="004136D9"/>
    <w:rsid w:val="004309EA"/>
    <w:rsid w:val="004331DD"/>
    <w:rsid w:val="00433455"/>
    <w:rsid w:val="004361D9"/>
    <w:rsid w:val="00460FD9"/>
    <w:rsid w:val="00482F4F"/>
    <w:rsid w:val="004B0201"/>
    <w:rsid w:val="004D4B38"/>
    <w:rsid w:val="004D6B79"/>
    <w:rsid w:val="004F5D89"/>
    <w:rsid w:val="00521C3C"/>
    <w:rsid w:val="00563F70"/>
    <w:rsid w:val="00583FEA"/>
    <w:rsid w:val="00587329"/>
    <w:rsid w:val="005902F1"/>
    <w:rsid w:val="00590F0D"/>
    <w:rsid w:val="005957A6"/>
    <w:rsid w:val="005B3FB0"/>
    <w:rsid w:val="005D49A5"/>
    <w:rsid w:val="005E4159"/>
    <w:rsid w:val="00621187"/>
    <w:rsid w:val="0062407B"/>
    <w:rsid w:val="00692640"/>
    <w:rsid w:val="006B0532"/>
    <w:rsid w:val="006C0251"/>
    <w:rsid w:val="006F5CF2"/>
    <w:rsid w:val="00703828"/>
    <w:rsid w:val="007055D1"/>
    <w:rsid w:val="00714645"/>
    <w:rsid w:val="00721966"/>
    <w:rsid w:val="00733FB0"/>
    <w:rsid w:val="00744FCC"/>
    <w:rsid w:val="00763A81"/>
    <w:rsid w:val="0077358B"/>
    <w:rsid w:val="007C04B1"/>
    <w:rsid w:val="00800926"/>
    <w:rsid w:val="0083081F"/>
    <w:rsid w:val="008331B0"/>
    <w:rsid w:val="00836586"/>
    <w:rsid w:val="00877B4A"/>
    <w:rsid w:val="00892659"/>
    <w:rsid w:val="00896A23"/>
    <w:rsid w:val="00897161"/>
    <w:rsid w:val="008A1C79"/>
    <w:rsid w:val="008D4451"/>
    <w:rsid w:val="008D642E"/>
    <w:rsid w:val="008E0093"/>
    <w:rsid w:val="0091792E"/>
    <w:rsid w:val="00935767"/>
    <w:rsid w:val="00957044"/>
    <w:rsid w:val="00957210"/>
    <w:rsid w:val="0095727B"/>
    <w:rsid w:val="00987A5F"/>
    <w:rsid w:val="00995B76"/>
    <w:rsid w:val="009B4FBD"/>
    <w:rsid w:val="009D0A03"/>
    <w:rsid w:val="009F134F"/>
    <w:rsid w:val="009F34A0"/>
    <w:rsid w:val="00A04A88"/>
    <w:rsid w:val="00A17FF9"/>
    <w:rsid w:val="00A31F98"/>
    <w:rsid w:val="00A533E4"/>
    <w:rsid w:val="00A722F5"/>
    <w:rsid w:val="00A95E77"/>
    <w:rsid w:val="00A965A3"/>
    <w:rsid w:val="00AA1805"/>
    <w:rsid w:val="00AB663C"/>
    <w:rsid w:val="00AC1169"/>
    <w:rsid w:val="00AC38D4"/>
    <w:rsid w:val="00AD14AA"/>
    <w:rsid w:val="00AD1EEA"/>
    <w:rsid w:val="00AD29CD"/>
    <w:rsid w:val="00AE50D5"/>
    <w:rsid w:val="00B16318"/>
    <w:rsid w:val="00B22FA4"/>
    <w:rsid w:val="00B30E00"/>
    <w:rsid w:val="00B3360A"/>
    <w:rsid w:val="00B4115D"/>
    <w:rsid w:val="00B45C77"/>
    <w:rsid w:val="00B7359B"/>
    <w:rsid w:val="00B90F17"/>
    <w:rsid w:val="00B94C2C"/>
    <w:rsid w:val="00BA34C5"/>
    <w:rsid w:val="00BD77C9"/>
    <w:rsid w:val="00BE2492"/>
    <w:rsid w:val="00BF4E46"/>
    <w:rsid w:val="00C20EC9"/>
    <w:rsid w:val="00C32F3A"/>
    <w:rsid w:val="00C351EA"/>
    <w:rsid w:val="00C4249D"/>
    <w:rsid w:val="00C43723"/>
    <w:rsid w:val="00C85A51"/>
    <w:rsid w:val="00CC64DD"/>
    <w:rsid w:val="00D0505A"/>
    <w:rsid w:val="00D07F2E"/>
    <w:rsid w:val="00D144E2"/>
    <w:rsid w:val="00D971B5"/>
    <w:rsid w:val="00DA79B9"/>
    <w:rsid w:val="00DB3C67"/>
    <w:rsid w:val="00DD2A0F"/>
    <w:rsid w:val="00DD6997"/>
    <w:rsid w:val="00DF211B"/>
    <w:rsid w:val="00E1191F"/>
    <w:rsid w:val="00E220DE"/>
    <w:rsid w:val="00E318F7"/>
    <w:rsid w:val="00E41093"/>
    <w:rsid w:val="00E62B65"/>
    <w:rsid w:val="00E71C31"/>
    <w:rsid w:val="00E7332E"/>
    <w:rsid w:val="00E84D54"/>
    <w:rsid w:val="00E9552E"/>
    <w:rsid w:val="00EC0AD2"/>
    <w:rsid w:val="00EC54C3"/>
    <w:rsid w:val="00EF6088"/>
    <w:rsid w:val="00F00927"/>
    <w:rsid w:val="00F04021"/>
    <w:rsid w:val="00F26DEC"/>
    <w:rsid w:val="00F31CFC"/>
    <w:rsid w:val="00F31EC9"/>
    <w:rsid w:val="00F42EA3"/>
    <w:rsid w:val="00F53228"/>
    <w:rsid w:val="00F544C4"/>
    <w:rsid w:val="00F77DB5"/>
    <w:rsid w:val="00F856A6"/>
    <w:rsid w:val="00F85ED9"/>
    <w:rsid w:val="00F90642"/>
    <w:rsid w:val="00FB013F"/>
    <w:rsid w:val="00FB1C69"/>
    <w:rsid w:val="00FB59C1"/>
    <w:rsid w:val="00FE207B"/>
    <w:rsid w:val="00FE6067"/>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5BEE"/>
  <w15:chartTrackingRefBased/>
  <w15:docId w15:val="{EA33A4A4-10E3-4434-BDEE-1513ADC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customStyle="1" w:styleId="Item">
    <w:name w:val="Item"/>
    <w:aliases w:val="i"/>
    <w:basedOn w:val="Normal"/>
    <w:next w:val="ItemHead"/>
    <w:rsid w:val="00265688"/>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265688"/>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CharDivNo">
    <w:name w:val="CharDivNo"/>
    <w:basedOn w:val="DefaultParagraphFont"/>
    <w:uiPriority w:val="1"/>
    <w:qFormat/>
    <w:rsid w:val="00D971B5"/>
  </w:style>
  <w:style w:type="character" w:customStyle="1" w:styleId="CharDivText">
    <w:name w:val="CharDivText"/>
    <w:basedOn w:val="DefaultParagraphFont"/>
    <w:uiPriority w:val="1"/>
    <w:qFormat/>
    <w:rsid w:val="00D971B5"/>
  </w:style>
  <w:style w:type="character" w:customStyle="1" w:styleId="paragraphChar">
    <w:name w:val="paragraph Char"/>
    <w:aliases w:val="a Char"/>
    <w:link w:val="paragraph"/>
    <w:rsid w:val="00D971B5"/>
    <w:rPr>
      <w:rFonts w:ascii="Times New Roman" w:eastAsia="Times New Roman" w:hAnsi="Times New Roman" w:cs="Times New Roman"/>
      <w:szCs w:val="20"/>
      <w:lang w:eastAsia="en-AU"/>
    </w:rPr>
  </w:style>
  <w:style w:type="paragraph" w:customStyle="1" w:styleId="BodyNum">
    <w:name w:val="BodyNum"/>
    <w:aliases w:val="b1"/>
    <w:basedOn w:val="Normal"/>
    <w:rsid w:val="002B5793"/>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2B5793"/>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2B5793"/>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2B5793"/>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2B5793"/>
    <w:pPr>
      <w:numPr>
        <w:numId w:val="6"/>
      </w:numPr>
    </w:pPr>
  </w:style>
  <w:style w:type="paragraph" w:customStyle="1" w:styleId="Default">
    <w:name w:val="Default"/>
    <w:rsid w:val="006B053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35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au"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 A C C C a n d A E R ! 1 1 0 8 4 8 0 4 . 1 < / d o c u m e n t i d >  
     < s e n d e r i d > S T W I L L < / s e n d e r i d >  
     < s e n d e r e m a i l > S T E V E . W I L L I A M S @ A C C C . G O V . A U < / s e n d e r e m a i l >  
     < l a s t m o d i f i e d > 2 0 2 0 - 0 5 - 2 9 T 1 1 : 5 6 : 0 0 . 0 0 0 0 0 0 0 + 1 0 : 0 0 < / l a s t m o d i f i e d >  
     < d a t a b a s e > A C C C a n d A E R < / 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C328-0B7A-414C-9A9C-7C4FBFA08E8F}">
  <ds:schemaRefs>
    <ds:schemaRef ds:uri="http://www.imanage.com/work/xmlschema"/>
  </ds:schemaRefs>
</ds:datastoreItem>
</file>

<file path=customXml/itemProps2.xml><?xml version="1.0" encoding="utf-8"?>
<ds:datastoreItem xmlns:ds="http://schemas.openxmlformats.org/officeDocument/2006/customXml" ds:itemID="{F436597F-F36B-45A6-A5A6-B1BC8AD1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5165</Characters>
  <Application>Microsoft Office Word</Application>
  <DocSecurity>0</DocSecurity>
  <Lines>147</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Vella</dc:creator>
  <cp:keywords/>
  <dc:description/>
  <cp:lastModifiedBy>Cranston, Richard</cp:lastModifiedBy>
  <cp:revision>2</cp:revision>
  <cp:lastPrinted>2016-10-19T23:00:00Z</cp:lastPrinted>
  <dcterms:created xsi:type="dcterms:W3CDTF">2020-06-10T04:52:00Z</dcterms:created>
  <dcterms:modified xsi:type="dcterms:W3CDTF">2020-06-10T04:52:00Z</dcterms:modified>
</cp:coreProperties>
</file>