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CF681" w14:textId="77777777" w:rsidR="00BF4130" w:rsidRPr="00BF4130" w:rsidRDefault="00BF4130" w:rsidP="00BF4130">
      <w:pPr>
        <w:jc w:val="center"/>
        <w:rPr>
          <w:b/>
          <w:iCs/>
          <w:u w:val="single"/>
        </w:rPr>
      </w:pPr>
      <w:r w:rsidRPr="00BF4130">
        <w:rPr>
          <w:b/>
          <w:iCs/>
          <w:u w:val="single"/>
        </w:rPr>
        <w:t>Explanatory Statement</w:t>
      </w:r>
    </w:p>
    <w:p w14:paraId="0784CED1" w14:textId="77777777" w:rsidR="00BF4130" w:rsidRDefault="00BF4130" w:rsidP="00BF4130">
      <w:pPr>
        <w:jc w:val="center"/>
      </w:pPr>
    </w:p>
    <w:p w14:paraId="3EB511E9" w14:textId="09EDEC09" w:rsidR="00BF4130" w:rsidRPr="006E7A02" w:rsidRDefault="00BF4130" w:rsidP="00BF4130">
      <w:pPr>
        <w:jc w:val="center"/>
      </w:pPr>
      <w:r w:rsidRPr="006E7A02">
        <w:t>Issued by the Authority of the Minister for Foreign Affairs</w:t>
      </w:r>
    </w:p>
    <w:p w14:paraId="437CEB44" w14:textId="77777777" w:rsidR="00BF4130" w:rsidRPr="006E7A02" w:rsidRDefault="00BF4130" w:rsidP="00BF4130">
      <w:pPr>
        <w:jc w:val="center"/>
      </w:pPr>
    </w:p>
    <w:p w14:paraId="2A5A5E74" w14:textId="77777777" w:rsidR="00BF4130" w:rsidRPr="006E7A02" w:rsidRDefault="00BF4130" w:rsidP="00BF4130">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67E65E4E" w14:textId="77777777" w:rsidR="00BF4130" w:rsidRPr="006E7A02" w:rsidRDefault="00BF4130" w:rsidP="00BF4130">
      <w:pPr>
        <w:ind w:left="1133" w:hanging="1157"/>
        <w:jc w:val="center"/>
        <w:rPr>
          <w:i/>
        </w:rPr>
      </w:pPr>
    </w:p>
    <w:p w14:paraId="0BBCD232" w14:textId="213C86C0" w:rsidR="00BF4130" w:rsidRDefault="00BF4130" w:rsidP="00BF4130">
      <w:pPr>
        <w:jc w:val="center"/>
        <w:rPr>
          <w:i/>
          <w:iCs/>
        </w:rPr>
      </w:pPr>
      <w:r w:rsidRPr="00190084">
        <w:rPr>
          <w:i/>
          <w:iCs/>
        </w:rPr>
        <w:t xml:space="preserve">Autonomous Sanctions (Designated </w:t>
      </w:r>
      <w:r w:rsidR="00BA40F9" w:rsidRPr="00190084">
        <w:rPr>
          <w:i/>
          <w:iCs/>
        </w:rPr>
        <w:t xml:space="preserve">Persons and Entities and Declared Persons </w:t>
      </w:r>
      <w:r w:rsidRPr="00190084">
        <w:rPr>
          <w:i/>
          <w:iCs/>
        </w:rPr>
        <w:t xml:space="preserve">– Ukraine) </w:t>
      </w:r>
      <w:r w:rsidR="00BA40F9" w:rsidRPr="00190084">
        <w:rPr>
          <w:i/>
          <w:iCs/>
        </w:rPr>
        <w:t>Continuing Effect Declaration</w:t>
      </w:r>
      <w:r w:rsidRPr="00190084">
        <w:rPr>
          <w:i/>
          <w:iCs/>
        </w:rPr>
        <w:t xml:space="preserve"> 2020</w:t>
      </w:r>
      <w:r w:rsidR="00BA40F9">
        <w:rPr>
          <w:i/>
          <w:iCs/>
        </w:rPr>
        <w:t xml:space="preserve"> (No 1)</w:t>
      </w:r>
    </w:p>
    <w:p w14:paraId="65D8854E" w14:textId="77777777" w:rsidR="00BF4130" w:rsidRPr="006E7A02" w:rsidRDefault="00BF4130" w:rsidP="00BF4130">
      <w:pPr>
        <w:jc w:val="center"/>
      </w:pPr>
    </w:p>
    <w:p w14:paraId="3E7EE391" w14:textId="77777777" w:rsidR="00BF4130" w:rsidRDefault="00BF4130" w:rsidP="00BF4130">
      <w:r w:rsidRPr="0017541D">
        <w:t xml:space="preserve">Section 28 of the </w:t>
      </w:r>
      <w:r w:rsidRPr="0017541D">
        <w:rPr>
          <w:i/>
        </w:rPr>
        <w:t>Autonomous Sanctions Act 2011</w:t>
      </w:r>
      <w:r w:rsidRPr="0017541D">
        <w:t xml:space="preserve"> (the Act) provides that the Governor-General may make regulations prescribing matters required or permitted by the Act to be prescribed, or necessary or convenient to be prescribed for carrying out or giving effect to the Act.</w:t>
      </w:r>
    </w:p>
    <w:p w14:paraId="24ED1089" w14:textId="77777777" w:rsidR="00BF4130" w:rsidRDefault="00BF4130" w:rsidP="00BF4130"/>
    <w:p w14:paraId="35A02FF6" w14:textId="2B83D1F2" w:rsidR="00BF4130" w:rsidRPr="00F943AB" w:rsidRDefault="00BF4130" w:rsidP="00BF4130">
      <w:pPr>
        <w:rPr>
          <w:iCs/>
        </w:rPr>
      </w:pPr>
      <w:r w:rsidRPr="00F943AB">
        <w:rPr>
          <w:iCs/>
        </w:rPr>
        <w:t>Autonomous sanctions are measures not involving the use of armed force which</w:t>
      </w:r>
      <w:r>
        <w:rPr>
          <w:iCs/>
        </w:rPr>
        <w:t xml:space="preserve"> the Australian Government</w:t>
      </w:r>
      <w:r w:rsidRPr="00F943AB">
        <w:rPr>
          <w:iCs/>
        </w:rPr>
        <w:t xml:space="preserve"> imposes as a matter of foreign policy</w:t>
      </w:r>
      <w:r w:rsidR="00786E87">
        <w:rPr>
          <w:iCs/>
        </w:rPr>
        <w:t>—</w:t>
      </w:r>
      <w:r w:rsidRPr="00F943AB">
        <w:rPr>
          <w:iCs/>
        </w:rPr>
        <w:t xml:space="preserve"> as opposed to an international obligation under a United Na</w:t>
      </w:r>
      <w:r w:rsidR="00786E87">
        <w:rPr>
          <w:iCs/>
        </w:rPr>
        <w:t>tions Security Council decision—</w:t>
      </w:r>
      <w:r w:rsidRPr="00F943AB">
        <w:rPr>
          <w:iCs/>
        </w:rPr>
        <w:t xml:space="preserve">in </w:t>
      </w:r>
      <w:r>
        <w:rPr>
          <w:iCs/>
        </w:rPr>
        <w:t xml:space="preserve">response to </w:t>
      </w:r>
      <w:r w:rsidRPr="00F943AB">
        <w:rPr>
          <w:iCs/>
        </w:rPr>
        <w:t xml:space="preserve">situations of international concern.  Such situations include </w:t>
      </w:r>
      <w:r>
        <w:rPr>
          <w:iCs/>
        </w:rPr>
        <w:t>threats to a country’s soverei</w:t>
      </w:r>
      <w:r w:rsidR="007E5B16">
        <w:rPr>
          <w:iCs/>
        </w:rPr>
        <w:t xml:space="preserve">gnty and territorial integrity, </w:t>
      </w:r>
      <w:r w:rsidR="007E5B16" w:rsidRPr="003273EA">
        <w:rPr>
          <w:iCs/>
        </w:rPr>
        <w:t>as occurred in 2014 when Russia annexed Crimea and Sevastopol from Ukraine in breach of international law.</w:t>
      </w:r>
    </w:p>
    <w:p w14:paraId="5D5CC230" w14:textId="77777777" w:rsidR="00BF4130" w:rsidRDefault="00BF4130" w:rsidP="00BF4130"/>
    <w:p w14:paraId="4A9292C3" w14:textId="7A7BCE1E" w:rsidR="00BF4130" w:rsidRDefault="00BF4130" w:rsidP="00BF4130">
      <w:r w:rsidRPr="0017541D">
        <w:t xml:space="preserve">The </w:t>
      </w:r>
      <w:r w:rsidRPr="0017541D">
        <w:rPr>
          <w:i/>
        </w:rPr>
        <w:t>Autonomous Sanctions Regulations 2011</w:t>
      </w:r>
      <w:r w:rsidRPr="0017541D">
        <w:t xml:space="preserve"> (the Regulations) </w:t>
      </w:r>
      <w:r>
        <w:t xml:space="preserve">make provision </w:t>
      </w:r>
      <w:r w:rsidR="00C70B47">
        <w:t>for</w:t>
      </w:r>
      <w:r>
        <w:t>, amongst other things, the proscription of persons or entities for autonomous sanctions, including in relation to the threat to the territorial integrity and sovereignty of Ukraine. Regulation 6 enables the Minister for Foreign Affairs (the Minister) to designate a person</w:t>
      </w:r>
      <w:r w:rsidRPr="00A803C2">
        <w:t xml:space="preserve"> </w:t>
      </w:r>
      <w:r>
        <w:t xml:space="preserve">or entity for targeted financial sanctions and/or declare a person for the purposes of a travel ban, if the Minister is satisfied that </w:t>
      </w:r>
      <w:r w:rsidR="00A72C97">
        <w:t xml:space="preserve">the person or entity is </w:t>
      </w:r>
      <w:r>
        <w:t xml:space="preserve">responsible for, or complicit in, the </w:t>
      </w:r>
      <w:r w:rsidRPr="00A803C2">
        <w:t>threat to the territorial integrity and sovereignty of Ukraine</w:t>
      </w:r>
      <w:r>
        <w:t xml:space="preserve"> (item </w:t>
      </w:r>
      <w:r w:rsidR="00480C36">
        <w:t>9 of the table at subregulation</w:t>
      </w:r>
      <w:r>
        <w:t xml:space="preserve"> 6(1))</w:t>
      </w:r>
      <w:r w:rsidRPr="00A803C2">
        <w:t>.</w:t>
      </w:r>
      <w:r>
        <w:t xml:space="preserve"> </w:t>
      </w:r>
    </w:p>
    <w:p w14:paraId="74152F2F" w14:textId="77777777" w:rsidR="00BF4130" w:rsidRDefault="00BF4130" w:rsidP="00BF4130">
      <w:pPr>
        <w:rPr>
          <w:iCs/>
        </w:rPr>
      </w:pPr>
    </w:p>
    <w:p w14:paraId="6BC010F0" w14:textId="77777777" w:rsidR="00BF4130" w:rsidRDefault="00BF4130" w:rsidP="00BF4130">
      <w:r w:rsidRPr="006E7A02">
        <w:t xml:space="preserve">The purpose of a designation is to subject the designated person or entity to targeted financial sanctions. </w:t>
      </w:r>
      <w:r>
        <w:t>There are two types of targeted financial sanctions under the Regulations:</w:t>
      </w:r>
    </w:p>
    <w:p w14:paraId="4256B28F" w14:textId="77777777" w:rsidR="00BF4130" w:rsidRDefault="00BF4130" w:rsidP="00BF4130"/>
    <w:p w14:paraId="130CFD08" w14:textId="77777777" w:rsidR="00BF4130" w:rsidRDefault="00BF4130" w:rsidP="00BF4130">
      <w:pPr>
        <w:pStyle w:val="ListParagraph"/>
        <w:widowControl w:val="0"/>
        <w:numPr>
          <w:ilvl w:val="0"/>
          <w:numId w:val="2"/>
        </w:numPr>
      </w:pPr>
      <w:r>
        <w:t>t</w:t>
      </w:r>
      <w:r w:rsidRPr="006E7A02">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and/or</w:t>
      </w:r>
    </w:p>
    <w:p w14:paraId="7453D0A7" w14:textId="77777777" w:rsidR="00BF4130" w:rsidRPr="006E7A02" w:rsidRDefault="00BF4130" w:rsidP="00BF4130">
      <w:pPr>
        <w:pStyle w:val="ListParagraph"/>
        <w:widowControl w:val="0"/>
        <w:numPr>
          <w:ilvl w:val="0"/>
          <w:numId w:val="2"/>
        </w:numPr>
      </w:pPr>
      <w:r>
        <w:t xml:space="preserve">an asset </w:t>
      </w:r>
      <w:r w:rsidRPr="006E7A02">
        <w:t xml:space="preserve">owned or controlled by a designated person or entity is a “controlled asset”,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4E789213" w14:textId="77777777" w:rsidR="00BF4130" w:rsidRDefault="00BF4130" w:rsidP="00BF4130"/>
    <w:p w14:paraId="0288C30A" w14:textId="77777777" w:rsidR="00BF4130" w:rsidRDefault="00BF4130" w:rsidP="00BF4130">
      <w:r>
        <w:t>The purpose of a declaration is to prevent a person from travelling to, entering or remaining in Australia.</w:t>
      </w:r>
    </w:p>
    <w:p w14:paraId="7DC11C72" w14:textId="77777777" w:rsidR="00480A3B" w:rsidRDefault="00480A3B" w:rsidP="00480A3B"/>
    <w:p w14:paraId="57A43286" w14:textId="77777777" w:rsidR="00A72C97" w:rsidRDefault="00480A3B" w:rsidP="00BF4130">
      <w:pPr>
        <w:rPr>
          <w:i/>
        </w:rPr>
      </w:pPr>
      <w:r>
        <w:lastRenderedPageBreak/>
        <w:t xml:space="preserve">Designated and declared persons, and designated entities, in respect of Ukraine are listed in the </w:t>
      </w:r>
      <w:r>
        <w:rPr>
          <w:i/>
        </w:rPr>
        <w:t xml:space="preserve">Autonomous Sanctions (Designated Persons and Entities and Declared Persons – Ukraine) List 2014 </w:t>
      </w:r>
      <w:r w:rsidRPr="00557AC7">
        <w:t>(the 2014 List)</w:t>
      </w:r>
      <w:r>
        <w:rPr>
          <w:i/>
        </w:rPr>
        <w:t>.</w:t>
      </w:r>
      <w:r w:rsidR="00A72C97">
        <w:rPr>
          <w:i/>
        </w:rPr>
        <w:t xml:space="preserve">  </w:t>
      </w:r>
    </w:p>
    <w:p w14:paraId="4CFE23B3" w14:textId="77777777" w:rsidR="00A72C97" w:rsidRDefault="00A72C97" w:rsidP="00BF4130">
      <w:pPr>
        <w:rPr>
          <w:i/>
        </w:rPr>
      </w:pPr>
    </w:p>
    <w:p w14:paraId="34A634C6" w14:textId="4F3B182F" w:rsidR="00480A3B" w:rsidRDefault="00480A3B" w:rsidP="00BF4130">
      <w:r w:rsidRPr="00480A3B">
        <w:rPr>
          <w:iCs/>
        </w:rPr>
        <w:t xml:space="preserve">The </w:t>
      </w:r>
      <w:r w:rsidRPr="00190084">
        <w:rPr>
          <w:i/>
          <w:iCs/>
        </w:rPr>
        <w:t>Autonomous Sanctions (Designated Persons and Entities and Declared Persons – Ukraine) Continuing Effect Declaration 2020</w:t>
      </w:r>
      <w:r>
        <w:rPr>
          <w:i/>
          <w:iCs/>
        </w:rPr>
        <w:t xml:space="preserve"> (No 1</w:t>
      </w:r>
      <w:r w:rsidRPr="00BB343F">
        <w:rPr>
          <w:i/>
          <w:iCs/>
        </w:rPr>
        <w:t>)</w:t>
      </w:r>
      <w:r w:rsidRPr="00BB343F">
        <w:rPr>
          <w:iCs/>
        </w:rPr>
        <w:t xml:space="preserve"> </w:t>
      </w:r>
      <w:r w:rsidR="00190084" w:rsidRPr="00BB343F">
        <w:rPr>
          <w:iCs/>
        </w:rPr>
        <w:t>(the Declaration</w:t>
      </w:r>
      <w:r w:rsidR="00190084" w:rsidRPr="00BB343F">
        <w:t xml:space="preserve">) gives effect to a review of the designations and declarations of </w:t>
      </w:r>
      <w:r w:rsidR="00BB343F" w:rsidRPr="00BB343F">
        <w:t>51</w:t>
      </w:r>
      <w:r w:rsidRPr="00BB343F">
        <w:t xml:space="preserve"> </w:t>
      </w:r>
      <w:r w:rsidR="00190084" w:rsidRPr="00BB343F">
        <w:t xml:space="preserve">persons and the designation of </w:t>
      </w:r>
      <w:r w:rsidRPr="00BB343F">
        <w:t xml:space="preserve">11 </w:t>
      </w:r>
      <w:r w:rsidR="00190084" w:rsidRPr="00BB343F">
        <w:t xml:space="preserve">entities that were either made or continued in effect by the Minister in </w:t>
      </w:r>
      <w:r w:rsidR="00BB343F">
        <w:t>June</w:t>
      </w:r>
      <w:r w:rsidR="00190084" w:rsidRPr="00BB343F">
        <w:t xml:space="preserve"> 2017. </w:t>
      </w:r>
    </w:p>
    <w:p w14:paraId="6832C3A0" w14:textId="3349E36A" w:rsidR="00190084" w:rsidRDefault="00190084" w:rsidP="00BF4130">
      <w:r>
        <w:t>Under subregulation 9(1) of the Regulations, these designations and declarations cease to have effect three years after the date on which they took effect or were renewed, unless the Minister declares they are to continue pursuant to subregulation 9(3).</w:t>
      </w:r>
    </w:p>
    <w:p w14:paraId="68B9C3CB" w14:textId="6C57EF86" w:rsidR="00480A3B" w:rsidRDefault="00480A3B" w:rsidP="00BF4130"/>
    <w:p w14:paraId="2DD44526" w14:textId="704F1017" w:rsidR="00480A3B" w:rsidRDefault="00480A3B" w:rsidP="00BF4130">
      <w:r>
        <w:t>The Declaration continues under subregulation 9(3) of the Regulations the designations and declarations made in 2017</w:t>
      </w:r>
      <w:r w:rsidR="00A72C97">
        <w:t xml:space="preserve">, </w:t>
      </w:r>
      <w:r w:rsidR="00480C36">
        <w:t>other than in respect of two persons who are deceased</w:t>
      </w:r>
      <w:r>
        <w:t xml:space="preserve">. </w:t>
      </w:r>
      <w:r w:rsidRPr="00190084">
        <w:t xml:space="preserve">The Minister made the Declaration being satisfied that each of the persons and entities listed in Schedules 1 and 2 of the Declaration meets the criteria set out in </w:t>
      </w:r>
      <w:r>
        <w:t xml:space="preserve">item 9 of </w:t>
      </w:r>
      <w:r w:rsidRPr="00190084">
        <w:t>subregulation 6(1) and is a person or entity responsible for, or complicit in, the threat to the sovereignty and territorial integrity of Ukraine</w:t>
      </w:r>
      <w:r>
        <w:t>.</w:t>
      </w:r>
      <w:r w:rsidR="0038715E">
        <w:t xml:space="preserve"> </w:t>
      </w:r>
    </w:p>
    <w:p w14:paraId="4ECED08F" w14:textId="77777777" w:rsidR="00480A3B" w:rsidRDefault="00480A3B" w:rsidP="00BF4130"/>
    <w:p w14:paraId="40D77BEA" w14:textId="2468E3D4" w:rsidR="00BF4130" w:rsidRPr="00522023" w:rsidRDefault="00BF4130" w:rsidP="00BF4130">
      <w:r w:rsidRPr="00522023">
        <w:t>Details of the</w:t>
      </w:r>
      <w:r>
        <w:t xml:space="preserve"> </w:t>
      </w:r>
      <w:r w:rsidR="00480C36">
        <w:t xml:space="preserve">Declaration </w:t>
      </w:r>
      <w:r>
        <w:t>which amend</w:t>
      </w:r>
      <w:r w:rsidR="00480C36">
        <w:t>s</w:t>
      </w:r>
      <w:r>
        <w:t xml:space="preserve"> the 2014 List </w:t>
      </w:r>
      <w:r w:rsidRPr="00522023">
        <w:t xml:space="preserve">are set out at </w:t>
      </w:r>
      <w:r w:rsidRPr="005C74C8">
        <w:rPr>
          <w:b/>
        </w:rPr>
        <w:t>Attachment A</w:t>
      </w:r>
      <w:r w:rsidRPr="00522023">
        <w:t xml:space="preserve">. </w:t>
      </w:r>
    </w:p>
    <w:p w14:paraId="25B99F05" w14:textId="1349C293" w:rsidR="00BF4130" w:rsidRDefault="00BF4130" w:rsidP="00BF4130">
      <w:pPr>
        <w:rPr>
          <w:i/>
        </w:rPr>
      </w:pPr>
    </w:p>
    <w:p w14:paraId="6F8F6E96" w14:textId="77777777" w:rsidR="00190084" w:rsidRDefault="00190084" w:rsidP="00190084">
      <w:r w:rsidRPr="00FC786A">
        <w:t xml:space="preserve">The legal framework for the imposition of autonomous sanctions by Australia, of which the Regulations and </w:t>
      </w:r>
      <w:r>
        <w:t>the Declaration</w:t>
      </w:r>
      <w:r w:rsidRPr="00FC786A">
        <w:t xml:space="preserve"> are part, was the subject of extensive consultation with governmental and non-governmental stakeholders.</w:t>
      </w:r>
      <w:r>
        <w:t xml:space="preserve"> The Department of Foreign Affairs and Trade (DFAT) undertook public consultation in relation to the designations and declarations contained in the Declaration through its website, seeking submissions from interested parties. Persons and entities who subscribe to DFAT’s sanctions email updates list were also notified of the consultation process. The public consultation process ran for 4 weeks and no submissions were received. The consultation period closed on 26 April 2020.</w:t>
      </w:r>
    </w:p>
    <w:p w14:paraId="6C9252F2" w14:textId="77777777" w:rsidR="00190084" w:rsidRDefault="00190084" w:rsidP="00190084"/>
    <w:p w14:paraId="0FBA3B53" w14:textId="7F9D4465" w:rsidR="00190084" w:rsidRDefault="00190084" w:rsidP="00190084">
      <w:pPr>
        <w:rPr>
          <w:i/>
        </w:rPr>
      </w:pPr>
      <w:r>
        <w:t>The Office of Best Practice Regulation advised that a regulation impact statement is not required (OBPR Reference: 26252)</w:t>
      </w:r>
      <w:r w:rsidR="00480C36">
        <w:t>.</w:t>
      </w:r>
    </w:p>
    <w:p w14:paraId="4538C772" w14:textId="67FBDFEB" w:rsidR="00BF4130" w:rsidRDefault="00BF4130" w:rsidP="00BF4130">
      <w:pPr>
        <w:autoSpaceDE w:val="0"/>
        <w:autoSpaceDN w:val="0"/>
        <w:adjustRightInd w:val="0"/>
      </w:pPr>
    </w:p>
    <w:p w14:paraId="2E482919" w14:textId="77777777" w:rsidR="00BF4130" w:rsidRDefault="00BF4130" w:rsidP="00BF4130">
      <w:r>
        <w:br w:type="page"/>
      </w:r>
    </w:p>
    <w:p w14:paraId="215D5EE7" w14:textId="77777777" w:rsidR="00BF4130" w:rsidRPr="00DB2135" w:rsidRDefault="00BF4130" w:rsidP="00BF4130">
      <w:pPr>
        <w:jc w:val="right"/>
        <w:rPr>
          <w:b/>
        </w:rPr>
      </w:pPr>
      <w:r w:rsidRPr="00DB2135">
        <w:rPr>
          <w:b/>
        </w:rPr>
        <w:lastRenderedPageBreak/>
        <w:t>Attachment A</w:t>
      </w:r>
    </w:p>
    <w:p w14:paraId="160E8DF3" w14:textId="77777777" w:rsidR="00BF4130" w:rsidRDefault="00BF4130" w:rsidP="00BF4130">
      <w:pPr>
        <w:jc w:val="right"/>
      </w:pPr>
    </w:p>
    <w:p w14:paraId="47686870" w14:textId="11E400F7" w:rsidR="00BF4130" w:rsidRDefault="00190084" w:rsidP="00BF4130">
      <w:pPr>
        <w:jc w:val="center"/>
        <w:rPr>
          <w:i/>
          <w:iCs/>
        </w:rPr>
      </w:pPr>
      <w:r w:rsidRPr="00190084">
        <w:rPr>
          <w:i/>
          <w:iCs/>
        </w:rPr>
        <w:t>Autonomous Sanctions (Designated Persons and Entities and Declared Persons – Ukraine) Continuing Effect Declaration 2020</w:t>
      </w:r>
      <w:r>
        <w:rPr>
          <w:i/>
          <w:iCs/>
        </w:rPr>
        <w:t xml:space="preserve"> (No 1)</w:t>
      </w:r>
    </w:p>
    <w:p w14:paraId="0B7B5D45" w14:textId="77777777" w:rsidR="00BF4130" w:rsidRDefault="00BF4130" w:rsidP="00BF4130">
      <w:pPr>
        <w:rPr>
          <w:i/>
          <w:iCs/>
        </w:rPr>
      </w:pPr>
    </w:p>
    <w:p w14:paraId="16B5C59C" w14:textId="77777777" w:rsidR="00BF4130" w:rsidRPr="00DB2135" w:rsidRDefault="00BF4130" w:rsidP="00BF4130">
      <w:pPr>
        <w:rPr>
          <w:iCs/>
          <w:u w:val="single"/>
        </w:rPr>
      </w:pPr>
      <w:r w:rsidRPr="00DB2135">
        <w:rPr>
          <w:iCs/>
          <w:u w:val="single"/>
        </w:rPr>
        <w:t>Section 1</w:t>
      </w:r>
    </w:p>
    <w:p w14:paraId="566AA539" w14:textId="7E0206ED" w:rsidR="00BF4130" w:rsidRDefault="00BF4130" w:rsidP="00BF4130">
      <w:r>
        <w:t xml:space="preserve">The title of the instrument is the </w:t>
      </w:r>
      <w:r w:rsidR="00190084" w:rsidRPr="00190084">
        <w:rPr>
          <w:i/>
          <w:iCs/>
        </w:rPr>
        <w:t>Autonomous Sanctions (Designated Persons and Entities and Declared Persons – Ukraine) Continuing Effect Declaration 2020</w:t>
      </w:r>
      <w:r w:rsidR="00190084">
        <w:rPr>
          <w:i/>
          <w:iCs/>
        </w:rPr>
        <w:t xml:space="preserve"> (No 1).</w:t>
      </w:r>
    </w:p>
    <w:p w14:paraId="54515459" w14:textId="77777777" w:rsidR="00BF4130" w:rsidRDefault="00BF4130" w:rsidP="00BF4130"/>
    <w:p w14:paraId="4F1DAF9A" w14:textId="77777777" w:rsidR="00BF4130" w:rsidRPr="00DB2135" w:rsidRDefault="00BF4130" w:rsidP="00BF4130">
      <w:pPr>
        <w:rPr>
          <w:u w:val="single"/>
        </w:rPr>
      </w:pPr>
      <w:r w:rsidRPr="00DB2135">
        <w:rPr>
          <w:u w:val="single"/>
        </w:rPr>
        <w:t>Section 2</w:t>
      </w:r>
    </w:p>
    <w:p w14:paraId="40E6758C" w14:textId="77777777" w:rsidR="00BF4130" w:rsidRDefault="00BF4130" w:rsidP="00BF4130">
      <w:r>
        <w:t>The instrument commences the day after it is registered.</w:t>
      </w:r>
    </w:p>
    <w:p w14:paraId="64384417" w14:textId="77777777" w:rsidR="00BF4130" w:rsidRDefault="00BF4130" w:rsidP="00BF4130"/>
    <w:p w14:paraId="5D990417" w14:textId="77777777" w:rsidR="00BF4130" w:rsidRPr="00DB2135" w:rsidRDefault="00BF4130" w:rsidP="00BF4130">
      <w:pPr>
        <w:rPr>
          <w:u w:val="single"/>
        </w:rPr>
      </w:pPr>
      <w:r w:rsidRPr="00DB2135">
        <w:rPr>
          <w:u w:val="single"/>
        </w:rPr>
        <w:t>Section 3</w:t>
      </w:r>
    </w:p>
    <w:p w14:paraId="523EC91C" w14:textId="1DB9C103" w:rsidR="00BF4130" w:rsidRDefault="00BF4130" w:rsidP="00BF4130">
      <w:r>
        <w:t>The instrument is made under subregulation</w:t>
      </w:r>
      <w:r w:rsidR="00190084">
        <w:t>s</w:t>
      </w:r>
      <w:r>
        <w:t xml:space="preserve"> 6(1)</w:t>
      </w:r>
      <w:r w:rsidR="00190084">
        <w:t>, 9(3) and 10(1)</w:t>
      </w:r>
      <w:r>
        <w:t xml:space="preserve"> of the </w:t>
      </w:r>
      <w:r w:rsidRPr="005B5EBE">
        <w:rPr>
          <w:i/>
        </w:rPr>
        <w:t>Autonomous Sanctions Regulations 2011</w:t>
      </w:r>
      <w:r>
        <w:t xml:space="preserve">. </w:t>
      </w:r>
    </w:p>
    <w:p w14:paraId="4DB62072" w14:textId="77777777" w:rsidR="00BF4130" w:rsidRDefault="00BF4130" w:rsidP="00BF4130"/>
    <w:p w14:paraId="5F07971E" w14:textId="77777777" w:rsidR="00BF4130" w:rsidRPr="00DB2135" w:rsidRDefault="00BF4130" w:rsidP="00BF4130">
      <w:pPr>
        <w:rPr>
          <w:u w:val="single"/>
        </w:rPr>
      </w:pPr>
      <w:r w:rsidRPr="00DB2135">
        <w:rPr>
          <w:u w:val="single"/>
        </w:rPr>
        <w:t>Section 4</w:t>
      </w:r>
    </w:p>
    <w:p w14:paraId="715D007A" w14:textId="53001C89" w:rsidR="00BF4130" w:rsidRDefault="00BF4130" w:rsidP="00BF4130">
      <w:r>
        <w:t xml:space="preserve">Section 4 contains the Minister’s declaration under subregulation 9(3) of the Regulations that the designations and declarations of the following persons listed in Schedule 1 of the Declaration, and who appear in the </w:t>
      </w:r>
      <w:r w:rsidR="00480C36">
        <w:t>2014 List</w:t>
      </w:r>
      <w:r>
        <w:t>, continue to have effect:</w:t>
      </w:r>
    </w:p>
    <w:p w14:paraId="10689E96" w14:textId="77777777" w:rsidR="00FA7EDB" w:rsidRPr="001C14FF" w:rsidRDefault="00FA7EDB" w:rsidP="00FA7EDB">
      <w:pPr>
        <w:pStyle w:val="ListParagraph"/>
        <w:numPr>
          <w:ilvl w:val="0"/>
          <w:numId w:val="1"/>
        </w:numPr>
      </w:pPr>
      <w:r w:rsidRPr="001C14FF">
        <w:t>Sergey Yur’yevich GLAZYEV</w:t>
      </w:r>
    </w:p>
    <w:p w14:paraId="6B624A4A" w14:textId="77777777" w:rsidR="00FA7EDB" w:rsidRPr="001C14FF" w:rsidRDefault="00FA7EDB" w:rsidP="00FA7EDB">
      <w:pPr>
        <w:pStyle w:val="ListParagraph"/>
        <w:numPr>
          <w:ilvl w:val="0"/>
          <w:numId w:val="1"/>
        </w:numPr>
      </w:pPr>
      <w:r w:rsidRPr="001C14FF">
        <w:t>Andrei Aleksandrovich KLISHAS</w:t>
      </w:r>
    </w:p>
    <w:p w14:paraId="17E84813" w14:textId="410177A6" w:rsidR="00BF4130" w:rsidRPr="001C14FF" w:rsidRDefault="00FA7EDB" w:rsidP="00BF4130">
      <w:pPr>
        <w:pStyle w:val="ListParagraph"/>
        <w:numPr>
          <w:ilvl w:val="0"/>
          <w:numId w:val="1"/>
        </w:numPr>
      </w:pPr>
      <w:r w:rsidRPr="001C14FF">
        <w:t xml:space="preserve">Valentina Ivanovna MATVIYENKO    </w:t>
      </w:r>
    </w:p>
    <w:p w14:paraId="7057EA20" w14:textId="2425052B" w:rsidR="00FA7EDB" w:rsidRPr="001C14FF" w:rsidRDefault="00FA7EDB" w:rsidP="00BF4130">
      <w:pPr>
        <w:pStyle w:val="ListParagraph"/>
        <w:numPr>
          <w:ilvl w:val="0"/>
          <w:numId w:val="1"/>
        </w:numPr>
      </w:pPr>
      <w:r w:rsidRPr="001C14FF">
        <w:t>Yelena Borisovna MIZULINA</w:t>
      </w:r>
    </w:p>
    <w:p w14:paraId="3B440B74" w14:textId="2358BEF7" w:rsidR="00FA7EDB" w:rsidRPr="001C14FF" w:rsidRDefault="00FA7EDB" w:rsidP="00BF4130">
      <w:pPr>
        <w:pStyle w:val="ListParagraph"/>
        <w:numPr>
          <w:ilvl w:val="0"/>
          <w:numId w:val="1"/>
        </w:numPr>
      </w:pPr>
      <w:r w:rsidRPr="001C14FF">
        <w:t>Dmitry Olegovich ROGOZIN</w:t>
      </w:r>
    </w:p>
    <w:p w14:paraId="163ECCE7" w14:textId="77777777" w:rsidR="00FA7EDB" w:rsidRPr="001C14FF" w:rsidRDefault="00FA7EDB" w:rsidP="00FA7EDB">
      <w:pPr>
        <w:pStyle w:val="ListParagraph"/>
        <w:numPr>
          <w:ilvl w:val="0"/>
          <w:numId w:val="1"/>
        </w:numPr>
      </w:pPr>
      <w:r w:rsidRPr="001C14FF">
        <w:t>Leonid Eduardovich SLUTSKIY</w:t>
      </w:r>
    </w:p>
    <w:p w14:paraId="6B429DD0" w14:textId="77777777" w:rsidR="00FA7EDB" w:rsidRPr="001C14FF" w:rsidRDefault="00FA7EDB" w:rsidP="00FA7EDB">
      <w:pPr>
        <w:pStyle w:val="ListParagraph"/>
        <w:numPr>
          <w:ilvl w:val="0"/>
          <w:numId w:val="1"/>
        </w:numPr>
      </w:pPr>
      <w:r w:rsidRPr="001C14FF">
        <w:t>Vladislav Yur’yevich SURKOV</w:t>
      </w:r>
    </w:p>
    <w:p w14:paraId="63DFFD10" w14:textId="77777777" w:rsidR="00FA7EDB" w:rsidRPr="001C14FF" w:rsidRDefault="00FA7EDB" w:rsidP="00FA7EDB">
      <w:pPr>
        <w:pStyle w:val="ListParagraph"/>
        <w:numPr>
          <w:ilvl w:val="0"/>
          <w:numId w:val="1"/>
        </w:numPr>
      </w:pPr>
      <w:r w:rsidRPr="001C14FF">
        <w:t>Aleksandr Viktorovich VITKO</w:t>
      </w:r>
    </w:p>
    <w:p w14:paraId="54F5560C" w14:textId="77777777" w:rsidR="00BA2E9A" w:rsidRPr="001C14FF" w:rsidRDefault="00BA2E9A" w:rsidP="00BA2E9A">
      <w:pPr>
        <w:pStyle w:val="ListParagraph"/>
        <w:numPr>
          <w:ilvl w:val="0"/>
          <w:numId w:val="1"/>
        </w:numPr>
      </w:pPr>
      <w:r w:rsidRPr="001C14FF">
        <w:t xml:space="preserve">Serhiy Valeriyovich AKSYONOV </w:t>
      </w:r>
    </w:p>
    <w:p w14:paraId="1EA2DB54" w14:textId="2E84B73C" w:rsidR="00FA7EDB" w:rsidRPr="001C14FF" w:rsidRDefault="00BA2E9A" w:rsidP="00BF4130">
      <w:pPr>
        <w:pStyle w:val="ListParagraph"/>
        <w:numPr>
          <w:ilvl w:val="0"/>
          <w:numId w:val="1"/>
        </w:numPr>
      </w:pPr>
      <w:r w:rsidRPr="001C14FF">
        <w:t>Volodomyr Andriyovych KONSTANTYNOV</w:t>
      </w:r>
    </w:p>
    <w:p w14:paraId="347633B1" w14:textId="1E03AFCE" w:rsidR="00BA2E9A" w:rsidRPr="001C14FF" w:rsidRDefault="00BA2E9A" w:rsidP="00BF4130">
      <w:pPr>
        <w:pStyle w:val="ListParagraph"/>
        <w:numPr>
          <w:ilvl w:val="0"/>
          <w:numId w:val="1"/>
        </w:numPr>
      </w:pPr>
      <w:r w:rsidRPr="001C14FF">
        <w:t>Viktor Volodymyrovich MEDVEDCHUK</w:t>
      </w:r>
    </w:p>
    <w:p w14:paraId="1CE993AD" w14:textId="77777777" w:rsidR="00BA2E9A" w:rsidRPr="001C14FF" w:rsidRDefault="00BA2E9A" w:rsidP="00BA2E9A">
      <w:pPr>
        <w:pStyle w:val="ListParagraph"/>
        <w:numPr>
          <w:ilvl w:val="0"/>
          <w:numId w:val="1"/>
        </w:numPr>
      </w:pPr>
      <w:r w:rsidRPr="001C14FF">
        <w:t>Viktor Fedorovych YANUKOVYCH</w:t>
      </w:r>
    </w:p>
    <w:p w14:paraId="2C92A562" w14:textId="77777777" w:rsidR="00BA2E9A" w:rsidRPr="001C14FF" w:rsidRDefault="00BA2E9A" w:rsidP="00BA2E9A">
      <w:pPr>
        <w:pStyle w:val="ListParagraph"/>
        <w:numPr>
          <w:ilvl w:val="0"/>
          <w:numId w:val="1"/>
        </w:numPr>
      </w:pPr>
      <w:r w:rsidRPr="001C14FF">
        <w:t>Andrei Alexandrovich FURSENKO</w:t>
      </w:r>
    </w:p>
    <w:p w14:paraId="02B1D420" w14:textId="77777777" w:rsidR="00BA2E9A" w:rsidRPr="001C14FF" w:rsidRDefault="00BA2E9A" w:rsidP="00BA2E9A">
      <w:pPr>
        <w:pStyle w:val="ListParagraph"/>
        <w:numPr>
          <w:ilvl w:val="0"/>
          <w:numId w:val="1"/>
        </w:numPr>
      </w:pPr>
      <w:r w:rsidRPr="001C14FF">
        <w:t>Sergei Borisovich IVANOV</w:t>
      </w:r>
    </w:p>
    <w:p w14:paraId="34C55F80" w14:textId="77777777" w:rsidR="00BA2E9A" w:rsidRPr="001C14FF" w:rsidRDefault="00BA2E9A" w:rsidP="00BA2E9A">
      <w:pPr>
        <w:pStyle w:val="ListParagraph"/>
        <w:numPr>
          <w:ilvl w:val="0"/>
          <w:numId w:val="1"/>
        </w:numPr>
      </w:pPr>
      <w:r w:rsidRPr="001C14FF">
        <w:t>Yuri Valentinovich KOVALCHUK</w:t>
      </w:r>
    </w:p>
    <w:p w14:paraId="40963DA0" w14:textId="77777777" w:rsidR="001C14FF" w:rsidRPr="001C14FF" w:rsidRDefault="001C14FF" w:rsidP="001C14FF">
      <w:pPr>
        <w:pStyle w:val="ListParagraph"/>
        <w:numPr>
          <w:ilvl w:val="0"/>
          <w:numId w:val="1"/>
        </w:numPr>
      </w:pPr>
      <w:r w:rsidRPr="001C14FF">
        <w:t>Arkady Romanovich ROTENBERG</w:t>
      </w:r>
    </w:p>
    <w:p w14:paraId="0E7C301B" w14:textId="6AB62211" w:rsidR="00BA2E9A" w:rsidRPr="001C14FF" w:rsidRDefault="001C14FF" w:rsidP="00BF4130">
      <w:pPr>
        <w:pStyle w:val="ListParagraph"/>
        <w:numPr>
          <w:ilvl w:val="0"/>
          <w:numId w:val="1"/>
        </w:numPr>
      </w:pPr>
      <w:r w:rsidRPr="001C14FF">
        <w:t>Boris Romanovich ROTENBERG</w:t>
      </w:r>
    </w:p>
    <w:p w14:paraId="6845DF68" w14:textId="1F70D21C" w:rsidR="001C14FF" w:rsidRPr="001C14FF" w:rsidRDefault="001C14FF" w:rsidP="00BF4130">
      <w:pPr>
        <w:pStyle w:val="ListParagraph"/>
        <w:numPr>
          <w:ilvl w:val="0"/>
          <w:numId w:val="1"/>
        </w:numPr>
      </w:pPr>
      <w:r w:rsidRPr="001C14FF">
        <w:t>Gennady Nikolayevich TIMCHENKO</w:t>
      </w:r>
    </w:p>
    <w:p w14:paraId="463937BD" w14:textId="155F1CEA" w:rsidR="001C14FF" w:rsidRPr="001C14FF" w:rsidRDefault="001C14FF" w:rsidP="00BF4130">
      <w:pPr>
        <w:pStyle w:val="ListParagraph"/>
        <w:numPr>
          <w:ilvl w:val="0"/>
          <w:numId w:val="1"/>
        </w:numPr>
      </w:pPr>
      <w:r w:rsidRPr="001C14FF">
        <w:t>Vyacheslav Viktorovich VOLODIN</w:t>
      </w:r>
    </w:p>
    <w:p w14:paraId="7CE4EE4F" w14:textId="7D2DD9A1" w:rsidR="001C14FF" w:rsidRPr="001C14FF" w:rsidRDefault="001C14FF" w:rsidP="00BF4130">
      <w:pPr>
        <w:pStyle w:val="ListParagraph"/>
        <w:numPr>
          <w:ilvl w:val="0"/>
          <w:numId w:val="1"/>
        </w:numPr>
      </w:pPr>
      <w:r w:rsidRPr="001C14FF">
        <w:t>Vladimir Ivanovich YAKUNIN</w:t>
      </w:r>
    </w:p>
    <w:p w14:paraId="13F58C9C" w14:textId="7841B7FB" w:rsidR="001C14FF" w:rsidRPr="001C14FF" w:rsidRDefault="00480C36" w:rsidP="001C14FF">
      <w:pPr>
        <w:pStyle w:val="ListParagraph"/>
        <w:numPr>
          <w:ilvl w:val="0"/>
          <w:numId w:val="1"/>
        </w:numPr>
      </w:pPr>
      <w:r>
        <w:t>Oleg Yevgenyvich BELAVA</w:t>
      </w:r>
      <w:r w:rsidR="001C14FF" w:rsidRPr="001C14FF">
        <w:t>NTSEV</w:t>
      </w:r>
    </w:p>
    <w:p w14:paraId="6302F6E3" w14:textId="504B1911" w:rsidR="001C14FF" w:rsidRPr="001C14FF" w:rsidRDefault="001C14FF" w:rsidP="00BF4130">
      <w:pPr>
        <w:pStyle w:val="ListParagraph"/>
        <w:numPr>
          <w:ilvl w:val="0"/>
          <w:numId w:val="1"/>
        </w:numPr>
      </w:pPr>
      <w:r w:rsidRPr="001C14FF">
        <w:t>Vladimir Michailovich DZHABAROV</w:t>
      </w:r>
    </w:p>
    <w:p w14:paraId="6C0D88CD" w14:textId="112252D3" w:rsidR="001C14FF" w:rsidRPr="001C14FF" w:rsidRDefault="001C14FF" w:rsidP="00BF4130">
      <w:pPr>
        <w:pStyle w:val="ListParagraph"/>
        <w:numPr>
          <w:ilvl w:val="0"/>
          <w:numId w:val="1"/>
        </w:numPr>
      </w:pPr>
      <w:r w:rsidRPr="001C14FF">
        <w:t>Alexei Alexeyevich GROMOV</w:t>
      </w:r>
    </w:p>
    <w:p w14:paraId="6CD0130F" w14:textId="4A4FA3F3" w:rsidR="001C14FF" w:rsidRPr="001C14FF" w:rsidRDefault="001C14FF" w:rsidP="00BF4130">
      <w:pPr>
        <w:pStyle w:val="ListParagraph"/>
        <w:numPr>
          <w:ilvl w:val="0"/>
          <w:numId w:val="1"/>
        </w:numPr>
      </w:pPr>
      <w:r w:rsidRPr="001C14FF">
        <w:t>Olga Fedorovna KOVITIDI</w:t>
      </w:r>
    </w:p>
    <w:p w14:paraId="6C51739F" w14:textId="37A34965" w:rsidR="001C14FF" w:rsidRPr="001C14FF" w:rsidRDefault="001C14FF" w:rsidP="00BF4130">
      <w:pPr>
        <w:pStyle w:val="ListParagraph"/>
        <w:numPr>
          <w:ilvl w:val="0"/>
          <w:numId w:val="1"/>
        </w:numPr>
      </w:pPr>
      <w:r w:rsidRPr="001C14FF">
        <w:t>Dmitry Nikolayevich KOZAK</w:t>
      </w:r>
    </w:p>
    <w:p w14:paraId="41DDDD2D" w14:textId="77777777" w:rsidR="001C14FF" w:rsidRPr="001C14FF" w:rsidRDefault="001C14FF" w:rsidP="001C14FF">
      <w:pPr>
        <w:pStyle w:val="ListParagraph"/>
        <w:numPr>
          <w:ilvl w:val="0"/>
          <w:numId w:val="1"/>
        </w:numPr>
      </w:pPr>
      <w:r w:rsidRPr="001C14FF">
        <w:t>Vladimir Igorevich KOZHIN</w:t>
      </w:r>
    </w:p>
    <w:p w14:paraId="2FE1E106" w14:textId="77777777" w:rsidR="001C14FF" w:rsidRPr="001C14FF" w:rsidRDefault="001C14FF" w:rsidP="001C14FF">
      <w:pPr>
        <w:pStyle w:val="ListParagraph"/>
        <w:numPr>
          <w:ilvl w:val="0"/>
          <w:numId w:val="1"/>
        </w:numPr>
      </w:pPr>
      <w:r w:rsidRPr="001C14FF">
        <w:t>Sergei Mikhailovich MIRONOV</w:t>
      </w:r>
    </w:p>
    <w:p w14:paraId="0E437313" w14:textId="5E2A345C" w:rsidR="001C14FF" w:rsidRPr="001C14FF" w:rsidRDefault="001C14FF" w:rsidP="00BF4130">
      <w:pPr>
        <w:pStyle w:val="ListParagraph"/>
        <w:numPr>
          <w:ilvl w:val="0"/>
          <w:numId w:val="1"/>
        </w:numPr>
      </w:pPr>
      <w:r w:rsidRPr="001C14FF">
        <w:t>Sergey Yevgenyevich NARYSHKIN</w:t>
      </w:r>
    </w:p>
    <w:p w14:paraId="593C51CF" w14:textId="77777777" w:rsidR="001C14FF" w:rsidRPr="001C14FF" w:rsidRDefault="001C14FF" w:rsidP="001C14FF">
      <w:pPr>
        <w:pStyle w:val="ListParagraph"/>
        <w:numPr>
          <w:ilvl w:val="0"/>
          <w:numId w:val="1"/>
        </w:numPr>
      </w:pPr>
      <w:r w:rsidRPr="001C14FF">
        <w:t>Viktor Alekseevic OZEROV</w:t>
      </w:r>
    </w:p>
    <w:p w14:paraId="01C4DAB4" w14:textId="77777777" w:rsidR="001C14FF" w:rsidRPr="001C14FF" w:rsidRDefault="001C14FF" w:rsidP="001C14FF">
      <w:pPr>
        <w:pStyle w:val="ListParagraph"/>
        <w:numPr>
          <w:ilvl w:val="0"/>
          <w:numId w:val="1"/>
        </w:numPr>
      </w:pPr>
      <w:r w:rsidRPr="001C14FF">
        <w:lastRenderedPageBreak/>
        <w:t xml:space="preserve">Aleksei PUSHKOV </w:t>
      </w:r>
    </w:p>
    <w:p w14:paraId="28190355" w14:textId="3F06FB6F" w:rsidR="001C14FF" w:rsidRPr="001C14FF" w:rsidRDefault="001C14FF" w:rsidP="001C14FF">
      <w:pPr>
        <w:pStyle w:val="ListParagraph"/>
        <w:numPr>
          <w:ilvl w:val="0"/>
          <w:numId w:val="1"/>
        </w:numPr>
      </w:pPr>
      <w:r w:rsidRPr="001C14FF">
        <w:t>Nikolai Ivanovich RYZHKOV</w:t>
      </w:r>
    </w:p>
    <w:p w14:paraId="09C20F48" w14:textId="5B78063C" w:rsidR="001C14FF" w:rsidRPr="001C14FF" w:rsidRDefault="001C14FF" w:rsidP="001C14FF">
      <w:pPr>
        <w:pStyle w:val="ListParagraph"/>
        <w:numPr>
          <w:ilvl w:val="0"/>
          <w:numId w:val="1"/>
        </w:numPr>
      </w:pPr>
      <w:r w:rsidRPr="001C14FF">
        <w:t>Oleg Genrikhovich SAVELYEV</w:t>
      </w:r>
    </w:p>
    <w:p w14:paraId="350F47AB" w14:textId="77777777" w:rsidR="001C14FF" w:rsidRPr="001C14FF" w:rsidRDefault="001C14FF" w:rsidP="001C14FF">
      <w:pPr>
        <w:pStyle w:val="ListParagraph"/>
        <w:numPr>
          <w:ilvl w:val="0"/>
          <w:numId w:val="1"/>
        </w:numPr>
      </w:pPr>
      <w:r w:rsidRPr="001C14FF">
        <w:t>Aleksandr Borisovich TOTOONOV</w:t>
      </w:r>
    </w:p>
    <w:p w14:paraId="6AAFB914" w14:textId="77777777" w:rsidR="001C14FF" w:rsidRPr="001C14FF" w:rsidRDefault="001C14FF" w:rsidP="001C14FF">
      <w:pPr>
        <w:pStyle w:val="ListParagraph"/>
        <w:numPr>
          <w:ilvl w:val="0"/>
          <w:numId w:val="1"/>
        </w:numPr>
      </w:pPr>
      <w:r w:rsidRPr="001C14FF">
        <w:t>Sergei Vladimirovich ZHELEZNYAK</w:t>
      </w:r>
    </w:p>
    <w:p w14:paraId="759EDD2B" w14:textId="77777777" w:rsidR="001C14FF" w:rsidRPr="001C14FF" w:rsidRDefault="001C14FF" w:rsidP="001C14FF">
      <w:pPr>
        <w:pStyle w:val="ListParagraph"/>
        <w:numPr>
          <w:ilvl w:val="0"/>
          <w:numId w:val="1"/>
        </w:numPr>
      </w:pPr>
      <w:r w:rsidRPr="001C14FF">
        <w:t>Aleksei Mikhailovich CHALIY</w:t>
      </w:r>
    </w:p>
    <w:p w14:paraId="6EC43406" w14:textId="77777777" w:rsidR="001C14FF" w:rsidRPr="001C14FF" w:rsidRDefault="001C14FF" w:rsidP="001C14FF">
      <w:pPr>
        <w:pStyle w:val="ListParagraph"/>
        <w:numPr>
          <w:ilvl w:val="0"/>
          <w:numId w:val="1"/>
        </w:numPr>
      </w:pPr>
      <w:r w:rsidRPr="001C14FF">
        <w:t>Igor Vsevolodovich GIRKIN</w:t>
      </w:r>
    </w:p>
    <w:p w14:paraId="3286C293" w14:textId="77777777" w:rsidR="001C14FF" w:rsidRPr="001C14FF" w:rsidRDefault="001C14FF" w:rsidP="001C14FF">
      <w:pPr>
        <w:pStyle w:val="ListParagraph"/>
        <w:numPr>
          <w:ilvl w:val="0"/>
          <w:numId w:val="1"/>
        </w:numPr>
      </w:pPr>
      <w:r w:rsidRPr="001C14FF">
        <w:t>Mikhail Grigorevich MALYSHEV</w:t>
      </w:r>
    </w:p>
    <w:p w14:paraId="7328B34F" w14:textId="77777777" w:rsidR="001C14FF" w:rsidRPr="001C14FF" w:rsidRDefault="001C14FF" w:rsidP="001C14FF">
      <w:pPr>
        <w:pStyle w:val="ListParagraph"/>
        <w:numPr>
          <w:ilvl w:val="0"/>
          <w:numId w:val="1"/>
        </w:numPr>
      </w:pPr>
      <w:r w:rsidRPr="001C14FF">
        <w:t>Vyacheslav Vladimirovich PONOMARYOV</w:t>
      </w:r>
    </w:p>
    <w:p w14:paraId="067CBD8A" w14:textId="77777777" w:rsidR="001C14FF" w:rsidRPr="001C14FF" w:rsidRDefault="001C14FF" w:rsidP="001C14FF">
      <w:pPr>
        <w:pStyle w:val="ListParagraph"/>
        <w:numPr>
          <w:ilvl w:val="0"/>
          <w:numId w:val="1"/>
        </w:numPr>
      </w:pPr>
      <w:r w:rsidRPr="001C14FF">
        <w:t>Denis Vladimirovich PUSHILIN</w:t>
      </w:r>
    </w:p>
    <w:p w14:paraId="0AB69E76" w14:textId="77777777" w:rsidR="001C14FF" w:rsidRPr="001C14FF" w:rsidRDefault="001C14FF" w:rsidP="001C14FF">
      <w:pPr>
        <w:pStyle w:val="ListParagraph"/>
        <w:numPr>
          <w:ilvl w:val="0"/>
          <w:numId w:val="1"/>
        </w:numPr>
      </w:pPr>
      <w:r w:rsidRPr="001C14FF">
        <w:t xml:space="preserve">Rustam Ilmirovich TEMIRGALIEV </w:t>
      </w:r>
    </w:p>
    <w:p w14:paraId="49F91946" w14:textId="77777777" w:rsidR="001C14FF" w:rsidRPr="001C14FF" w:rsidRDefault="001C14FF" w:rsidP="001C14FF">
      <w:pPr>
        <w:pStyle w:val="ListParagraph"/>
        <w:numPr>
          <w:ilvl w:val="0"/>
          <w:numId w:val="1"/>
        </w:numPr>
      </w:pPr>
      <w:r w:rsidRPr="001C14FF">
        <w:t>Sergey Pavlovych TSEKOV</w:t>
      </w:r>
    </w:p>
    <w:p w14:paraId="4580CE4F" w14:textId="77777777" w:rsidR="001C14FF" w:rsidRPr="001C14FF" w:rsidRDefault="001C14FF" w:rsidP="001C14FF">
      <w:pPr>
        <w:pStyle w:val="ListParagraph"/>
        <w:numPr>
          <w:ilvl w:val="0"/>
          <w:numId w:val="1"/>
        </w:numPr>
      </w:pPr>
      <w:r w:rsidRPr="001C14FF">
        <w:t xml:space="preserve">Pyotr Anatoliyovych ZIMA  </w:t>
      </w:r>
    </w:p>
    <w:p w14:paraId="5F6C8D16" w14:textId="77777777" w:rsidR="001C14FF" w:rsidRPr="001C14FF" w:rsidRDefault="001C14FF" w:rsidP="001C14FF">
      <w:pPr>
        <w:pStyle w:val="ListParagraph"/>
        <w:numPr>
          <w:ilvl w:val="0"/>
          <w:numId w:val="1"/>
        </w:numPr>
      </w:pPr>
      <w:r w:rsidRPr="001C14FF">
        <w:t>Aleksandr Viktorovich GALKIN</w:t>
      </w:r>
    </w:p>
    <w:p w14:paraId="3E1760DD" w14:textId="77777777" w:rsidR="001C14FF" w:rsidRPr="001C14FF" w:rsidRDefault="001C14FF" w:rsidP="001C14FF">
      <w:pPr>
        <w:pStyle w:val="ListParagraph"/>
        <w:numPr>
          <w:ilvl w:val="0"/>
          <w:numId w:val="1"/>
        </w:numPr>
      </w:pPr>
      <w:r w:rsidRPr="001C14FF">
        <w:t>Anatoliy Alekseevich SIDOROV</w:t>
      </w:r>
    </w:p>
    <w:p w14:paraId="01F373AB" w14:textId="77777777" w:rsidR="001C14FF" w:rsidRPr="001C14FF" w:rsidRDefault="001C14FF" w:rsidP="001C14FF">
      <w:pPr>
        <w:pStyle w:val="ListParagraph"/>
        <w:numPr>
          <w:ilvl w:val="0"/>
          <w:numId w:val="1"/>
        </w:numPr>
      </w:pPr>
      <w:r w:rsidRPr="001C14FF">
        <w:t>Deniz Valentinovich BEREZOVSKIY</w:t>
      </w:r>
    </w:p>
    <w:p w14:paraId="21E9B8F1" w14:textId="77777777" w:rsidR="001C14FF" w:rsidRPr="001C14FF" w:rsidRDefault="001C14FF" w:rsidP="001C14FF">
      <w:pPr>
        <w:pStyle w:val="ListParagraph"/>
        <w:numPr>
          <w:ilvl w:val="0"/>
          <w:numId w:val="1"/>
        </w:numPr>
      </w:pPr>
      <w:r w:rsidRPr="001C14FF">
        <w:t xml:space="preserve">Vladimir Vasilyevich USTINOV    </w:t>
      </w:r>
    </w:p>
    <w:p w14:paraId="362E1914" w14:textId="77777777" w:rsidR="001C14FF" w:rsidRPr="001C14FF" w:rsidRDefault="001C14FF" w:rsidP="001C14FF">
      <w:pPr>
        <w:pStyle w:val="ListParagraph"/>
        <w:numPr>
          <w:ilvl w:val="0"/>
          <w:numId w:val="1"/>
        </w:numPr>
      </w:pPr>
      <w:r w:rsidRPr="001C14FF">
        <w:t>Dmitry Vladimirovich OVSYANNIKOV</w:t>
      </w:r>
    </w:p>
    <w:p w14:paraId="7E49C9CB" w14:textId="77777777" w:rsidR="001C14FF" w:rsidRPr="001C14FF" w:rsidRDefault="001C14FF" w:rsidP="001C14FF">
      <w:pPr>
        <w:pStyle w:val="ListParagraph"/>
        <w:numPr>
          <w:ilvl w:val="0"/>
          <w:numId w:val="1"/>
        </w:numPr>
      </w:pPr>
      <w:r w:rsidRPr="001C14FF">
        <w:t>Colonel-General Alexander DVORNIKOV</w:t>
      </w:r>
    </w:p>
    <w:p w14:paraId="1CA54EA8" w14:textId="0FB0B135" w:rsidR="001C14FF" w:rsidRPr="001C14FF" w:rsidRDefault="001C14FF" w:rsidP="001C14FF">
      <w:pPr>
        <w:pStyle w:val="ListParagraph"/>
        <w:numPr>
          <w:ilvl w:val="0"/>
          <w:numId w:val="1"/>
        </w:numPr>
      </w:pPr>
      <w:r w:rsidRPr="001C14FF">
        <w:t>Colonel-General Andrei KARTAPOLOV</w:t>
      </w:r>
    </w:p>
    <w:p w14:paraId="3D63B4D1" w14:textId="59538EAA" w:rsidR="00BF4130" w:rsidRPr="00BF4130" w:rsidRDefault="00BF4130" w:rsidP="00BF4130">
      <w:pPr>
        <w:spacing w:before="240"/>
        <w:rPr>
          <w:bCs/>
          <w:highlight w:val="yellow"/>
        </w:rPr>
      </w:pPr>
      <w:r>
        <w:t xml:space="preserve">The designations and declarations are continued on the basis that each person meets </w:t>
      </w:r>
      <w:r w:rsidRPr="006E7A02">
        <w:t>the criter</w:t>
      </w:r>
      <w:r>
        <w:t xml:space="preserve">ia </w:t>
      </w:r>
      <w:r w:rsidRPr="006E7A02">
        <w:t xml:space="preserve">in </w:t>
      </w:r>
      <w:r>
        <w:t>i</w:t>
      </w:r>
      <w:r w:rsidRPr="006E7A02">
        <w:t xml:space="preserve">tem </w:t>
      </w:r>
      <w:r>
        <w:t xml:space="preserve">9 </w:t>
      </w:r>
      <w:r w:rsidRPr="006E7A02">
        <w:t xml:space="preserve">of the table in </w:t>
      </w:r>
      <w:r>
        <w:t>sub</w:t>
      </w:r>
      <w:r w:rsidRPr="006E7A02">
        <w:t>regulation 6</w:t>
      </w:r>
      <w:r>
        <w:t>(1) of the Regulations</w:t>
      </w:r>
      <w:r w:rsidR="00A72C97">
        <w:t>;</w:t>
      </w:r>
      <w:r w:rsidRPr="006E7A02">
        <w:t xml:space="preserve"> that is, </w:t>
      </w:r>
      <w:r>
        <w:t xml:space="preserve">they are a person </w:t>
      </w:r>
      <w:r w:rsidRPr="006E7A02">
        <w:t>t</w:t>
      </w:r>
      <w:r>
        <w:t>hat the Minister is satisfied</w:t>
      </w:r>
      <w:r w:rsidRPr="006E7A02">
        <w:t xml:space="preserve"> is</w:t>
      </w:r>
      <w:r>
        <w:t xml:space="preserve"> responsible for, or complicit in, the threat to the sovereignty and territorial integrity of Ukraine.</w:t>
      </w:r>
    </w:p>
    <w:p w14:paraId="351C911D" w14:textId="77777777" w:rsidR="00BF4130" w:rsidRDefault="00BF4130" w:rsidP="00BF4130">
      <w:pPr>
        <w:autoSpaceDE w:val="0"/>
        <w:autoSpaceDN w:val="0"/>
        <w:adjustRightInd w:val="0"/>
      </w:pPr>
    </w:p>
    <w:p w14:paraId="23F7E18D" w14:textId="77777777" w:rsidR="00BF4130" w:rsidRPr="00ED1E52" w:rsidRDefault="00BF4130" w:rsidP="00BF4130">
      <w:pPr>
        <w:autoSpaceDE w:val="0"/>
        <w:autoSpaceDN w:val="0"/>
        <w:adjustRightInd w:val="0"/>
        <w:rPr>
          <w:u w:val="single"/>
        </w:rPr>
      </w:pPr>
      <w:r w:rsidRPr="00ED1E52">
        <w:rPr>
          <w:u w:val="single"/>
        </w:rPr>
        <w:t>Section 5</w:t>
      </w:r>
    </w:p>
    <w:p w14:paraId="021A6E85" w14:textId="25AAFD9F" w:rsidR="00BF4130" w:rsidRDefault="00BF4130" w:rsidP="00BF4130">
      <w:r>
        <w:t xml:space="preserve">Section 5 contains the Minister’s declaration under subregulation 9(3) of the Regulations that the designation of the following entities listed in </w:t>
      </w:r>
      <w:r w:rsidRPr="00190084">
        <w:t xml:space="preserve">Schedule </w:t>
      </w:r>
      <w:r w:rsidR="00EA53F3" w:rsidRPr="00190084">
        <w:t>2</w:t>
      </w:r>
      <w:r w:rsidRPr="00190084">
        <w:t xml:space="preserve"> of the Declaration,</w:t>
      </w:r>
      <w:r>
        <w:t xml:space="preserve"> and who appear in the </w:t>
      </w:r>
      <w:r w:rsidR="00480C36" w:rsidRPr="00480C36">
        <w:t>2014 List</w:t>
      </w:r>
      <w:r>
        <w:t>, continue to have effect:</w:t>
      </w:r>
    </w:p>
    <w:p w14:paraId="7AAF9C4B" w14:textId="77777777" w:rsidR="001C14FF" w:rsidRPr="001C14FF" w:rsidRDefault="001C14FF" w:rsidP="001C14FF">
      <w:pPr>
        <w:pStyle w:val="ListParagraph"/>
        <w:numPr>
          <w:ilvl w:val="0"/>
          <w:numId w:val="1"/>
        </w:numPr>
      </w:pPr>
      <w:r w:rsidRPr="001C14FF">
        <w:t>Bank Rossiya</w:t>
      </w:r>
    </w:p>
    <w:p w14:paraId="39FB70CB" w14:textId="77777777" w:rsidR="001C14FF" w:rsidRPr="001C14FF" w:rsidRDefault="001C14FF" w:rsidP="001C14FF">
      <w:pPr>
        <w:pStyle w:val="ListParagraph"/>
        <w:numPr>
          <w:ilvl w:val="0"/>
          <w:numId w:val="1"/>
        </w:numPr>
      </w:pPr>
      <w:r w:rsidRPr="001C14FF">
        <w:t>Invest Capital Bank</w:t>
      </w:r>
    </w:p>
    <w:p w14:paraId="66D1D45B" w14:textId="77777777" w:rsidR="001C14FF" w:rsidRPr="001C14FF" w:rsidRDefault="001C14FF" w:rsidP="001C14FF">
      <w:pPr>
        <w:pStyle w:val="ListParagraph"/>
        <w:numPr>
          <w:ilvl w:val="0"/>
          <w:numId w:val="1"/>
        </w:numPr>
      </w:pPr>
      <w:r w:rsidRPr="001C14FF">
        <w:t>SMP Bank</w:t>
      </w:r>
    </w:p>
    <w:p w14:paraId="7070A02D" w14:textId="77777777" w:rsidR="001C14FF" w:rsidRPr="001C14FF" w:rsidRDefault="001C14FF" w:rsidP="001C14FF">
      <w:pPr>
        <w:pStyle w:val="ListParagraph"/>
        <w:numPr>
          <w:ilvl w:val="0"/>
          <w:numId w:val="1"/>
        </w:numPr>
      </w:pPr>
      <w:r w:rsidRPr="001C14FF">
        <w:t>Stroygazmontazh</w:t>
      </w:r>
    </w:p>
    <w:p w14:paraId="572504EC" w14:textId="77777777" w:rsidR="001C14FF" w:rsidRPr="001C14FF" w:rsidRDefault="001C14FF" w:rsidP="001C14FF">
      <w:pPr>
        <w:pStyle w:val="ListParagraph"/>
        <w:numPr>
          <w:ilvl w:val="0"/>
          <w:numId w:val="1"/>
        </w:numPr>
      </w:pPr>
      <w:r w:rsidRPr="001C14FF">
        <w:t>Aquanika</w:t>
      </w:r>
    </w:p>
    <w:p w14:paraId="57B1C8CC" w14:textId="77777777" w:rsidR="001C14FF" w:rsidRPr="001C14FF" w:rsidRDefault="001C14FF" w:rsidP="001C14FF">
      <w:pPr>
        <w:pStyle w:val="ListParagraph"/>
        <w:numPr>
          <w:ilvl w:val="0"/>
          <w:numId w:val="1"/>
        </w:numPr>
      </w:pPr>
      <w:r w:rsidRPr="001C14FF">
        <w:t>Avia Group LLC</w:t>
      </w:r>
    </w:p>
    <w:p w14:paraId="79478AEC" w14:textId="77777777" w:rsidR="001C14FF" w:rsidRPr="001C14FF" w:rsidRDefault="001C14FF" w:rsidP="001C14FF">
      <w:pPr>
        <w:pStyle w:val="ListParagraph"/>
        <w:numPr>
          <w:ilvl w:val="0"/>
          <w:numId w:val="1"/>
        </w:numPr>
      </w:pPr>
      <w:r w:rsidRPr="001C14FF">
        <w:t>Avia Group Nord LLC</w:t>
      </w:r>
    </w:p>
    <w:p w14:paraId="2120F8B3" w14:textId="77777777" w:rsidR="001C14FF" w:rsidRPr="001C14FF" w:rsidRDefault="001C14FF" w:rsidP="001C14FF">
      <w:pPr>
        <w:pStyle w:val="ListParagraph"/>
        <w:numPr>
          <w:ilvl w:val="0"/>
          <w:numId w:val="1"/>
        </w:numPr>
      </w:pPr>
      <w:r w:rsidRPr="001C14FF">
        <w:t>Stroytransgaz Group</w:t>
      </w:r>
    </w:p>
    <w:p w14:paraId="234E8DA2" w14:textId="77777777" w:rsidR="001C14FF" w:rsidRPr="001C14FF" w:rsidRDefault="001C14FF" w:rsidP="001C14FF">
      <w:pPr>
        <w:pStyle w:val="ListParagraph"/>
        <w:numPr>
          <w:ilvl w:val="0"/>
          <w:numId w:val="1"/>
        </w:numPr>
      </w:pPr>
      <w:r w:rsidRPr="001C14FF">
        <w:t>The Volga Group</w:t>
      </w:r>
    </w:p>
    <w:p w14:paraId="55624B34" w14:textId="77777777" w:rsidR="001C14FF" w:rsidRPr="001C14FF" w:rsidRDefault="001C14FF" w:rsidP="001C14FF">
      <w:pPr>
        <w:pStyle w:val="ListParagraph"/>
        <w:numPr>
          <w:ilvl w:val="0"/>
          <w:numId w:val="1"/>
        </w:numPr>
      </w:pPr>
      <w:r w:rsidRPr="001C14FF">
        <w:t>Transoil</w:t>
      </w:r>
    </w:p>
    <w:p w14:paraId="2B5F5132" w14:textId="6260C974" w:rsidR="00EA53F3" w:rsidRDefault="001C14FF" w:rsidP="00EA53F3">
      <w:pPr>
        <w:pStyle w:val="ListParagraph"/>
        <w:numPr>
          <w:ilvl w:val="0"/>
          <w:numId w:val="1"/>
        </w:numPr>
      </w:pPr>
      <w:r w:rsidRPr="001C14FF">
        <w:t>Chernomorneftegaz</w:t>
      </w:r>
    </w:p>
    <w:p w14:paraId="3BD10D7A" w14:textId="77777777" w:rsidR="00EA53F3" w:rsidRDefault="00EA53F3" w:rsidP="00BF4130"/>
    <w:p w14:paraId="774A6CCF" w14:textId="7594F49C" w:rsidR="00EA53F3" w:rsidRDefault="00EA53F3" w:rsidP="00BF4130">
      <w:pPr>
        <w:rPr>
          <w:i/>
        </w:rPr>
      </w:pPr>
      <w:r>
        <w:t xml:space="preserve">The designations are continued on the basis that each entity meets </w:t>
      </w:r>
      <w:r w:rsidRPr="006E7A02">
        <w:t>the criter</w:t>
      </w:r>
      <w:r>
        <w:t>ia</w:t>
      </w:r>
      <w:r w:rsidRPr="006E7A02">
        <w:t xml:space="preserve"> in </w:t>
      </w:r>
      <w:r>
        <w:t>i</w:t>
      </w:r>
      <w:r w:rsidRPr="006E7A02">
        <w:t xml:space="preserve">tem </w:t>
      </w:r>
      <w:r>
        <w:t xml:space="preserve">9 </w:t>
      </w:r>
      <w:r w:rsidRPr="006E7A02">
        <w:t xml:space="preserve">of the table in </w:t>
      </w:r>
      <w:r>
        <w:t>sub</w:t>
      </w:r>
      <w:r w:rsidRPr="006E7A02">
        <w:t>regulation 6</w:t>
      </w:r>
      <w:r>
        <w:t>(1) of the Regulations</w:t>
      </w:r>
      <w:r w:rsidRPr="006E7A02">
        <w:t>;</w:t>
      </w:r>
      <w:r>
        <w:t xml:space="preserve"> </w:t>
      </w:r>
      <w:r w:rsidRPr="006E7A02">
        <w:t xml:space="preserve">that is, </w:t>
      </w:r>
      <w:r>
        <w:t xml:space="preserve">they are </w:t>
      </w:r>
      <w:r w:rsidR="00480C36">
        <w:t>an entity</w:t>
      </w:r>
      <w:r>
        <w:t xml:space="preserve"> </w:t>
      </w:r>
      <w:r w:rsidRPr="006E7A02">
        <w:t>t</w:t>
      </w:r>
      <w:r>
        <w:t>hat the Minister is satisfied</w:t>
      </w:r>
      <w:r w:rsidRPr="006E7A02">
        <w:t xml:space="preserve"> is</w:t>
      </w:r>
      <w:r>
        <w:t xml:space="preserve"> responsible for, or complicit in, the threat to the sovereignty and territorial integrity of Ukraine.</w:t>
      </w:r>
    </w:p>
    <w:p w14:paraId="71B4FE94" w14:textId="77BD0238" w:rsidR="00EA53F3" w:rsidRDefault="00EA53F3" w:rsidP="00BF4130">
      <w:pPr>
        <w:rPr>
          <w:i/>
        </w:rPr>
      </w:pPr>
    </w:p>
    <w:p w14:paraId="37E8F8BC" w14:textId="02AE3F09" w:rsidR="00EA53F3" w:rsidRPr="00042748" w:rsidRDefault="00EA53F3" w:rsidP="00BF4130">
      <w:pPr>
        <w:rPr>
          <w:u w:val="single"/>
        </w:rPr>
      </w:pPr>
      <w:r w:rsidRPr="00042748">
        <w:rPr>
          <w:u w:val="single"/>
        </w:rPr>
        <w:t>Section 6</w:t>
      </w:r>
    </w:p>
    <w:p w14:paraId="27CBB01C" w14:textId="6E78F13E" w:rsidR="00AD0F85" w:rsidRDefault="00AD0F85" w:rsidP="00AD0F85">
      <w:r>
        <w:t>Section 6 contains the Minister’s revocation of the designations and declarations</w:t>
      </w:r>
      <w:r w:rsidR="00E1561C">
        <w:t xml:space="preserve"> of Evgeni Viktorovich Bushmin and</w:t>
      </w:r>
      <w:r w:rsidR="00E1561C" w:rsidRPr="00E1561C">
        <w:t xml:space="preserve"> </w:t>
      </w:r>
      <w:r w:rsidR="00E1561C">
        <w:t xml:space="preserve">Valery Kirillovich Medvedev, </w:t>
      </w:r>
      <w:r w:rsidR="00A72C97">
        <w:t xml:space="preserve">who are </w:t>
      </w:r>
      <w:r w:rsidR="00E1561C">
        <w:t>deceased.</w:t>
      </w:r>
    </w:p>
    <w:p w14:paraId="2310482E" w14:textId="1D18B309" w:rsidR="00EA53F3" w:rsidRDefault="00EA53F3" w:rsidP="00BF4130">
      <w:pPr>
        <w:rPr>
          <w:i/>
        </w:rPr>
      </w:pPr>
    </w:p>
    <w:p w14:paraId="25A5E656" w14:textId="422E8BFF" w:rsidR="00EA53F3" w:rsidRPr="00042748" w:rsidRDefault="00EA53F3" w:rsidP="00BF4130">
      <w:pPr>
        <w:rPr>
          <w:u w:val="single"/>
        </w:rPr>
      </w:pPr>
      <w:r w:rsidRPr="00042748">
        <w:rPr>
          <w:u w:val="single"/>
        </w:rPr>
        <w:t>Section 7</w:t>
      </w:r>
    </w:p>
    <w:p w14:paraId="0EBD8BA8" w14:textId="72CE409E" w:rsidR="00EA53F3" w:rsidRDefault="00EA53F3" w:rsidP="00BF4130">
      <w:pPr>
        <w:rPr>
          <w:i/>
        </w:rPr>
      </w:pPr>
      <w:r w:rsidRPr="00EA53F3">
        <w:t xml:space="preserve">Section 7 provides that Schedule 4 of the Declaration amends the </w:t>
      </w:r>
      <w:r w:rsidR="00480C36" w:rsidRPr="00480C36">
        <w:t>2014 List</w:t>
      </w:r>
      <w:r>
        <w:rPr>
          <w:i/>
        </w:rPr>
        <w:t xml:space="preserve">. </w:t>
      </w:r>
    </w:p>
    <w:p w14:paraId="464E3E94" w14:textId="77777777" w:rsidR="00EA53F3" w:rsidRDefault="00EA53F3" w:rsidP="00BF4130">
      <w:pPr>
        <w:rPr>
          <w:i/>
        </w:rPr>
      </w:pPr>
    </w:p>
    <w:p w14:paraId="2C4CAE82" w14:textId="77777777" w:rsidR="00BF4130" w:rsidRPr="002735EE" w:rsidRDefault="00BF4130" w:rsidP="00BF4130">
      <w:pPr>
        <w:rPr>
          <w:u w:val="single"/>
        </w:rPr>
      </w:pPr>
      <w:r w:rsidRPr="002735EE">
        <w:rPr>
          <w:u w:val="single"/>
        </w:rPr>
        <w:t>Schedule 1</w:t>
      </w:r>
    </w:p>
    <w:p w14:paraId="14CF7185" w14:textId="6B387274" w:rsidR="00BF4130" w:rsidRDefault="00EA53F3" w:rsidP="00BF4130">
      <w:r w:rsidRPr="005427A8">
        <w:t xml:space="preserve">Schedule </w:t>
      </w:r>
      <w:r>
        <w:t xml:space="preserve">1 </w:t>
      </w:r>
      <w:r w:rsidRPr="005427A8">
        <w:t>lists the persons declared by the Minister for</w:t>
      </w:r>
      <w:r>
        <w:t xml:space="preserve"> the continuation of</w:t>
      </w:r>
      <w:r w:rsidRPr="005427A8">
        <w:t xml:space="preserve"> targeted financial sanctions and travel bans as per sect</w:t>
      </w:r>
      <w:r>
        <w:t>ion</w:t>
      </w:r>
      <w:r w:rsidRPr="005427A8">
        <w:t xml:space="preserve"> </w:t>
      </w:r>
      <w:r w:rsidRPr="0038715E">
        <w:t>4</w:t>
      </w:r>
      <w:r w:rsidRPr="005427A8">
        <w:t xml:space="preserve"> of the </w:t>
      </w:r>
      <w:r>
        <w:t>Declaration</w:t>
      </w:r>
      <w:r w:rsidR="00480C36">
        <w:t>.</w:t>
      </w:r>
    </w:p>
    <w:p w14:paraId="7542A8F2" w14:textId="77777777" w:rsidR="00BF4130" w:rsidRDefault="00BF4130" w:rsidP="00BF4130">
      <w:pPr>
        <w:rPr>
          <w:i/>
        </w:rPr>
      </w:pPr>
    </w:p>
    <w:p w14:paraId="19583D82" w14:textId="77777777" w:rsidR="00BF4130" w:rsidRPr="002735EE" w:rsidRDefault="00BF4130" w:rsidP="00BF4130">
      <w:pPr>
        <w:rPr>
          <w:u w:val="single"/>
        </w:rPr>
      </w:pPr>
      <w:r w:rsidRPr="002735EE">
        <w:rPr>
          <w:u w:val="single"/>
        </w:rPr>
        <w:t>Schedule 2</w:t>
      </w:r>
    </w:p>
    <w:p w14:paraId="6CB38AFC" w14:textId="37C09651" w:rsidR="00EA53F3" w:rsidRDefault="00EA53F3" w:rsidP="00BF4130">
      <w:r w:rsidRPr="005427A8">
        <w:t xml:space="preserve">Schedule </w:t>
      </w:r>
      <w:r>
        <w:t xml:space="preserve">2 </w:t>
      </w:r>
      <w:r w:rsidRPr="005427A8">
        <w:t>lists the entities declared by the Minister for</w:t>
      </w:r>
      <w:r>
        <w:t xml:space="preserve"> the continuation of</w:t>
      </w:r>
      <w:r w:rsidRPr="005427A8">
        <w:t xml:space="preserve"> targeted financial sanctions as per sect</w:t>
      </w:r>
      <w:r>
        <w:t>ion</w:t>
      </w:r>
      <w:r w:rsidRPr="005427A8">
        <w:t xml:space="preserve"> </w:t>
      </w:r>
      <w:r>
        <w:t>5</w:t>
      </w:r>
      <w:r w:rsidRPr="005427A8">
        <w:t xml:space="preserve"> of the </w:t>
      </w:r>
      <w:r>
        <w:t>Declaration.</w:t>
      </w:r>
    </w:p>
    <w:p w14:paraId="2C8B73AF" w14:textId="77777777" w:rsidR="00EA53F3" w:rsidRDefault="00EA53F3" w:rsidP="00BF4130"/>
    <w:p w14:paraId="322FD775" w14:textId="23496948" w:rsidR="00EA53F3" w:rsidRPr="00190084" w:rsidRDefault="00EA53F3" w:rsidP="00BF4130">
      <w:pPr>
        <w:rPr>
          <w:u w:val="single"/>
        </w:rPr>
      </w:pPr>
      <w:r w:rsidRPr="00190084">
        <w:rPr>
          <w:u w:val="single"/>
        </w:rPr>
        <w:t>Schedule 3</w:t>
      </w:r>
    </w:p>
    <w:p w14:paraId="5258A301" w14:textId="48006F05" w:rsidR="00EA53F3" w:rsidRDefault="00AD0F85" w:rsidP="00BF4130">
      <w:r w:rsidRPr="005427A8">
        <w:t>Schedule 3 lists the persons whose design</w:t>
      </w:r>
      <w:r>
        <w:t xml:space="preserve">ations and </w:t>
      </w:r>
      <w:r w:rsidRPr="005427A8">
        <w:t xml:space="preserve">declarations </w:t>
      </w:r>
      <w:r>
        <w:t>were</w:t>
      </w:r>
      <w:r w:rsidRPr="005427A8">
        <w:t xml:space="preserve"> revoked by the Minister </w:t>
      </w:r>
      <w:r>
        <w:t>as per</w:t>
      </w:r>
      <w:r w:rsidRPr="005427A8">
        <w:t xml:space="preserve"> </w:t>
      </w:r>
      <w:r>
        <w:t>section 6</w:t>
      </w:r>
      <w:r w:rsidRPr="005427A8">
        <w:t xml:space="preserve"> of the </w:t>
      </w:r>
      <w:r>
        <w:t>Declaration.</w:t>
      </w:r>
    </w:p>
    <w:p w14:paraId="107B0EB5" w14:textId="41AAD348" w:rsidR="00EA53F3" w:rsidRDefault="00EA53F3" w:rsidP="00BF4130"/>
    <w:p w14:paraId="51785662" w14:textId="636C483F" w:rsidR="00EA53F3" w:rsidRPr="00190084" w:rsidRDefault="00EA53F3" w:rsidP="00BF4130">
      <w:pPr>
        <w:rPr>
          <w:u w:val="single"/>
        </w:rPr>
      </w:pPr>
      <w:r w:rsidRPr="00190084">
        <w:rPr>
          <w:u w:val="single"/>
        </w:rPr>
        <w:t>Schedule 4</w:t>
      </w:r>
    </w:p>
    <w:p w14:paraId="34900F63" w14:textId="6F8BB556" w:rsidR="00EA53F3" w:rsidRDefault="00EA53F3" w:rsidP="00EA53F3">
      <w:pPr>
        <w:rPr>
          <w:highlight w:val="yellow"/>
        </w:rPr>
      </w:pPr>
      <w:r w:rsidRPr="005427A8">
        <w:t xml:space="preserve">Schedule </w:t>
      </w:r>
      <w:r>
        <w:t xml:space="preserve">4 amends the </w:t>
      </w:r>
      <w:r w:rsidR="00480C36" w:rsidRPr="00480C36">
        <w:t>2014 List</w:t>
      </w:r>
      <w:r w:rsidRPr="005427A8">
        <w:t xml:space="preserve"> </w:t>
      </w:r>
      <w:r w:rsidRPr="007E652C">
        <w:t xml:space="preserve">to update the </w:t>
      </w:r>
      <w:r w:rsidR="00ED39CF" w:rsidRPr="007E652C">
        <w:t xml:space="preserve">identifying information of the </w:t>
      </w:r>
      <w:r w:rsidRPr="007E652C">
        <w:t>designations</w:t>
      </w:r>
      <w:r w:rsidR="00480C36">
        <w:t xml:space="preserve"> and </w:t>
      </w:r>
      <w:r w:rsidR="0092146E">
        <w:t>declarations</w:t>
      </w:r>
      <w:r w:rsidRPr="007E652C">
        <w:t xml:space="preserve"> that are continu</w:t>
      </w:r>
      <w:r w:rsidR="00ED39CF" w:rsidRPr="007E652C">
        <w:t xml:space="preserve">ed in effect </w:t>
      </w:r>
      <w:r w:rsidR="00480C36">
        <w:t>by this i</w:t>
      </w:r>
      <w:r w:rsidR="00ED39CF" w:rsidRPr="007E652C">
        <w:t>nstrument.</w:t>
      </w:r>
      <w:r w:rsidR="00BA40F9">
        <w:t xml:space="preserve"> It also removes </w:t>
      </w:r>
      <w:r w:rsidR="00FA7EDB">
        <w:t xml:space="preserve">the listings of persons whose </w:t>
      </w:r>
      <w:r w:rsidR="00BA40F9">
        <w:t xml:space="preserve">designations </w:t>
      </w:r>
      <w:r w:rsidR="00FA7EDB">
        <w:t>and declarations were revoked by the Minister as per section 6 of the Declaration</w:t>
      </w:r>
      <w:r w:rsidR="00A72C97" w:rsidRPr="00A72C97">
        <w:t xml:space="preserve"> </w:t>
      </w:r>
      <w:r w:rsidR="00A72C97">
        <w:t xml:space="preserve">from the </w:t>
      </w:r>
      <w:r w:rsidR="00A72C97" w:rsidRPr="00480C36">
        <w:t>2014 List</w:t>
      </w:r>
      <w:r w:rsidR="00BA40F9">
        <w:t xml:space="preserve">. </w:t>
      </w:r>
    </w:p>
    <w:p w14:paraId="53BB6B3F" w14:textId="7970279A" w:rsidR="00ED39CF" w:rsidRDefault="00ED39CF" w:rsidP="00EA53F3">
      <w:pPr>
        <w:rPr>
          <w:highlight w:val="yellow"/>
        </w:rPr>
      </w:pPr>
    </w:p>
    <w:p w14:paraId="5EAC3016" w14:textId="29BFD9DA" w:rsidR="00ED39CF" w:rsidRPr="00190084" w:rsidRDefault="00BA40F9" w:rsidP="00EA53F3">
      <w:r w:rsidRPr="00190084">
        <w:t>Items 1,</w:t>
      </w:r>
      <w:r w:rsidR="00480C36">
        <w:t xml:space="preserve"> 3, 5 and 6 in Schedule 4 amend</w:t>
      </w:r>
      <w:r w:rsidRPr="00190084">
        <w:t xml:space="preserve"> the </w:t>
      </w:r>
      <w:r w:rsidR="00ED39CF" w:rsidRPr="00190084">
        <w:t xml:space="preserve">entries of the persons listed in following items in </w:t>
      </w:r>
      <w:r w:rsidRPr="00190084">
        <w:t xml:space="preserve">Part 1 of Schedule 1 of </w:t>
      </w:r>
      <w:r w:rsidR="00ED39CF" w:rsidRPr="00190084">
        <w:t xml:space="preserve">the </w:t>
      </w:r>
      <w:r w:rsidR="00480C36" w:rsidRPr="00480C36">
        <w:t>2014 List</w:t>
      </w:r>
      <w:r w:rsidR="00ED39CF" w:rsidRPr="00190084">
        <w:t xml:space="preserve"> to:</w:t>
      </w:r>
    </w:p>
    <w:p w14:paraId="15AB27FA" w14:textId="45A473E7" w:rsidR="00EA53F3" w:rsidRPr="00190084" w:rsidRDefault="00ED39CF" w:rsidP="007E652C">
      <w:pPr>
        <w:pStyle w:val="ListParagraph"/>
        <w:numPr>
          <w:ilvl w:val="0"/>
          <w:numId w:val="8"/>
        </w:numPr>
      </w:pPr>
      <w:r w:rsidRPr="00190084">
        <w:t xml:space="preserve">include a place of birth </w:t>
      </w:r>
      <w:r w:rsidR="00480C36">
        <w:t xml:space="preserve">and an alias </w:t>
      </w:r>
      <w:r w:rsidRPr="00190084">
        <w:t xml:space="preserve">for </w:t>
      </w:r>
      <w:r w:rsidR="00820D34" w:rsidRPr="00190084">
        <w:t xml:space="preserve">the persons mentioned in </w:t>
      </w:r>
      <w:r w:rsidRPr="00190084">
        <w:t xml:space="preserve">items </w:t>
      </w:r>
      <w:r w:rsidR="00480C36">
        <w:t>1-21, 23-38, 40-47 and 108-111</w:t>
      </w:r>
      <w:r w:rsidR="00BA40F9" w:rsidRPr="00190084">
        <w:t>;</w:t>
      </w:r>
    </w:p>
    <w:p w14:paraId="6AC04208" w14:textId="7049CB2F" w:rsidR="00480C36" w:rsidRDefault="00820D34" w:rsidP="007E652C">
      <w:pPr>
        <w:pStyle w:val="ListParagraph"/>
        <w:numPr>
          <w:ilvl w:val="0"/>
          <w:numId w:val="8"/>
        </w:numPr>
      </w:pPr>
      <w:r w:rsidRPr="00190084">
        <w:t xml:space="preserve">include additional information about the persons mentioned in items </w:t>
      </w:r>
      <w:r w:rsidR="00480C36">
        <w:t>1, 3-5, 7-11, 15-17, 19-21, 24-34, 36-38, 40-43, 47, 109-111.</w:t>
      </w:r>
    </w:p>
    <w:p w14:paraId="64702BB7" w14:textId="3AB109FE" w:rsidR="00EA53F3" w:rsidRDefault="00EA53F3" w:rsidP="00BF4130"/>
    <w:p w14:paraId="34D930FD" w14:textId="5DB8A558" w:rsidR="00BA40F9" w:rsidRPr="00FA7EDB" w:rsidRDefault="00BA40F9" w:rsidP="00BF4130">
      <w:r>
        <w:t xml:space="preserve">Items 2 and 4 </w:t>
      </w:r>
      <w:r w:rsidR="00FA7EDB">
        <w:t xml:space="preserve">in Schedule 4 remove from Part 1 of Schedule 1 of the </w:t>
      </w:r>
      <w:r w:rsidR="00480C36" w:rsidRPr="00480C36">
        <w:t>2014 List</w:t>
      </w:r>
      <w:r w:rsidR="00FA7EDB">
        <w:rPr>
          <w:i/>
        </w:rPr>
        <w:t xml:space="preserve"> </w:t>
      </w:r>
      <w:r w:rsidR="00FA7EDB" w:rsidRPr="00FA7EDB">
        <w:t xml:space="preserve">the listings of </w:t>
      </w:r>
      <w:r w:rsidR="00FA7EDB">
        <w:t>Evgeni Viktorovich Bushmin and Valery Kirillovich Medvedev</w:t>
      </w:r>
      <w:r w:rsidR="00480C36">
        <w:t xml:space="preserve"> (deceased)</w:t>
      </w:r>
      <w:r w:rsidR="00FA7EDB">
        <w:t>.</w:t>
      </w:r>
      <w:r w:rsidR="00FA7EDB" w:rsidRPr="00FA7EDB">
        <w:t xml:space="preserve"> </w:t>
      </w:r>
    </w:p>
    <w:p w14:paraId="0C9DEDB7" w14:textId="0F286C77" w:rsidR="00BA40F9" w:rsidRPr="00FA7EDB" w:rsidRDefault="00BA40F9" w:rsidP="00BF4130"/>
    <w:p w14:paraId="53F61162" w14:textId="328D10E8" w:rsidR="00ED39CF" w:rsidRPr="00F94522" w:rsidRDefault="00BA40F9" w:rsidP="00ED39CF">
      <w:pPr>
        <w:rPr>
          <w:highlight w:val="yellow"/>
        </w:rPr>
      </w:pPr>
      <w:r w:rsidRPr="00FA7EDB">
        <w:t>Item</w:t>
      </w:r>
      <w:r w:rsidR="00FC7494" w:rsidRPr="00FA7EDB">
        <w:t xml:space="preserve"> 7</w:t>
      </w:r>
      <w:r w:rsidRPr="00FA7EDB">
        <w:t xml:space="preserve"> in Schedule 4 amends t</w:t>
      </w:r>
      <w:r w:rsidR="00ED39CF" w:rsidRPr="00FA7EDB">
        <w:t>he entries of the entities listed in following items in</w:t>
      </w:r>
      <w:r w:rsidRPr="00FA7EDB">
        <w:t xml:space="preserve"> Part 2 of Schedule 1 of</w:t>
      </w:r>
      <w:r w:rsidR="00ED39CF" w:rsidRPr="00FA7EDB">
        <w:t xml:space="preserve"> the</w:t>
      </w:r>
      <w:r w:rsidR="00480C36">
        <w:t xml:space="preserve"> 2014 List</w:t>
      </w:r>
      <w:r w:rsidR="00ED39CF" w:rsidRPr="00FA7EDB">
        <w:t xml:space="preserve"> to:</w:t>
      </w:r>
    </w:p>
    <w:p w14:paraId="295198EE" w14:textId="55E4BF6A" w:rsidR="00ED39CF" w:rsidRDefault="00BA40F9" w:rsidP="007E652C">
      <w:pPr>
        <w:pStyle w:val="ListParagraph"/>
        <w:numPr>
          <w:ilvl w:val="0"/>
          <w:numId w:val="1"/>
        </w:numPr>
      </w:pPr>
      <w:r>
        <w:t>include an alias for the entities mentioned in item</w:t>
      </w:r>
      <w:r w:rsidR="00BB343F">
        <w:t>s</w:t>
      </w:r>
      <w:r>
        <w:t xml:space="preserve"> 1</w:t>
      </w:r>
      <w:r w:rsidR="00480C36">
        <w:t>-</w:t>
      </w:r>
      <w:r>
        <w:t>11;</w:t>
      </w:r>
    </w:p>
    <w:p w14:paraId="35D85544" w14:textId="7E3D4C05" w:rsidR="00DF0EDC" w:rsidRDefault="00BA40F9" w:rsidP="00480A3B">
      <w:pPr>
        <w:pStyle w:val="ListParagraph"/>
        <w:numPr>
          <w:ilvl w:val="0"/>
          <w:numId w:val="1"/>
        </w:numPr>
        <w:sectPr w:rsidR="00DF0EDC" w:rsidSect="00822E6F">
          <w:headerReference w:type="default" r:id="rId8"/>
          <w:footerReference w:type="default" r:id="rId9"/>
          <w:headerReference w:type="first" r:id="rId10"/>
          <w:footerReference w:type="first" r:id="rId11"/>
          <w:pgSz w:w="11906" w:h="16838"/>
          <w:pgMar w:top="1440" w:right="1800" w:bottom="1440" w:left="1800" w:header="708" w:footer="708" w:gutter="0"/>
          <w:cols w:space="708"/>
          <w:docGrid w:linePitch="360"/>
        </w:sectPr>
      </w:pPr>
      <w:r>
        <w:t>include additional company contact information for the e</w:t>
      </w:r>
      <w:r w:rsidR="00FC7494">
        <w:t>ntities mentioned in items 1-7</w:t>
      </w:r>
      <w:r>
        <w:t xml:space="preserve">, </w:t>
      </w:r>
      <w:r w:rsidR="00FC7494">
        <w:t>9-</w:t>
      </w:r>
      <w:r w:rsidR="00855F26">
        <w:t>11.</w:t>
      </w:r>
      <w:r w:rsidR="00480A3B">
        <w:t xml:space="preserve"> </w:t>
      </w:r>
    </w:p>
    <w:p w14:paraId="474BDDE8" w14:textId="77777777" w:rsidR="00DF0EDC" w:rsidRPr="00A66C10" w:rsidRDefault="00DF0EDC" w:rsidP="00DF0EDC">
      <w:pPr>
        <w:pStyle w:val="Title"/>
        <w:tabs>
          <w:tab w:val="left" w:pos="6120"/>
        </w:tabs>
        <w:spacing w:before="0"/>
        <w:jc w:val="center"/>
        <w:rPr>
          <w:rFonts w:ascii="Times New Roman" w:hAnsi="Times New Roman" w:cs="Times New Roman"/>
          <w:sz w:val="24"/>
          <w:szCs w:val="24"/>
        </w:rPr>
      </w:pPr>
      <w:bookmarkStart w:id="0" w:name="_GoBack"/>
      <w:r w:rsidRPr="00A66C10">
        <w:rPr>
          <w:rFonts w:ascii="Times New Roman" w:hAnsi="Times New Roman" w:cs="Times New Roman"/>
          <w:sz w:val="24"/>
          <w:szCs w:val="24"/>
        </w:rPr>
        <w:t>Statement of Compatibility with Human Rights</w:t>
      </w:r>
    </w:p>
    <w:bookmarkEnd w:id="0"/>
    <w:p w14:paraId="448CDCB5" w14:textId="77777777" w:rsidR="00DF0EDC" w:rsidRDefault="00DF0EDC" w:rsidP="00DF0EDC">
      <w:pPr>
        <w:spacing w:before="240"/>
        <w:jc w:val="center"/>
      </w:pPr>
      <w:r>
        <w:t xml:space="preserve">Prepared in accordance with Part 3 of the </w:t>
      </w:r>
      <w:r>
        <w:rPr>
          <w:i/>
        </w:rPr>
        <w:t>Human Rights (Parliamentary Scrutiny) Act 2011</w:t>
      </w:r>
    </w:p>
    <w:p w14:paraId="6AFBD3E8" w14:textId="77777777" w:rsidR="00DF0EDC" w:rsidRDefault="00DF0EDC" w:rsidP="00DF0EDC">
      <w:pPr>
        <w:jc w:val="center"/>
        <w:rPr>
          <w:bCs/>
          <w:sz w:val="23"/>
          <w:szCs w:val="23"/>
        </w:rPr>
      </w:pPr>
    </w:p>
    <w:p w14:paraId="59FD6869" w14:textId="24101A39" w:rsidR="00DF0EDC" w:rsidRDefault="00190084" w:rsidP="00DF0EDC">
      <w:pPr>
        <w:jc w:val="center"/>
        <w:rPr>
          <w:i/>
          <w:iCs/>
        </w:rPr>
      </w:pPr>
      <w:r w:rsidRPr="00190084">
        <w:rPr>
          <w:i/>
          <w:iCs/>
        </w:rPr>
        <w:t>Autonomous Sanctions (Designated Persons and Entities and Declared Persons – Ukraine) Continuing Effect Declaration 2020</w:t>
      </w:r>
      <w:r>
        <w:rPr>
          <w:i/>
          <w:iCs/>
        </w:rPr>
        <w:t xml:space="preserve"> (No </w:t>
      </w:r>
      <w:r w:rsidRPr="00190084">
        <w:rPr>
          <w:i/>
          <w:iCs/>
        </w:rPr>
        <w:t>1</w:t>
      </w:r>
      <w:r w:rsidR="00AE22A4" w:rsidRPr="00190084">
        <w:rPr>
          <w:i/>
          <w:iCs/>
        </w:rPr>
        <w:t>)</w:t>
      </w:r>
    </w:p>
    <w:p w14:paraId="699B6B2B" w14:textId="77777777" w:rsidR="00DF0EDC" w:rsidRDefault="00DF0EDC" w:rsidP="00DF0EDC">
      <w:pPr>
        <w:rPr>
          <w:highlight w:val="yellow"/>
        </w:rPr>
      </w:pPr>
    </w:p>
    <w:p w14:paraId="50A1307D" w14:textId="373B4D41" w:rsidR="00DF0EDC" w:rsidRDefault="00DF0EDC" w:rsidP="00DF0EDC">
      <w:pPr>
        <w:rPr>
          <w:bCs/>
        </w:rPr>
      </w:pPr>
      <w:r>
        <w:rPr>
          <w:bCs/>
          <w:sz w:val="23"/>
          <w:szCs w:val="23"/>
        </w:rPr>
        <w:t xml:space="preserve">The </w:t>
      </w:r>
      <w:r w:rsidR="00190084" w:rsidRPr="00190084">
        <w:rPr>
          <w:i/>
          <w:iCs/>
        </w:rPr>
        <w:t>Autonomous Sanctions (Designated Persons and Entities and Declared Persons – Ukraine) Continuing Effect Declaration 2020</w:t>
      </w:r>
      <w:r w:rsidR="00190084">
        <w:rPr>
          <w:i/>
          <w:iCs/>
        </w:rPr>
        <w:t xml:space="preserve"> (No 1) </w:t>
      </w:r>
      <w:r>
        <w:rPr>
          <w:bCs/>
          <w:iCs/>
          <w:sz w:val="23"/>
          <w:szCs w:val="23"/>
        </w:rPr>
        <w:t>(the Declaration)</w:t>
      </w:r>
      <w:r>
        <w:rPr>
          <w:bCs/>
          <w:i/>
          <w:iCs/>
          <w:sz w:val="23"/>
          <w:szCs w:val="23"/>
        </w:rPr>
        <w:t xml:space="preserve"> </w:t>
      </w:r>
      <w:r>
        <w:rPr>
          <w:bCs/>
        </w:rPr>
        <w:t xml:space="preserve">is compatible with the human rights and freedoms recognised or declared in the international instruments listed in section 3 of the </w:t>
      </w:r>
      <w:r>
        <w:rPr>
          <w:bCs/>
          <w:i/>
        </w:rPr>
        <w:t>Human Rights (Parliamentary Scrutiny) Act 2011.</w:t>
      </w:r>
      <w:r>
        <w:rPr>
          <w:bCs/>
        </w:rPr>
        <w:t xml:space="preserve"> </w:t>
      </w:r>
    </w:p>
    <w:p w14:paraId="52CE1535" w14:textId="77777777" w:rsidR="00DF0EDC" w:rsidRDefault="00DF0EDC" w:rsidP="00DF0EDC">
      <w:pPr>
        <w:rPr>
          <w:bCs/>
        </w:rPr>
      </w:pPr>
    </w:p>
    <w:p w14:paraId="47107E60" w14:textId="5CF7E4CA" w:rsidR="00DF0EDC" w:rsidRPr="00190084" w:rsidRDefault="00DF0EDC" w:rsidP="00DF0EDC">
      <w:pPr>
        <w:rPr>
          <w:lang w:val="en-GB"/>
        </w:rPr>
      </w:pPr>
      <w:r w:rsidRPr="00190084">
        <w:t xml:space="preserve">Modern sanctions regimes impose highly targeted measures in response to situations of international concern. </w:t>
      </w:r>
      <w:r w:rsidR="00190084" w:rsidRPr="00190084">
        <w:t xml:space="preserve">This includes </w:t>
      </w:r>
      <w:r w:rsidR="00190084" w:rsidRPr="00190084">
        <w:rPr>
          <w:iCs/>
        </w:rPr>
        <w:t>threats to a country’s sovereignty and territorial integrity</w:t>
      </w:r>
      <w:r w:rsidRPr="00190084">
        <w:rPr>
          <w:iCs/>
        </w:rPr>
        <w:t>.</w:t>
      </w:r>
      <w:r w:rsidRPr="00190084">
        <w:t xml:space="preserve"> Autonomous sanctions pursue legitimate objectives, and have appropriate safeguards in place to ensure that that limitation on human rights engaged by the imposition of sanctions is justified and a proportionate response to the situation of international concern. </w:t>
      </w:r>
      <w:r w:rsidRPr="00190084">
        <w:rPr>
          <w:lang w:val="en-GB"/>
        </w:rPr>
        <w:t>The Government keeps its sanctions regimes under regular review, including in relation to whether more effective, less rights</w:t>
      </w:r>
      <w:r w:rsidRPr="00190084">
        <w:rPr>
          <w:lang w:val="en-GB"/>
        </w:rPr>
        <w:noBreakHyphen/>
        <w:t>restrictive means are available to achieve similar foreign policy objectives.</w:t>
      </w:r>
    </w:p>
    <w:p w14:paraId="5ECD06D5" w14:textId="77777777" w:rsidR="00DF0EDC" w:rsidRPr="00190084" w:rsidRDefault="00DF0EDC" w:rsidP="00DF0EDC">
      <w:pPr>
        <w:rPr>
          <w:lang w:val="en-GB"/>
        </w:rPr>
      </w:pPr>
    </w:p>
    <w:p w14:paraId="7A8C1109" w14:textId="1C1023B4" w:rsidR="00DF0EDC" w:rsidRPr="00190084" w:rsidRDefault="00DF0EDC" w:rsidP="00DF0EDC">
      <w:r w:rsidRPr="00190084">
        <w:t xml:space="preserve">The Declaration continues, under subregulation 9(3) of the </w:t>
      </w:r>
      <w:r w:rsidRPr="00190084">
        <w:rPr>
          <w:i/>
        </w:rPr>
        <w:t xml:space="preserve">Autonomous Sanctions Regulations 2011 </w:t>
      </w:r>
      <w:r w:rsidRPr="00190084">
        <w:t xml:space="preserve">(the Regulations), designations and declarations made in relation to the </w:t>
      </w:r>
      <w:r w:rsidR="00190084" w:rsidRPr="00190084">
        <w:t>Ukraine</w:t>
      </w:r>
      <w:r w:rsidRPr="00190084">
        <w:t xml:space="preserve"> in 2017</w:t>
      </w:r>
      <w:r w:rsidR="0032004B">
        <w:t xml:space="preserve"> (other than in respect of two persons who are deceased)</w:t>
      </w:r>
      <w:r w:rsidRPr="00190084">
        <w:t xml:space="preserve">. The Minister made the </w:t>
      </w:r>
      <w:r w:rsidR="00AE22A4" w:rsidRPr="00190084">
        <w:t>D</w:t>
      </w:r>
      <w:r w:rsidRPr="00190084">
        <w:t>eclaration being satisfied that each of the persons and entities listed in Schedule</w:t>
      </w:r>
      <w:r w:rsidR="00F94522" w:rsidRPr="00190084">
        <w:t>s</w:t>
      </w:r>
      <w:r w:rsidRPr="00190084">
        <w:t xml:space="preserve"> 1</w:t>
      </w:r>
      <w:r w:rsidR="00F94522" w:rsidRPr="00190084">
        <w:t xml:space="preserve"> and 2</w:t>
      </w:r>
      <w:r w:rsidRPr="00190084">
        <w:t xml:space="preserve"> of the Declaration</w:t>
      </w:r>
      <w:r w:rsidR="00B65250" w:rsidRPr="00190084">
        <w:t xml:space="preserve"> meets the current criteria set out in </w:t>
      </w:r>
      <w:r w:rsidR="00480A3B">
        <w:t xml:space="preserve">item 9 of </w:t>
      </w:r>
      <w:r w:rsidR="00B65250" w:rsidRPr="00190084">
        <w:t xml:space="preserve">subregulation 6(1) and is a person or entity </w:t>
      </w:r>
      <w:r w:rsidR="00190084" w:rsidRPr="00190084">
        <w:t>responsible for, or complicit in, the threat to the sovereignty and territorial integrity of Ukraine.</w:t>
      </w:r>
      <w:r w:rsidR="0038715E">
        <w:t xml:space="preserve"> </w:t>
      </w:r>
    </w:p>
    <w:p w14:paraId="6A76898B" w14:textId="77777777" w:rsidR="00DF0EDC" w:rsidRPr="00F94522" w:rsidRDefault="00DF0EDC" w:rsidP="00DF0EDC">
      <w:pPr>
        <w:rPr>
          <w:highlight w:val="yellow"/>
        </w:rPr>
      </w:pPr>
    </w:p>
    <w:p w14:paraId="2E95449D" w14:textId="77777777" w:rsidR="00DF0EDC" w:rsidRDefault="00DF0EDC" w:rsidP="00DF0EDC">
      <w:r>
        <w:t>The human rights compatibility of the</w:t>
      </w:r>
      <w:r>
        <w:rPr>
          <w:bCs/>
          <w:iCs/>
          <w:sz w:val="23"/>
          <w:szCs w:val="23"/>
        </w:rPr>
        <w:t xml:space="preserve"> Declaration</w:t>
      </w:r>
      <w:r>
        <w:t xml:space="preserve"> is addressed by reference to each of the human rights engaged below.</w:t>
      </w:r>
    </w:p>
    <w:p w14:paraId="2F760631" w14:textId="77777777" w:rsidR="00DF0EDC" w:rsidRDefault="00DF0EDC" w:rsidP="00DF0EDC"/>
    <w:p w14:paraId="5DD84065" w14:textId="77777777" w:rsidR="00DF0EDC" w:rsidRDefault="00DF0EDC" w:rsidP="00DF0EDC">
      <w:r>
        <w:rPr>
          <w:b/>
        </w:rPr>
        <w:t>Right to privacy</w:t>
      </w:r>
    </w:p>
    <w:p w14:paraId="4C2B3E2E" w14:textId="77777777" w:rsidR="00DF0EDC" w:rsidRDefault="00DF0EDC" w:rsidP="00DF0EDC"/>
    <w:p w14:paraId="31FD3C3C" w14:textId="77777777" w:rsidR="00DF0EDC" w:rsidRPr="00DF0EDC" w:rsidRDefault="00DF0EDC" w:rsidP="00DF0EDC">
      <w:pPr>
        <w:rPr>
          <w:u w:val="single"/>
        </w:rPr>
      </w:pPr>
      <w:r w:rsidRPr="00DF0EDC">
        <w:rPr>
          <w:u w:val="single"/>
        </w:rPr>
        <w:t xml:space="preserve">Right </w:t>
      </w:r>
    </w:p>
    <w:p w14:paraId="5AFC9540" w14:textId="77777777" w:rsidR="00DF0EDC" w:rsidRDefault="00DF0EDC" w:rsidP="00DF0EDC">
      <w:r>
        <w:br/>
        <w:t>Article 17 of the International Covenant on Civil and Political Rights (the ICCPR) prohibits unlawful or arbitrary interferences with a person's privacy, family, home and correspondence.</w:t>
      </w:r>
    </w:p>
    <w:p w14:paraId="26F68EB8" w14:textId="77777777" w:rsidR="00DF0EDC" w:rsidRDefault="00DF0EDC" w:rsidP="00DF0EDC"/>
    <w:p w14:paraId="5BCDF3D8" w14:textId="77777777" w:rsidR="00DF0EDC" w:rsidRDefault="00DF0EDC" w:rsidP="00DF0EDC">
      <w: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Pr>
          <w:rStyle w:val="FootnoteReference"/>
        </w:rPr>
        <w:footnoteReference w:id="1"/>
      </w:r>
    </w:p>
    <w:p w14:paraId="07109EDB" w14:textId="77777777" w:rsidR="00DF0EDC" w:rsidRDefault="00DF0EDC" w:rsidP="00DF0EDC"/>
    <w:p w14:paraId="23AAF4ED" w14:textId="77777777" w:rsidR="00DF0EDC" w:rsidRPr="00DF0EDC" w:rsidRDefault="00DF0EDC" w:rsidP="00DF0EDC">
      <w:pPr>
        <w:rPr>
          <w:u w:val="single"/>
        </w:rPr>
      </w:pPr>
      <w:r w:rsidRPr="00DF0EDC">
        <w:rPr>
          <w:u w:val="single"/>
        </w:rPr>
        <w:t xml:space="preserve">Permissible limitations </w:t>
      </w:r>
    </w:p>
    <w:p w14:paraId="7082F8DE" w14:textId="77777777" w:rsidR="00DF0EDC" w:rsidRDefault="00DF0EDC" w:rsidP="00DF0EDC"/>
    <w:p w14:paraId="6B925581" w14:textId="6DD57CFC" w:rsidR="00DF0EDC" w:rsidRDefault="00DF0EDC" w:rsidP="00DF0EDC">
      <w:pPr>
        <w:rPr>
          <w:bCs/>
        </w:rPr>
      </w:pPr>
      <w:r>
        <w:rPr>
          <w:bCs/>
        </w:rPr>
        <w:t xml:space="preserve">The Declaration is not an unlawful interference with an individual’s right to privacy. Section 10 of the </w:t>
      </w:r>
      <w:r>
        <w:rPr>
          <w:bCs/>
          <w:i/>
        </w:rPr>
        <w:t>Autonomous Sanctions Act 2011</w:t>
      </w:r>
      <w:r>
        <w:rPr>
          <w:bCs/>
        </w:rPr>
        <w:t xml:space="preserve"> (the Act) permits regulations relating to, among other things: ‘proscription of persons or entities (for specified purposes or more generally)’; and ‘restriction or prevention of uses of, dealings with, and making available of, assets’</w:t>
      </w:r>
      <w:r w:rsidRPr="00407282">
        <w:rPr>
          <w:bCs/>
        </w:rPr>
        <w:t xml:space="preserve">. The </w:t>
      </w:r>
      <w:r>
        <w:rPr>
          <w:bCs/>
        </w:rPr>
        <w:t>designations and declarations contained in the Declaration are</w:t>
      </w:r>
      <w:r w:rsidRPr="00407282">
        <w:rPr>
          <w:bCs/>
        </w:rPr>
        <w:t xml:space="preserve"> </w:t>
      </w:r>
      <w:r w:rsidR="0032004B">
        <w:rPr>
          <w:bCs/>
        </w:rPr>
        <w:t>continued</w:t>
      </w:r>
      <w:r w:rsidRPr="00407282">
        <w:rPr>
          <w:bCs/>
        </w:rPr>
        <w:t xml:space="preserve"> pursua</w:t>
      </w:r>
      <w:r>
        <w:rPr>
          <w:bCs/>
        </w:rPr>
        <w:t xml:space="preserve">nt to </w:t>
      </w:r>
      <w:r w:rsidR="0032004B">
        <w:rPr>
          <w:bCs/>
        </w:rPr>
        <w:t>sub</w:t>
      </w:r>
      <w:r>
        <w:rPr>
          <w:bCs/>
        </w:rPr>
        <w:t>regulation</w:t>
      </w:r>
      <w:r w:rsidRPr="00407282">
        <w:rPr>
          <w:bCs/>
        </w:rPr>
        <w:t xml:space="preserve"> 9</w:t>
      </w:r>
      <w:r w:rsidR="0032004B">
        <w:rPr>
          <w:bCs/>
        </w:rPr>
        <w:t>(3)</w:t>
      </w:r>
      <w:r w:rsidRPr="00407282">
        <w:rPr>
          <w:bCs/>
        </w:rPr>
        <w:t xml:space="preserve"> of the </w:t>
      </w:r>
      <w:r>
        <w:rPr>
          <w:bCs/>
        </w:rPr>
        <w:t>Regulations, which</w:t>
      </w:r>
      <w:r w:rsidRPr="00407282">
        <w:rPr>
          <w:bCs/>
        </w:rPr>
        <w:t xml:space="preserve"> provides that the Minister</w:t>
      </w:r>
      <w:r>
        <w:rPr>
          <w:bCs/>
        </w:rPr>
        <w:t xml:space="preserve"> </w:t>
      </w:r>
      <w:r w:rsidRPr="00407282">
        <w:rPr>
          <w:bCs/>
        </w:rPr>
        <w:t>may, by legislative instrument, designate and/or declare a person for targeted financial sanctions and/or travel bans.</w:t>
      </w:r>
    </w:p>
    <w:p w14:paraId="67E7359D" w14:textId="77777777" w:rsidR="00DF0EDC" w:rsidRDefault="00DF0EDC" w:rsidP="00DF0EDC">
      <w:pPr>
        <w:rPr>
          <w:bCs/>
        </w:rPr>
      </w:pPr>
    </w:p>
    <w:p w14:paraId="2C00BCB3" w14:textId="77777777" w:rsidR="00DF0EDC" w:rsidRDefault="00DF0EDC" w:rsidP="00DF0EDC">
      <w:pPr>
        <w:rPr>
          <w:bCs/>
        </w:rPr>
      </w:pPr>
      <w:r>
        <w:rPr>
          <w:bCs/>
        </w:rPr>
        <w:t xml:space="preserve">The measures contained in the Declaration are not an arbitrary interference with an individual’s right to privacy. An interference with privacy will not be arbitrary where it is reasonable, necessary and proportionate in the individual circumstances. </w:t>
      </w:r>
    </w:p>
    <w:p w14:paraId="3353F1C0" w14:textId="77777777" w:rsidR="00DF0EDC" w:rsidRDefault="00DF0EDC" w:rsidP="00DF0EDC">
      <w:pPr>
        <w:rPr>
          <w:bCs/>
        </w:rPr>
      </w:pPr>
    </w:p>
    <w:p w14:paraId="366E1A9B" w14:textId="77777777" w:rsidR="00DF0EDC" w:rsidRDefault="00DF0EDC" w:rsidP="00DF0EDC">
      <w:pPr>
        <w:rPr>
          <w:bCs/>
        </w:rPr>
      </w:pPr>
      <w:r>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38FF8D91" w14:textId="77777777" w:rsidR="00DF0EDC" w:rsidRDefault="00DF0EDC" w:rsidP="00DF0EDC">
      <w:pPr>
        <w:rPr>
          <w:bCs/>
        </w:rPr>
      </w:pPr>
    </w:p>
    <w:p w14:paraId="3EE6C4AC" w14:textId="44663857" w:rsidR="00DF0EDC" w:rsidRDefault="00DF0EDC" w:rsidP="00DF0EDC">
      <w:pPr>
        <w:rPr>
          <w:bCs/>
        </w:rPr>
      </w:pPr>
      <w:r>
        <w:rPr>
          <w:bCs/>
        </w:rPr>
        <w:t xml:space="preserve">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w:t>
      </w:r>
      <w:r w:rsidR="00190084">
        <w:rPr>
          <w:bCs/>
        </w:rPr>
        <w:t xml:space="preserve">Given the seriousness of the threats to the sovereignty and territorial integrity of Ukraine, the Government considers that targeted financial sanctions and travel bans are the least rights-restrictive way to achieve its </w:t>
      </w:r>
      <w:r w:rsidR="00190084">
        <w:rPr>
          <w:lang w:val="en-GB"/>
        </w:rPr>
        <w:t xml:space="preserve">legitimate foreign policy objective of signalling Australia’s concerns about the situation in Ukraine. </w:t>
      </w:r>
    </w:p>
    <w:p w14:paraId="3613E1E3" w14:textId="77777777" w:rsidR="00DF0EDC" w:rsidRDefault="00DF0EDC" w:rsidP="00DF0EDC">
      <w:pPr>
        <w:rPr>
          <w:bCs/>
        </w:rPr>
      </w:pPr>
    </w:p>
    <w:p w14:paraId="33CD8E6B" w14:textId="28BA5082" w:rsidR="00DF0EDC" w:rsidRDefault="00DF0EDC" w:rsidP="00DF0EDC">
      <w:pPr>
        <w:rPr>
          <w:bCs/>
        </w:rPr>
      </w:pPr>
      <w:r>
        <w:rPr>
          <w:bCs/>
        </w:rPr>
        <w:t xml:space="preserve">Accordingly, targeted financial sanctions and travel bans imposed by the Minister through the </w:t>
      </w:r>
      <w:r w:rsidR="0032004B">
        <w:rPr>
          <w:bCs/>
        </w:rPr>
        <w:t xml:space="preserve">continuation of the </w:t>
      </w:r>
      <w:r>
        <w:rPr>
          <w:bCs/>
        </w:rPr>
        <w:t>designation of specific individuals under the Regulations are reasonable, necessary and proportionate to the individual circumstances the sanctions are seeking to address. Therefore, any interference with the right to privacy created by the operation of the Declaration is not arbitrary or unlawful and, therefore, is consistent with Australia’s obligations under Article 17 of the ICCPR.</w:t>
      </w:r>
    </w:p>
    <w:p w14:paraId="6FDD6740" w14:textId="77777777" w:rsidR="00DF0EDC" w:rsidRDefault="00DF0EDC" w:rsidP="00DF0EDC"/>
    <w:p w14:paraId="71F7C87F" w14:textId="77777777" w:rsidR="00DF0EDC" w:rsidRDefault="00DF0EDC" w:rsidP="00DF0EDC">
      <w:pPr>
        <w:rPr>
          <w:b/>
        </w:rPr>
      </w:pPr>
      <w:r>
        <w:rPr>
          <w:b/>
        </w:rPr>
        <w:t xml:space="preserve">Right to respect for the family </w:t>
      </w:r>
    </w:p>
    <w:p w14:paraId="49D3A58D" w14:textId="77777777" w:rsidR="00DF0EDC" w:rsidRDefault="00DF0EDC" w:rsidP="00DF0EDC">
      <w:pPr>
        <w:rPr>
          <w:b/>
        </w:rPr>
      </w:pPr>
    </w:p>
    <w:p w14:paraId="5782DDF9" w14:textId="77777777" w:rsidR="00DF0EDC" w:rsidRDefault="00DF0EDC" w:rsidP="00DF0EDC">
      <w:pPr>
        <w:rPr>
          <w:u w:val="single"/>
        </w:rPr>
      </w:pPr>
      <w:r w:rsidRPr="00DF0EDC">
        <w:rPr>
          <w:u w:val="single"/>
        </w:rPr>
        <w:t xml:space="preserve">Right </w:t>
      </w:r>
      <w:r>
        <w:rPr>
          <w:u w:val="single"/>
        </w:rPr>
        <w:t xml:space="preserve"> </w:t>
      </w:r>
      <w:r>
        <w:rPr>
          <w:u w:val="single"/>
        </w:rPr>
        <w:br/>
      </w:r>
    </w:p>
    <w:p w14:paraId="528A8BCC" w14:textId="77777777" w:rsidR="00DF0EDC" w:rsidRPr="00DF0EDC" w:rsidRDefault="00DF0EDC" w:rsidP="00DF0EDC">
      <w:pPr>
        <w:rPr>
          <w:u w:val="single"/>
        </w:rPr>
      </w:pPr>
      <w:r>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Default="00DF0EDC" w:rsidP="00DF0EDC"/>
    <w:p w14:paraId="394D71CB" w14:textId="6115F92A" w:rsidR="00DF0EDC" w:rsidRDefault="00DF0EDC" w:rsidP="00DF0EDC">
      <w:r>
        <w:t>Limitations on the right to respect for the family under Articles 17 and 23 of the ICCPR will not violate those articles if the measures in question are lawful and non</w:t>
      </w:r>
      <w:r>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Default="00855F41" w:rsidP="00DF0EDC"/>
    <w:p w14:paraId="5EB31D68" w14:textId="77777777" w:rsidR="00DF0EDC" w:rsidRPr="00DF0EDC" w:rsidRDefault="00DF0EDC" w:rsidP="00DF0EDC">
      <w:pPr>
        <w:rPr>
          <w:u w:val="single"/>
        </w:rPr>
      </w:pPr>
      <w:r w:rsidRPr="00DF0EDC">
        <w:rPr>
          <w:u w:val="single"/>
        </w:rPr>
        <w:t xml:space="preserve">Permissible limitations  </w:t>
      </w:r>
    </w:p>
    <w:p w14:paraId="187BF8EC" w14:textId="77777777" w:rsidR="00DF0EDC" w:rsidRDefault="00DF0EDC" w:rsidP="00DF0EDC">
      <w:pPr>
        <w:rPr>
          <w:u w:val="single"/>
        </w:rPr>
      </w:pPr>
    </w:p>
    <w:p w14:paraId="67093CEA" w14:textId="77777777" w:rsidR="00DF0EDC" w:rsidRDefault="00DF0EDC" w:rsidP="00DF0EDC">
      <w:r>
        <w:t>As set out above, the autonomous sanctions regime is authorised by domestic law and is not unlawful.</w:t>
      </w:r>
    </w:p>
    <w:p w14:paraId="6872CC46" w14:textId="77777777" w:rsidR="00DF0EDC" w:rsidRDefault="00DF0EDC" w:rsidP="00DF0EDC"/>
    <w:p w14:paraId="17138F85" w14:textId="4B596610" w:rsidR="00DF0EDC" w:rsidRDefault="00DF0EDC" w:rsidP="00DF0EDC">
      <w:r>
        <w:t xml:space="preserve">As the listing criteria in regulation 6 are drafted by reference to specific foreign countries, it is highly unlikely, as a practical matter, that a person declared for a travel ban will hold an Australian visa, </w:t>
      </w:r>
      <w:r w:rsidR="00473861">
        <w:t>usually reside</w:t>
      </w:r>
      <w:r>
        <w:t xml:space="preserve"> in Australia and have immediate family also in Australia.</w:t>
      </w:r>
    </w:p>
    <w:p w14:paraId="64759EFB" w14:textId="77777777" w:rsidR="00DF0EDC" w:rsidRDefault="00DF0EDC" w:rsidP="00DF0EDC"/>
    <w:p w14:paraId="0F60EFD5" w14:textId="77777777" w:rsidR="00DF0EDC" w:rsidRDefault="00DF0EDC" w:rsidP="00DF0EDC">
      <w: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14DD8065" w14:textId="77777777" w:rsidR="00DF0EDC" w:rsidRDefault="00DF0EDC" w:rsidP="00DF0EDC"/>
    <w:p w14:paraId="10935725" w14:textId="2DB6C82F" w:rsidR="00DF0EDC" w:rsidRDefault="00DF0EDC" w:rsidP="00DF0EDC">
      <w:r>
        <w:t xml:space="preserve">To the extent that the travel bans imposed pursuant to the Declaration 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t xml:space="preserve">relation to Article 17 above, </w:t>
      </w:r>
      <w:r>
        <w:t>such a separation would be justified in the circumstances.</w:t>
      </w:r>
    </w:p>
    <w:p w14:paraId="614F9D65" w14:textId="77777777" w:rsidR="00B5664E" w:rsidRDefault="00B5664E" w:rsidP="00DF0EDC"/>
    <w:p w14:paraId="5202EE5A" w14:textId="389228A8" w:rsidR="00FD5C80" w:rsidRDefault="00DF0EDC" w:rsidP="00A6095E">
      <w:r>
        <w:t xml:space="preserve">Accordingly, any </w:t>
      </w:r>
      <w:r w:rsidRPr="00F03C01">
        <w:t xml:space="preserve">interference with the right to </w:t>
      </w:r>
      <w:r>
        <w:t>respect for the family</w:t>
      </w:r>
      <w:r w:rsidRPr="00F03C01">
        <w:t xml:space="preserve"> created by the operation of </w:t>
      </w:r>
      <w:r>
        <w:t xml:space="preserve">the Declaration </w:t>
      </w:r>
      <w:r w:rsidRPr="00F03C01">
        <w:t xml:space="preserve">is not unlawful </w:t>
      </w:r>
      <w:r>
        <w:t xml:space="preserve">or arbitrary </w:t>
      </w:r>
      <w:r w:rsidRPr="00F03C01">
        <w:t xml:space="preserve">and, therefore, consistent with Australia’s obligations </w:t>
      </w:r>
      <w:r>
        <w:t>under</w:t>
      </w:r>
      <w:r w:rsidRPr="00F03C01">
        <w:t xml:space="preserve"> Article</w:t>
      </w:r>
      <w:r>
        <w:t>s</w:t>
      </w:r>
      <w:r w:rsidRPr="00F03C01">
        <w:t xml:space="preserve"> </w:t>
      </w:r>
      <w:r>
        <w:t xml:space="preserve">17 and 23 </w:t>
      </w:r>
      <w:r w:rsidRPr="00F03C01">
        <w:t>of the ICCPR</w:t>
      </w:r>
      <w:r w:rsidR="00A6095E">
        <w:t>.</w:t>
      </w:r>
    </w:p>
    <w:p w14:paraId="2E756D55" w14:textId="77777777" w:rsidR="00FD5C80" w:rsidRDefault="00FD5C80" w:rsidP="00A6095E">
      <w:pPr>
        <w:rPr>
          <w:b/>
        </w:rPr>
      </w:pPr>
    </w:p>
    <w:p w14:paraId="44CAB898" w14:textId="4500937B" w:rsidR="00FD5C80" w:rsidRDefault="00FD5C80" w:rsidP="00A6095E">
      <w:pPr>
        <w:rPr>
          <w:b/>
        </w:rPr>
      </w:pPr>
      <w:r w:rsidRPr="00A6095E">
        <w:rPr>
          <w:b/>
        </w:rPr>
        <w:t>R</w:t>
      </w:r>
      <w:r w:rsidR="00DF0EDC">
        <w:rPr>
          <w:b/>
        </w:rPr>
        <w:t>ight to an adequate standard of living</w:t>
      </w:r>
      <w:r>
        <w:rPr>
          <w:b/>
        </w:rPr>
        <w:t xml:space="preserve"> </w:t>
      </w:r>
    </w:p>
    <w:p w14:paraId="4226A03D" w14:textId="77777777" w:rsidR="00FB47A2" w:rsidRDefault="00FB47A2" w:rsidP="00A6095E">
      <w:pPr>
        <w:rPr>
          <w:b/>
        </w:rPr>
      </w:pPr>
    </w:p>
    <w:p w14:paraId="0338127F" w14:textId="0469666E" w:rsidR="00FD5C80" w:rsidRDefault="00DF0EDC" w:rsidP="00A6095E">
      <w:pPr>
        <w:rPr>
          <w:u w:val="single"/>
        </w:rPr>
      </w:pPr>
      <w:r w:rsidRPr="00DF0EDC">
        <w:rPr>
          <w:u w:val="single"/>
        </w:rPr>
        <w:t xml:space="preserve">Right </w:t>
      </w:r>
    </w:p>
    <w:p w14:paraId="297DCECD" w14:textId="77777777" w:rsidR="00DF0EDC" w:rsidRDefault="00DF0EDC" w:rsidP="00A6095E">
      <w: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A7354AE" w14:textId="77777777" w:rsidR="00DF0EDC" w:rsidRDefault="00DF0EDC" w:rsidP="00DF0EDC"/>
    <w:p w14:paraId="1584789F" w14:textId="77777777" w:rsidR="00DF0EDC" w:rsidRDefault="00DF0EDC" w:rsidP="00DF0EDC">
      <w: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16142456" w14:textId="097F038C" w:rsidR="00DF0EDC" w:rsidRDefault="00DF0EDC" w:rsidP="00DF0EDC"/>
    <w:p w14:paraId="05EAAD20" w14:textId="77777777" w:rsidR="00144DE4" w:rsidRDefault="00144DE4" w:rsidP="00DF0EDC">
      <w:pPr>
        <w:rPr>
          <w:u w:val="single"/>
        </w:rPr>
      </w:pPr>
    </w:p>
    <w:p w14:paraId="45D0099C" w14:textId="77777777" w:rsidR="00144DE4" w:rsidRDefault="00144DE4" w:rsidP="00DF0EDC">
      <w:pPr>
        <w:rPr>
          <w:u w:val="single"/>
        </w:rPr>
      </w:pPr>
    </w:p>
    <w:p w14:paraId="52975536" w14:textId="77777777" w:rsidR="00144DE4" w:rsidRDefault="00144DE4" w:rsidP="00DF0EDC">
      <w:pPr>
        <w:rPr>
          <w:u w:val="single"/>
        </w:rPr>
      </w:pPr>
    </w:p>
    <w:p w14:paraId="1DC2B00A" w14:textId="58D7319E" w:rsidR="00DF0EDC" w:rsidRPr="00DF0EDC" w:rsidRDefault="00DF0EDC" w:rsidP="00DF0EDC">
      <w:pPr>
        <w:rPr>
          <w:u w:val="single"/>
        </w:rPr>
      </w:pPr>
      <w:r w:rsidRPr="00DF0EDC">
        <w:rPr>
          <w:u w:val="single"/>
        </w:rPr>
        <w:t xml:space="preserve">Permissible limitations </w:t>
      </w:r>
    </w:p>
    <w:p w14:paraId="50E83D55" w14:textId="77777777" w:rsidR="00DF0EDC" w:rsidRDefault="00DF0EDC" w:rsidP="00DF0EDC"/>
    <w:p w14:paraId="7885CD94" w14:textId="7CC9DED6" w:rsidR="00DF0EDC" w:rsidRDefault="00FB47A2" w:rsidP="00DF0EDC">
      <w:r>
        <w:t>Any</w:t>
      </w:r>
      <w:r w:rsidR="00DF0EDC">
        <w:t xml:space="preserve"> limitation on the enjoyment of Article 11(1), to the extent that it occurs, is justified. The Regulations allow for any adverse impacts on family members as a consequence of targeted financial sanctions to be mitigated. The Regulations also provide for the payment of basic expenses (among others) in certain circumstances. The objective of </w:t>
      </w:r>
      <w:r w:rsidR="00373F92">
        <w:t>‘</w:t>
      </w:r>
      <w:r w:rsidR="00DF0EDC">
        <w:t>basic expenses exemption</w:t>
      </w:r>
      <w:r w:rsidR="00373F92">
        <w:t>’</w:t>
      </w:r>
      <w:r w:rsidR="00A6095E">
        <w:t xml:space="preserve"> </w:t>
      </w:r>
      <w:r w:rsidR="00473861">
        <w:t>in regulation 20</w:t>
      </w:r>
      <w:r w:rsidR="00DF0EDC">
        <w:t xml:space="preserve"> is, in part, to enable the Australian Government to administer the sanctions regime in a manner compatible with relevant human rights standards.</w:t>
      </w:r>
    </w:p>
    <w:p w14:paraId="402C8F97" w14:textId="77777777" w:rsidR="00DF0EDC" w:rsidRDefault="00DF0EDC" w:rsidP="00DF0EDC"/>
    <w:p w14:paraId="088D7232" w14:textId="4523C058" w:rsidR="00DF0EDC" w:rsidRDefault="00DF0EDC" w:rsidP="00DF0EDC">
      <w:r>
        <w:t>The permit process is a flexible and effective safeguard on any limitation to the enjoyment of Article 11(1</w:t>
      </w:r>
      <w:r w:rsidR="00420FB3">
        <w:t>m</w:t>
      </w:r>
      <w:r>
        <w:t>).</w:t>
      </w:r>
    </w:p>
    <w:p w14:paraId="35628F94" w14:textId="77777777" w:rsidR="00DF0EDC" w:rsidRDefault="00DF0EDC" w:rsidP="00DF0EDC"/>
    <w:p w14:paraId="212AE913" w14:textId="77777777" w:rsidR="00DF0EDC" w:rsidRDefault="00DF0EDC" w:rsidP="00DF0EDC">
      <w:pPr>
        <w:rPr>
          <w:b/>
          <w:lang w:val="en-GB"/>
        </w:rPr>
      </w:pPr>
      <w:r>
        <w:rPr>
          <w:b/>
          <w:lang w:val="en-GB"/>
        </w:rPr>
        <w:t>Right to freedom of movement</w:t>
      </w:r>
    </w:p>
    <w:p w14:paraId="063C3C3F" w14:textId="77777777" w:rsidR="00DF0EDC" w:rsidRDefault="00DF0EDC" w:rsidP="00DF0EDC">
      <w:pPr>
        <w:rPr>
          <w:b/>
          <w:lang w:val="en-GB"/>
        </w:rPr>
      </w:pPr>
    </w:p>
    <w:p w14:paraId="4FDFF528" w14:textId="77777777" w:rsidR="00DF0EDC" w:rsidRPr="00DF0EDC" w:rsidRDefault="00DF0EDC" w:rsidP="00DF0EDC">
      <w:pPr>
        <w:rPr>
          <w:u w:val="single"/>
          <w:lang w:val="en-GB"/>
        </w:rPr>
      </w:pPr>
      <w:r w:rsidRPr="00DF0EDC">
        <w:rPr>
          <w:u w:val="single"/>
          <w:lang w:val="en-GB"/>
        </w:rPr>
        <w:t>Right</w:t>
      </w:r>
    </w:p>
    <w:p w14:paraId="5DCCE92E" w14:textId="77777777" w:rsidR="00DF0EDC" w:rsidRDefault="00DF0EDC" w:rsidP="00DF0EDC">
      <w:pPr>
        <w:rPr>
          <w:u w:val="single"/>
          <w:lang w:val="en-GB"/>
        </w:rPr>
      </w:pPr>
    </w:p>
    <w:p w14:paraId="191A67E6" w14:textId="77777777" w:rsidR="00DF0EDC" w:rsidRDefault="00DF0EDC" w:rsidP="00DF0EDC">
      <w:pPr>
        <w:rPr>
          <w:lang w:val="en-GB"/>
        </w:rPr>
      </w:pPr>
      <w:r>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Default="00DF0EDC" w:rsidP="00DF0EDC">
      <w:pPr>
        <w:rPr>
          <w:lang w:val="en-GB"/>
        </w:rPr>
      </w:pPr>
    </w:p>
    <w:p w14:paraId="0A32CD3E" w14:textId="77777777" w:rsidR="00DF0EDC" w:rsidRDefault="00DF0EDC" w:rsidP="00DF0EDC">
      <w:pPr>
        <w:rPr>
          <w:lang w:val="en-GB"/>
        </w:rPr>
      </w:pPr>
      <w:r>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59F8811D" w14:textId="77777777" w:rsidR="00DF0EDC" w:rsidRDefault="00DF0EDC" w:rsidP="00DF0EDC">
      <w:pPr>
        <w:rPr>
          <w:lang w:val="en-GB"/>
        </w:rPr>
      </w:pPr>
    </w:p>
    <w:p w14:paraId="2D7E1B37" w14:textId="77777777" w:rsidR="00DF0EDC" w:rsidRPr="00DF0EDC" w:rsidRDefault="00DF0EDC" w:rsidP="00DF0EDC">
      <w:pPr>
        <w:rPr>
          <w:u w:val="single"/>
          <w:lang w:val="en-GB"/>
        </w:rPr>
      </w:pPr>
      <w:r w:rsidRPr="00DF0EDC">
        <w:rPr>
          <w:u w:val="single"/>
          <w:lang w:val="en-GB"/>
        </w:rPr>
        <w:t>Permissible limitations</w:t>
      </w:r>
    </w:p>
    <w:p w14:paraId="2B89E3F8" w14:textId="77777777" w:rsidR="00F93445" w:rsidRDefault="00F93445" w:rsidP="00473861"/>
    <w:p w14:paraId="4133BA17" w14:textId="6524B3E5" w:rsidR="00473861" w:rsidRDefault="00473861" w:rsidP="00473861">
      <w:r>
        <w:t xml:space="preserve">As the listing criteria in regulation 6 are drafted by reference to specific foreign countries, it is highly unlikely, as a practical matter, </w:t>
      </w:r>
      <w:r w:rsidR="00F93445">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Default="00DF0EDC" w:rsidP="00DF0EDC">
      <w:pPr>
        <w:rPr>
          <w:lang w:val="en-GB"/>
        </w:rPr>
      </w:pPr>
    </w:p>
    <w:p w14:paraId="10B7FC2D" w14:textId="23E2D31A" w:rsidR="00DF0EDC" w:rsidRDefault="00DF0EDC" w:rsidP="00DF0EDC">
      <w:pPr>
        <w:rPr>
          <w:lang w:val="en-GB"/>
        </w:rPr>
      </w:pPr>
      <w:r>
        <w:rPr>
          <w:lang w:val="en-GB"/>
        </w:rPr>
        <w:t xml:space="preserve">To the extent that Article 12(4) is engaged in an individual case, such that a person listed in </w:t>
      </w:r>
      <w:r>
        <w:t xml:space="preserve">the Declaration </w:t>
      </w:r>
      <w:r>
        <w:rPr>
          <w:lang w:val="en-GB"/>
        </w:rPr>
        <w:t xml:space="preserve">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r w:rsidRPr="003273EA">
        <w:rPr>
          <w:lang w:val="en-GB"/>
        </w:rPr>
        <w:t>Th</w:t>
      </w:r>
      <w:r w:rsidR="00190084" w:rsidRPr="003273EA">
        <w:rPr>
          <w:lang w:val="en-GB"/>
        </w:rPr>
        <w:t>us, preventing a person who is known to be responsible for or complicit in the threat to the sovereignty or territorial integrity of Ukraine</w:t>
      </w:r>
      <w:r w:rsidRPr="003273EA">
        <w:rPr>
          <w:lang w:val="en-GB"/>
        </w:rPr>
        <w:t xml:space="preserve">, from travelling to, entering or remaining in Australia through operation of the </w:t>
      </w:r>
      <w:r w:rsidRPr="003273EA">
        <w:t xml:space="preserve">Declaration, </w:t>
      </w:r>
      <w:r w:rsidRPr="003273EA">
        <w:rPr>
          <w:lang w:val="en-GB"/>
        </w:rPr>
        <w:t xml:space="preserve">is a reasonable means to achieve the legitimate foreign policy objective of signalling Australia’s concerns </w:t>
      </w:r>
      <w:r w:rsidR="00190084" w:rsidRPr="003273EA">
        <w:rPr>
          <w:lang w:val="en-GB"/>
        </w:rPr>
        <w:t>about the illegal annexation by the Russian Federation of Crimea and Sevestopol</w:t>
      </w:r>
      <w:r w:rsidRPr="003273EA">
        <w:rPr>
          <w:lang w:val="en-GB"/>
        </w:rPr>
        <w:t>.</w:t>
      </w:r>
      <w:r>
        <w:rPr>
          <w:lang w:val="en-GB"/>
        </w:rPr>
        <w:t xml:space="preserve"> Australia’s practice in this respect is consistent with that of other countries such as the U</w:t>
      </w:r>
      <w:r w:rsidR="00F748C3">
        <w:rPr>
          <w:lang w:val="en-GB"/>
        </w:rPr>
        <w:t xml:space="preserve">nited </w:t>
      </w:r>
      <w:r>
        <w:rPr>
          <w:lang w:val="en-GB"/>
        </w:rPr>
        <w:t>S</w:t>
      </w:r>
      <w:r w:rsidR="00F748C3">
        <w:rPr>
          <w:lang w:val="en-GB"/>
        </w:rPr>
        <w:t>tates</w:t>
      </w:r>
      <w:r>
        <w:rPr>
          <w:lang w:val="en-GB"/>
        </w:rPr>
        <w:t>, the E</w:t>
      </w:r>
      <w:r w:rsidR="00F748C3">
        <w:rPr>
          <w:lang w:val="en-GB"/>
        </w:rPr>
        <w:t xml:space="preserve">uropean </w:t>
      </w:r>
      <w:r>
        <w:rPr>
          <w:lang w:val="en-GB"/>
        </w:rPr>
        <w:t>U</w:t>
      </w:r>
      <w:r w:rsidR="00F748C3">
        <w:rPr>
          <w:lang w:val="en-GB"/>
        </w:rPr>
        <w:t>nion</w:t>
      </w:r>
      <w:r>
        <w:rPr>
          <w:lang w:val="en-GB"/>
        </w:rPr>
        <w:t>, and the U</w:t>
      </w:r>
      <w:r w:rsidR="00F748C3">
        <w:rPr>
          <w:lang w:val="en-GB"/>
        </w:rPr>
        <w:t xml:space="preserve">nited </w:t>
      </w:r>
      <w:r>
        <w:rPr>
          <w:lang w:val="en-GB"/>
        </w:rPr>
        <w:t>K</w:t>
      </w:r>
      <w:r w:rsidR="00F748C3">
        <w:rPr>
          <w:lang w:val="en-GB"/>
        </w:rPr>
        <w:t>ingdom</w:t>
      </w:r>
      <w:r>
        <w:rPr>
          <w:lang w:val="en-GB"/>
        </w:rPr>
        <w:t>.</w:t>
      </w:r>
    </w:p>
    <w:p w14:paraId="449D283A" w14:textId="77777777" w:rsidR="00C0011F" w:rsidRDefault="00C0011F" w:rsidP="002F38D8">
      <w:pPr>
        <w:rPr>
          <w:strike/>
          <w:color w:val="FF0000"/>
          <w:lang w:val="en-GB"/>
        </w:rPr>
      </w:pPr>
    </w:p>
    <w:p w14:paraId="02A32C10" w14:textId="7FED1074" w:rsidR="002F38D8" w:rsidRDefault="002F38D8" w:rsidP="002F38D8">
      <w:pPr>
        <w:rPr>
          <w:lang w:val="en-GB"/>
        </w:rPr>
      </w:pPr>
      <w:r>
        <w:rPr>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55D16181" w14:textId="77777777" w:rsidR="002F38D8" w:rsidRPr="006E55EA" w:rsidRDefault="002F38D8" w:rsidP="002F38D8">
      <w:pPr>
        <w:rPr>
          <w:b/>
          <w:lang w:val="en-GB"/>
        </w:rPr>
      </w:pPr>
    </w:p>
    <w:p w14:paraId="663997C9" w14:textId="31B3B271" w:rsidR="002F38D8" w:rsidRPr="006E55EA" w:rsidRDefault="002F38D8" w:rsidP="002F38D8">
      <w:pPr>
        <w:rPr>
          <w:b/>
          <w:lang w:val="en-GB"/>
        </w:rPr>
      </w:pPr>
      <w:r w:rsidRPr="006E55EA">
        <w:rPr>
          <w:b/>
          <w:lang w:val="en-GB"/>
        </w:rPr>
        <w:t xml:space="preserve">Non refoulement </w:t>
      </w:r>
    </w:p>
    <w:p w14:paraId="7900CC52" w14:textId="53E5C0BC" w:rsidR="002F38D8" w:rsidRPr="006E55EA" w:rsidRDefault="002F38D8" w:rsidP="00DF0EDC">
      <w:pPr>
        <w:rPr>
          <w:lang w:val="en-GB"/>
        </w:rPr>
      </w:pPr>
    </w:p>
    <w:p w14:paraId="37A50675" w14:textId="416069FA" w:rsidR="002F38D8" w:rsidRPr="006E55EA" w:rsidRDefault="002F38D8" w:rsidP="002F38D8">
      <w:pPr>
        <w:rPr>
          <w:rFonts w:ascii="Calibri" w:eastAsiaTheme="minorHAnsi" w:hAnsi="Calibri" w:cs="Calibri"/>
          <w:sz w:val="22"/>
          <w:szCs w:val="22"/>
          <w:lang w:val="en-GB"/>
        </w:rPr>
      </w:pPr>
      <w:r w:rsidRPr="006E55EA">
        <w:rPr>
          <w:lang w:val="en-GB"/>
        </w:rPr>
        <w:t xml:space="preserve">The </w:t>
      </w:r>
      <w:r w:rsidR="00F00A21" w:rsidRPr="006E55EA">
        <w:rPr>
          <w:lang w:val="en-GB"/>
        </w:rPr>
        <w:t xml:space="preserve">obligations relating to the </w:t>
      </w:r>
      <w:r w:rsidRPr="006E55EA">
        <w:rPr>
          <w:lang w:val="en-GB"/>
        </w:rPr>
        <w:t xml:space="preserve">prohibition on torture </w:t>
      </w:r>
      <w:r w:rsidRPr="002B40C6">
        <w:rPr>
          <w:lang w:val="en-GB"/>
        </w:rPr>
        <w:t xml:space="preserve">and </w:t>
      </w:r>
      <w:r w:rsidR="00F748C3" w:rsidRPr="002B40C6">
        <w:rPr>
          <w:lang w:val="en-GB"/>
        </w:rPr>
        <w:t xml:space="preserve">other </w:t>
      </w:r>
      <w:r w:rsidRPr="002B40C6">
        <w:rPr>
          <w:lang w:val="en-GB"/>
        </w:rPr>
        <w:t>cruel, inhuman or degrading treatment or punishment</w:t>
      </w:r>
      <w:r w:rsidR="00F748C3" w:rsidRPr="002B40C6">
        <w:rPr>
          <w:lang w:val="en-GB"/>
        </w:rPr>
        <w:t xml:space="preserve"> under Article 3 of the </w:t>
      </w:r>
      <w:r w:rsidR="00F748C3" w:rsidRPr="00A6095E">
        <w:rPr>
          <w:lang w:val="en-GB"/>
        </w:rPr>
        <w:t>Convention Against Torture and Other Cruel, Inhuman or Degrading Treatment or Punishment</w:t>
      </w:r>
      <w:r w:rsidR="00F748C3" w:rsidRPr="002B40C6">
        <w:rPr>
          <w:lang w:val="en-GB"/>
        </w:rPr>
        <w:t xml:space="preserve"> </w:t>
      </w:r>
      <w:r w:rsidR="00DE0064" w:rsidRPr="002B40C6">
        <w:rPr>
          <w:lang w:val="en-GB"/>
        </w:rPr>
        <w:t xml:space="preserve">(the CAT) </w:t>
      </w:r>
      <w:r w:rsidR="005A4EB0" w:rsidRPr="002B40C6">
        <w:rPr>
          <w:lang w:val="en-GB"/>
        </w:rPr>
        <w:t>and</w:t>
      </w:r>
      <w:r w:rsidR="00F748C3" w:rsidRPr="002B40C6">
        <w:rPr>
          <w:lang w:val="en-GB"/>
        </w:rPr>
        <w:t xml:space="preserve"> Article 7 of the ICCPR</w:t>
      </w:r>
      <w:r w:rsidR="005A4EB0" w:rsidRPr="002B40C6">
        <w:rPr>
          <w:lang w:val="en-GB"/>
        </w:rPr>
        <w:t>, as well as Article 6 of the ICCPR on the right</w:t>
      </w:r>
      <w:r w:rsidR="005A4EB0" w:rsidRPr="006E55EA">
        <w:rPr>
          <w:lang w:val="en-GB"/>
        </w:rPr>
        <w:t xml:space="preserve"> to life and prohibition on arbitrary deprivation of life</w:t>
      </w:r>
      <w:r w:rsidR="00DE0064" w:rsidRPr="006E55EA">
        <w:rPr>
          <w:lang w:val="en-GB"/>
        </w:rPr>
        <w:t>, are</w:t>
      </w:r>
      <w:r w:rsidR="005A4EB0" w:rsidRPr="006E55EA">
        <w:rPr>
          <w:lang w:val="en-GB"/>
        </w:rPr>
        <w:t xml:space="preserve"> engaged by the travel restrictions in the Declaration</w:t>
      </w:r>
      <w:r w:rsidRPr="006E55EA">
        <w:rPr>
          <w:lang w:val="en-GB"/>
        </w:rPr>
        <w:t xml:space="preserve">. </w:t>
      </w:r>
      <w:r w:rsidR="00DE0064" w:rsidRPr="006E55EA">
        <w:rPr>
          <w:lang w:val="en-GB"/>
        </w:rPr>
        <w:t>There is no permissible derogation from these implied or express non</w:t>
      </w:r>
      <w:r w:rsidR="002B40C6">
        <w:rPr>
          <w:lang w:val="en-GB"/>
        </w:rPr>
        <w:noBreakHyphen/>
      </w:r>
      <w:r w:rsidR="00DE0064" w:rsidRPr="006E55EA">
        <w:rPr>
          <w:lang w:val="en-GB"/>
        </w:rPr>
        <w:t xml:space="preserve">refoulement obligations. </w:t>
      </w:r>
    </w:p>
    <w:p w14:paraId="26381A0A" w14:textId="77777777" w:rsidR="002F38D8" w:rsidRPr="006E55EA" w:rsidRDefault="002F38D8" w:rsidP="002F38D8"/>
    <w:p w14:paraId="514BA5B5" w14:textId="1A285C01" w:rsidR="002F38D8" w:rsidRPr="006E55EA" w:rsidRDefault="002F38D8" w:rsidP="002F38D8">
      <w:r w:rsidRPr="006E55EA">
        <w:rPr>
          <w:lang w:val="en-GB"/>
        </w:rPr>
        <w:t xml:space="preserve">To the extent that </w:t>
      </w:r>
      <w:r w:rsidR="00DE0064" w:rsidRPr="006E55EA">
        <w:rPr>
          <w:lang w:val="en-GB"/>
        </w:rPr>
        <w:t xml:space="preserve">the </w:t>
      </w:r>
      <w:r w:rsidRPr="006E55EA">
        <w:rPr>
          <w:lang w:val="en-GB"/>
        </w:rPr>
        <w:t>travel ban</w:t>
      </w:r>
      <w:r w:rsidR="00DE0064" w:rsidRPr="006E55EA">
        <w:rPr>
          <w:lang w:val="en-GB"/>
        </w:rPr>
        <w:t>s imposed pursuant to the Declaration engage Australia’s non-refoulement obligations, the Regulations allow the Minister to waive the operation of a travel ban on the grounds that it would be either: (a) in the national  interest; or (b) on humanitarian grounds.</w:t>
      </w:r>
      <w:r w:rsidRPr="006E55EA">
        <w:rPr>
          <w:lang w:val="en-GB"/>
        </w:rPr>
        <w:t xml:space="preserve"> </w:t>
      </w:r>
      <w:r w:rsidR="00F12455" w:rsidRPr="006E55EA">
        <w:t xml:space="preserve">A travel ban may lead to the cancellation of a visa held by a non-citizen lawfully in </w:t>
      </w:r>
      <w:r w:rsidR="006E55EA" w:rsidRPr="006E55EA">
        <w:t>Australia, which</w:t>
      </w:r>
      <w:r w:rsidR="00F12455" w:rsidRPr="006E55EA">
        <w:t xml:space="preserve"> can lead to removal</w:t>
      </w:r>
      <w:r w:rsidR="00892566" w:rsidRPr="006E55EA">
        <w:t xml:space="preserve"> under </w:t>
      </w:r>
      <w:r w:rsidR="00830C0F" w:rsidRPr="006E55EA">
        <w:t>s</w:t>
      </w:r>
      <w:r w:rsidR="002B40C6">
        <w:t xml:space="preserve">ection </w:t>
      </w:r>
      <w:r w:rsidR="00830C0F" w:rsidRPr="006E55EA">
        <w:t xml:space="preserve">198 of </w:t>
      </w:r>
      <w:r w:rsidR="00892566" w:rsidRPr="006E55EA">
        <w:t xml:space="preserve">the </w:t>
      </w:r>
      <w:r w:rsidR="00892566" w:rsidRPr="006E55EA">
        <w:rPr>
          <w:i/>
        </w:rPr>
        <w:t>Migration Act 1958</w:t>
      </w:r>
      <w:r w:rsidR="00F12455" w:rsidRPr="006E55EA">
        <w:t>.</w:t>
      </w:r>
      <w:r w:rsidR="00F12455" w:rsidRPr="006E55EA">
        <w:rPr>
          <w:lang w:val="en-GB"/>
        </w:rPr>
        <w:t xml:space="preserve"> </w:t>
      </w:r>
      <w:r w:rsidRPr="006E55EA">
        <w:rPr>
          <w:lang w:val="en-GB"/>
        </w:rPr>
        <w:t>Australia will continue to meet its non</w:t>
      </w:r>
      <w:r w:rsidR="002B40C6">
        <w:rPr>
          <w:lang w:val="en-GB"/>
        </w:rPr>
        <w:noBreakHyphen/>
      </w:r>
      <w:r w:rsidRPr="006E55EA">
        <w:rPr>
          <w:lang w:val="en-GB"/>
        </w:rPr>
        <w:t xml:space="preserve">refoulement obligations through mechanisms </w:t>
      </w:r>
      <w:r w:rsidR="00CB5E8A" w:rsidRPr="006E55EA">
        <w:rPr>
          <w:lang w:val="en-GB"/>
        </w:rPr>
        <w:t xml:space="preserve">prior to the person becoming available for </w:t>
      </w:r>
      <w:r w:rsidRPr="006E55EA">
        <w:rPr>
          <w:lang w:val="en-GB"/>
        </w:rPr>
        <w:t xml:space="preserve">removal </w:t>
      </w:r>
      <w:r w:rsidR="00DE0064" w:rsidRPr="006E55EA">
        <w:rPr>
          <w:lang w:val="en-GB"/>
        </w:rPr>
        <w:t>under</w:t>
      </w:r>
      <w:r w:rsidRPr="006E55EA">
        <w:rPr>
          <w:lang w:val="en-GB"/>
        </w:rPr>
        <w:t xml:space="preserve"> the </w:t>
      </w:r>
      <w:r w:rsidRPr="006E55EA">
        <w:rPr>
          <w:i/>
          <w:lang w:val="en-GB"/>
        </w:rPr>
        <w:t>Migration Act 1958</w:t>
      </w:r>
      <w:r w:rsidRPr="006E55EA">
        <w:rPr>
          <w:lang w:val="en-GB"/>
        </w:rPr>
        <w:t>, including through the protection visa application process, and through the use of the Minister</w:t>
      </w:r>
      <w:r w:rsidR="00B7285E">
        <w:rPr>
          <w:lang w:val="en-GB"/>
        </w:rPr>
        <w:t xml:space="preserve"> for Home Affair</w:t>
      </w:r>
      <w:r w:rsidRPr="006E55EA">
        <w:rPr>
          <w:lang w:val="en-GB"/>
        </w:rPr>
        <w:t>s</w:t>
      </w:r>
      <w:r w:rsidR="00B7285E">
        <w:rPr>
          <w:lang w:val="en-GB"/>
        </w:rPr>
        <w:t>’</w:t>
      </w:r>
      <w:r w:rsidRPr="006E55EA">
        <w:rPr>
          <w:lang w:val="en-GB"/>
        </w:rPr>
        <w:t xml:space="preserve"> personal powers in the </w:t>
      </w:r>
      <w:r w:rsidRPr="006E55EA">
        <w:rPr>
          <w:i/>
          <w:lang w:val="en-GB"/>
        </w:rPr>
        <w:t>Migration Act 1958</w:t>
      </w:r>
      <w:r w:rsidRPr="006E55EA">
        <w:rPr>
          <w:lang w:val="en-GB"/>
        </w:rPr>
        <w:t>.</w:t>
      </w:r>
    </w:p>
    <w:p w14:paraId="5E20F3CF" w14:textId="77777777" w:rsidR="002F38D8" w:rsidRPr="006E55EA" w:rsidRDefault="002F38D8" w:rsidP="002F38D8"/>
    <w:p w14:paraId="31362AFC" w14:textId="195E640A" w:rsidR="002F38D8" w:rsidRPr="006E55EA" w:rsidRDefault="002F38D8" w:rsidP="002F38D8">
      <w:r w:rsidRPr="006E55EA">
        <w:t xml:space="preserve">The Declaration </w:t>
      </w:r>
      <w:r w:rsidR="00A963E0" w:rsidRPr="006E55EA">
        <w:t>is</w:t>
      </w:r>
      <w:r w:rsidRPr="006E55EA">
        <w:t xml:space="preserve"> consistent with Australia’s international non-refoulement obligations as</w:t>
      </w:r>
      <w:r w:rsidR="00610AEB" w:rsidRPr="006E55EA">
        <w:t xml:space="preserve">, </w:t>
      </w:r>
      <w:r w:rsidR="00610AEB" w:rsidRPr="006E55EA">
        <w:rPr>
          <w:bCs/>
        </w:rPr>
        <w:t>together with the Foreign Minister’s powers to revoke a Declaration or waive its operation in an individual case,</w:t>
      </w:r>
      <w:r w:rsidRPr="006E55EA">
        <w:t xml:space="preserve"> non</w:t>
      </w:r>
      <w:r w:rsidR="002B40C6">
        <w:noBreakHyphen/>
      </w:r>
      <w:r w:rsidRPr="006E55EA">
        <w:t xml:space="preserve">refoulement obligations are </w:t>
      </w:r>
      <w:r w:rsidR="00A963E0" w:rsidRPr="006E55EA">
        <w:t>considered prior to a person</w:t>
      </w:r>
      <w:r w:rsidR="00610AEB" w:rsidRPr="006E55EA">
        <w:t xml:space="preserve"> becoming available for</w:t>
      </w:r>
      <w:r w:rsidR="00A963E0" w:rsidRPr="006E55EA">
        <w:t xml:space="preserve"> </w:t>
      </w:r>
      <w:r w:rsidRPr="006E55EA">
        <w:t xml:space="preserve">removal under the </w:t>
      </w:r>
      <w:r w:rsidRPr="006E55EA">
        <w:rPr>
          <w:i/>
        </w:rPr>
        <w:t>Migration Act 1958</w:t>
      </w:r>
      <w:r w:rsidRPr="006E55EA">
        <w:t xml:space="preserve">.  A person must not be removed from Australia to another country if there is a real risk that the person may </w:t>
      </w:r>
      <w:r w:rsidR="0080722A" w:rsidRPr="006E55EA">
        <w:t>be subjected to arbitrary deprivation of life, the death penalty, torture, cruel or inhuman treatment or punishment, or degrading treatment or punishment</w:t>
      </w:r>
      <w:r w:rsidRPr="006E55EA">
        <w:t>.</w:t>
      </w:r>
    </w:p>
    <w:p w14:paraId="1AE8AC63" w14:textId="43072E28" w:rsidR="002F38D8" w:rsidRDefault="002F38D8" w:rsidP="00DF0EDC">
      <w:pPr>
        <w:rPr>
          <w:lang w:val="en-GB"/>
        </w:rPr>
      </w:pPr>
    </w:p>
    <w:p w14:paraId="25D0C1A9" w14:textId="467F617F" w:rsidR="002F38D8" w:rsidRDefault="002F38D8" w:rsidP="002F38D8">
      <w:pPr>
        <w:keepNext/>
        <w:keepLines/>
        <w:rPr>
          <w:b/>
        </w:rPr>
      </w:pPr>
      <w:r>
        <w:rPr>
          <w:b/>
        </w:rPr>
        <w:t>Right to equality and non-discrimination</w:t>
      </w:r>
    </w:p>
    <w:p w14:paraId="1FCC3049" w14:textId="7B3884F3" w:rsidR="002F38D8" w:rsidRDefault="002F38D8" w:rsidP="002F38D8">
      <w:pPr>
        <w:keepNext/>
        <w:keepLines/>
        <w:rPr>
          <w:b/>
        </w:rPr>
      </w:pPr>
    </w:p>
    <w:p w14:paraId="42516273" w14:textId="61868F5D" w:rsidR="002F38D8" w:rsidRPr="002F38D8" w:rsidRDefault="002F38D8" w:rsidP="002F38D8">
      <w:pPr>
        <w:keepNext/>
        <w:keepLines/>
        <w:rPr>
          <w:u w:val="single"/>
        </w:rPr>
      </w:pPr>
      <w:r w:rsidRPr="002F38D8">
        <w:rPr>
          <w:u w:val="single"/>
        </w:rPr>
        <w:t>Right</w:t>
      </w:r>
    </w:p>
    <w:p w14:paraId="54A2370D" w14:textId="77777777" w:rsidR="002F38D8" w:rsidRDefault="002F38D8" w:rsidP="002F38D8">
      <w:pPr>
        <w:rPr>
          <w:u w:val="single"/>
        </w:rPr>
      </w:pPr>
    </w:p>
    <w:p w14:paraId="6E26D293" w14:textId="77777777" w:rsidR="002F38D8" w:rsidRDefault="002F38D8" w:rsidP="002F38D8">
      <w: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Default="002F38D8" w:rsidP="002F38D8"/>
    <w:p w14:paraId="7A7B5AEF" w14:textId="331098A5" w:rsidR="002F38D8" w:rsidRDefault="002F38D8" w:rsidP="002F38D8">
      <w: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Default="002F38D8" w:rsidP="002F38D8"/>
    <w:p w14:paraId="574D3DB8" w14:textId="45F34FED" w:rsidR="002F38D8" w:rsidRPr="002F38D8" w:rsidRDefault="002F38D8" w:rsidP="002F38D8">
      <w:pPr>
        <w:rPr>
          <w:u w:val="single"/>
        </w:rPr>
      </w:pPr>
      <w:r w:rsidRPr="002F38D8">
        <w:rPr>
          <w:u w:val="single"/>
        </w:rPr>
        <w:t xml:space="preserve">Permissible limitations </w:t>
      </w:r>
    </w:p>
    <w:p w14:paraId="695C8F16" w14:textId="77777777" w:rsidR="002F38D8" w:rsidRDefault="002F38D8" w:rsidP="002F38D8">
      <w:pPr>
        <w:rPr>
          <w:u w:val="single"/>
        </w:rPr>
      </w:pPr>
    </w:p>
    <w:p w14:paraId="1EEA4065" w14:textId="553086A8" w:rsidR="002F38D8" w:rsidRDefault="00FB47A2" w:rsidP="002F38D8">
      <w:r>
        <w:t>Any</w:t>
      </w:r>
      <w:r w:rsidR="002F38D8">
        <w:t xml:space="preserve"> differential treatment of people as a consequence of the application of the Declaration does not amount to discrimination pursuant to Article 26 of the ICCPR. </w:t>
      </w:r>
    </w:p>
    <w:p w14:paraId="1BB530C5" w14:textId="77777777" w:rsidR="002F38D8" w:rsidRDefault="002F38D8" w:rsidP="002F38D8"/>
    <w:p w14:paraId="111CB363" w14:textId="77777777" w:rsidR="002F38D8" w:rsidRDefault="002F38D8" w:rsidP="002F38D8">
      <w: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151A8AD3" w14:textId="77777777" w:rsidR="002F38D8" w:rsidRDefault="002F38D8" w:rsidP="002F38D8"/>
    <w:p w14:paraId="023984D6" w14:textId="4807AB49" w:rsidR="00FD5C80" w:rsidRDefault="002F38D8" w:rsidP="00DF0EDC">
      <w:r>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w:t>
      </w:r>
      <w:r w:rsidR="00190084">
        <w:t xml:space="preserve">In this case, the measures will predominately impact persons of Russian and Ukrainian national origin or nationality due to the location of the situation of international concern to which the measures respond. </w:t>
      </w:r>
    </w:p>
    <w:p w14:paraId="53B74E0C" w14:textId="77777777" w:rsidR="00FD5C80" w:rsidRDefault="00FD5C80" w:rsidP="00DF0EDC"/>
    <w:p w14:paraId="35505468" w14:textId="2642F4BA" w:rsidR="00DF0EDC" w:rsidRDefault="00FB47A2" w:rsidP="00DF0EDC">
      <w:r>
        <w:t>D</w:t>
      </w:r>
      <w:r w:rsidR="00DF0EDC">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w:t>
      </w:r>
      <w:r>
        <w:t>there is no</w:t>
      </w:r>
      <w:r w:rsidR="00DF0EDC">
        <w:t xml:space="preserve"> information t</w:t>
      </w:r>
      <w:r>
        <w:t>o</w:t>
      </w:r>
      <w:r w:rsidR="00FC757A">
        <w:t xml:space="preserve"> </w:t>
      </w:r>
      <w:r w:rsidR="00DF0EDC">
        <w:t>support the view that affected groups are vulnerable. Rather, the individuals designated in the Declaration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65C2EA1A" w14:textId="480A531F" w:rsidR="00DF0EDC" w:rsidRDefault="00DF0EDC" w:rsidP="00DF0EDC"/>
    <w:p w14:paraId="34636FB2" w14:textId="77777777" w:rsidR="00DF0EDC" w:rsidRPr="00953A70" w:rsidRDefault="00DF0EDC" w:rsidP="00DF0EDC">
      <w:pPr>
        <w:rPr>
          <w:b/>
        </w:rPr>
      </w:pPr>
    </w:p>
    <w:p w14:paraId="65C0CF03" w14:textId="77777777" w:rsidR="00A0099A" w:rsidRDefault="00A0099A"/>
    <w:sectPr w:rsidR="00A0099A" w:rsidSect="00A6095E">
      <w:footerReference w:type="default" r:id="rId12"/>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D9E4" w14:textId="77777777" w:rsidR="00DF0EDC" w:rsidRDefault="00DF0EDC" w:rsidP="00DF0EDC">
      <w:r>
        <w:separator/>
      </w:r>
    </w:p>
  </w:endnote>
  <w:endnote w:type="continuationSeparator" w:id="0">
    <w:p w14:paraId="3EBCFE25" w14:textId="77777777" w:rsidR="00DF0EDC" w:rsidRDefault="00DF0EDC" w:rsidP="00DF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40598"/>
      <w:docPartObj>
        <w:docPartGallery w:val="Page Numbers (Bottom of Page)"/>
        <w:docPartUnique/>
      </w:docPartObj>
    </w:sdtPr>
    <w:sdtEndPr>
      <w:rPr>
        <w:noProof/>
      </w:rPr>
    </w:sdtEndPr>
    <w:sdtContent>
      <w:p w14:paraId="0EA820BE" w14:textId="2893DC90"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B529C">
          <w:rPr>
            <w:rFonts w:ascii="Times New Roman" w:hAnsi="Times New Roman"/>
            <w:i w:val="0"/>
            <w:noProof/>
            <w:sz w:val="24"/>
            <w:szCs w:val="24"/>
          </w:rPr>
          <w:t>4</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476B2944"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B529C">
          <w:rPr>
            <w:rFonts w:ascii="Times New Roman" w:hAnsi="Times New Roman"/>
            <w:i w:val="0"/>
            <w:noProof/>
            <w:sz w:val="24"/>
            <w:szCs w:val="24"/>
          </w:rPr>
          <w:t>3</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1259" w14:textId="77777777" w:rsidR="00DF0EDC" w:rsidRDefault="00DF0EDC" w:rsidP="00DF0EDC">
      <w:r>
        <w:separator/>
      </w:r>
    </w:p>
  </w:footnote>
  <w:footnote w:type="continuationSeparator" w:id="0">
    <w:p w14:paraId="39B73BCD" w14:textId="77777777" w:rsidR="00DF0EDC" w:rsidRDefault="00DF0EDC" w:rsidP="00DF0EDC">
      <w:r>
        <w:continuationSeparator/>
      </w:r>
    </w:p>
  </w:footnote>
  <w:footnote w:id="1">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FD27" w14:textId="77777777" w:rsidR="00DF0EDC" w:rsidRPr="00F30A0C" w:rsidRDefault="00DF0EDC" w:rsidP="00822E6F">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2"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6"/>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DC"/>
    <w:rsid w:val="00042748"/>
    <w:rsid w:val="00060F33"/>
    <w:rsid w:val="00081C77"/>
    <w:rsid w:val="000F23A3"/>
    <w:rsid w:val="00144DE4"/>
    <w:rsid w:val="001655BB"/>
    <w:rsid w:val="0017427F"/>
    <w:rsid w:val="00190084"/>
    <w:rsid w:val="00190CAD"/>
    <w:rsid w:val="001B2163"/>
    <w:rsid w:val="001C14FF"/>
    <w:rsid w:val="001C5BA3"/>
    <w:rsid w:val="00260956"/>
    <w:rsid w:val="00267F51"/>
    <w:rsid w:val="00277C5C"/>
    <w:rsid w:val="002B40C6"/>
    <w:rsid w:val="002F38D8"/>
    <w:rsid w:val="0032004B"/>
    <w:rsid w:val="003273EA"/>
    <w:rsid w:val="003333E7"/>
    <w:rsid w:val="003419DD"/>
    <w:rsid w:val="00373F92"/>
    <w:rsid w:val="0038715E"/>
    <w:rsid w:val="00396E57"/>
    <w:rsid w:val="003B40A1"/>
    <w:rsid w:val="003E06D0"/>
    <w:rsid w:val="003E0C92"/>
    <w:rsid w:val="00420FB3"/>
    <w:rsid w:val="00473861"/>
    <w:rsid w:val="00480A3B"/>
    <w:rsid w:val="00480C36"/>
    <w:rsid w:val="00486A80"/>
    <w:rsid w:val="004D6105"/>
    <w:rsid w:val="004D6776"/>
    <w:rsid w:val="004D6C4D"/>
    <w:rsid w:val="005051D0"/>
    <w:rsid w:val="00523802"/>
    <w:rsid w:val="00531E45"/>
    <w:rsid w:val="00567EBC"/>
    <w:rsid w:val="005A4EB0"/>
    <w:rsid w:val="00610AEB"/>
    <w:rsid w:val="00614315"/>
    <w:rsid w:val="006D3FF7"/>
    <w:rsid w:val="006D651B"/>
    <w:rsid w:val="006E55EA"/>
    <w:rsid w:val="0070624B"/>
    <w:rsid w:val="00756788"/>
    <w:rsid w:val="00786E87"/>
    <w:rsid w:val="007D1E27"/>
    <w:rsid w:val="007E5B16"/>
    <w:rsid w:val="007E652C"/>
    <w:rsid w:val="0080722A"/>
    <w:rsid w:val="00815FD5"/>
    <w:rsid w:val="00820D34"/>
    <w:rsid w:val="00830C0F"/>
    <w:rsid w:val="00855F26"/>
    <w:rsid w:val="00855F41"/>
    <w:rsid w:val="00870708"/>
    <w:rsid w:val="00892566"/>
    <w:rsid w:val="008A0632"/>
    <w:rsid w:val="008B7A72"/>
    <w:rsid w:val="008C540D"/>
    <w:rsid w:val="008E5476"/>
    <w:rsid w:val="0092146E"/>
    <w:rsid w:val="009261CC"/>
    <w:rsid w:val="009D3EE8"/>
    <w:rsid w:val="00A0099A"/>
    <w:rsid w:val="00A25374"/>
    <w:rsid w:val="00A6095E"/>
    <w:rsid w:val="00A72C97"/>
    <w:rsid w:val="00A734E7"/>
    <w:rsid w:val="00A963E0"/>
    <w:rsid w:val="00AC2344"/>
    <w:rsid w:val="00AD0F85"/>
    <w:rsid w:val="00AE22A4"/>
    <w:rsid w:val="00AE3046"/>
    <w:rsid w:val="00B5664E"/>
    <w:rsid w:val="00B65250"/>
    <w:rsid w:val="00B7285E"/>
    <w:rsid w:val="00BA2E9A"/>
    <w:rsid w:val="00BA40F9"/>
    <w:rsid w:val="00BB343F"/>
    <w:rsid w:val="00BB529C"/>
    <w:rsid w:val="00BF4130"/>
    <w:rsid w:val="00C0011F"/>
    <w:rsid w:val="00C029DC"/>
    <w:rsid w:val="00C042C2"/>
    <w:rsid w:val="00C46B78"/>
    <w:rsid w:val="00C549D9"/>
    <w:rsid w:val="00C63A69"/>
    <w:rsid w:val="00C70B47"/>
    <w:rsid w:val="00C953D7"/>
    <w:rsid w:val="00CA693B"/>
    <w:rsid w:val="00CB5E8A"/>
    <w:rsid w:val="00CD10D5"/>
    <w:rsid w:val="00D25091"/>
    <w:rsid w:val="00D527EF"/>
    <w:rsid w:val="00D700C9"/>
    <w:rsid w:val="00D947C6"/>
    <w:rsid w:val="00DB6D15"/>
    <w:rsid w:val="00DE0064"/>
    <w:rsid w:val="00DE5CA0"/>
    <w:rsid w:val="00DF0EDC"/>
    <w:rsid w:val="00DF6C2F"/>
    <w:rsid w:val="00E1561C"/>
    <w:rsid w:val="00E5161F"/>
    <w:rsid w:val="00EA53F3"/>
    <w:rsid w:val="00ED39CF"/>
    <w:rsid w:val="00F00A21"/>
    <w:rsid w:val="00F12455"/>
    <w:rsid w:val="00F24F1A"/>
    <w:rsid w:val="00F641E7"/>
    <w:rsid w:val="00F748C3"/>
    <w:rsid w:val="00F93445"/>
    <w:rsid w:val="00F94522"/>
    <w:rsid w:val="00FA7EDB"/>
    <w:rsid w:val="00FB3986"/>
    <w:rsid w:val="00FB47A2"/>
    <w:rsid w:val="00FC7494"/>
    <w:rsid w:val="00FC757A"/>
    <w:rsid w:val="00FD19DE"/>
    <w:rsid w:val="00FD5C80"/>
    <w:rsid w:val="00FE52A9"/>
    <w:rsid w:val="00FF2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ED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567D-952B-4A4F-8CCE-D94F081E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3889</Words>
  <Characters>22172</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
  <dc:description/>
  <cp:lastModifiedBy>Dybing, Kiersten</cp:lastModifiedBy>
  <cp:revision>2</cp:revision>
  <dcterms:created xsi:type="dcterms:W3CDTF">2020-05-18T23:46:00Z</dcterms:created>
  <dcterms:modified xsi:type="dcterms:W3CDTF">2020-05-18T23:46:00Z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UNCLASSIFIED</vt:lpwstr>
  </property>
  <property fmtid="{D5CDD505-2E9C-101B-9397-08002B2CF9AE}" pid="4" name="DLM">
    <vt:lpwstr>No DLM</vt:lpwstr>
  </property>
</Properties>
</file>