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14A0" w14:textId="77777777" w:rsidR="00A158A8" w:rsidRPr="004278BC" w:rsidRDefault="00A158A8" w:rsidP="00A158A8">
      <w:pPr>
        <w:jc w:val="center"/>
        <w:outlineLvl w:val="0"/>
        <w:rPr>
          <w:b/>
          <w:szCs w:val="24"/>
          <w:u w:val="single"/>
        </w:rPr>
      </w:pPr>
      <w:bookmarkStart w:id="0" w:name="_GoBack"/>
      <w:bookmarkEnd w:id="0"/>
      <w:r w:rsidRPr="004278BC">
        <w:rPr>
          <w:b/>
          <w:szCs w:val="24"/>
          <w:u w:val="single"/>
        </w:rPr>
        <w:t>EXPLANATORY STATEMENT</w:t>
      </w:r>
    </w:p>
    <w:p w14:paraId="272D345D" w14:textId="77777777" w:rsidR="00A158A8" w:rsidRPr="004278BC" w:rsidRDefault="00A158A8" w:rsidP="00A158A8">
      <w:pPr>
        <w:jc w:val="center"/>
        <w:rPr>
          <w:szCs w:val="24"/>
        </w:rPr>
      </w:pPr>
    </w:p>
    <w:p w14:paraId="77F3E3C6" w14:textId="1ECE2FB6" w:rsidR="000A3C97" w:rsidRDefault="00A158A8" w:rsidP="00A158A8">
      <w:pPr>
        <w:jc w:val="center"/>
        <w:rPr>
          <w:szCs w:val="24"/>
          <w:u w:val="single"/>
        </w:rPr>
      </w:pPr>
      <w:r w:rsidRPr="004278BC">
        <w:rPr>
          <w:szCs w:val="24"/>
          <w:u w:val="single"/>
        </w:rPr>
        <w:t>Issued by the authority of the Minister for</w:t>
      </w:r>
      <w:r w:rsidR="000A3C97">
        <w:rPr>
          <w:szCs w:val="24"/>
          <w:u w:val="single"/>
        </w:rPr>
        <w:t xml:space="preserve"> Veterans and</w:t>
      </w:r>
      <w:r w:rsidR="0007637C">
        <w:rPr>
          <w:szCs w:val="24"/>
          <w:u w:val="single"/>
        </w:rPr>
        <w:t xml:space="preserve"> Minister for</w:t>
      </w:r>
      <w:r w:rsidR="000A3C97">
        <w:rPr>
          <w:szCs w:val="24"/>
          <w:u w:val="single"/>
        </w:rPr>
        <w:t xml:space="preserve"> </w:t>
      </w:r>
      <w:r w:rsidRPr="004278BC">
        <w:rPr>
          <w:szCs w:val="24"/>
          <w:u w:val="single"/>
        </w:rPr>
        <w:t>Defence</w:t>
      </w:r>
      <w:r w:rsidR="0007637C">
        <w:rPr>
          <w:szCs w:val="24"/>
          <w:u w:val="single"/>
        </w:rPr>
        <w:t xml:space="preserve"> Personnel</w:t>
      </w:r>
    </w:p>
    <w:p w14:paraId="68068E58" w14:textId="77777777" w:rsidR="000A3C97" w:rsidRDefault="000A3C97" w:rsidP="00A158A8">
      <w:pPr>
        <w:jc w:val="center"/>
        <w:rPr>
          <w:szCs w:val="24"/>
          <w:u w:val="single"/>
        </w:rPr>
      </w:pPr>
    </w:p>
    <w:p w14:paraId="1DF8E166" w14:textId="77777777" w:rsidR="000A3C97" w:rsidRDefault="000A3C97" w:rsidP="00A158A8">
      <w:pPr>
        <w:jc w:val="center"/>
        <w:rPr>
          <w:i/>
          <w:szCs w:val="24"/>
        </w:rPr>
      </w:pPr>
      <w:r w:rsidRPr="000A3C97">
        <w:rPr>
          <w:i/>
          <w:szCs w:val="24"/>
        </w:rPr>
        <w:t>Defence Home Ownership Assistance Scheme Act 2008</w:t>
      </w:r>
    </w:p>
    <w:p w14:paraId="33481933" w14:textId="6B427A66" w:rsidR="00A158A8" w:rsidRPr="009B293E" w:rsidRDefault="00A158A8" w:rsidP="009B293E">
      <w:pPr>
        <w:jc w:val="center"/>
        <w:rPr>
          <w:i/>
          <w:szCs w:val="24"/>
        </w:rPr>
      </w:pPr>
      <w:r w:rsidRPr="000A3C97">
        <w:rPr>
          <w:i/>
          <w:szCs w:val="24"/>
        </w:rPr>
        <w:t xml:space="preserve"> </w:t>
      </w:r>
    </w:p>
    <w:p w14:paraId="21BE89E8" w14:textId="75C06AB6" w:rsidR="003F4A77" w:rsidRDefault="00B425C1" w:rsidP="00BC0888">
      <w:pPr>
        <w:jc w:val="center"/>
        <w:rPr>
          <w:i/>
        </w:rPr>
      </w:pPr>
      <w:r>
        <w:rPr>
          <w:i/>
        </w:rPr>
        <w:t>Def</w:t>
      </w:r>
      <w:r w:rsidR="000A3C97">
        <w:rPr>
          <w:i/>
        </w:rPr>
        <w:t>ence Home Ownership Assistance Scheme Amendment (Period of Effective Service) Regulations 2020</w:t>
      </w:r>
    </w:p>
    <w:p w14:paraId="71CAAE51" w14:textId="77777777" w:rsidR="00DE7361" w:rsidRDefault="00DE7361" w:rsidP="00BC0888">
      <w:pPr>
        <w:jc w:val="center"/>
        <w:rPr>
          <w:i/>
        </w:rPr>
      </w:pPr>
    </w:p>
    <w:p w14:paraId="30A6AE79" w14:textId="181A9389" w:rsidR="000A3C97" w:rsidRPr="004278BC" w:rsidRDefault="000A3C97" w:rsidP="007271C6">
      <w:pPr>
        <w:rPr>
          <w:szCs w:val="24"/>
        </w:rPr>
      </w:pPr>
    </w:p>
    <w:p w14:paraId="3214DBE8" w14:textId="1AA3D42F" w:rsidR="003A72C7" w:rsidRDefault="003A72C7" w:rsidP="003A72C7">
      <w:pPr>
        <w:rPr>
          <w:rFonts w:eastAsia="Calibri"/>
          <w:szCs w:val="24"/>
        </w:rPr>
      </w:pPr>
      <w:r>
        <w:rPr>
          <w:rFonts w:eastAsia="Calibri"/>
          <w:szCs w:val="24"/>
        </w:rPr>
        <w:t xml:space="preserve">The </w:t>
      </w:r>
      <w:r w:rsidRPr="003A72C7">
        <w:rPr>
          <w:rFonts w:eastAsia="Calibri"/>
          <w:i/>
          <w:szCs w:val="24"/>
        </w:rPr>
        <w:t>Defence Home Ownership Assistance Scheme Amendment (Period of Effective Service) Regulations 2020</w:t>
      </w:r>
      <w:r>
        <w:rPr>
          <w:rFonts w:eastAsia="Calibri"/>
          <w:szCs w:val="24"/>
        </w:rPr>
        <w:t xml:space="preserve"> (</w:t>
      </w:r>
      <w:r w:rsidR="009B293E">
        <w:rPr>
          <w:rFonts w:eastAsia="Calibri"/>
          <w:szCs w:val="24"/>
        </w:rPr>
        <w:t xml:space="preserve">the </w:t>
      </w:r>
      <w:r>
        <w:rPr>
          <w:rFonts w:eastAsia="Calibri"/>
          <w:szCs w:val="24"/>
        </w:rPr>
        <w:t xml:space="preserve">Regulations) make an amendment consequential to </w:t>
      </w:r>
      <w:r w:rsidR="00565ABA">
        <w:rPr>
          <w:rFonts w:eastAsia="Calibri"/>
          <w:szCs w:val="24"/>
        </w:rPr>
        <w:t xml:space="preserve">recent </w:t>
      </w:r>
      <w:r>
        <w:rPr>
          <w:rFonts w:eastAsia="Calibri"/>
          <w:szCs w:val="24"/>
        </w:rPr>
        <w:t xml:space="preserve">amendments made to the </w:t>
      </w:r>
      <w:r w:rsidRPr="00D23D9F">
        <w:rPr>
          <w:rFonts w:eastAsia="Calibri"/>
          <w:i/>
          <w:szCs w:val="24"/>
        </w:rPr>
        <w:t>Defence</w:t>
      </w:r>
      <w:r>
        <w:rPr>
          <w:rFonts w:eastAsia="Calibri"/>
          <w:i/>
          <w:szCs w:val="24"/>
        </w:rPr>
        <w:t xml:space="preserve"> Home Ownership Assistance Scheme</w:t>
      </w:r>
      <w:r w:rsidRPr="00D23D9F">
        <w:rPr>
          <w:rFonts w:eastAsia="Calibri"/>
          <w:i/>
          <w:szCs w:val="24"/>
        </w:rPr>
        <w:t xml:space="preserve"> Act </w:t>
      </w:r>
      <w:r>
        <w:rPr>
          <w:rFonts w:eastAsia="Calibri"/>
          <w:i/>
          <w:szCs w:val="24"/>
        </w:rPr>
        <w:t>20</w:t>
      </w:r>
      <w:r w:rsidRPr="00D23D9F">
        <w:rPr>
          <w:rFonts w:eastAsia="Calibri"/>
          <w:i/>
          <w:szCs w:val="24"/>
        </w:rPr>
        <w:t>0</w:t>
      </w:r>
      <w:r>
        <w:rPr>
          <w:rFonts w:eastAsia="Calibri"/>
          <w:i/>
          <w:szCs w:val="24"/>
        </w:rPr>
        <w:t>8</w:t>
      </w:r>
      <w:r w:rsidRPr="002020BC">
        <w:rPr>
          <w:rFonts w:eastAsia="Calibri"/>
          <w:szCs w:val="24"/>
        </w:rPr>
        <w:t xml:space="preserve"> (the Act)</w:t>
      </w:r>
      <w:r>
        <w:rPr>
          <w:rFonts w:eastAsia="Calibri"/>
          <w:szCs w:val="24"/>
        </w:rPr>
        <w:t>.</w:t>
      </w:r>
    </w:p>
    <w:p w14:paraId="654523D4" w14:textId="77777777" w:rsidR="003A72C7" w:rsidRDefault="003A72C7" w:rsidP="003A72C7">
      <w:pPr>
        <w:rPr>
          <w:rFonts w:eastAsia="Calibri"/>
          <w:szCs w:val="24"/>
        </w:rPr>
      </w:pPr>
    </w:p>
    <w:p w14:paraId="287C5FF9" w14:textId="77777777" w:rsidR="003A72C7" w:rsidRDefault="003A72C7" w:rsidP="003A72C7">
      <w:pPr>
        <w:rPr>
          <w:rFonts w:eastAsia="Calibri"/>
          <w:szCs w:val="24"/>
        </w:rPr>
      </w:pPr>
      <w:r w:rsidRPr="002020BC">
        <w:rPr>
          <w:rFonts w:eastAsia="Calibri"/>
          <w:szCs w:val="24"/>
        </w:rPr>
        <w:t xml:space="preserve">The purpose of the </w:t>
      </w:r>
      <w:r>
        <w:rPr>
          <w:rFonts w:eastAsia="Calibri"/>
          <w:szCs w:val="24"/>
        </w:rPr>
        <w:t xml:space="preserve">Act </w:t>
      </w:r>
      <w:r w:rsidRPr="002020BC">
        <w:rPr>
          <w:rFonts w:eastAsia="Calibri"/>
          <w:szCs w:val="24"/>
        </w:rPr>
        <w:t>is to provide</w:t>
      </w:r>
      <w:r>
        <w:rPr>
          <w:rFonts w:eastAsia="Calibri"/>
          <w:szCs w:val="24"/>
        </w:rPr>
        <w:t xml:space="preserve"> a home ownership assistance scheme (the scheme) to assist Australian Defence Force (ADF) members to achieve home ownership. </w:t>
      </w:r>
    </w:p>
    <w:p w14:paraId="467A92C5" w14:textId="77777777" w:rsidR="003A72C7" w:rsidRDefault="003A72C7" w:rsidP="003A72C7">
      <w:pPr>
        <w:rPr>
          <w:rFonts w:eastAsia="Calibri"/>
          <w:szCs w:val="24"/>
        </w:rPr>
      </w:pPr>
    </w:p>
    <w:p w14:paraId="675D7C0F" w14:textId="77777777" w:rsidR="003A72C7" w:rsidRDefault="003A72C7" w:rsidP="003A72C7">
      <w:pPr>
        <w:rPr>
          <w:rFonts w:eastAsia="Calibri"/>
          <w:szCs w:val="24"/>
        </w:rPr>
      </w:pPr>
      <w:r>
        <w:rPr>
          <w:rFonts w:eastAsia="Calibri"/>
          <w:szCs w:val="24"/>
        </w:rPr>
        <w:t xml:space="preserve">Under the scheme, ADF members who have completed a sufficient period of effective service are eligible to receive a monthly subsidy to be paid against a home loan for a home in which they and their family live. </w:t>
      </w:r>
    </w:p>
    <w:p w14:paraId="086D4C41" w14:textId="77777777" w:rsidR="003A72C7" w:rsidRDefault="003A72C7" w:rsidP="003A72C7">
      <w:pPr>
        <w:rPr>
          <w:rFonts w:eastAsia="Calibri"/>
          <w:szCs w:val="24"/>
        </w:rPr>
      </w:pPr>
    </w:p>
    <w:p w14:paraId="6413164E" w14:textId="77777777" w:rsidR="003A72C7" w:rsidRDefault="003A72C7" w:rsidP="003A72C7">
      <w:pPr>
        <w:rPr>
          <w:rFonts w:eastAsia="Calibri"/>
          <w:szCs w:val="24"/>
        </w:rPr>
      </w:pPr>
      <w:r>
        <w:rPr>
          <w:rFonts w:eastAsia="Calibri"/>
          <w:szCs w:val="24"/>
        </w:rPr>
        <w:t>An ADF member who remains an eligible scheme recipient when they separate from the ADF can continue to access the scheme post their ADF career subject to some specific requirements. At present, a member must generally apply for a subsidy certificate within two years of leaving the ADF. There is discretion to extend the two year period if the member has a compensable condition that led to their failure to apply for the subsidy within two years. The limited period was included in the scheme to encourage members to use their remaining entitlement as soon as possible after leaving the ADF to assist with their resettlement in the community.</w:t>
      </w:r>
    </w:p>
    <w:p w14:paraId="4B4B8D1F" w14:textId="77777777" w:rsidR="003A72C7" w:rsidRDefault="003A72C7" w:rsidP="003A72C7">
      <w:pPr>
        <w:rPr>
          <w:rFonts w:eastAsia="Calibri"/>
          <w:szCs w:val="24"/>
        </w:rPr>
      </w:pPr>
    </w:p>
    <w:p w14:paraId="2C71AF7C" w14:textId="6CD97B99" w:rsidR="003A72C7" w:rsidRDefault="003A72C7" w:rsidP="003A72C7">
      <w:pPr>
        <w:rPr>
          <w:rFonts w:eastAsia="Calibri"/>
          <w:szCs w:val="24"/>
        </w:rPr>
      </w:pPr>
      <w:r>
        <w:rPr>
          <w:rFonts w:eastAsia="Calibri"/>
          <w:szCs w:val="24"/>
        </w:rPr>
        <w:t xml:space="preserve">Recent amendments to the Act permit an eligible ADF member who leaves the ADF to apply for a subsidy certificate for up to five years after leaving the ADF. The extension of two years to five years will assist members transitioning to civilian life by allowing additional time to look for suitable accommodation before applying and accessing their final DHOAS certificate. </w:t>
      </w:r>
    </w:p>
    <w:p w14:paraId="2065FDFE" w14:textId="77777777" w:rsidR="003A72C7" w:rsidRDefault="003A72C7" w:rsidP="003A72C7">
      <w:pPr>
        <w:rPr>
          <w:rFonts w:eastAsia="Calibri"/>
          <w:szCs w:val="24"/>
        </w:rPr>
      </w:pPr>
    </w:p>
    <w:p w14:paraId="03CDB9DE" w14:textId="705E8CF1" w:rsidR="003A72C7" w:rsidRDefault="003A72C7" w:rsidP="003A72C7">
      <w:r w:rsidRPr="007D7EEC">
        <w:t xml:space="preserve">The purpose </w:t>
      </w:r>
      <w:r w:rsidR="00565ABA">
        <w:t>of the Regulations is</w:t>
      </w:r>
      <w:r w:rsidRPr="007D7EEC">
        <w:t xml:space="preserve"> to repeal subsection 11(5) of the </w:t>
      </w:r>
      <w:r w:rsidRPr="007D7EEC">
        <w:rPr>
          <w:i/>
        </w:rPr>
        <w:t>Defence Home Ownership Assistance Scheme Regulations 2018</w:t>
      </w:r>
      <w:r>
        <w:t xml:space="preserve"> to ensure consistency with the recent Act amendments.</w:t>
      </w:r>
    </w:p>
    <w:p w14:paraId="06601CCB" w14:textId="7651FD59" w:rsidR="003A72C7" w:rsidRDefault="003A72C7" w:rsidP="003A72C7">
      <w:pPr>
        <w:spacing w:before="120"/>
      </w:pPr>
      <w:r w:rsidRPr="00840AC5">
        <w:t xml:space="preserve">Currently, subsection 11(5) prevents prior service being recognised as effective service for members joining the Reserves more than two years, but less than </w:t>
      </w:r>
      <w:r>
        <w:t>five</w:t>
      </w:r>
      <w:r w:rsidRPr="00840AC5">
        <w:t xml:space="preserve"> years after transitioning out of the ADF. </w:t>
      </w:r>
      <w:r>
        <w:t xml:space="preserve">The Regulations remove this restriction, so that members joining the Reserves within five years can still have their prior service recognised as effective service. </w:t>
      </w:r>
    </w:p>
    <w:p w14:paraId="0CF3364F" w14:textId="77777777" w:rsidR="00565ABA" w:rsidRDefault="00565ABA" w:rsidP="003A72C7">
      <w:pPr>
        <w:spacing w:before="120"/>
      </w:pPr>
    </w:p>
    <w:p w14:paraId="06DBF6F7" w14:textId="42712CA7" w:rsidR="00396047" w:rsidRDefault="00396047" w:rsidP="00396047">
      <w:r>
        <w:t xml:space="preserve">Details of the </w:t>
      </w:r>
      <w:r w:rsidR="009B293E">
        <w:t>Regulations</w:t>
      </w:r>
      <w:r>
        <w:t xml:space="preserve"> are set out in the </w:t>
      </w:r>
      <w:r w:rsidRPr="00396047">
        <w:rPr>
          <w:u w:val="single"/>
        </w:rPr>
        <w:t>Attachment A</w:t>
      </w:r>
      <w:r>
        <w:t>.</w:t>
      </w:r>
    </w:p>
    <w:p w14:paraId="4CB2EA86" w14:textId="11812443" w:rsidR="00396047" w:rsidRDefault="00396047" w:rsidP="00A158A8">
      <w:pPr>
        <w:rPr>
          <w:szCs w:val="24"/>
        </w:rPr>
      </w:pPr>
    </w:p>
    <w:p w14:paraId="47FF87DC" w14:textId="77777777" w:rsidR="009B293E" w:rsidRDefault="009B293E" w:rsidP="009B293E">
      <w:r>
        <w:t xml:space="preserve">The Statement of Compatibility with Human Rights is at </w:t>
      </w:r>
      <w:r w:rsidRPr="002046BB">
        <w:rPr>
          <w:u w:val="single"/>
        </w:rPr>
        <w:t>Attachment B</w:t>
      </w:r>
      <w:r>
        <w:t>.</w:t>
      </w:r>
    </w:p>
    <w:p w14:paraId="2258E96C" w14:textId="77777777" w:rsidR="009B293E" w:rsidRDefault="009B293E" w:rsidP="00A158A8">
      <w:pPr>
        <w:rPr>
          <w:szCs w:val="24"/>
        </w:rPr>
      </w:pPr>
    </w:p>
    <w:p w14:paraId="2DA4D924" w14:textId="52B0A66D" w:rsidR="00A158A8" w:rsidRPr="004C3D3D" w:rsidRDefault="00A158A8" w:rsidP="00A158A8">
      <w:pPr>
        <w:rPr>
          <w:szCs w:val="24"/>
        </w:rPr>
      </w:pPr>
      <w:r w:rsidRPr="004C3D3D">
        <w:rPr>
          <w:szCs w:val="24"/>
        </w:rPr>
        <w:t>The Act specifies no condition that must be me</w:t>
      </w:r>
      <w:r w:rsidR="00493287">
        <w:rPr>
          <w:szCs w:val="24"/>
        </w:rPr>
        <w:t xml:space="preserve">t before the power to make the </w:t>
      </w:r>
      <w:r w:rsidRPr="004C3D3D">
        <w:rPr>
          <w:szCs w:val="24"/>
        </w:rPr>
        <w:t>Regulations may be exercised.</w:t>
      </w:r>
    </w:p>
    <w:p w14:paraId="41A3987F" w14:textId="77777777" w:rsidR="0008563E" w:rsidRPr="004C3D3D" w:rsidRDefault="0008563E" w:rsidP="00A158A8">
      <w:pPr>
        <w:rPr>
          <w:szCs w:val="24"/>
        </w:rPr>
      </w:pPr>
    </w:p>
    <w:p w14:paraId="282AFAF8" w14:textId="0ACADD1C" w:rsidR="00A158A8" w:rsidRPr="004278BC" w:rsidRDefault="00A158A8" w:rsidP="00A158A8">
      <w:pPr>
        <w:rPr>
          <w:szCs w:val="24"/>
        </w:rPr>
      </w:pPr>
      <w:r w:rsidRPr="004C3D3D">
        <w:rPr>
          <w:szCs w:val="24"/>
        </w:rPr>
        <w:t>The</w:t>
      </w:r>
      <w:r w:rsidR="0008563E" w:rsidRPr="004C3D3D">
        <w:rPr>
          <w:szCs w:val="24"/>
        </w:rPr>
        <w:t xml:space="preserve"> </w:t>
      </w:r>
      <w:r w:rsidRPr="004C3D3D">
        <w:rPr>
          <w:szCs w:val="24"/>
        </w:rPr>
        <w:t xml:space="preserve">Regulations </w:t>
      </w:r>
      <w:r w:rsidR="0008563E" w:rsidRPr="004C3D3D">
        <w:rPr>
          <w:szCs w:val="24"/>
        </w:rPr>
        <w:t>would be</w:t>
      </w:r>
      <w:r w:rsidR="009E1D06" w:rsidRPr="004C3D3D">
        <w:rPr>
          <w:szCs w:val="24"/>
        </w:rPr>
        <w:t xml:space="preserve"> a</w:t>
      </w:r>
      <w:r w:rsidRPr="004C3D3D">
        <w:rPr>
          <w:szCs w:val="24"/>
        </w:rPr>
        <w:t xml:space="preserve"> legislative instrument for the purposes of the </w:t>
      </w:r>
      <w:r w:rsidRPr="004C3D3D">
        <w:rPr>
          <w:i/>
          <w:szCs w:val="24"/>
        </w:rPr>
        <w:t>Legislation Act 2003</w:t>
      </w:r>
      <w:r w:rsidRPr="004C3D3D">
        <w:rPr>
          <w:szCs w:val="24"/>
        </w:rPr>
        <w:t>.</w:t>
      </w:r>
    </w:p>
    <w:p w14:paraId="13EABB1D" w14:textId="77777777" w:rsidR="00F73543" w:rsidRPr="004278BC" w:rsidRDefault="00F73543" w:rsidP="00A158A8">
      <w:pPr>
        <w:rPr>
          <w:szCs w:val="24"/>
        </w:rPr>
      </w:pPr>
    </w:p>
    <w:p w14:paraId="2F18F1CC" w14:textId="7BDDB8C0" w:rsidR="00F73543" w:rsidRPr="004278BC" w:rsidRDefault="00F73543" w:rsidP="00A158A8">
      <w:pPr>
        <w:rPr>
          <w:b/>
          <w:szCs w:val="24"/>
        </w:rPr>
      </w:pPr>
      <w:r w:rsidRPr="004278BC">
        <w:rPr>
          <w:b/>
          <w:szCs w:val="24"/>
        </w:rPr>
        <w:t>Commencement</w:t>
      </w:r>
    </w:p>
    <w:p w14:paraId="6B00E3AB" w14:textId="77777777" w:rsidR="00A158A8" w:rsidRPr="004278BC" w:rsidRDefault="00A158A8" w:rsidP="00A158A8">
      <w:pPr>
        <w:rPr>
          <w:szCs w:val="24"/>
        </w:rPr>
      </w:pPr>
    </w:p>
    <w:p w14:paraId="72C32FEE" w14:textId="3064337F" w:rsidR="009B293E" w:rsidRDefault="009B293E" w:rsidP="009B293E">
      <w:r w:rsidRPr="00A03D25">
        <w:t xml:space="preserve">The Regulations would commence </w:t>
      </w:r>
      <w:r>
        <w:t xml:space="preserve">the later of the date of the day after the Regulations is registered and the commencement of Schedule 1 to the </w:t>
      </w:r>
      <w:r>
        <w:rPr>
          <w:i/>
        </w:rPr>
        <w:t>Defence Legislation Amendment (Miscellaneous Measures) Act 2020.</w:t>
      </w:r>
      <w:r>
        <w:t xml:space="preserve"> </w:t>
      </w:r>
    </w:p>
    <w:p w14:paraId="256EE119" w14:textId="77777777" w:rsidR="00143625" w:rsidRPr="004278BC" w:rsidRDefault="00143625" w:rsidP="00A158A8">
      <w:pPr>
        <w:rPr>
          <w:szCs w:val="24"/>
        </w:rPr>
      </w:pPr>
    </w:p>
    <w:p w14:paraId="1B55B681" w14:textId="77777777" w:rsidR="00F73543" w:rsidRPr="004278BC" w:rsidRDefault="00F73543" w:rsidP="00F73543">
      <w:pPr>
        <w:rPr>
          <w:b/>
          <w:szCs w:val="24"/>
        </w:rPr>
      </w:pPr>
      <w:r w:rsidRPr="004278BC">
        <w:rPr>
          <w:b/>
          <w:szCs w:val="24"/>
        </w:rPr>
        <w:t>Regulatory Impact Statement</w:t>
      </w:r>
    </w:p>
    <w:p w14:paraId="42473912" w14:textId="77777777" w:rsidR="00F73543" w:rsidRPr="004278BC" w:rsidRDefault="00F73543" w:rsidP="00F73543">
      <w:pPr>
        <w:rPr>
          <w:b/>
          <w:szCs w:val="24"/>
        </w:rPr>
      </w:pPr>
    </w:p>
    <w:p w14:paraId="3DEBE128" w14:textId="730D0D3F" w:rsidR="009B293E" w:rsidRDefault="00F73543" w:rsidP="009B293E">
      <w:pPr>
        <w:rPr>
          <w:szCs w:val="24"/>
        </w:rPr>
      </w:pPr>
      <w:r w:rsidRPr="00241B47">
        <w:rPr>
          <w:szCs w:val="24"/>
        </w:rPr>
        <w:t xml:space="preserve">The Office of Best Practice Regulation advised that no regulatory impact statement was </w:t>
      </w:r>
      <w:r w:rsidRPr="00F2570A">
        <w:rPr>
          <w:szCs w:val="24"/>
        </w:rPr>
        <w:t xml:space="preserve">required (OBPR ID </w:t>
      </w:r>
      <w:r w:rsidR="00F2570A" w:rsidRPr="00F2570A">
        <w:rPr>
          <w:szCs w:val="24"/>
        </w:rPr>
        <w:t>42554</w:t>
      </w:r>
      <w:r w:rsidR="0007637C" w:rsidRPr="00F2570A">
        <w:rPr>
          <w:szCs w:val="24"/>
        </w:rPr>
        <w:t>)</w:t>
      </w:r>
      <w:r w:rsidR="009B293E" w:rsidRPr="00F2570A">
        <w:rPr>
          <w:szCs w:val="24"/>
        </w:rPr>
        <w:t>.</w:t>
      </w:r>
    </w:p>
    <w:p w14:paraId="61063BA7" w14:textId="77777777" w:rsidR="009B293E" w:rsidRDefault="009B293E" w:rsidP="009B293E">
      <w:pPr>
        <w:rPr>
          <w:szCs w:val="24"/>
        </w:rPr>
      </w:pPr>
    </w:p>
    <w:p w14:paraId="7449EEF9" w14:textId="1D29A0B0" w:rsidR="00F73543" w:rsidRPr="009B293E" w:rsidRDefault="00F73543" w:rsidP="009B293E">
      <w:pPr>
        <w:rPr>
          <w:szCs w:val="24"/>
        </w:rPr>
      </w:pPr>
      <w:r w:rsidRPr="004278BC">
        <w:rPr>
          <w:b/>
          <w:szCs w:val="24"/>
        </w:rPr>
        <w:t>Consultation</w:t>
      </w:r>
    </w:p>
    <w:p w14:paraId="6EEA5190" w14:textId="1A91A0BC" w:rsidR="0007637C" w:rsidRDefault="0007637C" w:rsidP="00F73543">
      <w:pPr>
        <w:outlineLvl w:val="0"/>
        <w:rPr>
          <w:szCs w:val="24"/>
        </w:rPr>
      </w:pPr>
    </w:p>
    <w:p w14:paraId="5FD017AC" w14:textId="1518F813" w:rsidR="0007637C" w:rsidRPr="004278BC" w:rsidRDefault="0007637C" w:rsidP="00F73543">
      <w:pPr>
        <w:outlineLvl w:val="0"/>
        <w:rPr>
          <w:szCs w:val="24"/>
        </w:rPr>
      </w:pPr>
      <w:r>
        <w:rPr>
          <w:szCs w:val="24"/>
        </w:rPr>
        <w:t>The Department of Veterans’ Affairs were consulted in relation to the Regulations.</w:t>
      </w:r>
    </w:p>
    <w:p w14:paraId="351B8759" w14:textId="77777777" w:rsidR="00DE7361" w:rsidRDefault="003C5A99" w:rsidP="00DE7361">
      <w:pPr>
        <w:tabs>
          <w:tab w:val="left" w:pos="4140"/>
        </w:tabs>
        <w:rPr>
          <w:szCs w:val="24"/>
        </w:rPr>
      </w:pPr>
      <w:r>
        <w:rPr>
          <w:szCs w:val="24"/>
        </w:rPr>
        <w:tab/>
      </w:r>
      <w:r>
        <w:rPr>
          <w:szCs w:val="24"/>
        </w:rPr>
        <w:tab/>
      </w:r>
      <w:r>
        <w:rPr>
          <w:szCs w:val="24"/>
        </w:rPr>
        <w:tab/>
        <w:t xml:space="preserve">       </w:t>
      </w:r>
    </w:p>
    <w:p w14:paraId="2B978448" w14:textId="77777777" w:rsidR="009B293E" w:rsidRDefault="009B293E" w:rsidP="009B293E">
      <w:pPr>
        <w:tabs>
          <w:tab w:val="left" w:pos="2520"/>
          <w:tab w:val="left" w:pos="2880"/>
          <w:tab w:val="left" w:pos="3060"/>
          <w:tab w:val="left" w:pos="3240"/>
          <w:tab w:val="left" w:pos="4140"/>
        </w:tabs>
        <w:ind w:left="4140" w:hanging="3240"/>
      </w:pPr>
      <w:r>
        <w:tab/>
      </w:r>
      <w:r>
        <w:tab/>
      </w:r>
    </w:p>
    <w:p w14:paraId="03FC0AA1" w14:textId="77777777" w:rsidR="009B293E" w:rsidRDefault="009B293E" w:rsidP="009B293E">
      <w:pPr>
        <w:tabs>
          <w:tab w:val="left" w:pos="2520"/>
          <w:tab w:val="left" w:pos="2880"/>
          <w:tab w:val="left" w:pos="3060"/>
          <w:tab w:val="left" w:pos="3240"/>
          <w:tab w:val="left" w:pos="4140"/>
        </w:tabs>
        <w:ind w:left="4140" w:hanging="3240"/>
      </w:pPr>
    </w:p>
    <w:p w14:paraId="5203850E" w14:textId="043063DE" w:rsidR="00F73543" w:rsidRPr="009B293E" w:rsidRDefault="009B293E" w:rsidP="009B293E">
      <w:pPr>
        <w:tabs>
          <w:tab w:val="left" w:pos="2520"/>
          <w:tab w:val="left" w:pos="2880"/>
          <w:tab w:val="left" w:pos="3060"/>
          <w:tab w:val="left" w:pos="3240"/>
          <w:tab w:val="left" w:pos="4140"/>
        </w:tabs>
        <w:ind w:left="4140" w:hanging="3240"/>
        <w:rPr>
          <w:i/>
        </w:rPr>
      </w:pPr>
      <w:r>
        <w:tab/>
      </w:r>
      <w:r>
        <w:tab/>
      </w:r>
      <w:r>
        <w:tab/>
      </w:r>
      <w:r>
        <w:tab/>
      </w:r>
      <w:r>
        <w:tab/>
      </w:r>
      <w:r w:rsidR="00F73543" w:rsidRPr="009B293E">
        <w:rPr>
          <w:u w:val="single"/>
        </w:rPr>
        <w:t>Authority</w:t>
      </w:r>
      <w:r w:rsidR="00F73543" w:rsidRPr="009B293E">
        <w:t xml:space="preserve">:  </w:t>
      </w:r>
      <w:r w:rsidR="0007637C" w:rsidRPr="009B293E">
        <w:t>Section 85</w:t>
      </w:r>
      <w:r w:rsidR="00F73543" w:rsidRPr="009B293E">
        <w:t xml:space="preserve"> of the </w:t>
      </w:r>
      <w:r w:rsidR="00F73543" w:rsidRPr="009B293E">
        <w:rPr>
          <w:i/>
        </w:rPr>
        <w:t xml:space="preserve">Defence </w:t>
      </w:r>
      <w:r w:rsidR="0007637C" w:rsidRPr="009B293E">
        <w:rPr>
          <w:i/>
        </w:rPr>
        <w:t>Home Ownership Assistance Scheme Act 2008</w:t>
      </w:r>
    </w:p>
    <w:p w14:paraId="6C144C3D" w14:textId="77777777" w:rsidR="00F73543" w:rsidRPr="004278BC" w:rsidRDefault="00F73543" w:rsidP="00241B47">
      <w:pPr>
        <w:spacing w:after="200" w:line="276" w:lineRule="auto"/>
        <w:ind w:left="2700"/>
        <w:jc w:val="both"/>
        <w:rPr>
          <w:i/>
          <w:szCs w:val="24"/>
        </w:rPr>
      </w:pPr>
      <w:r w:rsidRPr="004278BC">
        <w:rPr>
          <w:i/>
          <w:szCs w:val="24"/>
        </w:rPr>
        <w:br w:type="page"/>
      </w:r>
    </w:p>
    <w:p w14:paraId="6E3F14D2" w14:textId="0AA7036C" w:rsidR="009B293E" w:rsidRDefault="009B293E" w:rsidP="009B293E">
      <w:pPr>
        <w:ind w:left="5760" w:right="91" w:firstLine="720"/>
        <w:jc w:val="right"/>
        <w:rPr>
          <w:b/>
          <w:szCs w:val="24"/>
        </w:rPr>
      </w:pPr>
      <w:r w:rsidRPr="0072788C">
        <w:rPr>
          <w:b/>
          <w:u w:val="single"/>
        </w:rPr>
        <w:lastRenderedPageBreak/>
        <w:t>ATTACHMENT</w:t>
      </w:r>
      <w:r>
        <w:rPr>
          <w:b/>
          <w:u w:val="single"/>
        </w:rPr>
        <w:t xml:space="preserve"> A</w:t>
      </w:r>
    </w:p>
    <w:p w14:paraId="28B80831" w14:textId="77777777" w:rsidR="009B293E" w:rsidRDefault="009B293E" w:rsidP="009B293E">
      <w:pPr>
        <w:ind w:right="91"/>
        <w:rPr>
          <w:b/>
          <w:szCs w:val="24"/>
        </w:rPr>
      </w:pPr>
    </w:p>
    <w:p w14:paraId="5016C105" w14:textId="77777777" w:rsidR="009B293E" w:rsidRPr="009B293E" w:rsidRDefault="009B293E" w:rsidP="009B293E">
      <w:pPr>
        <w:ind w:right="91"/>
        <w:rPr>
          <w:b/>
          <w:i/>
          <w:szCs w:val="24"/>
          <w:u w:val="single"/>
        </w:rPr>
      </w:pPr>
    </w:p>
    <w:p w14:paraId="2129FC93" w14:textId="1AD24074" w:rsidR="009B293E" w:rsidRPr="009B293E" w:rsidRDefault="009B293E" w:rsidP="009B293E">
      <w:pPr>
        <w:ind w:right="91"/>
        <w:rPr>
          <w:b/>
          <w:i/>
          <w:szCs w:val="24"/>
          <w:u w:val="single"/>
        </w:rPr>
      </w:pPr>
      <w:r w:rsidRPr="009B293E">
        <w:rPr>
          <w:b/>
          <w:szCs w:val="24"/>
          <w:u w:val="single"/>
        </w:rPr>
        <w:t>Details of the</w:t>
      </w:r>
      <w:r w:rsidRPr="009B293E">
        <w:rPr>
          <w:b/>
          <w:i/>
          <w:szCs w:val="24"/>
          <w:u w:val="single"/>
        </w:rPr>
        <w:t xml:space="preserve"> Defence Home Ownership Assistance Scheme Amendment (Period of Effective Service) Regulations 2020</w:t>
      </w:r>
    </w:p>
    <w:p w14:paraId="1C323190" w14:textId="77777777" w:rsidR="009B293E" w:rsidRPr="00F74D71" w:rsidRDefault="009B293E" w:rsidP="009B293E">
      <w:pPr>
        <w:spacing w:before="100" w:beforeAutospacing="1" w:after="100" w:afterAutospacing="1"/>
        <w:rPr>
          <w:b/>
          <w:i/>
          <w:color w:val="000000"/>
          <w:szCs w:val="24"/>
          <w:lang w:val="en-AU"/>
        </w:rPr>
      </w:pPr>
      <w:r w:rsidRPr="00F74D71">
        <w:rPr>
          <w:b/>
          <w:bCs/>
          <w:i/>
          <w:color w:val="000000"/>
          <w:szCs w:val="24"/>
          <w:lang w:val="en-AU"/>
        </w:rPr>
        <w:t>Section 1 - </w:t>
      </w:r>
      <w:r w:rsidRPr="00F74D71">
        <w:rPr>
          <w:b/>
          <w:i/>
          <w:color w:val="000000"/>
          <w:szCs w:val="24"/>
          <w:lang w:val="en-AU"/>
        </w:rPr>
        <w:t>Name of Regulation</w:t>
      </w:r>
    </w:p>
    <w:p w14:paraId="4CA41982" w14:textId="77777777" w:rsidR="009B293E" w:rsidRPr="004278BC" w:rsidRDefault="009B293E" w:rsidP="009B293E">
      <w:pPr>
        <w:ind w:right="91"/>
        <w:rPr>
          <w:i/>
          <w:szCs w:val="24"/>
        </w:rPr>
      </w:pPr>
      <w:r w:rsidRPr="004278BC">
        <w:rPr>
          <w:szCs w:val="24"/>
        </w:rPr>
        <w:t xml:space="preserve">This section provides that the title of the </w:t>
      </w:r>
      <w:r>
        <w:rPr>
          <w:szCs w:val="24"/>
        </w:rPr>
        <w:t>instrument</w:t>
      </w:r>
      <w:r w:rsidRPr="004278BC">
        <w:rPr>
          <w:szCs w:val="24"/>
        </w:rPr>
        <w:t xml:space="preserve"> is the</w:t>
      </w:r>
      <w:r>
        <w:rPr>
          <w:szCs w:val="24"/>
        </w:rPr>
        <w:t xml:space="preserve"> </w:t>
      </w:r>
      <w:r>
        <w:rPr>
          <w:i/>
          <w:szCs w:val="24"/>
        </w:rPr>
        <w:t>Defence Home Ownership Assistance Scheme Amendment (Period of Effective Service) Regulations 2020</w:t>
      </w:r>
      <w:r>
        <w:rPr>
          <w:szCs w:val="24"/>
        </w:rPr>
        <w:t xml:space="preserve">. </w:t>
      </w:r>
    </w:p>
    <w:p w14:paraId="4E7372E8" w14:textId="77777777" w:rsidR="009B293E" w:rsidRPr="00F74D71" w:rsidRDefault="009B293E" w:rsidP="009B293E">
      <w:pPr>
        <w:spacing w:before="100" w:beforeAutospacing="1" w:after="100" w:afterAutospacing="1"/>
        <w:rPr>
          <w:b/>
          <w:bCs/>
          <w:i/>
          <w:color w:val="000000"/>
          <w:szCs w:val="24"/>
          <w:lang w:val="en-AU"/>
        </w:rPr>
      </w:pPr>
      <w:r w:rsidRPr="00F74D71">
        <w:rPr>
          <w:b/>
          <w:bCs/>
          <w:i/>
          <w:color w:val="000000"/>
          <w:szCs w:val="24"/>
          <w:lang w:val="en-AU"/>
        </w:rPr>
        <w:t>Section 2 – Commencement</w:t>
      </w:r>
    </w:p>
    <w:p w14:paraId="467B8DDC" w14:textId="13BE58B8" w:rsidR="009B293E" w:rsidRPr="009B293E" w:rsidRDefault="009B293E" w:rsidP="009B293E">
      <w:pPr>
        <w:ind w:right="91"/>
        <w:rPr>
          <w:noProof/>
          <w:szCs w:val="24"/>
          <w:lang w:eastAsia="en-US"/>
        </w:rPr>
      </w:pPr>
      <w:r w:rsidRPr="004278BC">
        <w:rPr>
          <w:noProof/>
          <w:szCs w:val="24"/>
          <w:lang w:eastAsia="en-US"/>
        </w:rPr>
        <w:t>This section provides that the Regulation</w:t>
      </w:r>
      <w:r>
        <w:rPr>
          <w:noProof/>
          <w:szCs w:val="24"/>
          <w:lang w:eastAsia="en-US"/>
        </w:rPr>
        <w:t>s</w:t>
      </w:r>
      <w:r w:rsidRPr="004278BC">
        <w:rPr>
          <w:noProof/>
          <w:szCs w:val="24"/>
          <w:lang w:eastAsia="en-US"/>
        </w:rPr>
        <w:t xml:space="preserve"> </w:t>
      </w:r>
      <w:r>
        <w:rPr>
          <w:szCs w:val="24"/>
        </w:rPr>
        <w:t>commence the later of</w:t>
      </w:r>
      <w:r>
        <w:rPr>
          <w:noProof/>
          <w:szCs w:val="24"/>
          <w:lang w:eastAsia="en-US"/>
        </w:rPr>
        <w:t xml:space="preserve"> </w:t>
      </w:r>
      <w:r w:rsidRPr="009B293E">
        <w:rPr>
          <w:noProof/>
          <w:szCs w:val="24"/>
          <w:lang w:eastAsia="en-US"/>
        </w:rPr>
        <w:t>the start of the day after this instrument is regis</w:t>
      </w:r>
      <w:r>
        <w:rPr>
          <w:noProof/>
          <w:szCs w:val="24"/>
          <w:lang w:eastAsia="en-US"/>
        </w:rPr>
        <w:t xml:space="preserve">tered and </w:t>
      </w:r>
      <w:r w:rsidRPr="009B293E">
        <w:rPr>
          <w:noProof/>
          <w:szCs w:val="24"/>
          <w:lang w:eastAsia="en-US"/>
        </w:rPr>
        <w:t xml:space="preserve">the commencement of Schedule 1 to the </w:t>
      </w:r>
      <w:r w:rsidRPr="009B293E">
        <w:rPr>
          <w:i/>
          <w:noProof/>
          <w:szCs w:val="24"/>
          <w:lang w:eastAsia="en-US"/>
        </w:rPr>
        <w:t>Defence Legislation Amendment (Miscellaneous Measures) Act 2020</w:t>
      </w:r>
      <w:r w:rsidRPr="009B293E">
        <w:rPr>
          <w:noProof/>
          <w:szCs w:val="24"/>
          <w:lang w:eastAsia="en-US"/>
        </w:rPr>
        <w:t>. However the provisions do not commence at all if the event mentioned in paragraph (b) does not occur.</w:t>
      </w:r>
    </w:p>
    <w:p w14:paraId="0CFE0346" w14:textId="77777777" w:rsidR="009B293E" w:rsidRPr="004278BC" w:rsidRDefault="009B293E" w:rsidP="009B293E">
      <w:pPr>
        <w:ind w:right="91"/>
        <w:rPr>
          <w:szCs w:val="24"/>
        </w:rPr>
      </w:pPr>
    </w:p>
    <w:p w14:paraId="07D03973" w14:textId="77777777" w:rsidR="009B293E" w:rsidRPr="00F74D71" w:rsidRDefault="009B293E" w:rsidP="009B293E">
      <w:pPr>
        <w:ind w:right="91"/>
        <w:rPr>
          <w:b/>
          <w:i/>
          <w:noProof/>
          <w:szCs w:val="24"/>
          <w:lang w:eastAsia="en-US"/>
        </w:rPr>
      </w:pPr>
      <w:r w:rsidRPr="00F74D71">
        <w:rPr>
          <w:b/>
          <w:i/>
          <w:noProof/>
          <w:szCs w:val="24"/>
          <w:lang w:eastAsia="en-US"/>
        </w:rPr>
        <w:t>Section 3 – Authority</w:t>
      </w:r>
    </w:p>
    <w:p w14:paraId="5A3899E9" w14:textId="77777777" w:rsidR="009B293E" w:rsidRPr="004278BC" w:rsidRDefault="009B293E" w:rsidP="009B293E">
      <w:pPr>
        <w:ind w:right="91"/>
        <w:rPr>
          <w:noProof/>
          <w:szCs w:val="24"/>
          <w:u w:val="single"/>
          <w:lang w:eastAsia="en-US"/>
        </w:rPr>
      </w:pPr>
    </w:p>
    <w:p w14:paraId="48757522" w14:textId="77777777" w:rsidR="009B293E" w:rsidRPr="003B419F" w:rsidRDefault="009B293E" w:rsidP="009B293E">
      <w:pPr>
        <w:pStyle w:val="paragraph"/>
        <w:spacing w:before="0"/>
        <w:ind w:left="0" w:firstLine="0"/>
        <w:rPr>
          <w:noProof/>
          <w:sz w:val="24"/>
          <w:szCs w:val="24"/>
          <w:lang w:eastAsia="en-US"/>
        </w:rPr>
      </w:pPr>
      <w:r w:rsidRPr="004278BC">
        <w:rPr>
          <w:noProof/>
          <w:sz w:val="24"/>
          <w:szCs w:val="24"/>
          <w:lang w:eastAsia="en-US"/>
        </w:rPr>
        <w:t xml:space="preserve">This section provides that the </w:t>
      </w:r>
      <w:r w:rsidRPr="003B419F">
        <w:rPr>
          <w:i/>
          <w:sz w:val="24"/>
          <w:szCs w:val="24"/>
        </w:rPr>
        <w:t>Defence Home Ownership Assistance Scheme Amendment (Period of Effective Service) Regulations 2020</w:t>
      </w:r>
      <w:r w:rsidRPr="003B419F">
        <w:rPr>
          <w:sz w:val="24"/>
          <w:szCs w:val="24"/>
        </w:rPr>
        <w:t xml:space="preserve"> is made under the </w:t>
      </w:r>
      <w:r w:rsidRPr="003B419F">
        <w:rPr>
          <w:i/>
          <w:noProof/>
          <w:sz w:val="24"/>
          <w:szCs w:val="24"/>
          <w:lang w:eastAsia="en-US"/>
        </w:rPr>
        <w:t>Defence</w:t>
      </w:r>
      <w:r>
        <w:rPr>
          <w:i/>
          <w:noProof/>
          <w:sz w:val="24"/>
          <w:szCs w:val="24"/>
          <w:lang w:eastAsia="en-US"/>
        </w:rPr>
        <w:t xml:space="preserve"> Home Ownership Asisstance Scheme</w:t>
      </w:r>
      <w:r w:rsidRPr="003B419F">
        <w:rPr>
          <w:i/>
          <w:noProof/>
          <w:sz w:val="24"/>
          <w:szCs w:val="24"/>
          <w:lang w:eastAsia="en-US"/>
        </w:rPr>
        <w:t xml:space="preserve"> Act 2008</w:t>
      </w:r>
      <w:r w:rsidRPr="003B419F">
        <w:rPr>
          <w:noProof/>
          <w:sz w:val="24"/>
          <w:szCs w:val="24"/>
          <w:lang w:eastAsia="en-US"/>
        </w:rPr>
        <w:t>.</w:t>
      </w:r>
    </w:p>
    <w:p w14:paraId="5D1B6BFF" w14:textId="77777777" w:rsidR="009B293E" w:rsidRPr="004278BC" w:rsidRDefault="009B293E" w:rsidP="009B293E">
      <w:pPr>
        <w:pStyle w:val="paragraph"/>
        <w:spacing w:before="0"/>
        <w:ind w:left="0" w:firstLine="0"/>
        <w:rPr>
          <w:noProof/>
          <w:sz w:val="24"/>
          <w:szCs w:val="24"/>
          <w:lang w:eastAsia="en-US"/>
        </w:rPr>
      </w:pPr>
    </w:p>
    <w:p w14:paraId="000AFCE4" w14:textId="77777777" w:rsidR="009B293E" w:rsidRPr="00F74D71" w:rsidRDefault="009B293E" w:rsidP="009B293E">
      <w:pPr>
        <w:ind w:right="91"/>
        <w:rPr>
          <w:b/>
          <w:i/>
          <w:noProof/>
          <w:szCs w:val="24"/>
          <w:lang w:eastAsia="en-US"/>
        </w:rPr>
      </w:pPr>
      <w:r w:rsidRPr="00F74D71">
        <w:rPr>
          <w:b/>
          <w:i/>
          <w:noProof/>
          <w:szCs w:val="24"/>
          <w:lang w:eastAsia="en-US"/>
        </w:rPr>
        <w:t>Section 4 – Schedules</w:t>
      </w:r>
    </w:p>
    <w:p w14:paraId="409475D8" w14:textId="77777777" w:rsidR="009B293E" w:rsidRPr="004278BC" w:rsidRDefault="009B293E" w:rsidP="009B293E">
      <w:pPr>
        <w:pStyle w:val="paragraph"/>
        <w:spacing w:before="0"/>
        <w:rPr>
          <w:i/>
          <w:sz w:val="24"/>
          <w:szCs w:val="24"/>
        </w:rPr>
      </w:pPr>
    </w:p>
    <w:p w14:paraId="1A79B018" w14:textId="77777777" w:rsidR="009B293E" w:rsidRPr="004278BC" w:rsidRDefault="009B293E" w:rsidP="009B293E">
      <w:pPr>
        <w:ind w:right="91"/>
        <w:rPr>
          <w:noProof/>
          <w:szCs w:val="24"/>
          <w:lang w:eastAsia="en-US"/>
        </w:rPr>
      </w:pPr>
      <w:r>
        <w:rPr>
          <w:noProof/>
          <w:szCs w:val="24"/>
          <w:lang w:eastAsia="en-US"/>
        </w:rPr>
        <w:t>This section provides that e</w:t>
      </w:r>
      <w:r w:rsidRPr="004278BC">
        <w:rPr>
          <w:noProof/>
          <w:szCs w:val="24"/>
          <w:lang w:eastAsia="en-US"/>
        </w:rPr>
        <w:t xml:space="preserve">ach instrument that is specified in a Schedule to this instrument is amended or repealed as set out in the applicable items in this Schedule concerned, and any other item in a Schedule to this instrument has effect accordingly to its terms. </w:t>
      </w:r>
    </w:p>
    <w:p w14:paraId="49655AEA" w14:textId="77777777" w:rsidR="009B293E" w:rsidRPr="004278BC" w:rsidRDefault="009B293E" w:rsidP="009B293E">
      <w:pPr>
        <w:ind w:right="91"/>
        <w:rPr>
          <w:noProof/>
          <w:szCs w:val="24"/>
          <w:lang w:eastAsia="en-US"/>
        </w:rPr>
      </w:pPr>
    </w:p>
    <w:p w14:paraId="199CEBB7" w14:textId="78E36EF0" w:rsidR="009B293E" w:rsidRPr="00CA2B66" w:rsidRDefault="009B293E" w:rsidP="009B293E">
      <w:pPr>
        <w:ind w:right="91"/>
        <w:rPr>
          <w:b/>
          <w:noProof/>
          <w:szCs w:val="24"/>
          <w:lang w:eastAsia="en-US"/>
        </w:rPr>
      </w:pPr>
      <w:r w:rsidRPr="004278BC">
        <w:rPr>
          <w:b/>
          <w:noProof/>
          <w:szCs w:val="24"/>
          <w:lang w:eastAsia="en-US"/>
        </w:rPr>
        <w:t>SCHEDULE 1 – AMENDMENTS</w:t>
      </w:r>
      <w:r>
        <w:rPr>
          <w:b/>
          <w:i/>
          <w:noProof/>
          <w:szCs w:val="24"/>
          <w:lang w:eastAsia="en-US"/>
        </w:rPr>
        <w:br/>
      </w:r>
    </w:p>
    <w:p w14:paraId="340B7ECF" w14:textId="3FC69266" w:rsidR="009B293E" w:rsidRPr="00CA2B66" w:rsidRDefault="00CA2B66" w:rsidP="009B293E">
      <w:pPr>
        <w:ind w:right="91"/>
        <w:rPr>
          <w:b/>
          <w:noProof/>
          <w:szCs w:val="24"/>
          <w:u w:val="single"/>
          <w:lang w:eastAsia="en-US"/>
        </w:rPr>
      </w:pPr>
      <w:r w:rsidRPr="00CA2B66">
        <w:rPr>
          <w:b/>
          <w:noProof/>
          <w:szCs w:val="24"/>
          <w:u w:val="single"/>
          <w:lang w:eastAsia="en-US"/>
        </w:rPr>
        <w:t>Item 1</w:t>
      </w:r>
    </w:p>
    <w:p w14:paraId="01A9D8FC" w14:textId="5F4AECBD" w:rsidR="009B293E" w:rsidRPr="00CA2B66" w:rsidRDefault="00CA2B66" w:rsidP="00CA2B66">
      <w:pPr>
        <w:spacing w:before="100" w:beforeAutospacing="1" w:after="100" w:afterAutospacing="1"/>
        <w:rPr>
          <w:color w:val="000000"/>
          <w:szCs w:val="24"/>
        </w:rPr>
      </w:pPr>
      <w:r>
        <w:rPr>
          <w:color w:val="000000"/>
          <w:szCs w:val="24"/>
        </w:rPr>
        <w:t xml:space="preserve">This item adds a note </w:t>
      </w:r>
      <w:r w:rsidR="009B293E">
        <w:rPr>
          <w:color w:val="000000"/>
          <w:szCs w:val="24"/>
        </w:rPr>
        <w:t>at the end of subsection 11(4)</w:t>
      </w:r>
      <w:r>
        <w:rPr>
          <w:color w:val="000000"/>
          <w:szCs w:val="24"/>
        </w:rPr>
        <w:t xml:space="preserve"> to clarify that i</w:t>
      </w:r>
      <w:r w:rsidR="009B293E">
        <w:rPr>
          <w:color w:val="000000"/>
          <w:szCs w:val="24"/>
        </w:rPr>
        <w:t>n certain circumstances, the person’s period of effective ser</w:t>
      </w:r>
      <w:r>
        <w:rPr>
          <w:color w:val="000000"/>
          <w:szCs w:val="24"/>
        </w:rPr>
        <w:t xml:space="preserve">vice under this Division may be </w:t>
      </w:r>
      <w:r w:rsidR="009B293E" w:rsidRPr="00CA2B66">
        <w:rPr>
          <w:color w:val="000000"/>
          <w:szCs w:val="24"/>
        </w:rPr>
        <w:t>increased under Division 6 (foreign service members: qualifying service period) or Division 7 (recognising service as effective service in exceptional</w:t>
      </w:r>
      <w:r>
        <w:rPr>
          <w:color w:val="000000"/>
          <w:szCs w:val="24"/>
        </w:rPr>
        <w:t xml:space="preserve"> circumstances) of this part; or </w:t>
      </w:r>
      <w:r w:rsidR="009B293E" w:rsidRPr="00CA2B66">
        <w:rPr>
          <w:color w:val="000000"/>
          <w:szCs w:val="24"/>
        </w:rPr>
        <w:t>decreased under Division 8 (ineffective service) of this Part.</w:t>
      </w:r>
    </w:p>
    <w:p w14:paraId="597A0423" w14:textId="08FCD388" w:rsidR="00CA2B66" w:rsidRPr="00CA2B66" w:rsidRDefault="00CA2B66" w:rsidP="009B293E">
      <w:pPr>
        <w:spacing w:before="100" w:beforeAutospacing="1" w:after="100" w:afterAutospacing="1"/>
        <w:rPr>
          <w:b/>
          <w:color w:val="000000"/>
          <w:szCs w:val="24"/>
          <w:u w:val="single"/>
        </w:rPr>
      </w:pPr>
      <w:r w:rsidRPr="00CA2B66">
        <w:rPr>
          <w:b/>
          <w:color w:val="000000"/>
          <w:szCs w:val="24"/>
          <w:u w:val="single"/>
        </w:rPr>
        <w:t>Item 2</w:t>
      </w:r>
    </w:p>
    <w:p w14:paraId="6BF5E415" w14:textId="3C35C3E5" w:rsidR="00CA2B66" w:rsidRPr="00CA2B66" w:rsidRDefault="00CA2B66" w:rsidP="009B293E">
      <w:pPr>
        <w:spacing w:before="100" w:beforeAutospacing="1" w:after="100" w:afterAutospacing="1"/>
        <w:rPr>
          <w:color w:val="000000"/>
          <w:szCs w:val="24"/>
        </w:rPr>
      </w:pPr>
      <w:r w:rsidRPr="00CA2B66">
        <w:rPr>
          <w:color w:val="000000"/>
          <w:szCs w:val="24"/>
        </w:rPr>
        <w:t>This item repeals subsection 11(5) including the notes.</w:t>
      </w:r>
    </w:p>
    <w:p w14:paraId="75A8FCEF" w14:textId="77777777" w:rsidR="00CA2B66" w:rsidRDefault="00CA2B66">
      <w:pPr>
        <w:spacing w:after="200" w:line="276" w:lineRule="auto"/>
        <w:rPr>
          <w:b/>
          <w:color w:val="000000"/>
          <w:szCs w:val="24"/>
        </w:rPr>
      </w:pPr>
      <w:r>
        <w:rPr>
          <w:b/>
          <w:color w:val="000000"/>
          <w:szCs w:val="24"/>
        </w:rPr>
        <w:br w:type="page"/>
      </w:r>
    </w:p>
    <w:p w14:paraId="61BDBE6A" w14:textId="77777777" w:rsidR="00F73543" w:rsidRPr="004278BC" w:rsidRDefault="00F73543" w:rsidP="00F73543">
      <w:pPr>
        <w:pStyle w:val="NormalWeb"/>
        <w:spacing w:before="0" w:beforeAutospacing="0" w:after="0" w:afterAutospacing="0"/>
        <w:jc w:val="center"/>
        <w:outlineLvl w:val="0"/>
        <w:rPr>
          <w:b/>
        </w:rPr>
      </w:pPr>
      <w:r w:rsidRPr="004278BC">
        <w:rPr>
          <w:b/>
        </w:rPr>
        <w:t>STATEMENT OF COMPATIBILITY WITH HUMAN RIGHTS</w:t>
      </w:r>
    </w:p>
    <w:p w14:paraId="473EC4E5" w14:textId="77777777" w:rsidR="00F73543" w:rsidRPr="004278BC" w:rsidRDefault="00F73543" w:rsidP="00F73543">
      <w:pPr>
        <w:pStyle w:val="NormalWeb"/>
        <w:spacing w:before="0" w:beforeAutospacing="0" w:after="0" w:afterAutospacing="0"/>
        <w:jc w:val="center"/>
        <w:outlineLvl w:val="0"/>
        <w:rPr>
          <w:b/>
        </w:rPr>
      </w:pPr>
    </w:p>
    <w:p w14:paraId="4E145D9B" w14:textId="77777777" w:rsidR="00F73543" w:rsidRPr="004278BC" w:rsidRDefault="00F73543" w:rsidP="00F73543">
      <w:pPr>
        <w:pStyle w:val="NormalWeb"/>
        <w:spacing w:before="0" w:beforeAutospacing="0" w:after="0" w:afterAutospacing="0"/>
        <w:rPr>
          <w:i/>
        </w:rPr>
      </w:pPr>
      <w:r w:rsidRPr="004278BC">
        <w:rPr>
          <w:i/>
        </w:rPr>
        <w:t>Prepared in accordance with Part 3 of the Human Rights (Parliamentary Scrutiny) Act 2011</w:t>
      </w:r>
    </w:p>
    <w:p w14:paraId="7E57EA08" w14:textId="77777777" w:rsidR="00F73543" w:rsidRPr="004278BC" w:rsidRDefault="00F73543" w:rsidP="00F73543">
      <w:pPr>
        <w:pStyle w:val="NormalWeb"/>
        <w:spacing w:before="0" w:beforeAutospacing="0" w:after="0" w:afterAutospacing="0"/>
        <w:rPr>
          <w:i/>
        </w:rPr>
      </w:pPr>
    </w:p>
    <w:p w14:paraId="2E7C263B" w14:textId="35D6FB0A" w:rsidR="00586EB5" w:rsidRPr="00586EB5" w:rsidRDefault="00586EB5" w:rsidP="005860F0">
      <w:pPr>
        <w:rPr>
          <w:b/>
          <w:szCs w:val="24"/>
        </w:rPr>
      </w:pPr>
      <w:r w:rsidRPr="00586EB5">
        <w:rPr>
          <w:b/>
          <w:i/>
        </w:rPr>
        <w:t>Def</w:t>
      </w:r>
      <w:r w:rsidR="0007637C">
        <w:rPr>
          <w:b/>
          <w:i/>
        </w:rPr>
        <w:t>ence Home Ownership Assistance Scheme (Period of Effective Service) Amendment Regulations 2020</w:t>
      </w:r>
    </w:p>
    <w:p w14:paraId="3847DFF6" w14:textId="276E1FC3" w:rsidR="00F73543" w:rsidRPr="00586EB5" w:rsidRDefault="00F73543" w:rsidP="00586EB5">
      <w:pPr>
        <w:pStyle w:val="NormalWeb"/>
      </w:pPr>
      <w:r w:rsidRPr="004278BC">
        <w:t xml:space="preserve">The </w:t>
      </w:r>
      <w:r w:rsidR="00586EB5">
        <w:rPr>
          <w:i/>
        </w:rPr>
        <w:t>Defence</w:t>
      </w:r>
      <w:r w:rsidR="000D4745">
        <w:rPr>
          <w:i/>
        </w:rPr>
        <w:t xml:space="preserve"> Home Ownership Assistance Scheme</w:t>
      </w:r>
      <w:r w:rsidR="00586EB5">
        <w:rPr>
          <w:i/>
        </w:rPr>
        <w:t xml:space="preserve"> Amendment (</w:t>
      </w:r>
      <w:r w:rsidR="000D4745">
        <w:rPr>
          <w:i/>
        </w:rPr>
        <w:t>Period of Effective Service</w:t>
      </w:r>
      <w:r w:rsidR="00586EB5">
        <w:rPr>
          <w:i/>
        </w:rPr>
        <w:t>) Regulation</w:t>
      </w:r>
      <w:r w:rsidR="000D4745">
        <w:rPr>
          <w:i/>
        </w:rPr>
        <w:t>s 2020</w:t>
      </w:r>
      <w:r w:rsidR="00586EB5">
        <w:rPr>
          <w:i/>
        </w:rPr>
        <w:t xml:space="preserve"> </w:t>
      </w:r>
      <w:r w:rsidR="00CA2B66" w:rsidRPr="00CA2B66">
        <w:t>(the Regulations)</w:t>
      </w:r>
      <w:r w:rsidR="00CA2B66">
        <w:rPr>
          <w:i/>
        </w:rPr>
        <w:t xml:space="preserve"> </w:t>
      </w:r>
      <w:r w:rsidRPr="004278BC">
        <w:t xml:space="preserve">are compatible with the human rights and freedoms recognised or declared in the international instruments listed in section 3 of the </w:t>
      </w:r>
      <w:r w:rsidRPr="004278BC">
        <w:rPr>
          <w:i/>
        </w:rPr>
        <w:t>Human Rights (Parliamentary Scrutiny) Act 2011</w:t>
      </w:r>
      <w:r w:rsidRPr="004278BC">
        <w:t>.</w:t>
      </w:r>
    </w:p>
    <w:p w14:paraId="2504B8AE" w14:textId="730F0A48" w:rsidR="00DA0D1F" w:rsidRPr="00DA0D1F" w:rsidRDefault="00F73543" w:rsidP="00DA0D1F">
      <w:pPr>
        <w:pStyle w:val="NormalWeb"/>
        <w:rPr>
          <w:b/>
        </w:rPr>
      </w:pPr>
      <w:r w:rsidRPr="00D5174C">
        <w:rPr>
          <w:b/>
        </w:rPr>
        <w:t>Overview of the Regulation</w:t>
      </w:r>
    </w:p>
    <w:p w14:paraId="6241492A" w14:textId="2051D324" w:rsidR="00CA2B66" w:rsidRDefault="00CA2B66" w:rsidP="00CA2B66">
      <w:pPr>
        <w:rPr>
          <w:rFonts w:eastAsia="Calibri"/>
          <w:szCs w:val="24"/>
        </w:rPr>
      </w:pPr>
      <w:r>
        <w:rPr>
          <w:rFonts w:eastAsia="Calibri"/>
          <w:szCs w:val="24"/>
        </w:rPr>
        <w:t xml:space="preserve">The </w:t>
      </w:r>
      <w:r w:rsidR="00885F39">
        <w:rPr>
          <w:rFonts w:eastAsia="Calibri"/>
          <w:szCs w:val="24"/>
        </w:rPr>
        <w:t xml:space="preserve">Regulations </w:t>
      </w:r>
      <w:r>
        <w:rPr>
          <w:rFonts w:eastAsia="Calibri"/>
          <w:szCs w:val="24"/>
        </w:rPr>
        <w:t xml:space="preserve">make an amendment consequential to amendments made to the </w:t>
      </w:r>
      <w:r w:rsidRPr="00D23D9F">
        <w:rPr>
          <w:rFonts w:eastAsia="Calibri"/>
          <w:i/>
          <w:szCs w:val="24"/>
        </w:rPr>
        <w:t>Defence</w:t>
      </w:r>
      <w:r>
        <w:rPr>
          <w:rFonts w:eastAsia="Calibri"/>
          <w:i/>
          <w:szCs w:val="24"/>
        </w:rPr>
        <w:t xml:space="preserve"> Home Ownership Assistance Scheme</w:t>
      </w:r>
      <w:r w:rsidRPr="00D23D9F">
        <w:rPr>
          <w:rFonts w:eastAsia="Calibri"/>
          <w:i/>
          <w:szCs w:val="24"/>
        </w:rPr>
        <w:t xml:space="preserve"> Act </w:t>
      </w:r>
      <w:r>
        <w:rPr>
          <w:rFonts w:eastAsia="Calibri"/>
          <w:i/>
          <w:szCs w:val="24"/>
        </w:rPr>
        <w:t>20</w:t>
      </w:r>
      <w:r w:rsidRPr="00D23D9F">
        <w:rPr>
          <w:rFonts w:eastAsia="Calibri"/>
          <w:i/>
          <w:szCs w:val="24"/>
        </w:rPr>
        <w:t>0</w:t>
      </w:r>
      <w:r>
        <w:rPr>
          <w:rFonts w:eastAsia="Calibri"/>
          <w:i/>
          <w:szCs w:val="24"/>
        </w:rPr>
        <w:t>8</w:t>
      </w:r>
      <w:r w:rsidRPr="002020BC">
        <w:rPr>
          <w:rFonts w:eastAsia="Calibri"/>
          <w:szCs w:val="24"/>
        </w:rPr>
        <w:t xml:space="preserve"> (the Act)</w:t>
      </w:r>
      <w:r>
        <w:rPr>
          <w:rFonts w:eastAsia="Calibri"/>
          <w:szCs w:val="24"/>
        </w:rPr>
        <w:t>.</w:t>
      </w:r>
    </w:p>
    <w:p w14:paraId="7DA0B8C8" w14:textId="77777777" w:rsidR="00CA2B66" w:rsidRDefault="00CA2B66" w:rsidP="00CA2B66">
      <w:pPr>
        <w:rPr>
          <w:rFonts w:eastAsia="Calibri"/>
          <w:szCs w:val="24"/>
        </w:rPr>
      </w:pPr>
    </w:p>
    <w:p w14:paraId="19DDB969" w14:textId="77777777" w:rsidR="00CA2B66" w:rsidRDefault="00CA2B66" w:rsidP="00CA2B66">
      <w:pPr>
        <w:rPr>
          <w:rFonts w:eastAsia="Calibri"/>
          <w:szCs w:val="24"/>
        </w:rPr>
      </w:pPr>
      <w:r w:rsidRPr="002020BC">
        <w:rPr>
          <w:rFonts w:eastAsia="Calibri"/>
          <w:szCs w:val="24"/>
        </w:rPr>
        <w:t xml:space="preserve">The purpose of the </w:t>
      </w:r>
      <w:r>
        <w:rPr>
          <w:rFonts w:eastAsia="Calibri"/>
          <w:szCs w:val="24"/>
        </w:rPr>
        <w:t xml:space="preserve">Act </w:t>
      </w:r>
      <w:r w:rsidRPr="002020BC">
        <w:rPr>
          <w:rFonts w:eastAsia="Calibri"/>
          <w:szCs w:val="24"/>
        </w:rPr>
        <w:t>is to provide</w:t>
      </w:r>
      <w:r>
        <w:rPr>
          <w:rFonts w:eastAsia="Calibri"/>
          <w:szCs w:val="24"/>
        </w:rPr>
        <w:t xml:space="preserve"> a home ownership assistance scheme (the scheme) to assist Australian Defence Force (ADF) members to achieve home ownership. </w:t>
      </w:r>
    </w:p>
    <w:p w14:paraId="6A1EA238" w14:textId="77777777" w:rsidR="00CA2B66" w:rsidRDefault="00CA2B66" w:rsidP="00CA2B66">
      <w:pPr>
        <w:rPr>
          <w:rFonts w:eastAsia="Calibri"/>
          <w:szCs w:val="24"/>
        </w:rPr>
      </w:pPr>
    </w:p>
    <w:p w14:paraId="34423D93" w14:textId="77777777" w:rsidR="00CA2B66" w:rsidRDefault="00CA2B66" w:rsidP="00CA2B66">
      <w:pPr>
        <w:rPr>
          <w:rFonts w:eastAsia="Calibri"/>
          <w:szCs w:val="24"/>
        </w:rPr>
      </w:pPr>
      <w:r>
        <w:rPr>
          <w:rFonts w:eastAsia="Calibri"/>
          <w:szCs w:val="24"/>
        </w:rPr>
        <w:t xml:space="preserve">Under the scheme, ADF members who have completed a sufficient period of effective service are eligible to receive a monthly subsidy to be paid against a home loan for a home in which they and their family live. </w:t>
      </w:r>
    </w:p>
    <w:p w14:paraId="6C40F436" w14:textId="77777777" w:rsidR="00CA2B66" w:rsidRDefault="00CA2B66" w:rsidP="00CA2B66">
      <w:pPr>
        <w:rPr>
          <w:rFonts w:eastAsia="Calibri"/>
          <w:szCs w:val="24"/>
        </w:rPr>
      </w:pPr>
    </w:p>
    <w:p w14:paraId="12E5A438" w14:textId="77777777" w:rsidR="00CA2B66" w:rsidRDefault="00CA2B66" w:rsidP="00CA2B66">
      <w:pPr>
        <w:rPr>
          <w:rFonts w:eastAsia="Calibri"/>
          <w:szCs w:val="24"/>
        </w:rPr>
      </w:pPr>
      <w:r>
        <w:rPr>
          <w:rFonts w:eastAsia="Calibri"/>
          <w:szCs w:val="24"/>
        </w:rPr>
        <w:t>An ADF member who remains an eligible scheme recipient when they separate from the ADF can continue to access the scheme post their ADF career subject to some specific requirements. At present, a member must generally apply for a subsidy certificate within two years of leaving the ADF. There is discretion to extend the two year period if the member has a compensable condition that led to their failure to apply for the subsidy within two years. The limited period was included in the scheme to encourage members to use their remaining entitlement as soon as possible after leaving the ADF to assist with their resettlement in the community.</w:t>
      </w:r>
    </w:p>
    <w:p w14:paraId="0ED9C1B4" w14:textId="77777777" w:rsidR="00CA2B66" w:rsidRDefault="00CA2B66" w:rsidP="00CA2B66">
      <w:pPr>
        <w:rPr>
          <w:rFonts w:eastAsia="Calibri"/>
          <w:szCs w:val="24"/>
        </w:rPr>
      </w:pPr>
    </w:p>
    <w:p w14:paraId="52E8C332" w14:textId="77777777" w:rsidR="00CA2B66" w:rsidRDefault="00CA2B66" w:rsidP="00CA2B66">
      <w:pPr>
        <w:rPr>
          <w:rFonts w:eastAsia="Calibri"/>
          <w:szCs w:val="24"/>
        </w:rPr>
      </w:pPr>
      <w:r>
        <w:rPr>
          <w:rFonts w:eastAsia="Calibri"/>
          <w:szCs w:val="24"/>
        </w:rPr>
        <w:t xml:space="preserve">Recent amendments to the </w:t>
      </w:r>
      <w:r w:rsidRPr="005732C2">
        <w:rPr>
          <w:rFonts w:eastAsia="Calibri"/>
          <w:i/>
          <w:szCs w:val="24"/>
        </w:rPr>
        <w:t>Defence Home Ownership Assistance Scheme Act 2008</w:t>
      </w:r>
      <w:r>
        <w:rPr>
          <w:rFonts w:eastAsia="Calibri"/>
          <w:szCs w:val="24"/>
        </w:rPr>
        <w:t xml:space="preserve"> permit an eligible ADF member who leaves the ADF to apply for a subsidy certificate for up to five years after leaving the ADF. The extension of two years to five years will assist members transitioning to civilian life by allowing additional time to look for suitable accommodation before applying and accessing their final DHOAS certificate. </w:t>
      </w:r>
    </w:p>
    <w:p w14:paraId="469546D5" w14:textId="77777777" w:rsidR="00CA2B66" w:rsidRDefault="00CA2B66" w:rsidP="00CA2B66">
      <w:pPr>
        <w:rPr>
          <w:rFonts w:eastAsia="Calibri"/>
          <w:szCs w:val="24"/>
        </w:rPr>
      </w:pPr>
    </w:p>
    <w:p w14:paraId="67CB21E8" w14:textId="4BBE8D5B" w:rsidR="00CA2B66" w:rsidRDefault="00CA2B66" w:rsidP="00CA2B66">
      <w:r w:rsidRPr="007D7EEC">
        <w:t xml:space="preserve">The purpose of the </w:t>
      </w:r>
      <w:r>
        <w:t>Regulations</w:t>
      </w:r>
      <w:r w:rsidR="00885F39">
        <w:t xml:space="preserve"> is</w:t>
      </w:r>
      <w:r w:rsidRPr="007D7EEC">
        <w:t xml:space="preserve"> to repeal subsection 11(5) of the </w:t>
      </w:r>
      <w:r w:rsidRPr="007D7EEC">
        <w:rPr>
          <w:i/>
        </w:rPr>
        <w:t>Defence Home Ownership Assistance Scheme Regulations 2018</w:t>
      </w:r>
      <w:r>
        <w:t xml:space="preserve"> to ensure consistency with the recent Act amendments.</w:t>
      </w:r>
    </w:p>
    <w:p w14:paraId="76E0BAE3" w14:textId="77777777" w:rsidR="00CA2B66" w:rsidRDefault="00CA2B66" w:rsidP="00CA2B66">
      <w:pPr>
        <w:spacing w:before="120"/>
      </w:pPr>
      <w:r w:rsidRPr="00840AC5">
        <w:t xml:space="preserve">Currently, subsection 11(5) prevents prior service being recognised as effective service for members joining the Reserves more than two years, but less than </w:t>
      </w:r>
      <w:r>
        <w:t>five</w:t>
      </w:r>
      <w:r w:rsidRPr="00840AC5">
        <w:t xml:space="preserve"> years after transitioning out of the ADF. </w:t>
      </w:r>
      <w:r>
        <w:t xml:space="preserve">The amending Regulations propose to remove this restriction, so that members joining the Reserves within five years can still have their prior service recognised as effective service. </w:t>
      </w:r>
    </w:p>
    <w:p w14:paraId="060EDDEB" w14:textId="7B37E892" w:rsidR="00F74D71" w:rsidRDefault="00F74D71" w:rsidP="00F7746B">
      <w:pPr>
        <w:pStyle w:val="NormalWeb"/>
        <w:spacing w:before="0" w:beforeAutospacing="0" w:after="0" w:afterAutospacing="0"/>
      </w:pPr>
    </w:p>
    <w:p w14:paraId="3C818381" w14:textId="77777777" w:rsidR="00885F39" w:rsidRDefault="00885F39" w:rsidP="00F74D71">
      <w:pPr>
        <w:spacing w:before="100" w:beforeAutospacing="1" w:after="100" w:afterAutospacing="1"/>
        <w:rPr>
          <w:b/>
          <w:szCs w:val="24"/>
          <w:lang w:val="en-AU"/>
        </w:rPr>
      </w:pPr>
    </w:p>
    <w:p w14:paraId="08EE9087" w14:textId="6841B9CB" w:rsidR="00373EB2" w:rsidRPr="00F74D71" w:rsidRDefault="00F74D71" w:rsidP="00F74D71">
      <w:pPr>
        <w:spacing w:before="100" w:beforeAutospacing="1" w:after="100" w:afterAutospacing="1"/>
        <w:rPr>
          <w:b/>
          <w:szCs w:val="24"/>
          <w:lang w:val="en-AU"/>
        </w:rPr>
      </w:pPr>
      <w:r w:rsidRPr="00F74D71">
        <w:rPr>
          <w:b/>
          <w:szCs w:val="24"/>
          <w:lang w:val="en-AU"/>
        </w:rPr>
        <w:t>Human Rights Implications</w:t>
      </w:r>
    </w:p>
    <w:p w14:paraId="61F10E57" w14:textId="434DCA40" w:rsidR="00885F39" w:rsidRDefault="00975801" w:rsidP="00F7746B">
      <w:pPr>
        <w:pStyle w:val="NormalWeb"/>
        <w:spacing w:before="0" w:beforeAutospacing="0" w:after="0" w:afterAutospacing="0"/>
      </w:pPr>
      <w:r w:rsidRPr="004278BC">
        <w:t>The</w:t>
      </w:r>
      <w:r w:rsidR="00A75549">
        <w:t xml:space="preserve"> </w:t>
      </w:r>
      <w:r w:rsidR="00885F39">
        <w:t xml:space="preserve">Regulations and the associated Act amendments </w:t>
      </w:r>
      <w:r w:rsidR="00F70EEE">
        <w:t xml:space="preserve">aim to provide </w:t>
      </w:r>
      <w:r w:rsidR="00885F39">
        <w:t>formers</w:t>
      </w:r>
      <w:r w:rsidR="00F70EEE">
        <w:t xml:space="preserve"> ADF member with longer </w:t>
      </w:r>
      <w:r w:rsidR="00885F39">
        <w:t>period of access to the scheme so that they can carefully consider their housing needs and enhance their capacity to purchase a suitable  home in their chosen community.</w:t>
      </w:r>
    </w:p>
    <w:p w14:paraId="1B4CF687" w14:textId="77777777" w:rsidR="00885F39" w:rsidRDefault="00885F39" w:rsidP="00F7746B">
      <w:pPr>
        <w:pStyle w:val="NormalWeb"/>
        <w:spacing w:before="0" w:beforeAutospacing="0" w:after="0" w:afterAutospacing="0"/>
      </w:pPr>
    </w:p>
    <w:p w14:paraId="43C150C2" w14:textId="2A279308" w:rsidR="00C42E84" w:rsidRDefault="00F70EEE" w:rsidP="00F7746B">
      <w:pPr>
        <w:pStyle w:val="NormalWeb"/>
        <w:spacing w:before="0" w:beforeAutospacing="0" w:after="0" w:afterAutospacing="0"/>
      </w:pPr>
      <w:r>
        <w:t>This will promote the right to an adequate standard of living in Article 11(1) of the International Covenant on Economic, Social and Cultural Rights</w:t>
      </w:r>
      <w:r w:rsidR="00FC789D">
        <w:t xml:space="preserve"> </w:t>
      </w:r>
      <w:r w:rsidR="00885F39">
        <w:t>(</w:t>
      </w:r>
      <w:r w:rsidR="00FC789D">
        <w:t xml:space="preserve">ICERSCR), in particular as it relates to housing. </w:t>
      </w:r>
    </w:p>
    <w:p w14:paraId="6A4409CD" w14:textId="77777777" w:rsidR="00983D1D" w:rsidRDefault="00983D1D">
      <w:pPr>
        <w:rPr>
          <w:szCs w:val="24"/>
        </w:rPr>
      </w:pPr>
    </w:p>
    <w:p w14:paraId="4F38E9D2" w14:textId="77777777" w:rsidR="00F73543" w:rsidRPr="004278BC" w:rsidRDefault="00F73543">
      <w:pPr>
        <w:rPr>
          <w:b/>
          <w:szCs w:val="24"/>
        </w:rPr>
      </w:pPr>
      <w:r w:rsidRPr="004278BC">
        <w:rPr>
          <w:b/>
          <w:szCs w:val="24"/>
        </w:rPr>
        <w:t>Conclusion</w:t>
      </w:r>
    </w:p>
    <w:p w14:paraId="556EE9CA" w14:textId="5C34B067" w:rsidR="00975801" w:rsidRPr="004278BC" w:rsidRDefault="006C3065" w:rsidP="00975801">
      <w:pPr>
        <w:pStyle w:val="NormalWeb"/>
        <w:rPr>
          <w:rFonts w:eastAsia="MS Mincho"/>
          <w:lang w:eastAsia="ja-JP"/>
        </w:rPr>
      </w:pPr>
      <w:r>
        <w:t xml:space="preserve">The </w:t>
      </w:r>
      <w:r w:rsidR="00975801" w:rsidRPr="004278BC">
        <w:t>Regulation</w:t>
      </w:r>
      <w:r w:rsidR="00E51EE5">
        <w:t>s a</w:t>
      </w:r>
      <w:r w:rsidR="00A75549">
        <w:t xml:space="preserve">re compatible with human rights </w:t>
      </w:r>
      <w:r w:rsidR="00FC789D">
        <w:t>because it promotes and advances the right to an adequate standard of living, and does not otherwise engage any human rights</w:t>
      </w:r>
      <w:r w:rsidR="00A75549">
        <w:t xml:space="preserve">. </w:t>
      </w:r>
    </w:p>
    <w:p w14:paraId="1B0BD5AF" w14:textId="01FB9FB1" w:rsidR="00975801" w:rsidRPr="004278BC" w:rsidRDefault="00975801">
      <w:pPr>
        <w:spacing w:after="200" w:line="276" w:lineRule="auto"/>
        <w:rPr>
          <w:rFonts w:eastAsia="MS Mincho"/>
          <w:szCs w:val="24"/>
          <w:lang w:val="en-AU" w:eastAsia="ja-JP"/>
        </w:rPr>
      </w:pPr>
    </w:p>
    <w:sectPr w:rsidR="00975801" w:rsidRPr="004278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96CD6" w14:textId="77777777" w:rsidR="009B293E" w:rsidRDefault="009B293E" w:rsidP="009B293E">
      <w:r>
        <w:separator/>
      </w:r>
    </w:p>
  </w:endnote>
  <w:endnote w:type="continuationSeparator" w:id="0">
    <w:p w14:paraId="05475877" w14:textId="77777777" w:rsidR="009B293E" w:rsidRDefault="009B293E" w:rsidP="009B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76F0A" w14:textId="77777777" w:rsidR="009B293E" w:rsidRDefault="009B293E" w:rsidP="009B293E">
      <w:r>
        <w:separator/>
      </w:r>
    </w:p>
  </w:footnote>
  <w:footnote w:type="continuationSeparator" w:id="0">
    <w:p w14:paraId="7A4E0B40" w14:textId="77777777" w:rsidR="009B293E" w:rsidRDefault="009B293E" w:rsidP="009B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3A6"/>
    <w:multiLevelType w:val="hybridMultilevel"/>
    <w:tmpl w:val="3C2482C6"/>
    <w:lvl w:ilvl="0" w:tplc="06621B8C">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59B"/>
    <w:multiLevelType w:val="hybridMultilevel"/>
    <w:tmpl w:val="6DB428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15:restartNumberingAfterBreak="0">
    <w:nsid w:val="2AE7113D"/>
    <w:multiLevelType w:val="hybridMultilevel"/>
    <w:tmpl w:val="1000333A"/>
    <w:lvl w:ilvl="0" w:tplc="497C68A8">
      <w:start w:val="1"/>
      <w:numFmt w:val="decimal"/>
      <w:lvlText w:val="%1."/>
      <w:lvlJc w:val="left"/>
      <w:pPr>
        <w:tabs>
          <w:tab w:val="num" w:pos="360"/>
        </w:tabs>
        <w:ind w:left="36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BC1428E"/>
    <w:multiLevelType w:val="hybridMultilevel"/>
    <w:tmpl w:val="E166BCB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E9F45A1"/>
    <w:multiLevelType w:val="hybridMultilevel"/>
    <w:tmpl w:val="115AEA82"/>
    <w:lvl w:ilvl="0" w:tplc="7F788E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724556C"/>
    <w:multiLevelType w:val="hybridMultilevel"/>
    <w:tmpl w:val="D3D87F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572C7993"/>
    <w:multiLevelType w:val="hybridMultilevel"/>
    <w:tmpl w:val="B6962D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CC3C2A"/>
    <w:multiLevelType w:val="hybridMultilevel"/>
    <w:tmpl w:val="A9E43D44"/>
    <w:lvl w:ilvl="0" w:tplc="C35C1C12">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E404E3"/>
    <w:multiLevelType w:val="hybridMultilevel"/>
    <w:tmpl w:val="553667CC"/>
    <w:lvl w:ilvl="0" w:tplc="C17E6F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0"/>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A8"/>
    <w:rsid w:val="0001753C"/>
    <w:rsid w:val="000354A6"/>
    <w:rsid w:val="00036E77"/>
    <w:rsid w:val="000470DC"/>
    <w:rsid w:val="00050041"/>
    <w:rsid w:val="00057C03"/>
    <w:rsid w:val="0007637C"/>
    <w:rsid w:val="00082721"/>
    <w:rsid w:val="0008563E"/>
    <w:rsid w:val="00087B6D"/>
    <w:rsid w:val="000959FE"/>
    <w:rsid w:val="00097B3B"/>
    <w:rsid w:val="000A3C97"/>
    <w:rsid w:val="000A4EFB"/>
    <w:rsid w:val="000D2307"/>
    <w:rsid w:val="000D4745"/>
    <w:rsid w:val="00132E32"/>
    <w:rsid w:val="00135025"/>
    <w:rsid w:val="00141920"/>
    <w:rsid w:val="00143625"/>
    <w:rsid w:val="00151A5C"/>
    <w:rsid w:val="001902F1"/>
    <w:rsid w:val="001A0DFE"/>
    <w:rsid w:val="001D460E"/>
    <w:rsid w:val="001E33C5"/>
    <w:rsid w:val="0022366E"/>
    <w:rsid w:val="00241B47"/>
    <w:rsid w:val="002618B2"/>
    <w:rsid w:val="00295DFC"/>
    <w:rsid w:val="002B129B"/>
    <w:rsid w:val="00373EB2"/>
    <w:rsid w:val="00396047"/>
    <w:rsid w:val="003A72C7"/>
    <w:rsid w:val="003B419F"/>
    <w:rsid w:val="003B46F2"/>
    <w:rsid w:val="003C5A99"/>
    <w:rsid w:val="003E6672"/>
    <w:rsid w:val="003E684C"/>
    <w:rsid w:val="00422A45"/>
    <w:rsid w:val="004278BC"/>
    <w:rsid w:val="00447AC1"/>
    <w:rsid w:val="00455631"/>
    <w:rsid w:val="004576E2"/>
    <w:rsid w:val="00476552"/>
    <w:rsid w:val="0047690C"/>
    <w:rsid w:val="00493287"/>
    <w:rsid w:val="004A4677"/>
    <w:rsid w:val="004A561A"/>
    <w:rsid w:val="004B22BD"/>
    <w:rsid w:val="004C12A2"/>
    <w:rsid w:val="004C3D3D"/>
    <w:rsid w:val="005309AB"/>
    <w:rsid w:val="005362E0"/>
    <w:rsid w:val="00565ABA"/>
    <w:rsid w:val="00571C06"/>
    <w:rsid w:val="005860F0"/>
    <w:rsid w:val="00586EB5"/>
    <w:rsid w:val="005B7C51"/>
    <w:rsid w:val="005E4AD1"/>
    <w:rsid w:val="005F59CA"/>
    <w:rsid w:val="00634EF0"/>
    <w:rsid w:val="006405BF"/>
    <w:rsid w:val="00686414"/>
    <w:rsid w:val="006A7E4D"/>
    <w:rsid w:val="006B0AF9"/>
    <w:rsid w:val="006C003B"/>
    <w:rsid w:val="006C3065"/>
    <w:rsid w:val="007271C6"/>
    <w:rsid w:val="00746E00"/>
    <w:rsid w:val="00794057"/>
    <w:rsid w:val="0083298C"/>
    <w:rsid w:val="00885F39"/>
    <w:rsid w:val="0089085B"/>
    <w:rsid w:val="0089133D"/>
    <w:rsid w:val="008A6708"/>
    <w:rsid w:val="008D3464"/>
    <w:rsid w:val="0092661F"/>
    <w:rsid w:val="00965561"/>
    <w:rsid w:val="00975801"/>
    <w:rsid w:val="00983D1D"/>
    <w:rsid w:val="00992CEF"/>
    <w:rsid w:val="009B293E"/>
    <w:rsid w:val="009C713D"/>
    <w:rsid w:val="009E1144"/>
    <w:rsid w:val="009E1D06"/>
    <w:rsid w:val="009F03F3"/>
    <w:rsid w:val="00A158A8"/>
    <w:rsid w:val="00A666AB"/>
    <w:rsid w:val="00A677AB"/>
    <w:rsid w:val="00A75549"/>
    <w:rsid w:val="00A76B4C"/>
    <w:rsid w:val="00AD7807"/>
    <w:rsid w:val="00AE728F"/>
    <w:rsid w:val="00B23E1F"/>
    <w:rsid w:val="00B425C1"/>
    <w:rsid w:val="00BC0888"/>
    <w:rsid w:val="00C26098"/>
    <w:rsid w:val="00C42E84"/>
    <w:rsid w:val="00C930B7"/>
    <w:rsid w:val="00C94D2B"/>
    <w:rsid w:val="00CA1B87"/>
    <w:rsid w:val="00CA2B66"/>
    <w:rsid w:val="00D42A22"/>
    <w:rsid w:val="00D50093"/>
    <w:rsid w:val="00D5174C"/>
    <w:rsid w:val="00D52ECE"/>
    <w:rsid w:val="00D56BA0"/>
    <w:rsid w:val="00D63B84"/>
    <w:rsid w:val="00DA0D1F"/>
    <w:rsid w:val="00DC48EA"/>
    <w:rsid w:val="00DE7361"/>
    <w:rsid w:val="00E16E02"/>
    <w:rsid w:val="00E30C47"/>
    <w:rsid w:val="00E51EE5"/>
    <w:rsid w:val="00E65497"/>
    <w:rsid w:val="00EC37A2"/>
    <w:rsid w:val="00EE1919"/>
    <w:rsid w:val="00F17B3E"/>
    <w:rsid w:val="00F2570A"/>
    <w:rsid w:val="00F53789"/>
    <w:rsid w:val="00F70EEE"/>
    <w:rsid w:val="00F73543"/>
    <w:rsid w:val="00F74D71"/>
    <w:rsid w:val="00F7746B"/>
    <w:rsid w:val="00FA27A4"/>
    <w:rsid w:val="00FA32FD"/>
    <w:rsid w:val="00FB3C2D"/>
    <w:rsid w:val="00FC789D"/>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8D98"/>
  <w15:docId w15:val="{334894DA-7227-4B27-BA4B-F617F10F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8A8"/>
    <w:pPr>
      <w:spacing w:after="0" w:line="240" w:lineRule="auto"/>
    </w:pPr>
    <w:rPr>
      <w:rFonts w:ascii="Times New Roman" w:eastAsia="Times New Roman" w:hAnsi="Times New Roman" w:cs="Times New Roman"/>
      <w:sz w:val="24"/>
      <w:szCs w:val="20"/>
      <w:lang w:val="en-US" w:eastAsia="en-AU"/>
    </w:rPr>
  </w:style>
  <w:style w:type="paragraph" w:styleId="Heading1">
    <w:name w:val="heading 1"/>
    <w:basedOn w:val="Normal"/>
    <w:link w:val="Heading1Char"/>
    <w:uiPriority w:val="9"/>
    <w:qFormat/>
    <w:rsid w:val="008A6708"/>
    <w:pPr>
      <w:spacing w:before="100" w:beforeAutospacing="1" w:after="100" w:afterAutospacing="1"/>
      <w:outlineLvl w:val="0"/>
    </w:pPr>
    <w:rPr>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58A8"/>
    <w:pPr>
      <w:spacing w:before="100" w:beforeAutospacing="1" w:after="100" w:afterAutospacing="1"/>
    </w:pPr>
    <w:rPr>
      <w:rFonts w:eastAsia="Calibri"/>
      <w:szCs w:val="24"/>
      <w:lang w:val="en-AU"/>
    </w:rPr>
  </w:style>
  <w:style w:type="character" w:customStyle="1" w:styleId="apple-converted-space">
    <w:name w:val="apple-converted-space"/>
    <w:basedOn w:val="DefaultParagraphFont"/>
    <w:rsid w:val="00746E00"/>
  </w:style>
  <w:style w:type="paragraph" w:customStyle="1" w:styleId="paragraph">
    <w:name w:val="paragraph"/>
    <w:aliases w:val="a,indent(a)"/>
    <w:basedOn w:val="Normal"/>
    <w:link w:val="paragraphChar"/>
    <w:rsid w:val="00746E00"/>
    <w:pPr>
      <w:tabs>
        <w:tab w:val="right" w:pos="1531"/>
      </w:tabs>
      <w:spacing w:before="40"/>
      <w:ind w:left="1644" w:hanging="1644"/>
    </w:pPr>
    <w:rPr>
      <w:sz w:val="22"/>
      <w:lang w:val="en-AU"/>
    </w:rPr>
  </w:style>
  <w:style w:type="character" w:customStyle="1" w:styleId="paragraphChar">
    <w:name w:val="paragraph Char"/>
    <w:aliases w:val="a Char"/>
    <w:link w:val="paragraph"/>
    <w:rsid w:val="00746E00"/>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8A6708"/>
    <w:rPr>
      <w:rFonts w:ascii="Times New Roman" w:eastAsia="Times New Roman" w:hAnsi="Times New Roman" w:cs="Times New Roman"/>
      <w:b/>
      <w:bCs/>
      <w:kern w:val="36"/>
      <w:sz w:val="48"/>
      <w:szCs w:val="48"/>
      <w:lang w:eastAsia="en-AU"/>
    </w:rPr>
  </w:style>
  <w:style w:type="paragraph" w:styleId="Footer">
    <w:name w:val="footer"/>
    <w:basedOn w:val="Normal"/>
    <w:link w:val="FooterChar"/>
    <w:uiPriority w:val="99"/>
    <w:unhideWhenUsed/>
    <w:rsid w:val="008A6708"/>
    <w:pPr>
      <w:spacing w:before="100" w:beforeAutospacing="1" w:after="100" w:afterAutospacing="1"/>
    </w:pPr>
    <w:rPr>
      <w:szCs w:val="24"/>
      <w:lang w:val="en-AU"/>
    </w:rPr>
  </w:style>
  <w:style w:type="character" w:customStyle="1" w:styleId="FooterChar">
    <w:name w:val="Footer Char"/>
    <w:basedOn w:val="DefaultParagraphFont"/>
    <w:link w:val="Footer"/>
    <w:uiPriority w:val="99"/>
    <w:rsid w:val="008A6708"/>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8A6708"/>
    <w:pPr>
      <w:spacing w:before="100" w:beforeAutospacing="1" w:after="100" w:afterAutospacing="1"/>
    </w:pPr>
    <w:rPr>
      <w:szCs w:val="24"/>
      <w:lang w:val="en-AU"/>
    </w:rPr>
  </w:style>
  <w:style w:type="character" w:customStyle="1" w:styleId="BodyTextChar">
    <w:name w:val="Body Text Char"/>
    <w:basedOn w:val="DefaultParagraphFont"/>
    <w:link w:val="BodyText"/>
    <w:uiPriority w:val="99"/>
    <w:semiHidden/>
    <w:rsid w:val="008A6708"/>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8A6708"/>
    <w:pPr>
      <w:spacing w:before="100" w:beforeAutospacing="1" w:after="100" w:afterAutospacing="1"/>
    </w:pPr>
    <w:rPr>
      <w:szCs w:val="24"/>
      <w:lang w:val="en-AU"/>
    </w:rPr>
  </w:style>
  <w:style w:type="character" w:customStyle="1" w:styleId="BodyText2Char">
    <w:name w:val="Body Text 2 Char"/>
    <w:basedOn w:val="DefaultParagraphFont"/>
    <w:link w:val="BodyText2"/>
    <w:uiPriority w:val="99"/>
    <w:semiHidden/>
    <w:rsid w:val="008A670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51EE5"/>
    <w:rPr>
      <w:rFonts w:ascii="Tahoma" w:hAnsi="Tahoma" w:cs="Tahoma"/>
      <w:sz w:val="16"/>
      <w:szCs w:val="16"/>
    </w:rPr>
  </w:style>
  <w:style w:type="character" w:customStyle="1" w:styleId="BalloonTextChar">
    <w:name w:val="Balloon Text Char"/>
    <w:basedOn w:val="DefaultParagraphFont"/>
    <w:link w:val="BalloonText"/>
    <w:uiPriority w:val="99"/>
    <w:semiHidden/>
    <w:rsid w:val="00E51EE5"/>
    <w:rPr>
      <w:rFonts w:ascii="Tahoma" w:eastAsia="Times New Roman" w:hAnsi="Tahoma" w:cs="Tahoma"/>
      <w:sz w:val="16"/>
      <w:szCs w:val="16"/>
      <w:lang w:val="en-US" w:eastAsia="en-AU"/>
    </w:rPr>
  </w:style>
  <w:style w:type="character" w:styleId="CommentReference">
    <w:name w:val="annotation reference"/>
    <w:basedOn w:val="DefaultParagraphFont"/>
    <w:uiPriority w:val="99"/>
    <w:semiHidden/>
    <w:unhideWhenUsed/>
    <w:rsid w:val="001902F1"/>
    <w:rPr>
      <w:sz w:val="16"/>
      <w:szCs w:val="16"/>
    </w:rPr>
  </w:style>
  <w:style w:type="paragraph" w:styleId="CommentText">
    <w:name w:val="annotation text"/>
    <w:basedOn w:val="Normal"/>
    <w:link w:val="CommentTextChar"/>
    <w:uiPriority w:val="99"/>
    <w:semiHidden/>
    <w:unhideWhenUsed/>
    <w:rsid w:val="001902F1"/>
    <w:rPr>
      <w:sz w:val="20"/>
    </w:rPr>
  </w:style>
  <w:style w:type="character" w:customStyle="1" w:styleId="CommentTextChar">
    <w:name w:val="Comment Text Char"/>
    <w:basedOn w:val="DefaultParagraphFont"/>
    <w:link w:val="CommentText"/>
    <w:uiPriority w:val="99"/>
    <w:semiHidden/>
    <w:rsid w:val="001902F1"/>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1902F1"/>
    <w:rPr>
      <w:b/>
      <w:bCs/>
    </w:rPr>
  </w:style>
  <w:style w:type="character" w:customStyle="1" w:styleId="CommentSubjectChar">
    <w:name w:val="Comment Subject Char"/>
    <w:basedOn w:val="CommentTextChar"/>
    <w:link w:val="CommentSubject"/>
    <w:uiPriority w:val="99"/>
    <w:semiHidden/>
    <w:rsid w:val="001902F1"/>
    <w:rPr>
      <w:rFonts w:ascii="Times New Roman" w:eastAsia="Times New Roman" w:hAnsi="Times New Roman" w:cs="Times New Roman"/>
      <w:b/>
      <w:bCs/>
      <w:sz w:val="20"/>
      <w:szCs w:val="20"/>
      <w:lang w:val="en-US" w:eastAsia="en-AU"/>
    </w:rPr>
  </w:style>
  <w:style w:type="paragraph" w:styleId="ListParagraph">
    <w:name w:val="List Paragraph"/>
    <w:basedOn w:val="Normal"/>
    <w:uiPriority w:val="99"/>
    <w:qFormat/>
    <w:rsid w:val="002B129B"/>
    <w:pPr>
      <w:spacing w:before="240"/>
      <w:ind w:left="720"/>
      <w:contextualSpacing/>
    </w:pPr>
    <w:rPr>
      <w:lang w:val="en-AU"/>
    </w:rPr>
  </w:style>
  <w:style w:type="paragraph" w:styleId="Header">
    <w:name w:val="header"/>
    <w:basedOn w:val="Normal"/>
    <w:link w:val="HeaderChar"/>
    <w:uiPriority w:val="99"/>
    <w:unhideWhenUsed/>
    <w:rsid w:val="009B293E"/>
    <w:pPr>
      <w:tabs>
        <w:tab w:val="center" w:pos="4513"/>
        <w:tab w:val="right" w:pos="9026"/>
      </w:tabs>
    </w:pPr>
  </w:style>
  <w:style w:type="character" w:customStyle="1" w:styleId="HeaderChar">
    <w:name w:val="Header Char"/>
    <w:basedOn w:val="DefaultParagraphFont"/>
    <w:link w:val="Header"/>
    <w:uiPriority w:val="99"/>
    <w:rsid w:val="009B293E"/>
    <w:rPr>
      <w:rFonts w:ascii="Times New Roman" w:eastAsia="Times New Roman" w:hAnsi="Times New Roman"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22985">
      <w:bodyDiv w:val="1"/>
      <w:marLeft w:val="0"/>
      <w:marRight w:val="0"/>
      <w:marTop w:val="0"/>
      <w:marBottom w:val="0"/>
      <w:divBdr>
        <w:top w:val="none" w:sz="0" w:space="0" w:color="auto"/>
        <w:left w:val="none" w:sz="0" w:space="0" w:color="auto"/>
        <w:bottom w:val="none" w:sz="0" w:space="0" w:color="auto"/>
        <w:right w:val="none" w:sz="0" w:space="0" w:color="auto"/>
      </w:divBdr>
    </w:div>
    <w:div w:id="1065492199">
      <w:bodyDiv w:val="1"/>
      <w:marLeft w:val="0"/>
      <w:marRight w:val="0"/>
      <w:marTop w:val="0"/>
      <w:marBottom w:val="0"/>
      <w:divBdr>
        <w:top w:val="none" w:sz="0" w:space="0" w:color="auto"/>
        <w:left w:val="none" w:sz="0" w:space="0" w:color="auto"/>
        <w:bottom w:val="none" w:sz="0" w:space="0" w:color="auto"/>
        <w:right w:val="none" w:sz="0" w:space="0" w:color="auto"/>
      </w:divBdr>
    </w:div>
    <w:div w:id="1206333685">
      <w:bodyDiv w:val="1"/>
      <w:marLeft w:val="0"/>
      <w:marRight w:val="0"/>
      <w:marTop w:val="0"/>
      <w:marBottom w:val="0"/>
      <w:divBdr>
        <w:top w:val="none" w:sz="0" w:space="0" w:color="auto"/>
        <w:left w:val="none" w:sz="0" w:space="0" w:color="auto"/>
        <w:bottom w:val="none" w:sz="0" w:space="0" w:color="auto"/>
        <w:right w:val="none" w:sz="0" w:space="0" w:color="auto"/>
      </w:divBdr>
    </w:div>
    <w:div w:id="1400907528">
      <w:bodyDiv w:val="1"/>
      <w:marLeft w:val="0"/>
      <w:marRight w:val="0"/>
      <w:marTop w:val="0"/>
      <w:marBottom w:val="0"/>
      <w:divBdr>
        <w:top w:val="none" w:sz="0" w:space="0" w:color="auto"/>
        <w:left w:val="none" w:sz="0" w:space="0" w:color="auto"/>
        <w:bottom w:val="none" w:sz="0" w:space="0" w:color="auto"/>
        <w:right w:val="none" w:sz="0" w:space="0" w:color="auto"/>
      </w:divBdr>
    </w:div>
    <w:div w:id="20019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5E5E087BAE361458E666004B89FD98D" ma:contentTypeVersion="" ma:contentTypeDescription="PDMS Document Site Content Type" ma:contentTypeScope="" ma:versionID="18b043aaa0d48e2632bab8da864f0d6b">
  <xsd:schema xmlns:xsd="http://www.w3.org/2001/XMLSchema" xmlns:xs="http://www.w3.org/2001/XMLSchema" xmlns:p="http://schemas.microsoft.com/office/2006/metadata/properties" xmlns:ns2="D647E183-B579-4841-9759-0DEFB68821BC" targetNamespace="http://schemas.microsoft.com/office/2006/metadata/properties" ma:root="true" ma:fieldsID="1faa0858b5a2dbfbfeed232e08b60741" ns2:_="">
    <xsd:import namespace="D647E183-B579-4841-9759-0DEFB68821B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7E183-B579-4841-9759-0DEFB68821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647E183-B579-4841-9759-0DEFB68821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7DFF-F202-4779-8E5F-7E1C897BF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7E183-B579-4841-9759-0DEFB6882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08DC9-6ED1-4CD1-9A63-459A33324CEA}">
  <ds:schemaRefs>
    <ds:schemaRef ds:uri="http://schemas.microsoft.com/sharepoint/v3/contenttype/forms"/>
  </ds:schemaRefs>
</ds:datastoreItem>
</file>

<file path=customXml/itemProps3.xml><?xml version="1.0" encoding="utf-8"?>
<ds:datastoreItem xmlns:ds="http://schemas.openxmlformats.org/officeDocument/2006/customXml" ds:itemID="{0835252D-816A-41E5-8F73-A736422186C5}">
  <ds:schemaRefs>
    <ds:schemaRef ds:uri="http://schemas.microsoft.com/office/2006/documentManagement/types"/>
    <ds:schemaRef ds:uri="http://purl.org/dc/terms/"/>
    <ds:schemaRef ds:uri="http://schemas.openxmlformats.org/package/2006/metadata/core-properties"/>
    <ds:schemaRef ds:uri="D647E183-B579-4841-9759-0DEFB68821BC"/>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FEB1725-38C3-473D-BBBA-A0B7C9FA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409A1196</Template>
  <TotalTime>1</TotalTime>
  <Pages>6</Pages>
  <Words>1261</Words>
  <Characters>7191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Defence Legal</dc:creator>
  <cp:lastModifiedBy>Gu, Rebecca MS</cp:lastModifiedBy>
  <cp:revision>2</cp:revision>
  <cp:lastPrinted>2020-05-25T04:20:00Z</cp:lastPrinted>
  <dcterms:created xsi:type="dcterms:W3CDTF">2020-06-12T05:19:00Z</dcterms:created>
  <dcterms:modified xsi:type="dcterms:W3CDTF">2020-06-12T05:19:00Z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0x010100266966F133664895A6EE3632470D45F50055E5E087BAE361458E666004B89FD98D</vt:lpwstr>
  </property>
  <property fmtid="{D5CDD505-2E9C-101B-9397-08002B2CF9AE}" pid="3" name="Objective-Id">
    <vt:lpwstr>BN13856984</vt:lpwstr>
  </property>
  <property fmtid="{D5CDD505-2E9C-101B-9397-08002B2CF9AE}" pid="4" name="Objective-Title">
    <vt:lpwstr>Attachment  - Explanatory Statement</vt:lpwstr>
  </property>
  <property fmtid="{D5CDD505-2E9C-101B-9397-08002B2CF9AE}" pid="5" name="Objective-Comment">
    <vt:lpwstr/>
  </property>
  <property fmtid="{D5CDD505-2E9C-101B-9397-08002B2CF9AE}" pid="6" name="Objective-CreationStamp">
    <vt:filetime>2020-02-24T22:07:29Z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2020-02-24T22:07:39Z</vt:filetime>
  </property>
  <property fmtid="{D5CDD505-2E9C-101B-9397-08002B2CF9AE}" pid="10" name="Objective-ModificationStamp">
    <vt:filetime>2020-02-24T22:09:06Z</vt:filetime>
  </property>
  <property fmtid="{D5CDD505-2E9C-101B-9397-08002B2CF9AE}" pid="11" name="Objective-Owner">
    <vt:lpwstr>Bethell, Peter Mr</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Directorates:60 Military Conditions &amp; Housing Policy:Accommodation (Hou</vt:lpwstr>
  </property>
  <property fmtid="{D5CDD505-2E9C-101B-9397-08002B2CF9AE}" pid="13" name="Objective-Parent">
    <vt:lpwstr>Drafts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