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EC" w:rsidRPr="00565372" w:rsidRDefault="008A0C22" w:rsidP="00A74CEC">
      <w:pPr>
        <w:rPr>
          <w:rFonts w:ascii="Arial" w:hAnsi="Arial" w:cs="Arial"/>
          <w:color w:val="000000"/>
        </w:rPr>
      </w:pPr>
      <w:r w:rsidRPr="00565372">
        <w:rPr>
          <w:rFonts w:ascii="Arial" w:hAnsi="Arial" w:cs="Arial"/>
          <w:noProof/>
          <w:color w:val="000000"/>
          <w:lang w:eastAsia="en-AU"/>
        </w:rPr>
        <w:drawing>
          <wp:inline distT="0" distB="0" distL="0" distR="0">
            <wp:extent cx="3619500" cy="7334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rsidR="00971F0C" w:rsidRPr="00565372" w:rsidRDefault="00971F0C" w:rsidP="00F33A28">
      <w:pPr>
        <w:pStyle w:val="LDTitle"/>
        <w:rPr>
          <w:rStyle w:val="LDCitation"/>
        </w:rPr>
      </w:pPr>
      <w:r w:rsidRPr="00565372">
        <w:t xml:space="preserve">AMSA MO </w:t>
      </w:r>
      <w:r w:rsidR="0096207C" w:rsidRPr="00565372">
        <w:t>2020</w:t>
      </w:r>
      <w:r w:rsidR="003E21E0">
        <w:t>/3</w:t>
      </w:r>
    </w:p>
    <w:p w:rsidR="00F54C84" w:rsidRPr="00565372" w:rsidRDefault="00F54C84" w:rsidP="00F54C84">
      <w:pPr>
        <w:pStyle w:val="LDDescription"/>
      </w:pPr>
      <w:bookmarkStart w:id="0" w:name="Citation"/>
      <w:r w:rsidRPr="00565372">
        <w:t>Marine Order</w:t>
      </w:r>
      <w:r w:rsidR="00C129D7" w:rsidRPr="00565372">
        <w:t xml:space="preserve"> </w:t>
      </w:r>
      <w:r w:rsidR="0096207C" w:rsidRPr="00565372">
        <w:t xml:space="preserve">47 </w:t>
      </w:r>
      <w:r w:rsidR="00C129D7" w:rsidRPr="00565372">
        <w:t>(</w:t>
      </w:r>
      <w:r w:rsidR="0096207C" w:rsidRPr="00565372">
        <w:t>Offshore industry units</w:t>
      </w:r>
      <w:r w:rsidR="00C129D7" w:rsidRPr="00565372">
        <w:t>)</w:t>
      </w:r>
      <w:r w:rsidRPr="00565372">
        <w:t xml:space="preserve"> Amendment </w:t>
      </w:r>
      <w:r w:rsidR="0096207C" w:rsidRPr="00565372">
        <w:t>Order 2020</w:t>
      </w:r>
      <w:bookmarkEnd w:id="0"/>
    </w:p>
    <w:p w:rsidR="002320F6" w:rsidRPr="00565372" w:rsidRDefault="002320F6" w:rsidP="00F33A28">
      <w:pPr>
        <w:pStyle w:val="LDBodytext"/>
      </w:pPr>
      <w:r w:rsidRPr="00565372">
        <w:t xml:space="preserve">I, </w:t>
      </w:r>
      <w:r w:rsidR="009E30FA" w:rsidRPr="00565372">
        <w:t>Michael</w:t>
      </w:r>
      <w:r w:rsidR="00990D26" w:rsidRPr="00565372">
        <w:t xml:space="preserve"> Kinley</w:t>
      </w:r>
      <w:r w:rsidRPr="00565372">
        <w:t xml:space="preserve">, </w:t>
      </w:r>
      <w:r w:rsidR="009D5332" w:rsidRPr="00565372">
        <w:t>Chief Executive Officer</w:t>
      </w:r>
      <w:r w:rsidR="00971F0C" w:rsidRPr="00565372">
        <w:t xml:space="preserve"> of the Australian Maritime Safety Authority, make this</w:t>
      </w:r>
      <w:r w:rsidRPr="00565372">
        <w:t xml:space="preserve"> </w:t>
      </w:r>
      <w:r w:rsidR="00E46E9A" w:rsidRPr="00565372">
        <w:t xml:space="preserve">Marine </w:t>
      </w:r>
      <w:r w:rsidRPr="00565372">
        <w:t xml:space="preserve">Order under </w:t>
      </w:r>
      <w:r w:rsidR="00587B31" w:rsidRPr="00565372">
        <w:t>subsection </w:t>
      </w:r>
      <w:r w:rsidR="00094FBA" w:rsidRPr="00565372">
        <w:t>342</w:t>
      </w:r>
      <w:r w:rsidR="00971F0C" w:rsidRPr="00565372">
        <w:t xml:space="preserve">(1) of </w:t>
      </w:r>
      <w:r w:rsidR="009D5332" w:rsidRPr="00565372">
        <w:t xml:space="preserve">the </w:t>
      </w:r>
      <w:r w:rsidR="00094FBA" w:rsidRPr="00565372">
        <w:rPr>
          <w:i/>
        </w:rPr>
        <w:t>Navigation Act 2012</w:t>
      </w:r>
      <w:r w:rsidRPr="00565372">
        <w:t>.</w:t>
      </w:r>
    </w:p>
    <w:p w:rsidR="00641705" w:rsidRPr="00565372" w:rsidRDefault="000F309E" w:rsidP="00641705">
      <w:pPr>
        <w:pStyle w:val="LDDate"/>
      </w:pPr>
      <w:r>
        <w:t xml:space="preserve">10 June </w:t>
      </w:r>
      <w:r w:rsidR="0096207C" w:rsidRPr="00565372">
        <w:t>2020</w:t>
      </w:r>
    </w:p>
    <w:p w:rsidR="005F6E40" w:rsidRPr="00565372" w:rsidRDefault="00D751D6" w:rsidP="00641705">
      <w:pPr>
        <w:pStyle w:val="LDSignatory"/>
      </w:pPr>
      <w:r>
        <w:rPr>
          <w:rStyle w:val="StyleLDSignatoryBoldChar"/>
        </w:rPr>
        <w:t>Michael Kinley</w:t>
      </w:r>
      <w:bookmarkStart w:id="1" w:name="_GoBack"/>
      <w:bookmarkEnd w:id="1"/>
      <w:r w:rsidR="00F33A28" w:rsidRPr="00565372">
        <w:rPr>
          <w:rStyle w:val="StyleLDSignatoryBoldChar"/>
        </w:rPr>
        <w:br/>
      </w:r>
      <w:r w:rsidR="00F33A28" w:rsidRPr="00565372">
        <w:t>Chief Executive Officer</w:t>
      </w:r>
    </w:p>
    <w:p w:rsidR="00E156DE" w:rsidRPr="00565372" w:rsidRDefault="00E156DE" w:rsidP="00E156DE">
      <w:pPr>
        <w:pStyle w:val="LDBodytext"/>
      </w:pPr>
    </w:p>
    <w:p w:rsidR="00C01056" w:rsidRPr="00565372" w:rsidRDefault="00C01056" w:rsidP="00E156DE">
      <w:pPr>
        <w:pStyle w:val="SigningPageBreak"/>
        <w:sectPr w:rsidR="00C01056" w:rsidRPr="00565372" w:rsidSect="00E156DE">
          <w:headerReference w:type="even" r:id="rId9"/>
          <w:headerReference w:type="default" r:id="rId10"/>
          <w:footerReference w:type="even" r:id="rId11"/>
          <w:footerReference w:type="default" r:id="rId12"/>
          <w:headerReference w:type="first" r:id="rId13"/>
          <w:footerReference w:type="first" r:id="rId14"/>
          <w:pgSz w:w="11907" w:h="16839" w:code="9"/>
          <w:pgMar w:top="1361" w:right="1701" w:bottom="1361" w:left="1701" w:header="567" w:footer="567" w:gutter="0"/>
          <w:cols w:space="708"/>
          <w:titlePg/>
          <w:docGrid w:linePitch="360"/>
        </w:sectPr>
      </w:pPr>
      <w:bookmarkStart w:id="2" w:name="_Toc298239777"/>
      <w:bookmarkStart w:id="3" w:name="_Toc298239791"/>
    </w:p>
    <w:p w:rsidR="004C6E70" w:rsidRPr="00565372" w:rsidRDefault="002320F6" w:rsidP="00CE5AD0">
      <w:pPr>
        <w:pStyle w:val="LDClauseHeading"/>
        <w:tabs>
          <w:tab w:val="left" w:pos="360"/>
        </w:tabs>
      </w:pPr>
      <w:r w:rsidRPr="00565372">
        <w:rPr>
          <w:rStyle w:val="CharSectNo"/>
        </w:rPr>
        <w:lastRenderedPageBreak/>
        <w:t>1</w:t>
      </w:r>
      <w:r w:rsidRPr="00565372">
        <w:tab/>
      </w:r>
      <w:r w:rsidR="00CE5AD0" w:rsidRPr="00565372">
        <w:tab/>
      </w:r>
      <w:r w:rsidRPr="00565372">
        <w:t xml:space="preserve">Name of </w:t>
      </w:r>
      <w:r w:rsidR="00E46E9A" w:rsidRPr="00565372">
        <w:t xml:space="preserve">Marine </w:t>
      </w:r>
      <w:r w:rsidRPr="00565372">
        <w:t>Order</w:t>
      </w:r>
      <w:bookmarkEnd w:id="2"/>
      <w:bookmarkEnd w:id="3"/>
    </w:p>
    <w:p w:rsidR="002320F6" w:rsidRPr="00565372" w:rsidRDefault="002320F6" w:rsidP="00692F9E">
      <w:pPr>
        <w:pStyle w:val="LDClause"/>
      </w:pPr>
      <w:r w:rsidRPr="00565372">
        <w:tab/>
      </w:r>
      <w:r w:rsidRPr="00565372">
        <w:tab/>
        <w:t>Th</w:t>
      </w:r>
      <w:r w:rsidR="00F33A28" w:rsidRPr="00565372">
        <w:t>is</w:t>
      </w:r>
      <w:r w:rsidRPr="00565372">
        <w:t xml:space="preserve"> </w:t>
      </w:r>
      <w:r w:rsidR="00E46E9A" w:rsidRPr="00565372">
        <w:t xml:space="preserve">Marine </w:t>
      </w:r>
      <w:r w:rsidRPr="00565372">
        <w:t>Ord</w:t>
      </w:r>
      <w:r w:rsidR="0043276E" w:rsidRPr="00565372">
        <w:t>er</w:t>
      </w:r>
      <w:r w:rsidRPr="00565372">
        <w:t xml:space="preserve"> </w:t>
      </w:r>
      <w:r w:rsidR="00F33A28" w:rsidRPr="00565372">
        <w:t>is</w:t>
      </w:r>
      <w:r w:rsidRPr="00565372">
        <w:t xml:space="preserve"> </w:t>
      </w:r>
      <w:r w:rsidR="00F33E9F" w:rsidRPr="00F33E9F">
        <w:rPr>
          <w:i/>
        </w:rPr>
        <w:t>Marine Order 47 (Offshore industry units) Amendment Order 2020</w:t>
      </w:r>
      <w:r w:rsidRPr="00565372">
        <w:t>.</w:t>
      </w:r>
    </w:p>
    <w:p w:rsidR="002320F6" w:rsidRPr="00565372" w:rsidRDefault="002320F6" w:rsidP="00692F9E">
      <w:pPr>
        <w:pStyle w:val="LDClauseHeading"/>
      </w:pPr>
      <w:bookmarkStart w:id="4" w:name="_Toc298239778"/>
      <w:bookmarkStart w:id="5" w:name="_Toc298239792"/>
      <w:r w:rsidRPr="00565372">
        <w:rPr>
          <w:rStyle w:val="CharSectNo"/>
        </w:rPr>
        <w:t>2</w:t>
      </w:r>
      <w:r w:rsidRPr="00565372">
        <w:tab/>
        <w:t>Commencement</w:t>
      </w:r>
      <w:bookmarkEnd w:id="4"/>
      <w:bookmarkEnd w:id="5"/>
    </w:p>
    <w:p w:rsidR="002320F6" w:rsidRPr="00565372" w:rsidRDefault="0043276E" w:rsidP="00692F9E">
      <w:pPr>
        <w:pStyle w:val="LDClause"/>
      </w:pPr>
      <w:r w:rsidRPr="00565372">
        <w:tab/>
      </w:r>
      <w:r w:rsidRPr="00565372">
        <w:tab/>
        <w:t>This</w:t>
      </w:r>
      <w:r w:rsidR="002320F6" w:rsidRPr="00565372">
        <w:t xml:space="preserve"> </w:t>
      </w:r>
      <w:r w:rsidR="00E46E9A" w:rsidRPr="00565372">
        <w:t xml:space="preserve">Marine </w:t>
      </w:r>
      <w:r w:rsidR="002320F6" w:rsidRPr="00565372">
        <w:t>Ord</w:t>
      </w:r>
      <w:r w:rsidRPr="00565372">
        <w:t>er</w:t>
      </w:r>
      <w:r w:rsidR="002320F6" w:rsidRPr="00565372">
        <w:t xml:space="preserve"> commence</w:t>
      </w:r>
      <w:r w:rsidRPr="00565372">
        <w:t>s</w:t>
      </w:r>
      <w:r w:rsidR="0096207C" w:rsidRPr="00565372">
        <w:t xml:space="preserve"> </w:t>
      </w:r>
      <w:r w:rsidR="003510DB" w:rsidRPr="00565372">
        <w:t>1 July 2020</w:t>
      </w:r>
      <w:r w:rsidR="002320F6" w:rsidRPr="00565372">
        <w:t>.</w:t>
      </w:r>
    </w:p>
    <w:p w:rsidR="007B6407" w:rsidRPr="00565372" w:rsidRDefault="002320F6" w:rsidP="007B6407">
      <w:pPr>
        <w:pStyle w:val="LDClauseHeading"/>
        <w:rPr>
          <w:i/>
        </w:rPr>
      </w:pPr>
      <w:bookmarkStart w:id="6" w:name="_Toc298239779"/>
      <w:bookmarkStart w:id="7" w:name="_Toc298239793"/>
      <w:r w:rsidRPr="00565372">
        <w:rPr>
          <w:rStyle w:val="CharSectNo"/>
        </w:rPr>
        <w:t>3</w:t>
      </w:r>
      <w:r w:rsidRPr="00565372">
        <w:tab/>
        <w:t xml:space="preserve">Amendment of </w:t>
      </w:r>
      <w:r w:rsidR="009D5332" w:rsidRPr="00565372">
        <w:rPr>
          <w:i/>
        </w:rPr>
        <w:t>Marine</w:t>
      </w:r>
      <w:r w:rsidRPr="00565372">
        <w:rPr>
          <w:i/>
        </w:rPr>
        <w:t xml:space="preserve"> Order</w:t>
      </w:r>
      <w:bookmarkEnd w:id="6"/>
      <w:bookmarkEnd w:id="7"/>
    </w:p>
    <w:p w:rsidR="006F6039" w:rsidRPr="00565372" w:rsidRDefault="002320F6" w:rsidP="007B6407">
      <w:pPr>
        <w:pStyle w:val="LDClause"/>
      </w:pPr>
      <w:r w:rsidRPr="00565372">
        <w:tab/>
      </w:r>
      <w:r w:rsidRPr="00565372">
        <w:tab/>
        <w:t xml:space="preserve">Schedule 1 amends </w:t>
      </w:r>
      <w:r w:rsidR="009D5332" w:rsidRPr="00565372">
        <w:rPr>
          <w:i/>
        </w:rPr>
        <w:t>Marine</w:t>
      </w:r>
      <w:r w:rsidRPr="00565372">
        <w:rPr>
          <w:i/>
        </w:rPr>
        <w:t xml:space="preserve"> Order</w:t>
      </w:r>
      <w:r w:rsidR="00D31BFF" w:rsidRPr="00565372">
        <w:rPr>
          <w:i/>
        </w:rPr>
        <w:t xml:space="preserve"> </w:t>
      </w:r>
      <w:r w:rsidR="0096207C" w:rsidRPr="00565372">
        <w:rPr>
          <w:i/>
        </w:rPr>
        <w:t xml:space="preserve">47 </w:t>
      </w:r>
      <w:r w:rsidR="00D31BFF" w:rsidRPr="00565372">
        <w:rPr>
          <w:i/>
        </w:rPr>
        <w:t>(</w:t>
      </w:r>
      <w:r w:rsidR="0096207C" w:rsidRPr="00565372">
        <w:rPr>
          <w:i/>
        </w:rPr>
        <w:t>Offshore industry units</w:t>
      </w:r>
      <w:r w:rsidR="00D31BFF" w:rsidRPr="00565372">
        <w:rPr>
          <w:i/>
        </w:rPr>
        <w:t>)</w:t>
      </w:r>
      <w:r w:rsidR="006B6EBF" w:rsidRPr="00565372">
        <w:rPr>
          <w:i/>
        </w:rPr>
        <w:t xml:space="preserve"> </w:t>
      </w:r>
      <w:r w:rsidR="0096207C" w:rsidRPr="00565372">
        <w:rPr>
          <w:i/>
        </w:rPr>
        <w:t>2019</w:t>
      </w:r>
      <w:r w:rsidRPr="00565372">
        <w:t>.</w:t>
      </w:r>
    </w:p>
    <w:p w:rsidR="00800009" w:rsidRPr="00565372" w:rsidRDefault="00800009" w:rsidP="00094FBA">
      <w:pPr>
        <w:pStyle w:val="MainBodySectionBreak"/>
        <w:sectPr w:rsidR="00800009" w:rsidRPr="00565372" w:rsidSect="00800009">
          <w:headerReference w:type="even" r:id="rId15"/>
          <w:headerReference w:type="default" r:id="rId16"/>
          <w:headerReference w:type="first" r:id="rId17"/>
          <w:footerReference w:type="first" r:id="rId18"/>
          <w:pgSz w:w="11907" w:h="16839" w:code="9"/>
          <w:pgMar w:top="1361" w:right="1701" w:bottom="1361" w:left="1701" w:header="567" w:footer="567" w:gutter="0"/>
          <w:cols w:space="708"/>
          <w:docGrid w:linePitch="360"/>
        </w:sectPr>
      </w:pPr>
    </w:p>
    <w:p w:rsidR="002320F6" w:rsidRPr="00565372" w:rsidRDefault="002320F6" w:rsidP="00DA7E93">
      <w:pPr>
        <w:pStyle w:val="LDScheduleheading"/>
      </w:pPr>
      <w:bookmarkStart w:id="8" w:name="_Toc298239780"/>
      <w:bookmarkStart w:id="9" w:name="_Toc298239794"/>
      <w:r w:rsidRPr="00565372">
        <w:lastRenderedPageBreak/>
        <w:t>Schedule 1</w:t>
      </w:r>
      <w:r w:rsidRPr="00565372">
        <w:tab/>
        <w:t>Amendment</w:t>
      </w:r>
      <w:bookmarkEnd w:id="8"/>
      <w:bookmarkEnd w:id="9"/>
    </w:p>
    <w:p w:rsidR="004C6E70" w:rsidRPr="00565372" w:rsidRDefault="000F64D6" w:rsidP="00F94BAB">
      <w:pPr>
        <w:pStyle w:val="LDAmendHeading"/>
      </w:pPr>
      <w:r w:rsidRPr="00565372">
        <w:t>[</w:t>
      </w:r>
      <w:r w:rsidR="00F33E9F">
        <w:rPr>
          <w:noProof/>
        </w:rPr>
        <w:t>1</w:t>
      </w:r>
      <w:r w:rsidR="008656A5" w:rsidRPr="00565372">
        <w:t>]</w:t>
      </w:r>
      <w:r w:rsidR="008656A5" w:rsidRPr="00565372">
        <w:tab/>
        <w:t>Section 11</w:t>
      </w:r>
    </w:p>
    <w:p w:rsidR="004C6E70" w:rsidRPr="00565372" w:rsidRDefault="008656A5" w:rsidP="004C6E70">
      <w:pPr>
        <w:pStyle w:val="LDAmendInstruction"/>
      </w:pPr>
      <w:r w:rsidRPr="00565372">
        <w:t>substitute</w:t>
      </w:r>
    </w:p>
    <w:p w:rsidR="005B6923" w:rsidRPr="00565372" w:rsidRDefault="008656A5" w:rsidP="008656A5">
      <w:pPr>
        <w:pStyle w:val="LDClauseHeading"/>
      </w:pPr>
      <w:r w:rsidRPr="00565372">
        <w:t>11</w:t>
      </w:r>
      <w:r w:rsidRPr="00565372">
        <w:tab/>
        <w:t>Conditions of MODU safety certificates</w:t>
      </w:r>
    </w:p>
    <w:p w:rsidR="008656A5" w:rsidRPr="00565372" w:rsidRDefault="008656A5" w:rsidP="008656A5">
      <w:pPr>
        <w:pStyle w:val="LDClause"/>
      </w:pPr>
      <w:r w:rsidRPr="00565372">
        <w:tab/>
      </w:r>
      <w:r w:rsidRPr="00565372">
        <w:tab/>
        <w:t>For paragraph 100(2)(a) of the Navigation Act, a MODU safety certificate is subject to the conditions that:</w:t>
      </w:r>
    </w:p>
    <w:p w:rsidR="00231E5E" w:rsidRPr="00565372" w:rsidRDefault="00231E5E" w:rsidP="00231E5E">
      <w:pPr>
        <w:pStyle w:val="LDP1a"/>
      </w:pPr>
      <w:r w:rsidRPr="00565372">
        <w:t>(a)</w:t>
      </w:r>
      <w:r w:rsidRPr="00565372">
        <w:tab/>
        <w:t>the vessel and its equipment are maintained in accordance with the MODU Code that applies to the vessel; and</w:t>
      </w:r>
    </w:p>
    <w:p w:rsidR="007C7D69" w:rsidRPr="00565372" w:rsidRDefault="007C7D69" w:rsidP="007C7D69">
      <w:pPr>
        <w:pStyle w:val="LDP1a"/>
      </w:pPr>
      <w:r w:rsidRPr="00565372">
        <w:t>(b)</w:t>
      </w:r>
      <w:r w:rsidRPr="00565372">
        <w:tab/>
        <w:t xml:space="preserve">the MODU Code that applies to the vessel </w:t>
      </w:r>
      <w:r w:rsidR="00280D7F" w:rsidRPr="00945FF1">
        <w:t xml:space="preserve">and Chapter 14 of the 2009 MODU Code </w:t>
      </w:r>
      <w:r w:rsidR="00280D7F">
        <w:t>are</w:t>
      </w:r>
      <w:r w:rsidRPr="00565372">
        <w:t xml:space="preserve"> on board the vessel at all times and available to seafarers; and</w:t>
      </w:r>
    </w:p>
    <w:p w:rsidR="00231E5E" w:rsidRPr="00565372" w:rsidRDefault="007C7D69" w:rsidP="007C7D69">
      <w:pPr>
        <w:pStyle w:val="LDP1a"/>
      </w:pPr>
      <w:r w:rsidRPr="00565372">
        <w:t>(c</w:t>
      </w:r>
      <w:r w:rsidR="00231E5E" w:rsidRPr="00565372">
        <w:t>)</w:t>
      </w:r>
      <w:r w:rsidR="00231E5E" w:rsidRPr="00565372">
        <w:tab/>
        <w:t>the vessel complies with Chapter 14 of the 2009 MODU Code whether or not that Code applies to the vessel; and</w:t>
      </w:r>
    </w:p>
    <w:p w:rsidR="007C7D69" w:rsidRPr="00565372" w:rsidRDefault="007C7D69" w:rsidP="007C7D69">
      <w:pPr>
        <w:pStyle w:val="LDP1a"/>
      </w:pPr>
      <w:r w:rsidRPr="00565372">
        <w:t>(d)</w:t>
      </w:r>
      <w:r w:rsidRPr="00565372">
        <w:tab/>
        <w:t>for any gas cylinder on the vessel — its stowage is:</w:t>
      </w:r>
    </w:p>
    <w:p w:rsidR="007C7D69" w:rsidRPr="00565372" w:rsidRDefault="007C7D69" w:rsidP="007C7D69">
      <w:pPr>
        <w:pStyle w:val="LDP2i"/>
      </w:pPr>
      <w:r w:rsidRPr="00565372">
        <w:tab/>
        <w:t>(i)</w:t>
      </w:r>
      <w:r w:rsidRPr="00565372">
        <w:tab/>
        <w:t>separate from any cylinder of breathing medium for use in diving operations; and</w:t>
      </w:r>
    </w:p>
    <w:p w:rsidR="007C7D69" w:rsidRPr="00565372" w:rsidRDefault="007C7D69" w:rsidP="007C7D69">
      <w:pPr>
        <w:pStyle w:val="LDP2i"/>
      </w:pPr>
      <w:r w:rsidRPr="00565372">
        <w:tab/>
        <w:t>(ii)</w:t>
      </w:r>
      <w:r w:rsidRPr="00565372">
        <w:tab/>
        <w:t>at least 3 m from accommodation areas, the navigating bridge and the radio room; and</w:t>
      </w:r>
    </w:p>
    <w:p w:rsidR="00231E5E" w:rsidRPr="00565372" w:rsidRDefault="007C7D69" w:rsidP="007C7D69">
      <w:pPr>
        <w:pStyle w:val="LDP1a"/>
      </w:pPr>
      <w:r w:rsidRPr="00565372">
        <w:t>(e</w:t>
      </w:r>
      <w:r w:rsidR="003E796A" w:rsidRPr="00565372">
        <w:t>)</w:t>
      </w:r>
      <w:r w:rsidR="003E796A" w:rsidRPr="00565372">
        <w:tab/>
        <w:t>the owner</w:t>
      </w:r>
      <w:r w:rsidR="00231E5E" w:rsidRPr="00565372">
        <w:t xml:space="preserve"> </w:t>
      </w:r>
      <w:r w:rsidR="00956B06" w:rsidRPr="00565372">
        <w:t xml:space="preserve">of the vessel </w:t>
      </w:r>
      <w:r w:rsidR="00231E5E" w:rsidRPr="00565372">
        <w:t xml:space="preserve">can demonstrate that </w:t>
      </w:r>
      <w:r w:rsidR="00C905A7">
        <w:t>an arrangement</w:t>
      </w:r>
      <w:r w:rsidR="00231E5E" w:rsidRPr="00565372">
        <w:t xml:space="preserve"> for the transfer of personnel </w:t>
      </w:r>
      <w:r w:rsidR="00C905A7">
        <w:t>by a safe means is</w:t>
      </w:r>
      <w:r w:rsidR="00231E5E" w:rsidRPr="00565372">
        <w:t xml:space="preserve"> implemented on the vessel; and</w:t>
      </w:r>
    </w:p>
    <w:p w:rsidR="00D13C3B" w:rsidRPr="00565372" w:rsidRDefault="00231E5E" w:rsidP="00231E5E">
      <w:pPr>
        <w:pStyle w:val="LDP1a"/>
      </w:pPr>
      <w:r w:rsidRPr="00565372">
        <w:t>(f)</w:t>
      </w:r>
      <w:r w:rsidRPr="00565372">
        <w:tab/>
        <w:t xml:space="preserve">the </w:t>
      </w:r>
      <w:r w:rsidR="00D13C3B" w:rsidRPr="00565372">
        <w:t xml:space="preserve">following </w:t>
      </w:r>
      <w:r w:rsidRPr="00565372">
        <w:t>is available for per</w:t>
      </w:r>
      <w:r w:rsidR="00D13C3B" w:rsidRPr="00565372">
        <w:t>usal on the vessel</w:t>
      </w:r>
      <w:r w:rsidRPr="00565372">
        <w:t xml:space="preserve"> without the need for any seafarer to request access</w:t>
      </w:r>
      <w:r w:rsidR="00D13C3B" w:rsidRPr="00565372">
        <w:t>:</w:t>
      </w:r>
    </w:p>
    <w:p w:rsidR="00D13C3B" w:rsidRPr="00565372" w:rsidRDefault="00D13C3B" w:rsidP="00D13C3B">
      <w:pPr>
        <w:pStyle w:val="LDP2i"/>
      </w:pPr>
      <w:r w:rsidRPr="00565372">
        <w:tab/>
        <w:t>(i)</w:t>
      </w:r>
      <w:r w:rsidRPr="00565372">
        <w:tab/>
      </w:r>
      <w:r w:rsidR="006F3D72" w:rsidRPr="00565372">
        <w:t xml:space="preserve">the </w:t>
      </w:r>
      <w:r w:rsidRPr="00565372">
        <w:t>determination required under se</w:t>
      </w:r>
      <w:r w:rsidR="00FB4F25" w:rsidRPr="00565372">
        <w:t>ction 51 of the Navigation Act;</w:t>
      </w:r>
    </w:p>
    <w:p w:rsidR="00231E5E" w:rsidRPr="00565372" w:rsidRDefault="00D13C3B" w:rsidP="00D13C3B">
      <w:pPr>
        <w:pStyle w:val="LDP2i"/>
      </w:pPr>
      <w:r w:rsidRPr="00565372">
        <w:tab/>
        <w:t>(ii)</w:t>
      </w:r>
      <w:r w:rsidRPr="00565372">
        <w:tab/>
        <w:t>any safe manning document determined under s</w:t>
      </w:r>
      <w:r w:rsidR="001F1423" w:rsidRPr="00565372">
        <w:t>ubs</w:t>
      </w:r>
      <w:r w:rsidRPr="00565372">
        <w:t xml:space="preserve">ection 10(2) of </w:t>
      </w:r>
      <w:r w:rsidRPr="00565372">
        <w:rPr>
          <w:i/>
        </w:rPr>
        <w:t>Marine Order 21 (Safety and emergency arrangements) 2016</w:t>
      </w:r>
      <w:r w:rsidR="00231E5E" w:rsidRPr="00565372">
        <w:t>; and</w:t>
      </w:r>
    </w:p>
    <w:p w:rsidR="008656A5" w:rsidRPr="00565372" w:rsidRDefault="00231E5E" w:rsidP="00231E5E">
      <w:pPr>
        <w:pStyle w:val="LDP1a"/>
      </w:pPr>
      <w:r w:rsidRPr="00565372">
        <w:t>(g</w:t>
      </w:r>
      <w:r w:rsidR="008656A5" w:rsidRPr="00565372">
        <w:t>)</w:t>
      </w:r>
      <w:r w:rsidR="008656A5" w:rsidRPr="00565372">
        <w:tab/>
        <w:t>the survey of the vessel, and inspection of the outside of the bottom of the vessel, is conducted by an issuing body in accordance with the MODU Code that applies to the vessel; and</w:t>
      </w:r>
    </w:p>
    <w:p w:rsidR="008656A5" w:rsidRPr="00565372" w:rsidRDefault="00231E5E" w:rsidP="008656A5">
      <w:pPr>
        <w:pStyle w:val="LDP1a"/>
      </w:pPr>
      <w:r w:rsidRPr="00565372">
        <w:t>(h</w:t>
      </w:r>
      <w:r w:rsidR="008656A5" w:rsidRPr="00565372">
        <w:t>)</w:t>
      </w:r>
      <w:r w:rsidR="008656A5" w:rsidRPr="00565372">
        <w:tab/>
        <w:t>the certificate is endorsed following the completion of the annual survey, intermediate survey or inspection of the outside of the bottom of the vessel; and</w:t>
      </w:r>
    </w:p>
    <w:p w:rsidR="008656A5" w:rsidRPr="00565372" w:rsidRDefault="00231E5E" w:rsidP="008656A5">
      <w:pPr>
        <w:pStyle w:val="LDP1a"/>
      </w:pPr>
      <w:r w:rsidRPr="00565372">
        <w:t>(i</w:t>
      </w:r>
      <w:r w:rsidR="008656A5" w:rsidRPr="00565372">
        <w:t>)</w:t>
      </w:r>
      <w:r w:rsidR="008656A5" w:rsidRPr="00565372">
        <w:tab/>
        <w:t>after any survey required by this Marine Order has been completed, any change to the structure, equipment, fittings, arrangements or material covered by the survey, other than the direct replacement of equipment or fittings, is a</w:t>
      </w:r>
      <w:r w:rsidRPr="00565372">
        <w:t>pproved by the issuing body.</w:t>
      </w:r>
    </w:p>
    <w:p w:rsidR="00870FB9" w:rsidRPr="00565372" w:rsidRDefault="008656A5" w:rsidP="008656A5">
      <w:pPr>
        <w:pStyle w:val="LDNote"/>
        <w:rPr>
          <w:rFonts w:eastAsia="Calibri"/>
        </w:rPr>
      </w:pPr>
      <w:r w:rsidRPr="00565372">
        <w:rPr>
          <w:rFonts w:eastAsia="Calibri"/>
          <w:i/>
        </w:rPr>
        <w:t>Note</w:t>
      </w:r>
      <w:r w:rsidR="00870FB9" w:rsidRPr="00565372">
        <w:rPr>
          <w:rFonts w:eastAsia="Calibri"/>
          <w:i/>
        </w:rPr>
        <w:t xml:space="preserve"> 1   </w:t>
      </w:r>
      <w:r w:rsidR="00870FB9" w:rsidRPr="00565372">
        <w:rPr>
          <w:rFonts w:eastAsia="Calibri"/>
        </w:rPr>
        <w:t>The safe transfer of person</w:t>
      </w:r>
      <w:r w:rsidR="00D102F0" w:rsidRPr="00565372">
        <w:rPr>
          <w:rFonts w:eastAsia="Calibri"/>
        </w:rPr>
        <w:t xml:space="preserve">nel is an arrangement </w:t>
      </w:r>
      <w:r w:rsidR="00870FB9" w:rsidRPr="00565372">
        <w:rPr>
          <w:rFonts w:eastAsia="Calibri"/>
        </w:rPr>
        <w:t>to be addressed in a vessel’s safety management plan. Information on industry best practice is availa</w:t>
      </w:r>
      <w:r w:rsidR="00B92E1A">
        <w:rPr>
          <w:rFonts w:eastAsia="Calibri"/>
        </w:rPr>
        <w:t>ble in the latest editions</w:t>
      </w:r>
      <w:r w:rsidR="00870FB9" w:rsidRPr="00565372">
        <w:rPr>
          <w:rFonts w:eastAsia="Calibri"/>
        </w:rPr>
        <w:t xml:space="preserve"> of </w:t>
      </w:r>
      <w:r w:rsidR="00870FB9" w:rsidRPr="00565372">
        <w:rPr>
          <w:i/>
        </w:rPr>
        <w:t xml:space="preserve">Guidance on the transfer of personnel to and from offshore vessels </w:t>
      </w:r>
      <w:r w:rsidR="00870FB9" w:rsidRPr="00565372">
        <w:t xml:space="preserve">(published by IMCA) </w:t>
      </w:r>
      <w:r w:rsidR="00280D7F" w:rsidRPr="00945FF1">
        <w:t xml:space="preserve">and </w:t>
      </w:r>
      <w:r w:rsidR="00280D7F" w:rsidRPr="00945FF1">
        <w:rPr>
          <w:i/>
        </w:rPr>
        <w:t xml:space="preserve">Health and Safety in Shipboard Work, including Offshore Support Vessels </w:t>
      </w:r>
      <w:r w:rsidR="00280D7F" w:rsidRPr="00945FF1">
        <w:t xml:space="preserve">(Seacare Authority Code of Practice Approval). </w:t>
      </w:r>
      <w:r w:rsidR="00483316" w:rsidRPr="00565372">
        <w:rPr>
          <w:i/>
        </w:rPr>
        <w:t>Marine Order 58</w:t>
      </w:r>
      <w:r w:rsidR="00483316" w:rsidRPr="00565372">
        <w:t xml:space="preserve"> </w:t>
      </w:r>
      <w:r w:rsidR="00483316" w:rsidRPr="00565372">
        <w:rPr>
          <w:i/>
        </w:rPr>
        <w:t>(Safe management of vessels)</w:t>
      </w:r>
      <w:r w:rsidR="00483316" w:rsidRPr="00565372">
        <w:t xml:space="preserve"> </w:t>
      </w:r>
      <w:r w:rsidR="001B5B44">
        <w:rPr>
          <w:i/>
        </w:rPr>
        <w:t>2020</w:t>
      </w:r>
      <w:r w:rsidR="00D102F0" w:rsidRPr="00565372">
        <w:t xml:space="preserve"> </w:t>
      </w:r>
      <w:r w:rsidR="008236C3" w:rsidRPr="00565372">
        <w:t>sets out</w:t>
      </w:r>
      <w:r w:rsidR="00483316" w:rsidRPr="00565372">
        <w:t xml:space="preserve"> </w:t>
      </w:r>
      <w:r w:rsidR="00281C1D" w:rsidRPr="00565372">
        <w:t>operational obligations under</w:t>
      </w:r>
      <w:r w:rsidR="00483316" w:rsidRPr="00565372">
        <w:t xml:space="preserve"> the International Safety Management Code</w:t>
      </w:r>
      <w:r w:rsidR="00D102F0" w:rsidRPr="00565372">
        <w:t xml:space="preserve"> for vessels to which Chapter IX of SOLAS applies</w:t>
      </w:r>
      <w:r w:rsidR="00483316" w:rsidRPr="00565372">
        <w:t>.</w:t>
      </w:r>
    </w:p>
    <w:p w:rsidR="008656A5" w:rsidRPr="00565372" w:rsidRDefault="00870FB9" w:rsidP="008656A5">
      <w:pPr>
        <w:pStyle w:val="LDNote"/>
        <w:rPr>
          <w:rFonts w:eastAsia="Calibri"/>
        </w:rPr>
      </w:pPr>
      <w:r w:rsidRPr="00565372">
        <w:rPr>
          <w:rFonts w:eastAsia="Calibri"/>
          <w:i/>
        </w:rPr>
        <w:lastRenderedPageBreak/>
        <w:t>Note 2</w:t>
      </w:r>
      <w:r w:rsidR="008656A5" w:rsidRPr="00565372">
        <w:rPr>
          <w:rFonts w:eastAsia="Calibri"/>
          <w:i/>
        </w:rPr>
        <w:t>   </w:t>
      </w:r>
      <w:r w:rsidR="008656A5" w:rsidRPr="00565372">
        <w:rPr>
          <w:rFonts w:eastAsia="Calibri"/>
        </w:rPr>
        <w:t>An issuing body may impose other conditions on a safety certificate — see paragraph 100(2)(b) of the Navigation Act.</w:t>
      </w:r>
    </w:p>
    <w:p w:rsidR="00073A5C" w:rsidRPr="00565372" w:rsidRDefault="00073A5C" w:rsidP="00073A5C">
      <w:pPr>
        <w:pStyle w:val="LDAmendHeading"/>
      </w:pPr>
      <w:bookmarkStart w:id="10" w:name="_Toc20493205"/>
      <w:r w:rsidRPr="00565372">
        <w:t>[</w:t>
      </w:r>
      <w:r w:rsidR="00F33E9F">
        <w:rPr>
          <w:noProof/>
        </w:rPr>
        <w:t>2</w:t>
      </w:r>
      <w:r w:rsidRPr="00565372">
        <w:t>]</w:t>
      </w:r>
      <w:r w:rsidRPr="00565372">
        <w:tab/>
        <w:t>After section 14</w:t>
      </w:r>
    </w:p>
    <w:p w:rsidR="00073A5C" w:rsidRPr="00565372" w:rsidRDefault="00073A5C" w:rsidP="00073A5C">
      <w:pPr>
        <w:pStyle w:val="LDAmendInstruction"/>
      </w:pPr>
      <w:r w:rsidRPr="00565372">
        <w:t>insert</w:t>
      </w:r>
    </w:p>
    <w:p w:rsidR="00073A5C" w:rsidRPr="00565372" w:rsidRDefault="00073A5C" w:rsidP="00073A5C">
      <w:pPr>
        <w:pStyle w:val="LDClauseHeading"/>
      </w:pPr>
      <w:r w:rsidRPr="00565372">
        <w:rPr>
          <w:rStyle w:val="CharSectNo"/>
          <w:noProof/>
        </w:rPr>
        <w:t>14A</w:t>
      </w:r>
      <w:r w:rsidR="003375AD" w:rsidRPr="00565372">
        <w:tab/>
        <w:t>R</w:t>
      </w:r>
      <w:r w:rsidRPr="00565372">
        <w:t>evocation of MODU safety certificates</w:t>
      </w:r>
      <w:bookmarkEnd w:id="10"/>
    </w:p>
    <w:p w:rsidR="00073A5C" w:rsidRPr="00565372" w:rsidRDefault="00073A5C" w:rsidP="00073A5C">
      <w:pPr>
        <w:pStyle w:val="LDClause"/>
        <w:keepNext/>
        <w:rPr>
          <w:rFonts w:eastAsia="Calibri"/>
        </w:rPr>
      </w:pPr>
      <w:r w:rsidRPr="00565372">
        <w:rPr>
          <w:rFonts w:eastAsia="Calibri"/>
        </w:rPr>
        <w:tab/>
      </w:r>
      <w:r w:rsidRPr="00565372">
        <w:rPr>
          <w:rFonts w:eastAsia="Calibri"/>
        </w:rPr>
        <w:tab/>
        <w:t>For section 102 of the Navigation Act, the criteria for revocation of a MODU safety certificate are that:</w:t>
      </w:r>
    </w:p>
    <w:p w:rsidR="00073A5C" w:rsidRPr="00565372" w:rsidRDefault="00073A5C" w:rsidP="00073A5C">
      <w:pPr>
        <w:pStyle w:val="LDP1a"/>
        <w:rPr>
          <w:rFonts w:eastAsia="Calibri"/>
        </w:rPr>
      </w:pPr>
      <w:r w:rsidRPr="00565372">
        <w:rPr>
          <w:rFonts w:eastAsia="Calibri"/>
        </w:rPr>
        <w:t>(a)</w:t>
      </w:r>
      <w:r w:rsidRPr="00565372">
        <w:rPr>
          <w:rFonts w:eastAsia="Calibri"/>
        </w:rPr>
        <w:tab/>
        <w:t>a condition of the certificate has been, or is likely to be, breached; or</w:t>
      </w:r>
    </w:p>
    <w:p w:rsidR="00073A5C" w:rsidRPr="00565372" w:rsidRDefault="00073A5C" w:rsidP="00073A5C">
      <w:pPr>
        <w:pStyle w:val="LDP1a"/>
        <w:rPr>
          <w:rFonts w:eastAsia="Calibri"/>
        </w:rPr>
      </w:pPr>
      <w:r w:rsidRPr="00565372">
        <w:rPr>
          <w:rFonts w:eastAsia="Calibri"/>
        </w:rPr>
        <w:t>(b)</w:t>
      </w:r>
      <w:r w:rsidRPr="00565372">
        <w:rPr>
          <w:rFonts w:eastAsia="Calibri"/>
        </w:rPr>
        <w:tab/>
        <w:t>the owner of the vessel for which the certificate is issued has requested the revocation; or</w:t>
      </w:r>
    </w:p>
    <w:p w:rsidR="00073A5C" w:rsidRPr="00565372" w:rsidRDefault="00073A5C" w:rsidP="00073A5C">
      <w:pPr>
        <w:pStyle w:val="LDP1a"/>
        <w:rPr>
          <w:rFonts w:eastAsia="Calibri"/>
        </w:rPr>
      </w:pPr>
      <w:r w:rsidRPr="00565372">
        <w:rPr>
          <w:rFonts w:eastAsia="Calibri"/>
        </w:rPr>
        <w:t>(c)</w:t>
      </w:r>
      <w:r w:rsidRPr="00565372">
        <w:rPr>
          <w:rFonts w:eastAsia="Calibri"/>
        </w:rPr>
        <w:tab/>
        <w:t>the certificate contains incorrect information.</w:t>
      </w:r>
    </w:p>
    <w:p w:rsidR="004734A9" w:rsidRPr="00565372" w:rsidRDefault="004734A9" w:rsidP="004734A9">
      <w:pPr>
        <w:pStyle w:val="LDAmendHeading"/>
      </w:pPr>
      <w:r w:rsidRPr="00565372">
        <w:t>[</w:t>
      </w:r>
      <w:r w:rsidR="00F33E9F">
        <w:rPr>
          <w:noProof/>
        </w:rPr>
        <w:t>3</w:t>
      </w:r>
      <w:r w:rsidRPr="00565372">
        <w:t>]</w:t>
      </w:r>
      <w:r w:rsidRPr="00565372">
        <w:tab/>
        <w:t>Section 16</w:t>
      </w:r>
    </w:p>
    <w:p w:rsidR="004734A9" w:rsidRPr="00565372" w:rsidRDefault="004734A9" w:rsidP="004734A9">
      <w:pPr>
        <w:pStyle w:val="LDAmendInstruction"/>
      </w:pPr>
      <w:r w:rsidRPr="00565372">
        <w:t>substitute</w:t>
      </w:r>
    </w:p>
    <w:p w:rsidR="004734A9" w:rsidRPr="00565372" w:rsidRDefault="004734A9" w:rsidP="004734A9">
      <w:pPr>
        <w:pStyle w:val="LDClauseHeading"/>
      </w:pPr>
      <w:bookmarkStart w:id="11" w:name="_Toc1460060"/>
      <w:bookmarkStart w:id="12" w:name="_Toc17444428"/>
      <w:bookmarkStart w:id="13" w:name="_Toc20471514"/>
      <w:r w:rsidRPr="00565372">
        <w:rPr>
          <w:rStyle w:val="CharSectNo"/>
          <w:noProof/>
        </w:rPr>
        <w:t>16</w:t>
      </w:r>
      <w:r w:rsidRPr="00565372">
        <w:tab/>
        <w:t>Conditions of SOLAS certificates</w:t>
      </w:r>
      <w:bookmarkEnd w:id="11"/>
      <w:bookmarkEnd w:id="12"/>
      <w:bookmarkEnd w:id="13"/>
    </w:p>
    <w:p w:rsidR="00C25285" w:rsidRPr="00565372" w:rsidRDefault="004734A9" w:rsidP="004734A9">
      <w:pPr>
        <w:pStyle w:val="LDClause"/>
        <w:rPr>
          <w:rFonts w:eastAsia="Calibri"/>
        </w:rPr>
      </w:pPr>
      <w:r w:rsidRPr="00565372">
        <w:rPr>
          <w:rFonts w:eastAsia="Calibri"/>
        </w:rPr>
        <w:tab/>
      </w:r>
      <w:r w:rsidRPr="00565372">
        <w:rPr>
          <w:rFonts w:eastAsia="Calibri"/>
        </w:rPr>
        <w:tab/>
        <w:t>For paragraph 100(2)(a) of the Navigation Act, a SOLAS certificate is subject to</w:t>
      </w:r>
      <w:r w:rsidR="00C25285" w:rsidRPr="00565372">
        <w:rPr>
          <w:rFonts w:eastAsia="Calibri"/>
        </w:rPr>
        <w:t>:</w:t>
      </w:r>
    </w:p>
    <w:p w:rsidR="004734A9" w:rsidRPr="00565372" w:rsidRDefault="00C25285" w:rsidP="00C25285">
      <w:pPr>
        <w:pStyle w:val="LDP1a"/>
        <w:rPr>
          <w:rFonts w:eastAsia="Calibri"/>
        </w:rPr>
      </w:pPr>
      <w:r w:rsidRPr="00565372">
        <w:rPr>
          <w:rFonts w:eastAsia="Calibri"/>
        </w:rPr>
        <w:t>(a)</w:t>
      </w:r>
      <w:r w:rsidRPr="00565372">
        <w:rPr>
          <w:rFonts w:eastAsia="Calibri"/>
        </w:rPr>
        <w:tab/>
      </w:r>
      <w:r w:rsidR="004734A9" w:rsidRPr="00565372">
        <w:rPr>
          <w:rFonts w:eastAsia="Calibri"/>
        </w:rPr>
        <w:t>the conditions mentioned in Schedule 1 for the kind of certifi</w:t>
      </w:r>
      <w:r w:rsidRPr="00565372">
        <w:rPr>
          <w:rFonts w:eastAsia="Calibri"/>
        </w:rPr>
        <w:t>cate specified in that schedule; and</w:t>
      </w:r>
    </w:p>
    <w:p w:rsidR="005A181D" w:rsidRDefault="00C25285" w:rsidP="00C25285">
      <w:pPr>
        <w:pStyle w:val="LDP1a"/>
      </w:pPr>
      <w:r w:rsidRPr="00565372">
        <w:rPr>
          <w:rFonts w:eastAsia="Calibri"/>
        </w:rPr>
        <w:t>(b)</w:t>
      </w:r>
      <w:r w:rsidRPr="00565372">
        <w:rPr>
          <w:rFonts w:eastAsia="Calibri"/>
        </w:rPr>
        <w:tab/>
      </w:r>
      <w:r w:rsidRPr="00565372">
        <w:t>the owner of the vessel demonstrating that</w:t>
      </w:r>
      <w:r w:rsidR="00C905A7">
        <w:t xml:space="preserve"> an</w:t>
      </w:r>
      <w:r w:rsidRPr="00565372">
        <w:t xml:space="preserve"> arrangeme</w:t>
      </w:r>
      <w:r w:rsidR="00C905A7">
        <w:t>nt</w:t>
      </w:r>
      <w:r w:rsidRPr="00565372">
        <w:t xml:space="preserve"> for the transfer of personnel </w:t>
      </w:r>
      <w:r w:rsidR="00C905A7">
        <w:t>by a safe means is</w:t>
      </w:r>
      <w:r w:rsidRPr="00565372">
        <w:t xml:space="preserve"> implemented on the vessel</w:t>
      </w:r>
      <w:r w:rsidR="005A181D">
        <w:t>; and</w:t>
      </w:r>
    </w:p>
    <w:p w:rsidR="005A181D" w:rsidRPr="00565372" w:rsidRDefault="005A181D" w:rsidP="005A181D">
      <w:pPr>
        <w:pStyle w:val="LDP1a"/>
      </w:pPr>
      <w:r>
        <w:t>(c)</w:t>
      </w:r>
      <w:r>
        <w:tab/>
      </w:r>
      <w:r w:rsidRPr="00565372">
        <w:t>for any gas cylinder on the vessel — its stowage is:</w:t>
      </w:r>
    </w:p>
    <w:p w:rsidR="005A181D" w:rsidRPr="00565372" w:rsidRDefault="005A181D" w:rsidP="005A181D">
      <w:pPr>
        <w:pStyle w:val="LDP2i"/>
      </w:pPr>
      <w:r w:rsidRPr="00565372">
        <w:tab/>
        <w:t>(i)</w:t>
      </w:r>
      <w:r w:rsidRPr="00565372">
        <w:tab/>
        <w:t>separate from any cylinder of breathing medium for use in diving operations; and</w:t>
      </w:r>
    </w:p>
    <w:p w:rsidR="00C25285" w:rsidRPr="00565372" w:rsidRDefault="005A181D" w:rsidP="005A181D">
      <w:pPr>
        <w:pStyle w:val="LDP2i"/>
        <w:rPr>
          <w:rFonts w:eastAsia="Calibri"/>
        </w:rPr>
      </w:pPr>
      <w:r w:rsidRPr="00565372">
        <w:tab/>
        <w:t>(ii)</w:t>
      </w:r>
      <w:r w:rsidRPr="00565372">
        <w:tab/>
        <w:t>at least 3 m from accommodation areas, the navigatin</w:t>
      </w:r>
      <w:r>
        <w:t>g bridge and the radio room</w:t>
      </w:r>
      <w:r w:rsidR="00C25285" w:rsidRPr="00565372">
        <w:t>.</w:t>
      </w:r>
    </w:p>
    <w:p w:rsidR="00D102F0" w:rsidRPr="00565372" w:rsidRDefault="00D102F0" w:rsidP="00D102F0">
      <w:pPr>
        <w:pStyle w:val="LDNote"/>
        <w:rPr>
          <w:rFonts w:eastAsia="Calibri"/>
        </w:rPr>
      </w:pPr>
      <w:r w:rsidRPr="00565372">
        <w:rPr>
          <w:rFonts w:eastAsia="Calibri"/>
          <w:i/>
        </w:rPr>
        <w:t>Note 1   </w:t>
      </w:r>
      <w:r w:rsidRPr="00565372">
        <w:rPr>
          <w:rFonts w:eastAsia="Calibri"/>
        </w:rPr>
        <w:t xml:space="preserve">The safe transfer of personnel is an arrangement to be addressed in a vessel’s safety management plan. Information on industry best practice is available in the latest editions of </w:t>
      </w:r>
      <w:r w:rsidRPr="00565372">
        <w:rPr>
          <w:i/>
        </w:rPr>
        <w:t xml:space="preserve">Guidance on the transfer of personnel to and from offshore vessels </w:t>
      </w:r>
      <w:r w:rsidRPr="00565372">
        <w:t xml:space="preserve">(published by IMCA) </w:t>
      </w:r>
      <w:r w:rsidR="00280D7F" w:rsidRPr="00945FF1">
        <w:t xml:space="preserve">and </w:t>
      </w:r>
      <w:r w:rsidR="00280D7F" w:rsidRPr="00945FF1">
        <w:rPr>
          <w:i/>
        </w:rPr>
        <w:t xml:space="preserve">Health and Safety in Shipboard Work, including Offshore Support Vessels </w:t>
      </w:r>
      <w:r w:rsidR="00280D7F" w:rsidRPr="00945FF1">
        <w:t xml:space="preserve">(Seacare Authority Code of Practice Approval). </w:t>
      </w:r>
      <w:r w:rsidRPr="00565372">
        <w:rPr>
          <w:i/>
        </w:rPr>
        <w:t>Marine Order 58</w:t>
      </w:r>
      <w:r w:rsidRPr="00565372">
        <w:t xml:space="preserve"> </w:t>
      </w:r>
      <w:r w:rsidRPr="00565372">
        <w:rPr>
          <w:i/>
        </w:rPr>
        <w:t>(Safe management of vessels)</w:t>
      </w:r>
      <w:r w:rsidRPr="00565372">
        <w:t xml:space="preserve"> </w:t>
      </w:r>
      <w:r w:rsidR="001B5B44">
        <w:rPr>
          <w:i/>
        </w:rPr>
        <w:t>2020</w:t>
      </w:r>
      <w:r w:rsidRPr="00565372">
        <w:t xml:space="preserve"> </w:t>
      </w:r>
      <w:r w:rsidR="008236C3" w:rsidRPr="00565372">
        <w:t>sets out operational obligations under</w:t>
      </w:r>
      <w:r w:rsidRPr="00565372">
        <w:t xml:space="preserve"> the International Safety Management Code for vessels to which Chapter IX of SOLAS applies.</w:t>
      </w:r>
    </w:p>
    <w:p w:rsidR="004734A9" w:rsidRPr="00565372" w:rsidRDefault="004734A9" w:rsidP="004734A9">
      <w:pPr>
        <w:pStyle w:val="LDNote"/>
        <w:rPr>
          <w:rFonts w:eastAsia="Calibri"/>
        </w:rPr>
      </w:pPr>
      <w:r w:rsidRPr="00565372">
        <w:rPr>
          <w:rFonts w:eastAsia="Calibri"/>
          <w:i/>
        </w:rPr>
        <w:t>Note</w:t>
      </w:r>
      <w:r w:rsidR="00D102F0" w:rsidRPr="00565372">
        <w:rPr>
          <w:rFonts w:eastAsia="Calibri"/>
          <w:i/>
        </w:rPr>
        <w:t xml:space="preserve"> 2</w:t>
      </w:r>
      <w:r w:rsidRPr="00565372">
        <w:rPr>
          <w:rFonts w:eastAsia="Calibri"/>
          <w:i/>
        </w:rPr>
        <w:t>   </w:t>
      </w:r>
      <w:r w:rsidRPr="00565372">
        <w:rPr>
          <w:rFonts w:eastAsia="Calibri"/>
        </w:rPr>
        <w:t>An issuing body may impose other conditions on a safety certificate — see paragraph 100(2)(b) of the Navigation Act.</w:t>
      </w:r>
    </w:p>
    <w:p w:rsidR="004734A9" w:rsidRPr="00565372" w:rsidRDefault="0081026A" w:rsidP="004734A9">
      <w:pPr>
        <w:pStyle w:val="LDAmendHeading"/>
      </w:pPr>
      <w:r w:rsidRPr="00565372">
        <w:t>[</w:t>
      </w:r>
      <w:r w:rsidR="00F33E9F">
        <w:rPr>
          <w:noProof/>
        </w:rPr>
        <w:t>4</w:t>
      </w:r>
      <w:r w:rsidRPr="00565372">
        <w:t>]</w:t>
      </w:r>
      <w:r w:rsidRPr="00565372">
        <w:tab/>
      </w:r>
      <w:r w:rsidR="004734A9" w:rsidRPr="00565372">
        <w:t>Section 22</w:t>
      </w:r>
    </w:p>
    <w:p w:rsidR="004734A9" w:rsidRPr="00565372" w:rsidRDefault="004734A9" w:rsidP="004734A9">
      <w:pPr>
        <w:pStyle w:val="LDAmendInstruction"/>
      </w:pPr>
      <w:r w:rsidRPr="00565372">
        <w:t>substitute</w:t>
      </w:r>
    </w:p>
    <w:p w:rsidR="004734A9" w:rsidRPr="00565372" w:rsidRDefault="004734A9" w:rsidP="004734A9">
      <w:pPr>
        <w:pStyle w:val="LDClauseHeading"/>
      </w:pPr>
      <w:bookmarkStart w:id="14" w:name="_Toc534386565"/>
      <w:bookmarkStart w:id="15" w:name="_Toc17444435"/>
      <w:bookmarkStart w:id="16" w:name="_Toc20471521"/>
      <w:r w:rsidRPr="00565372">
        <w:rPr>
          <w:rStyle w:val="CharSectNo"/>
          <w:noProof/>
        </w:rPr>
        <w:t>22</w:t>
      </w:r>
      <w:r w:rsidRPr="00565372">
        <w:rPr>
          <w:rStyle w:val="CharSectNo"/>
        </w:rPr>
        <w:tab/>
      </w:r>
      <w:r w:rsidRPr="00565372">
        <w:t xml:space="preserve">Conditions of </w:t>
      </w:r>
      <w:bookmarkEnd w:id="14"/>
      <w:r w:rsidRPr="00565372">
        <w:t>non-SOLAS certificates</w:t>
      </w:r>
      <w:bookmarkEnd w:id="15"/>
      <w:bookmarkEnd w:id="16"/>
    </w:p>
    <w:p w:rsidR="004734A9" w:rsidRPr="00565372" w:rsidRDefault="004734A9" w:rsidP="00ED134F">
      <w:pPr>
        <w:pStyle w:val="LDClause"/>
        <w:keepNext/>
        <w:rPr>
          <w:rFonts w:eastAsia="Calibri"/>
        </w:rPr>
      </w:pPr>
      <w:r w:rsidRPr="00565372">
        <w:rPr>
          <w:rFonts w:eastAsia="Calibri"/>
        </w:rPr>
        <w:tab/>
      </w:r>
      <w:r w:rsidRPr="00565372">
        <w:rPr>
          <w:rFonts w:eastAsia="Calibri"/>
        </w:rPr>
        <w:tab/>
        <w:t>For paragraph 100(2)(a) of the Navigation Act, a non-SOLAS certificate is subject to:</w:t>
      </w:r>
    </w:p>
    <w:p w:rsidR="004734A9" w:rsidRPr="00565372" w:rsidRDefault="004734A9" w:rsidP="004734A9">
      <w:pPr>
        <w:pStyle w:val="LDP1a"/>
        <w:rPr>
          <w:rFonts w:eastAsia="Calibri"/>
        </w:rPr>
      </w:pPr>
      <w:r w:rsidRPr="00565372">
        <w:rPr>
          <w:rFonts w:eastAsia="Calibri"/>
        </w:rPr>
        <w:t>(a)</w:t>
      </w:r>
      <w:r w:rsidRPr="00565372">
        <w:rPr>
          <w:rFonts w:eastAsia="Calibri"/>
        </w:rPr>
        <w:tab/>
        <w:t>the conditions mentioned for the certificate specified in Schedule 2; and</w:t>
      </w:r>
    </w:p>
    <w:p w:rsidR="004734A9" w:rsidRPr="00565372" w:rsidRDefault="004734A9" w:rsidP="004734A9">
      <w:pPr>
        <w:pStyle w:val="LDP1a"/>
        <w:rPr>
          <w:rFonts w:eastAsia="Calibri"/>
        </w:rPr>
      </w:pPr>
      <w:r w:rsidRPr="00565372">
        <w:rPr>
          <w:rFonts w:eastAsia="Calibri"/>
        </w:rPr>
        <w:lastRenderedPageBreak/>
        <w:t>(b)</w:t>
      </w:r>
      <w:r w:rsidRPr="00565372">
        <w:rPr>
          <w:rFonts w:eastAsia="Calibri"/>
        </w:rPr>
        <w:tab/>
        <w:t>the requirement for the certificate to be endorsed following the completion of the annual survey, intermediate survey or inspection of the outside of the bottom of the vessel; and</w:t>
      </w:r>
    </w:p>
    <w:p w:rsidR="005A181D" w:rsidRDefault="004734A9" w:rsidP="004734A9">
      <w:pPr>
        <w:pStyle w:val="LDP1a"/>
      </w:pPr>
      <w:r w:rsidRPr="00565372">
        <w:rPr>
          <w:rFonts w:eastAsia="Calibri"/>
        </w:rPr>
        <w:t>(c)</w:t>
      </w:r>
      <w:r w:rsidRPr="00565372">
        <w:rPr>
          <w:rFonts w:eastAsia="Calibri"/>
        </w:rPr>
        <w:tab/>
      </w:r>
      <w:r w:rsidRPr="00565372">
        <w:t xml:space="preserve">the owner of the vessel </w:t>
      </w:r>
      <w:r w:rsidR="00C25285" w:rsidRPr="00565372">
        <w:t>demonstrating</w:t>
      </w:r>
      <w:r w:rsidRPr="00565372">
        <w:t xml:space="preserve"> that </w:t>
      </w:r>
      <w:r w:rsidR="00C905A7">
        <w:t>an arrangement</w:t>
      </w:r>
      <w:r w:rsidRPr="00565372">
        <w:t xml:space="preserve"> for the transfer of personnel </w:t>
      </w:r>
      <w:r w:rsidR="00C905A7">
        <w:t>by a safe means</w:t>
      </w:r>
      <w:r w:rsidRPr="00565372">
        <w:t xml:space="preserve"> </w:t>
      </w:r>
      <w:r w:rsidR="00C905A7">
        <w:t xml:space="preserve">is </w:t>
      </w:r>
      <w:r w:rsidRPr="00565372">
        <w:t>implemented on the vessel</w:t>
      </w:r>
      <w:r w:rsidR="005A181D">
        <w:t>; and</w:t>
      </w:r>
    </w:p>
    <w:p w:rsidR="005A181D" w:rsidRPr="00565372" w:rsidRDefault="005A181D" w:rsidP="005A181D">
      <w:pPr>
        <w:pStyle w:val="LDP1a"/>
      </w:pPr>
      <w:r w:rsidRPr="00565372">
        <w:t>(d)</w:t>
      </w:r>
      <w:r w:rsidRPr="00565372">
        <w:tab/>
        <w:t>for any gas cylinder on the vessel — its stowage is:</w:t>
      </w:r>
    </w:p>
    <w:p w:rsidR="005A181D" w:rsidRPr="00565372" w:rsidRDefault="005A181D" w:rsidP="005A181D">
      <w:pPr>
        <w:pStyle w:val="LDP2i"/>
      </w:pPr>
      <w:r w:rsidRPr="00565372">
        <w:tab/>
        <w:t>(i)</w:t>
      </w:r>
      <w:r w:rsidRPr="00565372">
        <w:tab/>
        <w:t>separate from any cylinder of breathing medium for use in diving operations; and</w:t>
      </w:r>
    </w:p>
    <w:p w:rsidR="004734A9" w:rsidRPr="005A181D" w:rsidRDefault="005A181D" w:rsidP="005A181D">
      <w:pPr>
        <w:pStyle w:val="LDP2i"/>
      </w:pPr>
      <w:r w:rsidRPr="00565372">
        <w:tab/>
        <w:t>(ii)</w:t>
      </w:r>
      <w:r w:rsidRPr="00565372">
        <w:tab/>
        <w:t>at least 3 m from accommodation areas, the navigatin</w:t>
      </w:r>
      <w:r>
        <w:t>g bridge and the radio room</w:t>
      </w:r>
      <w:r w:rsidR="004734A9" w:rsidRPr="00565372">
        <w:t>.</w:t>
      </w:r>
    </w:p>
    <w:p w:rsidR="00D102F0" w:rsidRPr="00565372" w:rsidRDefault="00D102F0" w:rsidP="00D102F0">
      <w:pPr>
        <w:pStyle w:val="LDNote"/>
        <w:rPr>
          <w:rFonts w:eastAsia="Calibri"/>
        </w:rPr>
      </w:pPr>
      <w:r w:rsidRPr="00565372">
        <w:rPr>
          <w:rFonts w:eastAsia="Calibri"/>
          <w:i/>
        </w:rPr>
        <w:t>Note 1   </w:t>
      </w:r>
      <w:r w:rsidRPr="00565372">
        <w:rPr>
          <w:rFonts w:eastAsia="Calibri"/>
        </w:rPr>
        <w:t xml:space="preserve">The safe transfer of personnel is an arrangement to be addressed in a vessel’s safety management plan. Information on industry best practice is available in the latest editions of </w:t>
      </w:r>
      <w:r w:rsidRPr="00565372">
        <w:rPr>
          <w:i/>
        </w:rPr>
        <w:t xml:space="preserve">Guidance on the transfer of personnel to and from offshore vessels </w:t>
      </w:r>
      <w:r w:rsidRPr="00565372">
        <w:t>(published by IMCA)</w:t>
      </w:r>
      <w:r w:rsidR="00280D7F" w:rsidRPr="00280D7F">
        <w:t xml:space="preserve"> </w:t>
      </w:r>
      <w:r w:rsidR="00280D7F" w:rsidRPr="00945FF1">
        <w:t xml:space="preserve">and </w:t>
      </w:r>
      <w:r w:rsidR="00280D7F" w:rsidRPr="00945FF1">
        <w:rPr>
          <w:i/>
        </w:rPr>
        <w:t xml:space="preserve">Health and Safety in Shipboard Work, including Offshore Support Vessels </w:t>
      </w:r>
      <w:r w:rsidR="00280D7F" w:rsidRPr="00945FF1">
        <w:t>(Seacare Authority Code of Practice Approval).</w:t>
      </w:r>
    </w:p>
    <w:p w:rsidR="004734A9" w:rsidRPr="00565372" w:rsidRDefault="004734A9" w:rsidP="004734A9">
      <w:pPr>
        <w:pStyle w:val="LDNote"/>
        <w:rPr>
          <w:rFonts w:eastAsia="Calibri"/>
        </w:rPr>
      </w:pPr>
      <w:r w:rsidRPr="00565372">
        <w:rPr>
          <w:rFonts w:eastAsia="Calibri"/>
          <w:i/>
        </w:rPr>
        <w:t>Note</w:t>
      </w:r>
      <w:r w:rsidR="00D102F0" w:rsidRPr="00565372">
        <w:rPr>
          <w:rFonts w:eastAsia="Calibri"/>
          <w:i/>
        </w:rPr>
        <w:t xml:space="preserve"> 2</w:t>
      </w:r>
      <w:r w:rsidRPr="00565372">
        <w:rPr>
          <w:rFonts w:eastAsia="Calibri"/>
          <w:i/>
        </w:rPr>
        <w:t>   </w:t>
      </w:r>
      <w:r w:rsidRPr="00565372">
        <w:rPr>
          <w:rFonts w:eastAsia="Calibri"/>
        </w:rPr>
        <w:t>An issuing body may impose other conditions on a safety certificate — see paragraph 100(2)(b) of the Navigation Act.</w:t>
      </w:r>
    </w:p>
    <w:p w:rsidR="0081026A" w:rsidRPr="00565372" w:rsidRDefault="004734A9" w:rsidP="004734A9">
      <w:pPr>
        <w:pStyle w:val="LDAmendHeading"/>
      </w:pPr>
      <w:r w:rsidRPr="00565372">
        <w:t>[</w:t>
      </w:r>
      <w:r w:rsidR="00F33E9F">
        <w:rPr>
          <w:noProof/>
        </w:rPr>
        <w:t>5</w:t>
      </w:r>
      <w:r w:rsidRPr="00565372">
        <w:t>]</w:t>
      </w:r>
      <w:r w:rsidRPr="00565372">
        <w:tab/>
      </w:r>
      <w:r w:rsidR="0081026A" w:rsidRPr="00565372">
        <w:t>Paragraph 28(2)</w:t>
      </w:r>
      <w:r w:rsidR="00C24309" w:rsidRPr="00565372">
        <w:t>(a)</w:t>
      </w:r>
      <w:r w:rsidR="0081026A" w:rsidRPr="00565372">
        <w:t>(iv)</w:t>
      </w:r>
    </w:p>
    <w:p w:rsidR="0081026A" w:rsidRPr="00565372" w:rsidRDefault="0081026A" w:rsidP="0081026A">
      <w:pPr>
        <w:pStyle w:val="LDAmendInstruction"/>
      </w:pPr>
      <w:r w:rsidRPr="00565372">
        <w:t>substitute</w:t>
      </w:r>
    </w:p>
    <w:p w:rsidR="009C3F92" w:rsidRPr="00814E24" w:rsidRDefault="0081026A" w:rsidP="00C5088F">
      <w:pPr>
        <w:pStyle w:val="LDP2i"/>
      </w:pPr>
      <w:r w:rsidRPr="00565372">
        <w:tab/>
        <w:t>(iv)</w:t>
      </w:r>
      <w:r w:rsidRPr="00565372">
        <w:tab/>
        <w:t xml:space="preserve">crew familiarization with </w:t>
      </w:r>
      <w:r w:rsidRPr="00814E24">
        <w:t>responsibilities and duties</w:t>
      </w:r>
      <w:r w:rsidR="00C5088F" w:rsidRPr="00814E24">
        <w:t xml:space="preserve"> including</w:t>
      </w:r>
      <w:r w:rsidR="009C3F92" w:rsidRPr="00814E24">
        <w:t>:</w:t>
      </w:r>
    </w:p>
    <w:p w:rsidR="009C3F92" w:rsidRPr="00814E24" w:rsidRDefault="009C3F92" w:rsidP="009C3F92">
      <w:pPr>
        <w:pStyle w:val="LDP3A"/>
      </w:pPr>
      <w:r w:rsidRPr="00814E24">
        <w:t>(A)</w:t>
      </w:r>
      <w:r w:rsidRPr="00814E24">
        <w:tab/>
        <w:t xml:space="preserve">crew </w:t>
      </w:r>
      <w:r w:rsidR="00C5088F" w:rsidRPr="00814E24">
        <w:t xml:space="preserve">training </w:t>
      </w:r>
      <w:r w:rsidR="00B92E1A" w:rsidRPr="00814E24">
        <w:t xml:space="preserve">and certification </w:t>
      </w:r>
      <w:r w:rsidR="00E61DC6" w:rsidRPr="00814E24">
        <w:t>set out</w:t>
      </w:r>
      <w:r w:rsidR="003C256A" w:rsidRPr="00814E24">
        <w:t xml:space="preserve"> in </w:t>
      </w:r>
      <w:r w:rsidR="00C5088F" w:rsidRPr="00814E24">
        <w:t xml:space="preserve">IMO Resolution A.1079(28) </w:t>
      </w:r>
      <w:r w:rsidR="00C5088F" w:rsidRPr="00814E24">
        <w:rPr>
          <w:i/>
        </w:rPr>
        <w:t>Recommendations for the training and certification of personnel on mobile offshore units</w:t>
      </w:r>
      <w:r w:rsidRPr="00814E24">
        <w:rPr>
          <w:i/>
        </w:rPr>
        <w:t>;</w:t>
      </w:r>
      <w:r w:rsidR="001951EB" w:rsidRPr="00814E24">
        <w:rPr>
          <w:i/>
        </w:rPr>
        <w:t xml:space="preserve"> </w:t>
      </w:r>
      <w:r w:rsidR="006F3D72" w:rsidRPr="00814E24">
        <w:t>and</w:t>
      </w:r>
    </w:p>
    <w:p w:rsidR="00C5088F" w:rsidRPr="00814E24" w:rsidRDefault="009C3F92" w:rsidP="009C3F92">
      <w:pPr>
        <w:pStyle w:val="LDP3A"/>
      </w:pPr>
      <w:r w:rsidRPr="00814E24">
        <w:t>(B)</w:t>
      </w:r>
      <w:r w:rsidRPr="00814E24">
        <w:tab/>
        <w:t>fire and abandonment drills in accordance with</w:t>
      </w:r>
      <w:r w:rsidR="00514583" w:rsidRPr="00814E24">
        <w:t xml:space="preserve"> </w:t>
      </w:r>
      <w:r w:rsidR="00832487" w:rsidRPr="00814E24">
        <w:t xml:space="preserve">paragraph 13 of </w:t>
      </w:r>
      <w:r w:rsidR="001951EB" w:rsidRPr="00814E24">
        <w:t>Chapter 14 of the 2009 MODU Code</w:t>
      </w:r>
      <w:r w:rsidR="00C5088F" w:rsidRPr="00814E24">
        <w:t>; and</w:t>
      </w:r>
    </w:p>
    <w:p w:rsidR="00D31527" w:rsidRPr="00814E24" w:rsidRDefault="00D31527" w:rsidP="00D31527">
      <w:pPr>
        <w:pStyle w:val="LDAmendHeading"/>
      </w:pPr>
      <w:r w:rsidRPr="00814E24">
        <w:t>[</w:t>
      </w:r>
      <w:r w:rsidR="00F33E9F">
        <w:rPr>
          <w:noProof/>
        </w:rPr>
        <w:t>6</w:t>
      </w:r>
      <w:r w:rsidRPr="00814E24">
        <w:t>]</w:t>
      </w:r>
      <w:r w:rsidRPr="00814E24">
        <w:tab/>
        <w:t>Paragraph 28(3)</w:t>
      </w:r>
    </w:p>
    <w:p w:rsidR="00D31527" w:rsidRPr="00814E24" w:rsidRDefault="00D31527" w:rsidP="00D31527">
      <w:pPr>
        <w:pStyle w:val="LDAmendInstruction"/>
      </w:pPr>
      <w:r w:rsidRPr="00814E24">
        <w:t>substitute</w:t>
      </w:r>
    </w:p>
    <w:p w:rsidR="00B92E1A" w:rsidRPr="00814E24" w:rsidRDefault="00B92E1A" w:rsidP="00B92E1A">
      <w:pPr>
        <w:pStyle w:val="LDClause"/>
      </w:pPr>
      <w:r w:rsidRPr="00814E24">
        <w:tab/>
        <w:t>(3)</w:t>
      </w:r>
      <w:r w:rsidRPr="00814E24">
        <w:tab/>
        <w:t>The owner of a vessel that is to be towed in a planned tow must ensure arrangements for a safe towage operation are implemented.</w:t>
      </w:r>
    </w:p>
    <w:p w:rsidR="00B92E1A" w:rsidRPr="00945FF1" w:rsidRDefault="00B92E1A" w:rsidP="00B92E1A">
      <w:pPr>
        <w:pStyle w:val="LDClause"/>
      </w:pPr>
      <w:r w:rsidRPr="00814E24">
        <w:tab/>
        <w:t>(4)</w:t>
      </w:r>
      <w:r w:rsidRPr="00814E24">
        <w:tab/>
        <w:t xml:space="preserve">Arrangements for training and certification </w:t>
      </w:r>
      <w:r w:rsidR="00E61DC6" w:rsidRPr="00814E24">
        <w:t>set out</w:t>
      </w:r>
      <w:r w:rsidRPr="00814E24">
        <w:t xml:space="preserve"> in IMO Resolution A.1079(28) </w:t>
      </w:r>
      <w:r w:rsidRPr="00814E24">
        <w:rPr>
          <w:i/>
        </w:rPr>
        <w:t>Recommendations for the training and certification</w:t>
      </w:r>
      <w:r w:rsidRPr="00945FF1">
        <w:rPr>
          <w:i/>
        </w:rPr>
        <w:t xml:space="preserve"> of personnel on mobile offshore units</w:t>
      </w:r>
      <w:r w:rsidRPr="00945FF1">
        <w:t xml:space="preserve"> must also be implemented if seafarers are carried on board.</w:t>
      </w:r>
    </w:p>
    <w:p w:rsidR="00B92E1A" w:rsidRPr="00945FF1" w:rsidRDefault="00B92E1A" w:rsidP="00B92E1A">
      <w:pPr>
        <w:pStyle w:val="LDNote"/>
      </w:pPr>
      <w:r w:rsidRPr="00945FF1">
        <w:rPr>
          <w:i/>
        </w:rPr>
        <w:t>Note   </w:t>
      </w:r>
      <w:r w:rsidRPr="00945FF1">
        <w:t xml:space="preserve">Any regulated Australian vessel that is to be towed in a planned tow may be required to have a manning determination under section 51 of the Navigation Act. See also </w:t>
      </w:r>
      <w:r w:rsidRPr="00945FF1">
        <w:rPr>
          <w:i/>
        </w:rPr>
        <w:t>Marine Order 21 (Safety and emergency arrangements) 2016</w:t>
      </w:r>
      <w:r w:rsidRPr="00945FF1">
        <w:t xml:space="preserve"> for manning requirements that may apply.</w:t>
      </w:r>
    </w:p>
    <w:p w:rsidR="00B92E1A" w:rsidRPr="00945FF1" w:rsidRDefault="00B92E1A" w:rsidP="00B92E1A">
      <w:pPr>
        <w:pStyle w:val="LDClause"/>
        <w:rPr>
          <w:rFonts w:eastAsia="Calibri"/>
        </w:rPr>
      </w:pPr>
      <w:r w:rsidRPr="00945FF1">
        <w:rPr>
          <w:rFonts w:eastAsia="Calibri"/>
        </w:rPr>
        <w:tab/>
        <w:t>(5)</w:t>
      </w:r>
      <w:r w:rsidRPr="00945FF1">
        <w:rPr>
          <w:rFonts w:eastAsia="Calibri"/>
        </w:rPr>
        <w:tab/>
        <w:t>AMSA may conduct, or arrange for the conduct of, a towing assessment for the planned tow.</w:t>
      </w:r>
    </w:p>
    <w:p w:rsidR="00B92E1A" w:rsidRPr="00945FF1" w:rsidRDefault="00B92E1A" w:rsidP="00B92E1A">
      <w:pPr>
        <w:pStyle w:val="LDNote"/>
        <w:rPr>
          <w:rFonts w:eastAsia="Calibri"/>
        </w:rPr>
      </w:pPr>
      <w:r w:rsidRPr="00945FF1">
        <w:rPr>
          <w:i/>
        </w:rPr>
        <w:t>Note</w:t>
      </w:r>
      <w:r w:rsidRPr="00945FF1">
        <w:t xml:space="preserve">   For the definition of towing assessment </w:t>
      </w:r>
      <w:r w:rsidRPr="00945FF1">
        <w:rPr>
          <w:rFonts w:eastAsia="Calibri"/>
        </w:rPr>
        <w:t xml:space="preserve">— see section </w:t>
      </w:r>
      <w:r w:rsidRPr="00945FF1">
        <w:t>4</w:t>
      </w:r>
      <w:r w:rsidRPr="00945FF1">
        <w:rPr>
          <w:rFonts w:eastAsia="Calibri"/>
        </w:rPr>
        <w:t>.</w:t>
      </w:r>
    </w:p>
    <w:p w:rsidR="00073A5C" w:rsidRDefault="00073A5C" w:rsidP="006F3D72">
      <w:pPr>
        <w:pStyle w:val="LDNote"/>
        <w:rPr>
          <w:rFonts w:eastAsia="Calibri"/>
        </w:rPr>
      </w:pPr>
    </w:p>
    <w:p w:rsidR="001B5B44" w:rsidRDefault="001B5B44" w:rsidP="001B5B44">
      <w:pPr>
        <w:pStyle w:val="LDAmendHeading"/>
      </w:pPr>
      <w:r w:rsidRPr="00814E24">
        <w:t>[</w:t>
      </w:r>
      <w:r w:rsidR="004C2A0A">
        <w:rPr>
          <w:noProof/>
        </w:rPr>
        <w:t>7</w:t>
      </w:r>
      <w:r w:rsidRPr="00814E24">
        <w:t>]</w:t>
      </w:r>
      <w:r w:rsidRPr="00814E24">
        <w:tab/>
      </w:r>
      <w:r>
        <w:t>Schedule 2, sub-paragraph 2.1(b)(vii)</w:t>
      </w:r>
    </w:p>
    <w:p w:rsidR="001B5B44" w:rsidRDefault="001B5B44" w:rsidP="001B5B44">
      <w:pPr>
        <w:pStyle w:val="LDAmendInstruction"/>
      </w:pPr>
      <w:r>
        <w:t>omit</w:t>
      </w:r>
    </w:p>
    <w:p w:rsidR="001B5B44" w:rsidRDefault="001B5B44" w:rsidP="001B5B44">
      <w:pPr>
        <w:pStyle w:val="LDAmendText"/>
        <w:rPr>
          <w:i/>
        </w:rPr>
      </w:pPr>
      <w:r>
        <w:rPr>
          <w:i/>
        </w:rPr>
        <w:t>2015</w:t>
      </w:r>
    </w:p>
    <w:p w:rsidR="001B5B44" w:rsidRDefault="001B5B44" w:rsidP="001B5B44">
      <w:pPr>
        <w:pStyle w:val="LDAmendInstruction"/>
      </w:pPr>
      <w:r>
        <w:t>insert</w:t>
      </w:r>
    </w:p>
    <w:p w:rsidR="001B5B44" w:rsidRPr="008D56A8" w:rsidRDefault="001B5B44" w:rsidP="008D56A8">
      <w:pPr>
        <w:pStyle w:val="LDAmendText"/>
        <w:rPr>
          <w:i/>
        </w:rPr>
      </w:pPr>
      <w:r>
        <w:rPr>
          <w:i/>
        </w:rPr>
        <w:t>2020</w:t>
      </w:r>
    </w:p>
    <w:p w:rsidR="00877BC4" w:rsidRPr="00565372" w:rsidRDefault="00877BC4" w:rsidP="00877BC4">
      <w:pPr>
        <w:pStyle w:val="SchedSectionBreak"/>
        <w:sectPr w:rsidR="00877BC4" w:rsidRPr="00565372" w:rsidSect="00800009">
          <w:headerReference w:type="even" r:id="rId19"/>
          <w:headerReference w:type="default" r:id="rId20"/>
          <w:headerReference w:type="first" r:id="rId21"/>
          <w:footerReference w:type="first" r:id="rId22"/>
          <w:pgSz w:w="11907" w:h="16839" w:code="9"/>
          <w:pgMar w:top="1361" w:right="1701" w:bottom="1361" w:left="1701" w:header="567" w:footer="567" w:gutter="0"/>
          <w:cols w:space="708"/>
          <w:docGrid w:linePitch="360"/>
        </w:sectPr>
      </w:pPr>
    </w:p>
    <w:p w:rsidR="00F22B15" w:rsidRPr="00565372" w:rsidRDefault="00F22B15" w:rsidP="00F22B15">
      <w:pPr>
        <w:keepNext/>
        <w:pBdr>
          <w:top w:val="single" w:sz="4" w:space="3" w:color="auto"/>
        </w:pBdr>
        <w:spacing w:before="480"/>
        <w:rPr>
          <w:rFonts w:ascii="Arial" w:hAnsi="Arial"/>
          <w:b/>
        </w:rPr>
      </w:pPr>
      <w:r w:rsidRPr="00565372">
        <w:rPr>
          <w:rFonts w:ascii="Arial" w:hAnsi="Arial"/>
          <w:b/>
        </w:rPr>
        <w:lastRenderedPageBreak/>
        <w:t>Note</w:t>
      </w:r>
    </w:p>
    <w:p w:rsidR="004C3987" w:rsidRDefault="00F22B15" w:rsidP="00B92E1A">
      <w:r w:rsidRPr="00565372">
        <w:rPr>
          <w:color w:val="000000"/>
        </w:rPr>
        <w:t>1.</w:t>
      </w:r>
      <w:r w:rsidRPr="00565372">
        <w:rPr>
          <w:color w:val="000000"/>
        </w:rPr>
        <w:tab/>
        <w:t xml:space="preserve">All legislative instruments and compilations </w:t>
      </w:r>
      <w:r w:rsidR="002D01E3" w:rsidRPr="00565372">
        <w:rPr>
          <w:color w:val="000000"/>
        </w:rPr>
        <w:t xml:space="preserve">of legislative instruments </w:t>
      </w:r>
      <w:r w:rsidRPr="00565372">
        <w:rPr>
          <w:color w:val="000000"/>
        </w:rPr>
        <w:t>are registered on the Federal Register</w:t>
      </w:r>
      <w:r w:rsidR="002D01E3" w:rsidRPr="00565372">
        <w:rPr>
          <w:color w:val="000000"/>
        </w:rPr>
        <w:t xml:space="preserve"> of Legislation</w:t>
      </w:r>
      <w:r w:rsidRPr="00565372">
        <w:rPr>
          <w:color w:val="000000"/>
        </w:rPr>
        <w:t xml:space="preserve"> under the </w:t>
      </w:r>
      <w:r w:rsidR="002D01E3" w:rsidRPr="00565372">
        <w:rPr>
          <w:i/>
          <w:color w:val="000000"/>
        </w:rPr>
        <w:t xml:space="preserve">Legislation </w:t>
      </w:r>
      <w:r w:rsidRPr="00565372">
        <w:rPr>
          <w:i/>
          <w:color w:val="000000"/>
        </w:rPr>
        <w:t xml:space="preserve">Act 2003. </w:t>
      </w:r>
      <w:r w:rsidRPr="00565372">
        <w:rPr>
          <w:color w:val="000000"/>
        </w:rPr>
        <w:t xml:space="preserve">See </w:t>
      </w:r>
      <w:r w:rsidRPr="00565372">
        <w:rPr>
          <w:color w:val="000000"/>
          <w:u w:val="single"/>
        </w:rPr>
        <w:t>http</w:t>
      </w:r>
      <w:r w:rsidR="00070827" w:rsidRPr="00565372">
        <w:rPr>
          <w:color w:val="000000"/>
          <w:u w:val="single"/>
        </w:rPr>
        <w:t>s</w:t>
      </w:r>
      <w:r w:rsidRPr="00565372">
        <w:rPr>
          <w:color w:val="000000"/>
          <w:u w:val="single"/>
        </w:rPr>
        <w:t>://www.</w:t>
      </w:r>
      <w:r w:rsidR="002D01E3" w:rsidRPr="00565372">
        <w:rPr>
          <w:color w:val="000000"/>
          <w:u w:val="single"/>
        </w:rPr>
        <w:t>legislation</w:t>
      </w:r>
      <w:r w:rsidRPr="00565372">
        <w:rPr>
          <w:color w:val="000000"/>
          <w:u w:val="single"/>
        </w:rPr>
        <w:t>.gov.au</w:t>
      </w:r>
    </w:p>
    <w:sectPr w:rsidR="004C3987" w:rsidSect="00F445EF">
      <w:headerReference w:type="even" r:id="rId23"/>
      <w:headerReference w:type="default" r:id="rId24"/>
      <w:footerReference w:type="even" r:id="rId25"/>
      <w:footerReference w:type="default" r:id="rId26"/>
      <w:type w:val="continuous"/>
      <w:pgSz w:w="11907" w:h="16839"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07C" w:rsidRDefault="0096207C">
      <w:r>
        <w:separator/>
      </w:r>
    </w:p>
  </w:endnote>
  <w:endnote w:type="continuationSeparator" w:id="0">
    <w:p w:rsidR="0096207C" w:rsidRDefault="0096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F5" w:rsidRPr="00DC116F" w:rsidRDefault="00C17FF5" w:rsidP="00C17FF5">
    <w:pPr>
      <w:jc w:val="center"/>
      <w:rPr>
        <w:rFonts w:ascii="Arial" w:hAnsi="Arial" w:cs="Arial"/>
        <w:sz w:val="28"/>
        <w:szCs w:val="28"/>
      </w:rPr>
    </w:pPr>
  </w:p>
  <w:tbl>
    <w:tblPr>
      <w:tblW w:w="8650" w:type="dxa"/>
      <w:tblBorders>
        <w:top w:val="single" w:sz="4" w:space="0" w:color="auto"/>
      </w:tblBorders>
      <w:tblLayout w:type="fixed"/>
      <w:tblLook w:val="01E0" w:firstRow="1" w:lastRow="1" w:firstColumn="1" w:lastColumn="1" w:noHBand="0" w:noVBand="0"/>
    </w:tblPr>
    <w:tblGrid>
      <w:gridCol w:w="675"/>
      <w:gridCol w:w="7230"/>
      <w:gridCol w:w="745"/>
    </w:tblGrid>
    <w:tr w:rsidR="00C17FF5" w:rsidTr="0096207C">
      <w:tc>
        <w:tcPr>
          <w:tcW w:w="675" w:type="dxa"/>
          <w:shd w:val="clear" w:color="auto" w:fill="auto"/>
        </w:tcPr>
        <w:p w:rsidR="00C17FF5" w:rsidRPr="007F6065" w:rsidRDefault="00C17FF5" w:rsidP="00DD3019">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D751D6">
            <w:rPr>
              <w:rStyle w:val="PageNumber"/>
              <w:noProof/>
            </w:rPr>
            <w:t>4</w:t>
          </w:r>
          <w:r w:rsidRPr="007F6065">
            <w:rPr>
              <w:rStyle w:val="PageNumber"/>
            </w:rPr>
            <w:fldChar w:fldCharType="end"/>
          </w:r>
        </w:p>
      </w:tc>
      <w:tc>
        <w:tcPr>
          <w:tcW w:w="7230" w:type="dxa"/>
          <w:shd w:val="clear" w:color="auto" w:fill="auto"/>
        </w:tcPr>
        <w:p w:rsidR="00C17FF5" w:rsidRPr="00EF2F9D" w:rsidRDefault="00F33E9F" w:rsidP="00DD3019">
          <w:pPr>
            <w:pStyle w:val="FooterCitation"/>
          </w:pPr>
          <w:r w:rsidRPr="00565372">
            <w:t>Marine Order 47 (Offshore industry units) Amendment Order 2020</w:t>
          </w:r>
        </w:p>
      </w:tc>
      <w:tc>
        <w:tcPr>
          <w:tcW w:w="745" w:type="dxa"/>
          <w:shd w:val="clear" w:color="auto" w:fill="auto"/>
        </w:tcPr>
        <w:p w:rsidR="00C17FF5" w:rsidRPr="007F6065" w:rsidRDefault="00C17FF5" w:rsidP="00DD3019">
          <w:pPr>
            <w:pStyle w:val="Footer"/>
            <w:spacing w:before="20"/>
            <w:jc w:val="right"/>
          </w:pPr>
        </w:p>
      </w:tc>
    </w:tr>
  </w:tbl>
  <w:p w:rsidR="00C01056" w:rsidRPr="00C17FF5" w:rsidRDefault="003E21E0" w:rsidP="00C17FF5">
    <w:pPr>
      <w:pStyle w:val="Footer"/>
    </w:pPr>
    <w:r>
      <w:rPr>
        <w:noProof/>
        <w:sz w:val="16"/>
        <w:szCs w:val="16"/>
      </w:rPr>
      <w:t>MO47 amend 200528Z</w:t>
    </w:r>
    <w:r w:rsidR="00C17FF5">
      <w:rPr>
        <w:noProof/>
        <w:lang w:eastAsia="en-AU"/>
      </w:rPr>
      <mc:AlternateContent>
        <mc:Choice Requires="wps">
          <w:drawing>
            <wp:anchor distT="0" distB="0" distL="114300" distR="114300" simplePos="0" relativeHeight="251656192" behindDoc="0" locked="0" layoutInCell="1" allowOverlap="1" wp14:anchorId="36B2198E" wp14:editId="698B2171">
              <wp:simplePos x="0" y="0"/>
              <wp:positionH relativeFrom="column">
                <wp:posOffset>0</wp:posOffset>
              </wp:positionH>
              <wp:positionV relativeFrom="paragraph">
                <wp:posOffset>9966325</wp:posOffset>
              </wp:positionV>
              <wp:extent cx="4438650" cy="52578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F5" w:rsidRDefault="00C17FF5"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2198E" id="_x0000_t202" coordsize="21600,21600" o:spt="202" path="m,l,21600r21600,l21600,xe">
              <v:stroke joinstyle="miter"/>
              <v:path gradientshapeok="t" o:connecttype="rect"/>
            </v:shapetype>
            <v:shape id="Text Box 20" o:spid="_x0000_s1026" type="#_x0000_t202" style="position:absolute;margin-left:0;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9Qtw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" filled="f" stroked="f">
              <v:textbox>
                <w:txbxContent>
                  <w:p w:rsidR="00C17FF5" w:rsidRDefault="00C17FF5" w:rsidP="00C17FF5"/>
                </w:txbxContent>
              </v:textbox>
            </v:shape>
          </w:pict>
        </mc:Fallback>
      </mc:AlternateContent>
    </w:r>
    <w:r w:rsidR="00C17FF5">
      <w:rPr>
        <w:noProof/>
        <w:lang w:eastAsia="en-AU"/>
      </w:rPr>
      <mc:AlternateContent>
        <mc:Choice Requires="wps">
          <w:drawing>
            <wp:anchor distT="0" distB="0" distL="114300" distR="114300" simplePos="0" relativeHeight="251653120" behindDoc="0" locked="0" layoutInCell="1" allowOverlap="1" wp14:anchorId="198EE97C" wp14:editId="1A9FF013">
              <wp:simplePos x="0" y="0"/>
              <wp:positionH relativeFrom="column">
                <wp:posOffset>-457200</wp:posOffset>
              </wp:positionH>
              <wp:positionV relativeFrom="paragraph">
                <wp:posOffset>2394585</wp:posOffset>
              </wp:positionV>
              <wp:extent cx="4438650" cy="52578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F5" w:rsidRDefault="00C17FF5"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EE97C" id="Text Box 19" o:spid="_x0000_s1027" type="#_x0000_t202" style="position:absolute;margin-left:-36pt;margin-top:188.55pt;width:349.5pt;height:4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pkuAIAAME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F1wGmS4&#10;AgAAwQUAAA4AAAAAAAAAAAAAAAAALgIAAGRycy9lMm9Eb2MueG1sUEsBAi0AFAAGAAgAAAAhAIEQ&#10;FazgAAAACwEAAA8AAAAAAAAAAAAAAAAAEgUAAGRycy9kb3ducmV2LnhtbFBLBQYAAAAABAAEAPMA&#10;AAAfBgAAAAA=&#10;" filled="f" stroked="f">
              <v:textbox>
                <w:txbxContent>
                  <w:p w:rsidR="00C17FF5" w:rsidRDefault="00C17FF5" w:rsidP="00C17FF5"/>
                </w:txbxContent>
              </v:textbox>
            </v:shape>
          </w:pict>
        </mc:Fallback>
      </mc:AlternateContent>
    </w:r>
    <w:r w:rsidR="00960BC7">
      <w:rPr>
        <w:noProof/>
        <w:sz w:val="16"/>
        <w:szCs w:val="16"/>
      </w:rPr>
      <w:t>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F5" w:rsidRPr="00DC116F" w:rsidRDefault="00C17FF5" w:rsidP="00C17FF5">
    <w:pPr>
      <w:jc w:val="center"/>
      <w:rPr>
        <w:rFonts w:ascii="Arial" w:hAnsi="Arial" w:cs="Arial"/>
        <w:sz w:val="28"/>
        <w:szCs w:val="28"/>
      </w:rPr>
    </w:pPr>
  </w:p>
  <w:tbl>
    <w:tblPr>
      <w:tblW w:w="8650" w:type="dxa"/>
      <w:tblBorders>
        <w:top w:val="single" w:sz="4" w:space="0" w:color="auto"/>
      </w:tblBorders>
      <w:tblLayout w:type="fixed"/>
      <w:tblLook w:val="01E0" w:firstRow="1" w:lastRow="1" w:firstColumn="1" w:lastColumn="1" w:noHBand="0" w:noVBand="0"/>
    </w:tblPr>
    <w:tblGrid>
      <w:gridCol w:w="675"/>
      <w:gridCol w:w="6804"/>
      <w:gridCol w:w="1171"/>
    </w:tblGrid>
    <w:tr w:rsidR="00C17FF5" w:rsidTr="0096207C">
      <w:tc>
        <w:tcPr>
          <w:tcW w:w="675" w:type="dxa"/>
          <w:shd w:val="clear" w:color="auto" w:fill="auto"/>
        </w:tcPr>
        <w:p w:rsidR="00C17FF5" w:rsidRPr="007F6065" w:rsidRDefault="00C17FF5" w:rsidP="00DD3019">
          <w:pPr>
            <w:pStyle w:val="Footer"/>
            <w:spacing w:before="20"/>
            <w:rPr>
              <w:rStyle w:val="PageNumber"/>
            </w:rPr>
          </w:pPr>
        </w:p>
      </w:tc>
      <w:tc>
        <w:tcPr>
          <w:tcW w:w="6804" w:type="dxa"/>
          <w:shd w:val="clear" w:color="auto" w:fill="auto"/>
        </w:tcPr>
        <w:p w:rsidR="00C17FF5" w:rsidRPr="00EF2F9D" w:rsidRDefault="00F33E9F" w:rsidP="00DD3019">
          <w:pPr>
            <w:pStyle w:val="FooterCitation"/>
          </w:pPr>
          <w:r w:rsidRPr="00565372">
            <w:t>Marine Order 47 (Offshore industry units) Amendment Order 2020</w:t>
          </w:r>
        </w:p>
      </w:tc>
      <w:tc>
        <w:tcPr>
          <w:tcW w:w="1171" w:type="dxa"/>
          <w:shd w:val="clear" w:color="auto" w:fill="auto"/>
        </w:tcPr>
        <w:p w:rsidR="00C17FF5" w:rsidRPr="007F6065" w:rsidRDefault="00C17FF5" w:rsidP="00DD3019">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D751D6">
            <w:rPr>
              <w:rStyle w:val="PageNumber"/>
              <w:noProof/>
            </w:rPr>
            <w:t>5</w:t>
          </w:r>
          <w:r w:rsidRPr="007F6065">
            <w:rPr>
              <w:rStyle w:val="PageNumber"/>
            </w:rPr>
            <w:fldChar w:fldCharType="end"/>
          </w:r>
        </w:p>
      </w:tc>
    </w:tr>
  </w:tbl>
  <w:p w:rsidR="00C01056" w:rsidRPr="00C17FF5" w:rsidRDefault="003E21E0" w:rsidP="00C17FF5">
    <w:pPr>
      <w:pStyle w:val="Footer"/>
    </w:pPr>
    <w:r>
      <w:rPr>
        <w:noProof/>
        <w:sz w:val="16"/>
        <w:szCs w:val="16"/>
      </w:rPr>
      <w:t>MO47 amend 200528Z</w:t>
    </w:r>
    <w:r w:rsidR="00C17FF5">
      <w:rPr>
        <w:noProof/>
        <w:lang w:eastAsia="en-AU"/>
      </w:rPr>
      <mc:AlternateContent>
        <mc:Choice Requires="wps">
          <w:drawing>
            <wp:anchor distT="0" distB="0" distL="114300" distR="114300" simplePos="0" relativeHeight="251665408" behindDoc="0" locked="0" layoutInCell="1" allowOverlap="1" wp14:anchorId="4AD86757" wp14:editId="6B0164B2">
              <wp:simplePos x="0" y="0"/>
              <wp:positionH relativeFrom="column">
                <wp:posOffset>0</wp:posOffset>
              </wp:positionH>
              <wp:positionV relativeFrom="paragraph">
                <wp:posOffset>9966325</wp:posOffset>
              </wp:positionV>
              <wp:extent cx="4438650" cy="52578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F5" w:rsidRDefault="00C17FF5"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86757" id="_x0000_t202" coordsize="21600,21600" o:spt="202" path="m,l,21600r21600,l21600,xe">
              <v:stroke joinstyle="miter"/>
              <v:path gradientshapeok="t" o:connecttype="rect"/>
            </v:shapetype>
            <v:shape id="_x0000_s1028" type="#_x0000_t202" style="position:absolute;margin-left:0;margin-top:784.75pt;width:349.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" filled="f" stroked="f">
              <v:textbox>
                <w:txbxContent>
                  <w:p w:rsidR="00C17FF5" w:rsidRDefault="00C17FF5" w:rsidP="00C17FF5"/>
                </w:txbxContent>
              </v:textbox>
            </v:shape>
          </w:pict>
        </mc:Fallback>
      </mc:AlternateContent>
    </w:r>
    <w:r w:rsidR="00C17FF5">
      <w:rPr>
        <w:noProof/>
        <w:lang w:eastAsia="en-AU"/>
      </w:rPr>
      <mc:AlternateContent>
        <mc:Choice Requires="wps">
          <w:drawing>
            <wp:anchor distT="0" distB="0" distL="114300" distR="114300" simplePos="0" relativeHeight="251661312" behindDoc="0" locked="0" layoutInCell="1" allowOverlap="1" wp14:anchorId="2F80F6AD" wp14:editId="018427FD">
              <wp:simplePos x="0" y="0"/>
              <wp:positionH relativeFrom="column">
                <wp:posOffset>-457200</wp:posOffset>
              </wp:positionH>
              <wp:positionV relativeFrom="paragraph">
                <wp:posOffset>2394585</wp:posOffset>
              </wp:positionV>
              <wp:extent cx="4438650" cy="525780"/>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F5" w:rsidRDefault="00C17FF5"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0F6AD" id="_x0000_s1029" type="#_x0000_t202" style="position:absolute;margin-left:-36pt;margin-top:188.5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R2ug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ZF6U&#10;droCAADBBQAADgAAAAAAAAAAAAAAAAAuAgAAZHJzL2Uyb0RvYy54bWxQSwECLQAUAAYACAAAACEA&#10;gRAVrOAAAAALAQAADwAAAAAAAAAAAAAAAAAUBQAAZHJzL2Rvd25yZXYueG1sUEsFBgAAAAAEAAQA&#10;8wAAACEGAAAAAA==&#10;" filled="f" stroked="f">
              <v:textbox>
                <w:txbxContent>
                  <w:p w:rsidR="00C17FF5" w:rsidRDefault="00C17FF5" w:rsidP="00C17FF5"/>
                </w:txbxContent>
              </v:textbox>
            </v:shape>
          </w:pict>
        </mc:Fallback>
      </mc:AlternateContent>
    </w:r>
    <w:r w:rsidR="00960BC7">
      <w:rPr>
        <w:noProof/>
        <w:sz w:val="16"/>
        <w:szCs w:val="16"/>
      </w:rPr>
      <w:t>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056" w:rsidRPr="00CA5F5B" w:rsidRDefault="00C01056" w:rsidP="00E14409">
    <w:pPr>
      <w:jc w:val="center"/>
      <w:rPr>
        <w:rFonts w:ascii="Arial" w:hAnsi="Arial" w:cs="Arial"/>
        <w:sz w:val="28"/>
        <w:szCs w:val="28"/>
      </w:rPr>
    </w:pPr>
  </w:p>
  <w:p w:rsidR="00C01056" w:rsidRPr="00CA5F5B" w:rsidRDefault="003E21E0">
    <w:pPr>
      <w:rPr>
        <w:sz w:val="16"/>
        <w:szCs w:val="16"/>
      </w:rPr>
    </w:pPr>
    <w:r>
      <w:rPr>
        <w:noProof/>
        <w:sz w:val="16"/>
        <w:szCs w:val="16"/>
      </w:rPr>
      <w:t>MO47 amend 200528Z</w:t>
    </w:r>
    <w:r w:rsidR="00960BC7">
      <w:rPr>
        <w:noProof/>
        <w:sz w:val="16"/>
        <w:szCs w:val="16"/>
      </w:rPr>
      <w:t>Z</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C4" w:rsidRPr="00556EB9" w:rsidRDefault="00960BC7" w:rsidP="00CB4A00">
    <w:pPr>
      <w:pStyle w:val="FooterCitation"/>
    </w:pPr>
    <w:fldSimple w:instr=" filename \p \*charformat ">
      <w:r w:rsidR="00A85E58">
        <w:rPr>
          <w:noProof/>
        </w:rPr>
        <w:t>R:\8118 Maritime Regulation\Legislative Drafting\drafts-Nav Act\MO47 amend 2020\Finals\MO47 amend 200528Z.docx</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A8" w:rsidRPr="00DC116F" w:rsidRDefault="008D56A8" w:rsidP="008D56A8">
    <w:pPr>
      <w:jc w:val="center"/>
      <w:rPr>
        <w:rFonts w:ascii="Arial" w:hAnsi="Arial" w:cs="Arial"/>
        <w:sz w:val="28"/>
        <w:szCs w:val="28"/>
      </w:rPr>
    </w:pPr>
  </w:p>
  <w:tbl>
    <w:tblPr>
      <w:tblW w:w="8650" w:type="dxa"/>
      <w:tblBorders>
        <w:top w:val="single" w:sz="4" w:space="0" w:color="auto"/>
      </w:tblBorders>
      <w:tblLayout w:type="fixed"/>
      <w:tblLook w:val="01E0" w:firstRow="1" w:lastRow="1" w:firstColumn="1" w:lastColumn="1" w:noHBand="0" w:noVBand="0"/>
    </w:tblPr>
    <w:tblGrid>
      <w:gridCol w:w="675"/>
      <w:gridCol w:w="6804"/>
      <w:gridCol w:w="1171"/>
    </w:tblGrid>
    <w:tr w:rsidR="008D56A8" w:rsidTr="00E23E76">
      <w:tc>
        <w:tcPr>
          <w:tcW w:w="675" w:type="dxa"/>
          <w:shd w:val="clear" w:color="auto" w:fill="auto"/>
        </w:tcPr>
        <w:p w:rsidR="008D56A8" w:rsidRPr="007F6065" w:rsidRDefault="008D56A8" w:rsidP="008D56A8">
          <w:pPr>
            <w:pStyle w:val="Footer"/>
            <w:spacing w:before="20"/>
            <w:rPr>
              <w:rStyle w:val="PageNumber"/>
            </w:rPr>
          </w:pPr>
        </w:p>
      </w:tc>
      <w:tc>
        <w:tcPr>
          <w:tcW w:w="6804" w:type="dxa"/>
          <w:shd w:val="clear" w:color="auto" w:fill="auto"/>
        </w:tcPr>
        <w:p w:rsidR="008D56A8" w:rsidRPr="00EF2F9D" w:rsidRDefault="003E21E0" w:rsidP="008D56A8">
          <w:pPr>
            <w:pStyle w:val="FooterCitation"/>
          </w:pPr>
          <w:r w:rsidRPr="00565372">
            <w:t>Marine Order 47 (Offshore industry units) Amendment Order 2020</w:t>
          </w:r>
        </w:p>
      </w:tc>
      <w:tc>
        <w:tcPr>
          <w:tcW w:w="1171" w:type="dxa"/>
          <w:shd w:val="clear" w:color="auto" w:fill="auto"/>
        </w:tcPr>
        <w:p w:rsidR="008D56A8" w:rsidRPr="007F6065" w:rsidRDefault="008D56A8" w:rsidP="008D56A8">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D751D6">
            <w:rPr>
              <w:rStyle w:val="PageNumber"/>
              <w:noProof/>
            </w:rPr>
            <w:t>6</w:t>
          </w:r>
          <w:r w:rsidRPr="007F6065">
            <w:rPr>
              <w:rStyle w:val="PageNumber"/>
            </w:rPr>
            <w:fldChar w:fldCharType="end"/>
          </w:r>
        </w:p>
      </w:tc>
    </w:tr>
  </w:tbl>
  <w:p w:rsidR="00877BC4" w:rsidRPr="008D56A8" w:rsidRDefault="003E21E0" w:rsidP="008D56A8">
    <w:pPr>
      <w:pStyle w:val="Footer"/>
    </w:pPr>
    <w:r>
      <w:rPr>
        <w:noProof/>
        <w:sz w:val="16"/>
        <w:szCs w:val="16"/>
      </w:rPr>
      <w:t>MO47 amend 200528Z</w:t>
    </w:r>
    <w:r w:rsidR="00960BC7">
      <w:rPr>
        <w:noProof/>
        <w:sz w:val="16"/>
        <w:szCs w:val="16"/>
      </w:rPr>
      <w:t>Z</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C6B" w:rsidRDefault="009F5C6B"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F5C6B">
      <w:tc>
        <w:tcPr>
          <w:tcW w:w="1134" w:type="dxa"/>
        </w:tcPr>
        <w:p w:rsidR="009F5C6B" w:rsidRPr="003D7214" w:rsidRDefault="009F5C6B"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w:t>
          </w:r>
          <w:r w:rsidRPr="003D7214">
            <w:rPr>
              <w:rFonts w:cs="Arial"/>
              <w:szCs w:val="22"/>
            </w:rPr>
            <w:fldChar w:fldCharType="end"/>
          </w:r>
        </w:p>
      </w:tc>
      <w:tc>
        <w:tcPr>
          <w:tcW w:w="6095" w:type="dxa"/>
        </w:tcPr>
        <w:p w:rsidR="009F5C6B" w:rsidRPr="004F5D6D" w:rsidRDefault="00960BC7" w:rsidP="00BD545A">
          <w:pPr>
            <w:spacing w:before="20" w:line="240" w:lineRule="exact"/>
          </w:pPr>
          <w:fldSimple w:instr=" REF  Citation ">
            <w:r w:rsidR="00A85E58" w:rsidRPr="00565372">
              <w:t>Marine Order 47 (Offshore industry units) Amendment Order 2020</w:t>
            </w:r>
          </w:fldSimple>
        </w:p>
      </w:tc>
      <w:tc>
        <w:tcPr>
          <w:tcW w:w="1134" w:type="dxa"/>
        </w:tcPr>
        <w:p w:rsidR="009F5C6B" w:rsidRPr="00451BF5" w:rsidRDefault="009F5C6B" w:rsidP="00BD545A">
          <w:pPr>
            <w:spacing w:line="240" w:lineRule="exact"/>
            <w:jc w:val="right"/>
          </w:pPr>
        </w:p>
      </w:tc>
    </w:tr>
  </w:tbl>
  <w:p w:rsidR="009F5C6B" w:rsidRDefault="009F5C6B" w:rsidP="00BD545A">
    <w:pPr>
      <w:ind w:right="360" w:firstLine="360"/>
    </w:pPr>
    <w:r>
      <w:t>DRAFT ONLY</w:t>
    </w:r>
  </w:p>
  <w:p w:rsidR="009F5C6B" w:rsidRDefault="00960BC7" w:rsidP="00BD545A">
    <w:fldSimple w:instr=" FILENAME   \* MERGEFORMAT ">
      <w:r w:rsidR="00A85E58">
        <w:rPr>
          <w:noProof/>
        </w:rPr>
        <w:t>MO47 amend 200528Z</w:t>
      </w:r>
    </w:fldSimple>
    <w:r w:rsidR="009F5C6B" w:rsidRPr="00974D8C">
      <w:t xml:space="preserve"> </w:t>
    </w:r>
    <w:r w:rsidR="009F5C6B">
      <w:fldChar w:fldCharType="begin"/>
    </w:r>
    <w:r w:rsidR="009F5C6B">
      <w:instrText xml:space="preserve"> DATE  \@ "D/MM/YYYY"  \* MERGEFORMAT </w:instrText>
    </w:r>
    <w:r w:rsidR="009F5C6B">
      <w:fldChar w:fldCharType="separate"/>
    </w:r>
    <w:r w:rsidR="00D751D6">
      <w:rPr>
        <w:noProof/>
      </w:rPr>
      <w:t>15/06/2020</w:t>
    </w:r>
    <w:r w:rsidR="009F5C6B">
      <w:fldChar w:fldCharType="end"/>
    </w:r>
    <w:r w:rsidR="009F5C6B">
      <w:t xml:space="preserve"> </w:t>
    </w:r>
    <w:r w:rsidR="009F5C6B">
      <w:fldChar w:fldCharType="begin"/>
    </w:r>
    <w:r w:rsidR="009F5C6B">
      <w:instrText xml:space="preserve"> TIME  \@ "h:mm am/pm"  \* MERGEFORMAT </w:instrText>
    </w:r>
    <w:r w:rsidR="009F5C6B">
      <w:fldChar w:fldCharType="separate"/>
    </w:r>
    <w:r w:rsidR="00D751D6">
      <w:rPr>
        <w:noProof/>
      </w:rPr>
      <w:t>1:10 PM</w:t>
    </w:r>
    <w:r w:rsidR="009F5C6B">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C6B" w:rsidRDefault="009F5C6B"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F5C6B">
      <w:tc>
        <w:tcPr>
          <w:tcW w:w="1134" w:type="dxa"/>
        </w:tcPr>
        <w:p w:rsidR="009F5C6B" w:rsidRDefault="009F5C6B" w:rsidP="00BD545A">
          <w:pPr>
            <w:spacing w:line="240" w:lineRule="exact"/>
          </w:pPr>
        </w:p>
      </w:tc>
      <w:tc>
        <w:tcPr>
          <w:tcW w:w="6095" w:type="dxa"/>
        </w:tcPr>
        <w:p w:rsidR="009F5C6B" w:rsidRPr="004F5D6D" w:rsidRDefault="00960BC7" w:rsidP="00BD545A">
          <w:fldSimple w:instr=" REF  Citation ">
            <w:r w:rsidR="00A85E58" w:rsidRPr="00565372">
              <w:t>Marine Order 47 (Offshore industry units) Amendment Order 2020</w:t>
            </w:r>
          </w:fldSimple>
        </w:p>
      </w:tc>
      <w:tc>
        <w:tcPr>
          <w:tcW w:w="1134" w:type="dxa"/>
        </w:tcPr>
        <w:p w:rsidR="009F5C6B" w:rsidRPr="003D7214" w:rsidRDefault="009F5C6B"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3</w:t>
          </w:r>
          <w:r w:rsidRPr="003D7214">
            <w:rPr>
              <w:rFonts w:cs="Arial"/>
              <w:szCs w:val="22"/>
            </w:rPr>
            <w:fldChar w:fldCharType="end"/>
          </w:r>
        </w:p>
      </w:tc>
    </w:tr>
  </w:tbl>
  <w:p w:rsidR="009F5C6B" w:rsidRDefault="009F5C6B" w:rsidP="00BD545A">
    <w:r>
      <w:t>DRAFT ONLY</w:t>
    </w:r>
  </w:p>
  <w:p w:rsidR="009F5C6B" w:rsidRDefault="00960BC7" w:rsidP="00BD545A">
    <w:fldSimple w:instr=" FILENAME   \* MERGEFORMAT ">
      <w:r w:rsidR="00A85E58">
        <w:rPr>
          <w:noProof/>
        </w:rPr>
        <w:t>MO47 amend 200528Z</w:t>
      </w:r>
    </w:fldSimple>
    <w:r w:rsidR="009F5C6B" w:rsidRPr="00974D8C">
      <w:t xml:space="preserve"> </w:t>
    </w:r>
    <w:r w:rsidR="009F5C6B">
      <w:fldChar w:fldCharType="begin"/>
    </w:r>
    <w:r w:rsidR="009F5C6B">
      <w:instrText xml:space="preserve"> DATE  \@ "D/MM/YYYY"  \* MERGEFORMAT </w:instrText>
    </w:r>
    <w:r w:rsidR="009F5C6B">
      <w:fldChar w:fldCharType="separate"/>
    </w:r>
    <w:r w:rsidR="00D751D6">
      <w:rPr>
        <w:noProof/>
      </w:rPr>
      <w:t>15/06/2020</w:t>
    </w:r>
    <w:r w:rsidR="009F5C6B">
      <w:fldChar w:fldCharType="end"/>
    </w:r>
    <w:r w:rsidR="009F5C6B">
      <w:t xml:space="preserve"> </w:t>
    </w:r>
    <w:r w:rsidR="009F5C6B">
      <w:fldChar w:fldCharType="begin"/>
    </w:r>
    <w:r w:rsidR="009F5C6B">
      <w:instrText xml:space="preserve"> TIME  \@ "h:mm am/pm"  \* MERGEFORMAT </w:instrText>
    </w:r>
    <w:r w:rsidR="009F5C6B">
      <w:fldChar w:fldCharType="separate"/>
    </w:r>
    <w:r w:rsidR="00D751D6">
      <w:rPr>
        <w:noProof/>
      </w:rPr>
      <w:t>1:10 PM</w:t>
    </w:r>
    <w:r w:rsidR="009F5C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07C" w:rsidRDefault="0096207C">
      <w:r>
        <w:separator/>
      </w:r>
    </w:p>
  </w:footnote>
  <w:footnote w:type="continuationSeparator" w:id="0">
    <w:p w:rsidR="0096207C" w:rsidRDefault="00962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C01056">
      <w:tc>
        <w:tcPr>
          <w:tcW w:w="1494" w:type="dxa"/>
        </w:tcPr>
        <w:p w:rsidR="00C01056" w:rsidRDefault="00C01056" w:rsidP="00BD545A"/>
      </w:tc>
      <w:tc>
        <w:tcPr>
          <w:tcW w:w="6891" w:type="dxa"/>
        </w:tcPr>
        <w:p w:rsidR="00C01056" w:rsidRDefault="00C01056" w:rsidP="00BD545A"/>
      </w:tc>
    </w:tr>
    <w:tr w:rsidR="00C01056">
      <w:tc>
        <w:tcPr>
          <w:tcW w:w="1494" w:type="dxa"/>
        </w:tcPr>
        <w:p w:rsidR="00C01056" w:rsidRDefault="00C01056" w:rsidP="00BD545A"/>
      </w:tc>
      <w:tc>
        <w:tcPr>
          <w:tcW w:w="6891" w:type="dxa"/>
        </w:tcPr>
        <w:p w:rsidR="00C01056" w:rsidRDefault="00C01056" w:rsidP="00BD545A"/>
      </w:tc>
    </w:tr>
    <w:tr w:rsidR="00C01056">
      <w:tc>
        <w:tcPr>
          <w:tcW w:w="8385" w:type="dxa"/>
          <w:gridSpan w:val="2"/>
          <w:tcBorders>
            <w:bottom w:val="single" w:sz="4" w:space="0" w:color="auto"/>
          </w:tcBorders>
        </w:tcPr>
        <w:p w:rsidR="00C01056" w:rsidRDefault="00C01056" w:rsidP="00BD545A"/>
      </w:tc>
    </w:tr>
  </w:tbl>
  <w:p w:rsidR="00C01056" w:rsidRDefault="00C01056" w:rsidP="00BD545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9F5C6B">
      <w:tc>
        <w:tcPr>
          <w:tcW w:w="1494" w:type="dxa"/>
        </w:tcPr>
        <w:p w:rsidR="009F5C6B" w:rsidRDefault="009F5C6B" w:rsidP="00BD545A"/>
      </w:tc>
      <w:tc>
        <w:tcPr>
          <w:tcW w:w="6891" w:type="dxa"/>
        </w:tcPr>
        <w:p w:rsidR="009F5C6B" w:rsidRDefault="009F5C6B" w:rsidP="00BD545A"/>
      </w:tc>
    </w:tr>
    <w:tr w:rsidR="009F5C6B">
      <w:tc>
        <w:tcPr>
          <w:tcW w:w="1494" w:type="dxa"/>
        </w:tcPr>
        <w:p w:rsidR="009F5C6B" w:rsidRDefault="009F5C6B" w:rsidP="00BD545A"/>
      </w:tc>
      <w:tc>
        <w:tcPr>
          <w:tcW w:w="6891" w:type="dxa"/>
        </w:tcPr>
        <w:p w:rsidR="009F5C6B" w:rsidRDefault="009F5C6B" w:rsidP="00BD545A"/>
      </w:tc>
    </w:tr>
    <w:tr w:rsidR="009F5C6B">
      <w:tc>
        <w:tcPr>
          <w:tcW w:w="8385" w:type="dxa"/>
          <w:gridSpan w:val="2"/>
          <w:tcBorders>
            <w:bottom w:val="single" w:sz="4" w:space="0" w:color="auto"/>
          </w:tcBorders>
        </w:tcPr>
        <w:p w:rsidR="009F5C6B" w:rsidRDefault="009F5C6B" w:rsidP="00BD545A"/>
      </w:tc>
    </w:tr>
  </w:tbl>
  <w:p w:rsidR="009F5C6B" w:rsidRDefault="009F5C6B" w:rsidP="00BD545A"/>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9F5C6B">
      <w:tc>
        <w:tcPr>
          <w:tcW w:w="6914" w:type="dxa"/>
        </w:tcPr>
        <w:p w:rsidR="009F5C6B" w:rsidRDefault="009F5C6B" w:rsidP="00BD545A"/>
      </w:tc>
      <w:tc>
        <w:tcPr>
          <w:tcW w:w="1471" w:type="dxa"/>
        </w:tcPr>
        <w:p w:rsidR="009F5C6B" w:rsidRDefault="009F5C6B" w:rsidP="00BD545A"/>
      </w:tc>
    </w:tr>
    <w:tr w:rsidR="009F5C6B">
      <w:tc>
        <w:tcPr>
          <w:tcW w:w="6914" w:type="dxa"/>
        </w:tcPr>
        <w:p w:rsidR="009F5C6B" w:rsidRDefault="009F5C6B" w:rsidP="00BD545A"/>
      </w:tc>
      <w:tc>
        <w:tcPr>
          <w:tcW w:w="1471" w:type="dxa"/>
        </w:tcPr>
        <w:p w:rsidR="009F5C6B" w:rsidRDefault="009F5C6B" w:rsidP="00BD545A"/>
      </w:tc>
    </w:tr>
    <w:tr w:rsidR="009F5C6B">
      <w:tc>
        <w:tcPr>
          <w:tcW w:w="8385" w:type="dxa"/>
          <w:gridSpan w:val="2"/>
          <w:tcBorders>
            <w:bottom w:val="single" w:sz="4" w:space="0" w:color="auto"/>
          </w:tcBorders>
        </w:tcPr>
        <w:p w:rsidR="009F5C6B" w:rsidRDefault="009F5C6B" w:rsidP="00BD545A"/>
      </w:tc>
    </w:tr>
  </w:tbl>
  <w:p w:rsidR="009F5C6B" w:rsidRDefault="009F5C6B" w:rsidP="00BD545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C01056">
      <w:tc>
        <w:tcPr>
          <w:tcW w:w="6914" w:type="dxa"/>
        </w:tcPr>
        <w:p w:rsidR="00C01056" w:rsidRDefault="00C01056" w:rsidP="00BD545A"/>
      </w:tc>
      <w:tc>
        <w:tcPr>
          <w:tcW w:w="1471" w:type="dxa"/>
        </w:tcPr>
        <w:p w:rsidR="00C01056" w:rsidRDefault="00C01056" w:rsidP="00BD545A"/>
      </w:tc>
    </w:tr>
    <w:tr w:rsidR="00C01056">
      <w:tc>
        <w:tcPr>
          <w:tcW w:w="6914" w:type="dxa"/>
        </w:tcPr>
        <w:p w:rsidR="00C01056" w:rsidRDefault="00C01056" w:rsidP="00BD545A"/>
      </w:tc>
      <w:tc>
        <w:tcPr>
          <w:tcW w:w="1471" w:type="dxa"/>
        </w:tcPr>
        <w:p w:rsidR="00C01056" w:rsidRDefault="00C01056" w:rsidP="00BD545A"/>
      </w:tc>
    </w:tr>
    <w:tr w:rsidR="00C01056">
      <w:tc>
        <w:tcPr>
          <w:tcW w:w="8385" w:type="dxa"/>
          <w:gridSpan w:val="2"/>
          <w:tcBorders>
            <w:bottom w:val="single" w:sz="4" w:space="0" w:color="auto"/>
          </w:tcBorders>
        </w:tcPr>
        <w:p w:rsidR="00C01056" w:rsidRDefault="00C01056" w:rsidP="00BD545A"/>
      </w:tc>
    </w:tr>
  </w:tbl>
  <w:p w:rsidR="00C01056" w:rsidRDefault="00C01056" w:rsidP="00BD545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A88" w:rsidRDefault="000C7A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09"/>
      <w:gridCol w:w="6996"/>
    </w:tblGrid>
    <w:tr w:rsidR="00877BC4" w:rsidTr="00CB4A00">
      <w:tc>
        <w:tcPr>
          <w:tcW w:w="1531" w:type="dxa"/>
        </w:tcPr>
        <w:p w:rsidR="00877BC4" w:rsidRDefault="00877BC4"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D751D6">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c>
        <w:tcPr>
          <w:tcW w:w="7119" w:type="dxa"/>
          <w:vAlign w:val="bottom"/>
        </w:tcPr>
        <w:p w:rsidR="00877BC4" w:rsidRDefault="00877BC4" w:rsidP="00CB4A00">
          <w:pPr>
            <w:pStyle w:val="HeaderLiteEven"/>
          </w:pPr>
          <w:r>
            <w:fldChar w:fldCharType="begin"/>
          </w:r>
          <w:r>
            <w:instrText xml:space="preserve"> If </w:instrText>
          </w:r>
          <w:r>
            <w:fldChar w:fldCharType="begin"/>
          </w:r>
          <w:r>
            <w:instrText xml:space="preserve"> STYLEREF CharPartText \*Charformat </w:instrText>
          </w:r>
          <w:r>
            <w:fldChar w:fldCharType="separate"/>
          </w:r>
          <w:r w:rsidR="00D751D6">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r>
    <w:tr w:rsidR="00877BC4" w:rsidTr="00CB4A00">
      <w:tc>
        <w:tcPr>
          <w:tcW w:w="1531" w:type="dxa"/>
        </w:tcPr>
        <w:p w:rsidR="00877BC4" w:rsidRDefault="00877BC4"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D751D6">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7119" w:type="dxa"/>
          <w:vAlign w:val="bottom"/>
        </w:tcPr>
        <w:p w:rsidR="00877BC4" w:rsidRDefault="00877BC4" w:rsidP="00CB4A00">
          <w:pPr>
            <w:pStyle w:val="HeaderLiteEven"/>
          </w:pPr>
          <w:r>
            <w:fldChar w:fldCharType="begin"/>
          </w:r>
          <w:r>
            <w:instrText xml:space="preserve"> If </w:instrText>
          </w:r>
          <w:r>
            <w:fldChar w:fldCharType="begin"/>
          </w:r>
          <w:r>
            <w:instrText xml:space="preserve"> STYLEREF CharDivText \*Charformat </w:instrText>
          </w:r>
          <w:r>
            <w:fldChar w:fldCharType="separate"/>
          </w:r>
          <w:r w:rsidR="00D751D6">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877BC4" w:rsidTr="00CB4A00">
      <w:tc>
        <w:tcPr>
          <w:tcW w:w="8650" w:type="dxa"/>
          <w:gridSpan w:val="2"/>
          <w:tcBorders>
            <w:bottom w:val="single" w:sz="4" w:space="0" w:color="auto"/>
          </w:tcBorders>
          <w:shd w:val="clear" w:color="auto" w:fill="auto"/>
        </w:tcPr>
        <w:p w:rsidR="00877BC4" w:rsidRPr="006D2A45" w:rsidRDefault="00234E9A" w:rsidP="00CB4A00">
          <w:pPr>
            <w:pStyle w:val="HeaderBoldEven"/>
          </w:pPr>
          <w:r>
            <w:t>Section</w:t>
          </w:r>
          <w:r w:rsidR="00877BC4">
            <w:t xml:space="preserve">  </w:t>
          </w:r>
          <w:r w:rsidR="00877BC4" w:rsidRPr="006D2A45">
            <w:fldChar w:fldCharType="begin"/>
          </w:r>
          <w:r w:rsidR="00877BC4" w:rsidRPr="006D2A45">
            <w:instrText xml:space="preserve"> If </w:instrText>
          </w:r>
          <w:fldSimple w:instr=" STYLEREF CharSectno \*Charformat ">
            <w:r w:rsidR="00D751D6">
              <w:rPr>
                <w:noProof/>
              </w:rPr>
              <w:instrText>1</w:instrText>
            </w:r>
          </w:fldSimple>
          <w:r w:rsidR="00877BC4" w:rsidRPr="006D2A45">
            <w:instrText xml:space="preserve"> &lt;&gt; "Error*" </w:instrText>
          </w:r>
          <w:fldSimple w:instr=" STYLEREF CharSectno \*Charformat ">
            <w:r w:rsidR="00D751D6">
              <w:rPr>
                <w:noProof/>
              </w:rPr>
              <w:instrText>1</w:instrText>
            </w:r>
          </w:fldSimple>
          <w:r w:rsidR="00877BC4" w:rsidRPr="006D2A45">
            <w:instrText xml:space="preserve"> </w:instrText>
          </w:r>
          <w:r w:rsidR="00877BC4" w:rsidRPr="006D2A45">
            <w:fldChar w:fldCharType="separate"/>
          </w:r>
          <w:r w:rsidR="00D751D6">
            <w:rPr>
              <w:noProof/>
            </w:rPr>
            <w:t>1</w:t>
          </w:r>
          <w:r w:rsidR="00877BC4" w:rsidRPr="006D2A45">
            <w:fldChar w:fldCharType="end"/>
          </w:r>
        </w:p>
      </w:tc>
    </w:tr>
  </w:tbl>
  <w:p w:rsidR="00877BC4" w:rsidRDefault="00877BC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828"/>
      <w:gridCol w:w="1800"/>
    </w:tblGrid>
    <w:tr w:rsidR="00877BC4" w:rsidTr="00CB4A00">
      <w:tc>
        <w:tcPr>
          <w:tcW w:w="6828" w:type="dxa"/>
          <w:vAlign w:val="bottom"/>
        </w:tcPr>
        <w:p w:rsidR="00877BC4" w:rsidRDefault="00877BC4">
          <w:pPr>
            <w:pStyle w:val="HeaderLiteOdd"/>
          </w:pPr>
          <w:r>
            <w:fldChar w:fldCharType="begin"/>
          </w:r>
          <w:r>
            <w:instrText xml:space="preserve"> If </w:instrText>
          </w:r>
          <w:r>
            <w:fldChar w:fldCharType="begin"/>
          </w:r>
          <w:r>
            <w:instrText xml:space="preserve"> STYLEREF CharPartText \*Charformat \l </w:instrText>
          </w:r>
          <w:r>
            <w:fldChar w:fldCharType="separate"/>
          </w:r>
          <w:r w:rsidR="00A85E5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\l </w:instrText>
          </w:r>
          <w:r>
            <w:fldChar w:fldCharType="end"/>
          </w:r>
          <w:r>
            <w:instrText xml:space="preserve"> </w:instrText>
          </w:r>
          <w:r>
            <w:fldChar w:fldCharType="end"/>
          </w:r>
        </w:p>
      </w:tc>
      <w:tc>
        <w:tcPr>
          <w:tcW w:w="1800" w:type="dxa"/>
        </w:tcPr>
        <w:p w:rsidR="00877BC4" w:rsidRDefault="00877BC4">
          <w:pPr>
            <w:pStyle w:val="HeaderLiteOdd"/>
          </w:pPr>
          <w:r>
            <w:fldChar w:fldCharType="begin"/>
          </w:r>
          <w:r>
            <w:instrText xml:space="preserve"> If </w:instrText>
          </w:r>
          <w:r>
            <w:fldChar w:fldCharType="begin"/>
          </w:r>
          <w:r>
            <w:instrText xml:space="preserve"> STYLEREF CharPartNo \*Charformat \l </w:instrText>
          </w:r>
          <w:r>
            <w:fldChar w:fldCharType="separate"/>
          </w:r>
          <w:r w:rsidR="00A85E5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\l </w:instrText>
          </w:r>
          <w:r>
            <w:fldChar w:fldCharType="end"/>
          </w:r>
          <w:r>
            <w:instrText xml:space="preserve"> </w:instrText>
          </w:r>
          <w:r>
            <w:fldChar w:fldCharType="end"/>
          </w:r>
        </w:p>
      </w:tc>
    </w:tr>
    <w:tr w:rsidR="00877BC4" w:rsidTr="00CB4A00">
      <w:tc>
        <w:tcPr>
          <w:tcW w:w="6828" w:type="dxa"/>
        </w:tcPr>
        <w:p w:rsidR="00877BC4" w:rsidRDefault="00877BC4" w:rsidP="00CB4A00">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A85E58">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800" w:type="dxa"/>
          <w:vAlign w:val="bottom"/>
        </w:tcPr>
        <w:p w:rsidR="00877BC4" w:rsidRDefault="00877BC4" w:rsidP="00CB4A00">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A85E58">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r>
    <w:tr w:rsidR="00877BC4" w:rsidTr="00CB4A00">
      <w:tc>
        <w:tcPr>
          <w:tcW w:w="8628" w:type="dxa"/>
          <w:gridSpan w:val="2"/>
          <w:tcBorders>
            <w:bottom w:val="single" w:sz="4" w:space="0" w:color="auto"/>
          </w:tcBorders>
          <w:shd w:val="clear" w:color="auto" w:fill="auto"/>
        </w:tcPr>
        <w:p w:rsidR="00877BC4" w:rsidRPr="006D2A45" w:rsidRDefault="00877BC4">
          <w:pPr>
            <w:pStyle w:val="HeaderBoldOdd"/>
          </w:pPr>
          <w:r>
            <w:t xml:space="preserve">Provision </w:t>
          </w:r>
          <w:r w:rsidRPr="006D2A45">
            <w:fldChar w:fldCharType="begin"/>
          </w:r>
          <w:r w:rsidRPr="006D2A45">
            <w:instrText xml:space="preserve"> If </w:instrText>
          </w:r>
          <w:fldSimple w:instr=" STYLEREF CharSectno \*Charformat \l ">
            <w:r w:rsidR="00A85E58">
              <w:rPr>
                <w:noProof/>
              </w:rPr>
              <w:instrText>1</w:instrText>
            </w:r>
          </w:fldSimple>
          <w:r w:rsidRPr="006D2A45">
            <w:instrText xml:space="preserve"> &lt;&gt; "Error*" </w:instrText>
          </w:r>
          <w:fldSimple w:instr=" STYLEREF CharSectno \*Charformat \l ">
            <w:r w:rsidR="00A85E58">
              <w:rPr>
                <w:noProof/>
              </w:rPr>
              <w:instrText>1</w:instrText>
            </w:r>
          </w:fldSimple>
          <w:r w:rsidRPr="006D2A45">
            <w:instrText xml:space="preserve"> </w:instrText>
          </w:r>
          <w:r w:rsidRPr="006D2A45">
            <w:fldChar w:fldCharType="separate"/>
          </w:r>
          <w:r w:rsidR="00A85E58">
            <w:rPr>
              <w:noProof/>
            </w:rPr>
            <w:t>1</w:t>
          </w:r>
          <w:r w:rsidRPr="006D2A45">
            <w:fldChar w:fldCharType="end"/>
          </w:r>
        </w:p>
      </w:tc>
    </w:tr>
  </w:tbl>
  <w:p w:rsidR="00877BC4" w:rsidRDefault="00877BC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C4" w:rsidRDefault="00877B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08"/>
      <w:gridCol w:w="6997"/>
    </w:tblGrid>
    <w:tr w:rsidR="00877BC4" w:rsidTr="00CB4A00">
      <w:tc>
        <w:tcPr>
          <w:tcW w:w="1531" w:type="dxa"/>
        </w:tcPr>
        <w:p w:rsidR="00877BC4" w:rsidRDefault="00877BC4"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D751D6">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c>
        <w:tcPr>
          <w:tcW w:w="7119" w:type="dxa"/>
          <w:vAlign w:val="bottom"/>
        </w:tcPr>
        <w:p w:rsidR="00877BC4" w:rsidRDefault="00877BC4" w:rsidP="00CB4A00">
          <w:pPr>
            <w:pStyle w:val="HeaderLiteEven"/>
          </w:pPr>
          <w:r>
            <w:fldChar w:fldCharType="begin"/>
          </w:r>
          <w:r>
            <w:instrText xml:space="preserve"> If </w:instrText>
          </w:r>
          <w:r>
            <w:fldChar w:fldCharType="begin"/>
          </w:r>
          <w:r>
            <w:instrText xml:space="preserve"> STYLEREF CharPartText \*Charformat </w:instrText>
          </w:r>
          <w:r>
            <w:fldChar w:fldCharType="separate"/>
          </w:r>
          <w:r w:rsidR="00D751D6">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r>
    <w:tr w:rsidR="00877BC4" w:rsidTr="00CB4A00">
      <w:tc>
        <w:tcPr>
          <w:tcW w:w="1531" w:type="dxa"/>
        </w:tcPr>
        <w:p w:rsidR="00877BC4" w:rsidRDefault="00877BC4"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D751D6">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7119" w:type="dxa"/>
          <w:vAlign w:val="bottom"/>
        </w:tcPr>
        <w:p w:rsidR="00877BC4" w:rsidRDefault="00877BC4" w:rsidP="00CB4A00">
          <w:pPr>
            <w:pStyle w:val="HeaderLiteEven"/>
          </w:pPr>
          <w:r>
            <w:fldChar w:fldCharType="begin"/>
          </w:r>
          <w:r>
            <w:instrText xml:space="preserve"> If </w:instrText>
          </w:r>
          <w:r>
            <w:fldChar w:fldCharType="begin"/>
          </w:r>
          <w:r>
            <w:instrText xml:space="preserve"> STYLEREF CharDivText \*Charformat </w:instrText>
          </w:r>
          <w:r>
            <w:fldChar w:fldCharType="separate"/>
          </w:r>
          <w:r w:rsidR="00D751D6">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877BC4" w:rsidTr="00CB4A00">
      <w:tc>
        <w:tcPr>
          <w:tcW w:w="8650" w:type="dxa"/>
          <w:gridSpan w:val="2"/>
          <w:tcBorders>
            <w:bottom w:val="single" w:sz="4" w:space="0" w:color="auto"/>
          </w:tcBorders>
          <w:shd w:val="clear" w:color="auto" w:fill="auto"/>
        </w:tcPr>
        <w:p w:rsidR="00877BC4" w:rsidRDefault="00877BC4" w:rsidP="00CB4A00">
          <w:pPr>
            <w:pStyle w:val="HeaderBoldEven"/>
          </w:pPr>
        </w:p>
      </w:tc>
    </w:tr>
  </w:tbl>
  <w:p w:rsidR="00877BC4" w:rsidRDefault="00877BC4"/>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847"/>
      <w:gridCol w:w="1658"/>
    </w:tblGrid>
    <w:tr w:rsidR="00877BC4" w:rsidTr="00CB4A00">
      <w:tc>
        <w:tcPr>
          <w:tcW w:w="6948" w:type="dxa"/>
        </w:tcPr>
        <w:p w:rsidR="00877BC4" w:rsidRDefault="00877BC4" w:rsidP="00CB4A00">
          <w:pPr>
            <w:pStyle w:val="HeaderLiteEven"/>
            <w:jc w:val="right"/>
          </w:pPr>
          <w:r>
            <w:fldChar w:fldCharType="begin"/>
          </w:r>
          <w:r>
            <w:instrText xml:space="preserve"> If </w:instrText>
          </w:r>
          <w:r>
            <w:fldChar w:fldCharType="begin"/>
          </w:r>
          <w:r>
            <w:instrText xml:space="preserve"> STYLEREF CharPartText \*Charformat </w:instrText>
          </w:r>
          <w:r>
            <w:fldChar w:fldCharType="separate"/>
          </w:r>
          <w:r w:rsidR="00D751D6">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c>
        <w:tcPr>
          <w:tcW w:w="1680" w:type="dxa"/>
          <w:vAlign w:val="bottom"/>
        </w:tcPr>
        <w:p w:rsidR="00877BC4" w:rsidRDefault="00877BC4"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D751D6">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r>
    <w:tr w:rsidR="00877BC4" w:rsidTr="00CB4A00">
      <w:tc>
        <w:tcPr>
          <w:tcW w:w="6948" w:type="dxa"/>
        </w:tcPr>
        <w:p w:rsidR="00877BC4" w:rsidRDefault="00877BC4" w:rsidP="00CB4A00">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D751D6">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680" w:type="dxa"/>
          <w:vAlign w:val="bottom"/>
        </w:tcPr>
        <w:p w:rsidR="00877BC4" w:rsidRDefault="00877BC4"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D751D6">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r>
    <w:tr w:rsidR="00877BC4" w:rsidTr="00CB4A00">
      <w:tc>
        <w:tcPr>
          <w:tcW w:w="8628" w:type="dxa"/>
          <w:gridSpan w:val="2"/>
          <w:tcBorders>
            <w:bottom w:val="single" w:sz="4" w:space="0" w:color="auto"/>
          </w:tcBorders>
          <w:shd w:val="clear" w:color="auto" w:fill="auto"/>
        </w:tcPr>
        <w:p w:rsidR="00877BC4" w:rsidRDefault="00877BC4" w:rsidP="00CB4A00">
          <w:pPr>
            <w:pStyle w:val="HeaderBoldOdd"/>
          </w:pPr>
        </w:p>
      </w:tc>
    </w:tr>
  </w:tbl>
  <w:p w:rsidR="00877BC4" w:rsidRDefault="00877BC4"/>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847"/>
      <w:gridCol w:w="1658"/>
    </w:tblGrid>
    <w:tr w:rsidR="00835480" w:rsidTr="00E23E76">
      <w:tc>
        <w:tcPr>
          <w:tcW w:w="6948" w:type="dxa"/>
        </w:tcPr>
        <w:p w:rsidR="00835480" w:rsidRDefault="00835480" w:rsidP="00835480">
          <w:pPr>
            <w:pStyle w:val="HeaderLiteEven"/>
            <w:jc w:val="right"/>
          </w:pPr>
          <w:r>
            <w:fldChar w:fldCharType="begin"/>
          </w:r>
          <w:r>
            <w:instrText xml:space="preserve"> If </w:instrText>
          </w:r>
          <w:r>
            <w:fldChar w:fldCharType="begin"/>
          </w:r>
          <w:r>
            <w:instrText xml:space="preserve"> STYLEREF CharPartText \*Charformat </w:instrText>
          </w:r>
          <w:r>
            <w:fldChar w:fldCharType="separate"/>
          </w:r>
          <w:r w:rsidR="00D751D6">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c>
        <w:tcPr>
          <w:tcW w:w="1680" w:type="dxa"/>
          <w:vAlign w:val="bottom"/>
        </w:tcPr>
        <w:p w:rsidR="00835480" w:rsidRDefault="00835480" w:rsidP="00835480">
          <w:pPr>
            <w:pStyle w:val="HeaderLiteEven"/>
          </w:pPr>
          <w:r>
            <w:fldChar w:fldCharType="begin"/>
          </w:r>
          <w:r>
            <w:instrText xml:space="preserve"> If </w:instrText>
          </w:r>
          <w:r>
            <w:fldChar w:fldCharType="begin"/>
          </w:r>
          <w:r>
            <w:instrText xml:space="preserve"> STYLEREF CharPartNo \*Charformat </w:instrText>
          </w:r>
          <w:r>
            <w:fldChar w:fldCharType="separate"/>
          </w:r>
          <w:r w:rsidR="00D751D6">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r>
    <w:tr w:rsidR="00835480" w:rsidTr="00E23E76">
      <w:tc>
        <w:tcPr>
          <w:tcW w:w="6948" w:type="dxa"/>
        </w:tcPr>
        <w:p w:rsidR="00835480" w:rsidRDefault="00835480" w:rsidP="00835480">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D751D6">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680" w:type="dxa"/>
          <w:vAlign w:val="bottom"/>
        </w:tcPr>
        <w:p w:rsidR="00835480" w:rsidRDefault="00835480" w:rsidP="00835480">
          <w:pPr>
            <w:pStyle w:val="HeaderLiteEven"/>
          </w:pPr>
          <w:r>
            <w:fldChar w:fldCharType="begin"/>
          </w:r>
          <w:r>
            <w:instrText xml:space="preserve"> If </w:instrText>
          </w:r>
          <w:r>
            <w:fldChar w:fldCharType="begin"/>
          </w:r>
          <w:r>
            <w:instrText xml:space="preserve"> STYLEREF CharDivNo \*Charformat </w:instrText>
          </w:r>
          <w:r>
            <w:fldChar w:fldCharType="separate"/>
          </w:r>
          <w:r w:rsidR="00D751D6">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r>
    <w:tr w:rsidR="00835480" w:rsidTr="00E23E76">
      <w:tc>
        <w:tcPr>
          <w:tcW w:w="8628" w:type="dxa"/>
          <w:gridSpan w:val="2"/>
          <w:tcBorders>
            <w:bottom w:val="single" w:sz="4" w:space="0" w:color="auto"/>
          </w:tcBorders>
          <w:shd w:val="clear" w:color="auto" w:fill="auto"/>
        </w:tcPr>
        <w:p w:rsidR="00835480" w:rsidRDefault="00835480" w:rsidP="00835480">
          <w:pPr>
            <w:pStyle w:val="HeaderBoldOdd"/>
          </w:pPr>
        </w:p>
      </w:tc>
    </w:tr>
  </w:tbl>
  <w:p w:rsidR="00877BC4" w:rsidRDefault="00877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458AFD"/>
    <w:multiLevelType w:val="hybridMultilevel"/>
    <w:tmpl w:val="4438A7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11"/>
  </w:num>
  <w:num w:numId="13">
    <w:abstractNumId w:val="11"/>
  </w:num>
  <w:num w:numId="14">
    <w:abstractNumId w:val="11"/>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96207C"/>
    <w:rsid w:val="000038A0"/>
    <w:rsid w:val="00012F8A"/>
    <w:rsid w:val="0001662A"/>
    <w:rsid w:val="00020108"/>
    <w:rsid w:val="00032F2C"/>
    <w:rsid w:val="00040090"/>
    <w:rsid w:val="000403D5"/>
    <w:rsid w:val="000427E4"/>
    <w:rsid w:val="0004456C"/>
    <w:rsid w:val="00045BA4"/>
    <w:rsid w:val="00045F1B"/>
    <w:rsid w:val="000521B7"/>
    <w:rsid w:val="0005339D"/>
    <w:rsid w:val="00060076"/>
    <w:rsid w:val="000646EC"/>
    <w:rsid w:val="00065118"/>
    <w:rsid w:val="00065296"/>
    <w:rsid w:val="000665FE"/>
    <w:rsid w:val="00070827"/>
    <w:rsid w:val="000715D1"/>
    <w:rsid w:val="00073A5C"/>
    <w:rsid w:val="0007589C"/>
    <w:rsid w:val="00082916"/>
    <w:rsid w:val="00083189"/>
    <w:rsid w:val="00084E4F"/>
    <w:rsid w:val="0008560A"/>
    <w:rsid w:val="00091146"/>
    <w:rsid w:val="00092858"/>
    <w:rsid w:val="00094FBA"/>
    <w:rsid w:val="00095849"/>
    <w:rsid w:val="000A0788"/>
    <w:rsid w:val="000A0CCA"/>
    <w:rsid w:val="000A1742"/>
    <w:rsid w:val="000A620C"/>
    <w:rsid w:val="000A7869"/>
    <w:rsid w:val="000B4121"/>
    <w:rsid w:val="000B4194"/>
    <w:rsid w:val="000B51B3"/>
    <w:rsid w:val="000B7FB3"/>
    <w:rsid w:val="000C7A88"/>
    <w:rsid w:val="000D1916"/>
    <w:rsid w:val="000D70DE"/>
    <w:rsid w:val="000E16EC"/>
    <w:rsid w:val="000E27E3"/>
    <w:rsid w:val="000E48BD"/>
    <w:rsid w:val="000E7494"/>
    <w:rsid w:val="000F2967"/>
    <w:rsid w:val="000F309E"/>
    <w:rsid w:val="000F64D6"/>
    <w:rsid w:val="00103F01"/>
    <w:rsid w:val="00105BB8"/>
    <w:rsid w:val="00111D90"/>
    <w:rsid w:val="00116989"/>
    <w:rsid w:val="00125657"/>
    <w:rsid w:val="001312D8"/>
    <w:rsid w:val="001328CE"/>
    <w:rsid w:val="00134DDC"/>
    <w:rsid w:val="00140090"/>
    <w:rsid w:val="001409F1"/>
    <w:rsid w:val="0014186A"/>
    <w:rsid w:val="00141CBA"/>
    <w:rsid w:val="00144DE3"/>
    <w:rsid w:val="00153195"/>
    <w:rsid w:val="00162609"/>
    <w:rsid w:val="00164935"/>
    <w:rsid w:val="00165D61"/>
    <w:rsid w:val="0017685B"/>
    <w:rsid w:val="001809EF"/>
    <w:rsid w:val="00185F83"/>
    <w:rsid w:val="00186360"/>
    <w:rsid w:val="00187D63"/>
    <w:rsid w:val="00190054"/>
    <w:rsid w:val="00191FA5"/>
    <w:rsid w:val="00192C10"/>
    <w:rsid w:val="00193F32"/>
    <w:rsid w:val="0019487C"/>
    <w:rsid w:val="001951EB"/>
    <w:rsid w:val="001A0341"/>
    <w:rsid w:val="001A4DD7"/>
    <w:rsid w:val="001A63B2"/>
    <w:rsid w:val="001A6C59"/>
    <w:rsid w:val="001B195B"/>
    <w:rsid w:val="001B5B44"/>
    <w:rsid w:val="001C22F5"/>
    <w:rsid w:val="001C25FE"/>
    <w:rsid w:val="001C5D25"/>
    <w:rsid w:val="001C7118"/>
    <w:rsid w:val="001C769F"/>
    <w:rsid w:val="001D282E"/>
    <w:rsid w:val="001D6D71"/>
    <w:rsid w:val="001E092D"/>
    <w:rsid w:val="001E1749"/>
    <w:rsid w:val="001E447D"/>
    <w:rsid w:val="001E5E05"/>
    <w:rsid w:val="001E5E38"/>
    <w:rsid w:val="001F108C"/>
    <w:rsid w:val="001F13A1"/>
    <w:rsid w:val="001F1423"/>
    <w:rsid w:val="001F41C5"/>
    <w:rsid w:val="002015B2"/>
    <w:rsid w:val="00203232"/>
    <w:rsid w:val="00210652"/>
    <w:rsid w:val="00214C3B"/>
    <w:rsid w:val="00221073"/>
    <w:rsid w:val="00222FD0"/>
    <w:rsid w:val="002252C7"/>
    <w:rsid w:val="0022734F"/>
    <w:rsid w:val="00231E5E"/>
    <w:rsid w:val="002320F6"/>
    <w:rsid w:val="00233C57"/>
    <w:rsid w:val="0023489C"/>
    <w:rsid w:val="00234E9A"/>
    <w:rsid w:val="0024222C"/>
    <w:rsid w:val="00243601"/>
    <w:rsid w:val="00244C01"/>
    <w:rsid w:val="00246042"/>
    <w:rsid w:val="00252F17"/>
    <w:rsid w:val="00253DDD"/>
    <w:rsid w:val="00254D0C"/>
    <w:rsid w:val="00256323"/>
    <w:rsid w:val="00260876"/>
    <w:rsid w:val="00260912"/>
    <w:rsid w:val="00275245"/>
    <w:rsid w:val="00280D7F"/>
    <w:rsid w:val="00281C1D"/>
    <w:rsid w:val="00281E63"/>
    <w:rsid w:val="0028609E"/>
    <w:rsid w:val="00286CEA"/>
    <w:rsid w:val="00293BC3"/>
    <w:rsid w:val="002A0984"/>
    <w:rsid w:val="002A19B0"/>
    <w:rsid w:val="002A37DA"/>
    <w:rsid w:val="002B104A"/>
    <w:rsid w:val="002B1EBA"/>
    <w:rsid w:val="002B265A"/>
    <w:rsid w:val="002B3023"/>
    <w:rsid w:val="002B3196"/>
    <w:rsid w:val="002B32C5"/>
    <w:rsid w:val="002B519A"/>
    <w:rsid w:val="002B7DCF"/>
    <w:rsid w:val="002C3333"/>
    <w:rsid w:val="002D01E3"/>
    <w:rsid w:val="002D417A"/>
    <w:rsid w:val="002D4558"/>
    <w:rsid w:val="002D635B"/>
    <w:rsid w:val="002D71AC"/>
    <w:rsid w:val="002D7932"/>
    <w:rsid w:val="002E2552"/>
    <w:rsid w:val="002E5749"/>
    <w:rsid w:val="002F2BE6"/>
    <w:rsid w:val="002F353D"/>
    <w:rsid w:val="002F78D5"/>
    <w:rsid w:val="00301592"/>
    <w:rsid w:val="00306194"/>
    <w:rsid w:val="003072E7"/>
    <w:rsid w:val="003151C5"/>
    <w:rsid w:val="003151F5"/>
    <w:rsid w:val="003226E7"/>
    <w:rsid w:val="003231FF"/>
    <w:rsid w:val="00327199"/>
    <w:rsid w:val="00333426"/>
    <w:rsid w:val="0033573E"/>
    <w:rsid w:val="00336724"/>
    <w:rsid w:val="003375AD"/>
    <w:rsid w:val="003404B4"/>
    <w:rsid w:val="00343B24"/>
    <w:rsid w:val="003469E3"/>
    <w:rsid w:val="0035001E"/>
    <w:rsid w:val="003510DB"/>
    <w:rsid w:val="00353F3B"/>
    <w:rsid w:val="00357657"/>
    <w:rsid w:val="00367E3F"/>
    <w:rsid w:val="00370DD7"/>
    <w:rsid w:val="0037255F"/>
    <w:rsid w:val="0038199B"/>
    <w:rsid w:val="00386F67"/>
    <w:rsid w:val="00387F34"/>
    <w:rsid w:val="00392557"/>
    <w:rsid w:val="0039396B"/>
    <w:rsid w:val="003A5AF1"/>
    <w:rsid w:val="003A77F7"/>
    <w:rsid w:val="003B0D29"/>
    <w:rsid w:val="003B7E2B"/>
    <w:rsid w:val="003C1D25"/>
    <w:rsid w:val="003C256A"/>
    <w:rsid w:val="003D1079"/>
    <w:rsid w:val="003D1EBC"/>
    <w:rsid w:val="003D1FD3"/>
    <w:rsid w:val="003D5FC8"/>
    <w:rsid w:val="003D659C"/>
    <w:rsid w:val="003D6F03"/>
    <w:rsid w:val="003E21E0"/>
    <w:rsid w:val="003E6D06"/>
    <w:rsid w:val="003E796A"/>
    <w:rsid w:val="003E7F16"/>
    <w:rsid w:val="003F64F2"/>
    <w:rsid w:val="003F6833"/>
    <w:rsid w:val="004005D4"/>
    <w:rsid w:val="004032A0"/>
    <w:rsid w:val="00403F78"/>
    <w:rsid w:val="00421964"/>
    <w:rsid w:val="00422522"/>
    <w:rsid w:val="004255DD"/>
    <w:rsid w:val="004311E3"/>
    <w:rsid w:val="0043276E"/>
    <w:rsid w:val="00433B06"/>
    <w:rsid w:val="004355E3"/>
    <w:rsid w:val="004361A5"/>
    <w:rsid w:val="00440B24"/>
    <w:rsid w:val="00442AA3"/>
    <w:rsid w:val="00443890"/>
    <w:rsid w:val="0044430D"/>
    <w:rsid w:val="004447F9"/>
    <w:rsid w:val="00444F77"/>
    <w:rsid w:val="004454E2"/>
    <w:rsid w:val="004459DE"/>
    <w:rsid w:val="00450DE1"/>
    <w:rsid w:val="004533FC"/>
    <w:rsid w:val="004624D8"/>
    <w:rsid w:val="00464092"/>
    <w:rsid w:val="004640EA"/>
    <w:rsid w:val="00464AD1"/>
    <w:rsid w:val="00465D6A"/>
    <w:rsid w:val="00466DBA"/>
    <w:rsid w:val="004734A9"/>
    <w:rsid w:val="00483316"/>
    <w:rsid w:val="004839A4"/>
    <w:rsid w:val="004879CB"/>
    <w:rsid w:val="0049172E"/>
    <w:rsid w:val="004A20E2"/>
    <w:rsid w:val="004A7713"/>
    <w:rsid w:val="004A7AA7"/>
    <w:rsid w:val="004B1AC1"/>
    <w:rsid w:val="004B6C4F"/>
    <w:rsid w:val="004C2A0A"/>
    <w:rsid w:val="004C3987"/>
    <w:rsid w:val="004C69FA"/>
    <w:rsid w:val="004C6E70"/>
    <w:rsid w:val="004D2382"/>
    <w:rsid w:val="004D32C2"/>
    <w:rsid w:val="004D5EAB"/>
    <w:rsid w:val="004D6045"/>
    <w:rsid w:val="004E0619"/>
    <w:rsid w:val="004E1C75"/>
    <w:rsid w:val="004E2FEB"/>
    <w:rsid w:val="004E7590"/>
    <w:rsid w:val="004F5D6D"/>
    <w:rsid w:val="00501E0C"/>
    <w:rsid w:val="005056C8"/>
    <w:rsid w:val="0051137B"/>
    <w:rsid w:val="00511776"/>
    <w:rsid w:val="00511924"/>
    <w:rsid w:val="00512974"/>
    <w:rsid w:val="00514583"/>
    <w:rsid w:val="0051511D"/>
    <w:rsid w:val="0051578E"/>
    <w:rsid w:val="0052220C"/>
    <w:rsid w:val="005234C7"/>
    <w:rsid w:val="005238E0"/>
    <w:rsid w:val="005277E8"/>
    <w:rsid w:val="00534935"/>
    <w:rsid w:val="00536D4B"/>
    <w:rsid w:val="00541007"/>
    <w:rsid w:val="0054351E"/>
    <w:rsid w:val="00550962"/>
    <w:rsid w:val="005516CA"/>
    <w:rsid w:val="00556E4E"/>
    <w:rsid w:val="00565372"/>
    <w:rsid w:val="00567144"/>
    <w:rsid w:val="005672DE"/>
    <w:rsid w:val="005749F6"/>
    <w:rsid w:val="00576569"/>
    <w:rsid w:val="00577E10"/>
    <w:rsid w:val="00580301"/>
    <w:rsid w:val="0058576C"/>
    <w:rsid w:val="005859FB"/>
    <w:rsid w:val="00587B31"/>
    <w:rsid w:val="005924C4"/>
    <w:rsid w:val="005943B6"/>
    <w:rsid w:val="00595F36"/>
    <w:rsid w:val="005A181D"/>
    <w:rsid w:val="005A4031"/>
    <w:rsid w:val="005B3143"/>
    <w:rsid w:val="005B5BAF"/>
    <w:rsid w:val="005B6923"/>
    <w:rsid w:val="005B7B02"/>
    <w:rsid w:val="005C4A85"/>
    <w:rsid w:val="005D0D39"/>
    <w:rsid w:val="005D2F97"/>
    <w:rsid w:val="005D4DE2"/>
    <w:rsid w:val="005D692B"/>
    <w:rsid w:val="005E43E5"/>
    <w:rsid w:val="005E563D"/>
    <w:rsid w:val="005F0DDB"/>
    <w:rsid w:val="005F47D8"/>
    <w:rsid w:val="005F52A1"/>
    <w:rsid w:val="005F6E40"/>
    <w:rsid w:val="006015F2"/>
    <w:rsid w:val="00602748"/>
    <w:rsid w:val="006047C5"/>
    <w:rsid w:val="00614136"/>
    <w:rsid w:val="006156C1"/>
    <w:rsid w:val="00621915"/>
    <w:rsid w:val="00624074"/>
    <w:rsid w:val="0062769F"/>
    <w:rsid w:val="00631841"/>
    <w:rsid w:val="006375A7"/>
    <w:rsid w:val="00641664"/>
    <w:rsid w:val="00641705"/>
    <w:rsid w:val="0064429C"/>
    <w:rsid w:val="0065001E"/>
    <w:rsid w:val="006533B7"/>
    <w:rsid w:val="00665E85"/>
    <w:rsid w:val="00670CD9"/>
    <w:rsid w:val="00674B00"/>
    <w:rsid w:val="006921DC"/>
    <w:rsid w:val="00692F9E"/>
    <w:rsid w:val="006A1ABA"/>
    <w:rsid w:val="006A6A93"/>
    <w:rsid w:val="006B19FA"/>
    <w:rsid w:val="006B6EBF"/>
    <w:rsid w:val="006C2616"/>
    <w:rsid w:val="006C5742"/>
    <w:rsid w:val="006D018E"/>
    <w:rsid w:val="006D3078"/>
    <w:rsid w:val="006D4034"/>
    <w:rsid w:val="006E2530"/>
    <w:rsid w:val="006E548F"/>
    <w:rsid w:val="006E7E7A"/>
    <w:rsid w:val="006F0BD8"/>
    <w:rsid w:val="006F3D72"/>
    <w:rsid w:val="006F6039"/>
    <w:rsid w:val="006F73F0"/>
    <w:rsid w:val="00702998"/>
    <w:rsid w:val="007047C3"/>
    <w:rsid w:val="00705FC9"/>
    <w:rsid w:val="0071055A"/>
    <w:rsid w:val="0071414A"/>
    <w:rsid w:val="0071514F"/>
    <w:rsid w:val="00716F1E"/>
    <w:rsid w:val="00717F9C"/>
    <w:rsid w:val="007235B1"/>
    <w:rsid w:val="00727685"/>
    <w:rsid w:val="00730AF8"/>
    <w:rsid w:val="00735D7F"/>
    <w:rsid w:val="007375F7"/>
    <w:rsid w:val="00737A90"/>
    <w:rsid w:val="00740322"/>
    <w:rsid w:val="00740916"/>
    <w:rsid w:val="00742FC6"/>
    <w:rsid w:val="007431FF"/>
    <w:rsid w:val="00756001"/>
    <w:rsid w:val="00756F9E"/>
    <w:rsid w:val="00770AF1"/>
    <w:rsid w:val="00771E75"/>
    <w:rsid w:val="00772ADE"/>
    <w:rsid w:val="007806DC"/>
    <w:rsid w:val="00781A35"/>
    <w:rsid w:val="00782614"/>
    <w:rsid w:val="0078300B"/>
    <w:rsid w:val="007833A9"/>
    <w:rsid w:val="007844E1"/>
    <w:rsid w:val="007851E9"/>
    <w:rsid w:val="007910D2"/>
    <w:rsid w:val="00791AA4"/>
    <w:rsid w:val="00794754"/>
    <w:rsid w:val="007A3064"/>
    <w:rsid w:val="007B0709"/>
    <w:rsid w:val="007B6407"/>
    <w:rsid w:val="007C62FB"/>
    <w:rsid w:val="007C7959"/>
    <w:rsid w:val="007C7D69"/>
    <w:rsid w:val="007D1A1E"/>
    <w:rsid w:val="007D2760"/>
    <w:rsid w:val="007E231D"/>
    <w:rsid w:val="007E3AA5"/>
    <w:rsid w:val="007F18AD"/>
    <w:rsid w:val="007F488D"/>
    <w:rsid w:val="007F75DF"/>
    <w:rsid w:val="00800009"/>
    <w:rsid w:val="008002E8"/>
    <w:rsid w:val="008006D5"/>
    <w:rsid w:val="00802830"/>
    <w:rsid w:val="0081026A"/>
    <w:rsid w:val="00811B2B"/>
    <w:rsid w:val="00812BE4"/>
    <w:rsid w:val="00813D44"/>
    <w:rsid w:val="0081463D"/>
    <w:rsid w:val="008149B7"/>
    <w:rsid w:val="00814AC7"/>
    <w:rsid w:val="00814E24"/>
    <w:rsid w:val="008236C3"/>
    <w:rsid w:val="00825250"/>
    <w:rsid w:val="008274B1"/>
    <w:rsid w:val="008279EB"/>
    <w:rsid w:val="008322B6"/>
    <w:rsid w:val="00832487"/>
    <w:rsid w:val="008349F1"/>
    <w:rsid w:val="00835480"/>
    <w:rsid w:val="00836024"/>
    <w:rsid w:val="00836392"/>
    <w:rsid w:val="008416EA"/>
    <w:rsid w:val="00844132"/>
    <w:rsid w:val="00846CBE"/>
    <w:rsid w:val="00847850"/>
    <w:rsid w:val="008546A9"/>
    <w:rsid w:val="00854857"/>
    <w:rsid w:val="00856EB5"/>
    <w:rsid w:val="00863597"/>
    <w:rsid w:val="008636FD"/>
    <w:rsid w:val="008656A5"/>
    <w:rsid w:val="0086648B"/>
    <w:rsid w:val="008673F2"/>
    <w:rsid w:val="00867E7D"/>
    <w:rsid w:val="00870FB9"/>
    <w:rsid w:val="00872EB7"/>
    <w:rsid w:val="008731F9"/>
    <w:rsid w:val="00873699"/>
    <w:rsid w:val="00873E3C"/>
    <w:rsid w:val="008750E2"/>
    <w:rsid w:val="00876486"/>
    <w:rsid w:val="00877BC4"/>
    <w:rsid w:val="00881B6A"/>
    <w:rsid w:val="0088393D"/>
    <w:rsid w:val="00886003"/>
    <w:rsid w:val="008866E8"/>
    <w:rsid w:val="0088671C"/>
    <w:rsid w:val="00886C7C"/>
    <w:rsid w:val="008A0C22"/>
    <w:rsid w:val="008A2CE6"/>
    <w:rsid w:val="008A2EDE"/>
    <w:rsid w:val="008A4808"/>
    <w:rsid w:val="008A656F"/>
    <w:rsid w:val="008A6DFE"/>
    <w:rsid w:val="008B0EFE"/>
    <w:rsid w:val="008B183C"/>
    <w:rsid w:val="008B1E93"/>
    <w:rsid w:val="008B5978"/>
    <w:rsid w:val="008B5981"/>
    <w:rsid w:val="008B6C52"/>
    <w:rsid w:val="008C3068"/>
    <w:rsid w:val="008C43C2"/>
    <w:rsid w:val="008C48D9"/>
    <w:rsid w:val="008D4B65"/>
    <w:rsid w:val="008D56A8"/>
    <w:rsid w:val="008D5B3D"/>
    <w:rsid w:val="008E217A"/>
    <w:rsid w:val="008E2235"/>
    <w:rsid w:val="008E3423"/>
    <w:rsid w:val="008E63C4"/>
    <w:rsid w:val="008F16BC"/>
    <w:rsid w:val="008F1DAB"/>
    <w:rsid w:val="008F3C01"/>
    <w:rsid w:val="009007F1"/>
    <w:rsid w:val="009078CC"/>
    <w:rsid w:val="00911F7B"/>
    <w:rsid w:val="00913281"/>
    <w:rsid w:val="00913EA5"/>
    <w:rsid w:val="009146C1"/>
    <w:rsid w:val="00914E4E"/>
    <w:rsid w:val="00915D96"/>
    <w:rsid w:val="00927849"/>
    <w:rsid w:val="00930919"/>
    <w:rsid w:val="00937ED5"/>
    <w:rsid w:val="00943CEA"/>
    <w:rsid w:val="00945A5E"/>
    <w:rsid w:val="00946C37"/>
    <w:rsid w:val="00950B8F"/>
    <w:rsid w:val="00956B06"/>
    <w:rsid w:val="00960BC7"/>
    <w:rsid w:val="009612A7"/>
    <w:rsid w:val="0096207C"/>
    <w:rsid w:val="009625BB"/>
    <w:rsid w:val="00963ADB"/>
    <w:rsid w:val="00967444"/>
    <w:rsid w:val="00971F0C"/>
    <w:rsid w:val="00976374"/>
    <w:rsid w:val="00983A1F"/>
    <w:rsid w:val="00987485"/>
    <w:rsid w:val="00990D26"/>
    <w:rsid w:val="0099167B"/>
    <w:rsid w:val="00993442"/>
    <w:rsid w:val="009A0CC8"/>
    <w:rsid w:val="009A1989"/>
    <w:rsid w:val="009A207B"/>
    <w:rsid w:val="009A5A0D"/>
    <w:rsid w:val="009A679E"/>
    <w:rsid w:val="009A6D1B"/>
    <w:rsid w:val="009B303B"/>
    <w:rsid w:val="009B3BDA"/>
    <w:rsid w:val="009B76D8"/>
    <w:rsid w:val="009B785F"/>
    <w:rsid w:val="009C0398"/>
    <w:rsid w:val="009C3F92"/>
    <w:rsid w:val="009C5167"/>
    <w:rsid w:val="009D5332"/>
    <w:rsid w:val="009D6B2A"/>
    <w:rsid w:val="009D7BDF"/>
    <w:rsid w:val="009E1C06"/>
    <w:rsid w:val="009E28DB"/>
    <w:rsid w:val="009E2D2F"/>
    <w:rsid w:val="009E30FA"/>
    <w:rsid w:val="009F0DF4"/>
    <w:rsid w:val="009F3F7B"/>
    <w:rsid w:val="009F5C6B"/>
    <w:rsid w:val="00A00C88"/>
    <w:rsid w:val="00A01386"/>
    <w:rsid w:val="00A01498"/>
    <w:rsid w:val="00A046F7"/>
    <w:rsid w:val="00A10B39"/>
    <w:rsid w:val="00A13F63"/>
    <w:rsid w:val="00A15843"/>
    <w:rsid w:val="00A15B2B"/>
    <w:rsid w:val="00A21D2D"/>
    <w:rsid w:val="00A223AA"/>
    <w:rsid w:val="00A24F06"/>
    <w:rsid w:val="00A266F5"/>
    <w:rsid w:val="00A30ABA"/>
    <w:rsid w:val="00A314B9"/>
    <w:rsid w:val="00A31BC2"/>
    <w:rsid w:val="00A33D5D"/>
    <w:rsid w:val="00A41885"/>
    <w:rsid w:val="00A41B45"/>
    <w:rsid w:val="00A52515"/>
    <w:rsid w:val="00A54B37"/>
    <w:rsid w:val="00A609DD"/>
    <w:rsid w:val="00A60B57"/>
    <w:rsid w:val="00A61815"/>
    <w:rsid w:val="00A644DE"/>
    <w:rsid w:val="00A65157"/>
    <w:rsid w:val="00A6740F"/>
    <w:rsid w:val="00A74CEC"/>
    <w:rsid w:val="00A85E58"/>
    <w:rsid w:val="00A90C9D"/>
    <w:rsid w:val="00A921BD"/>
    <w:rsid w:val="00A95A88"/>
    <w:rsid w:val="00AA1B63"/>
    <w:rsid w:val="00AA3188"/>
    <w:rsid w:val="00AA420D"/>
    <w:rsid w:val="00AA7D08"/>
    <w:rsid w:val="00AB2C8C"/>
    <w:rsid w:val="00AB37CE"/>
    <w:rsid w:val="00AB444A"/>
    <w:rsid w:val="00AB7B7A"/>
    <w:rsid w:val="00AC405E"/>
    <w:rsid w:val="00AE732F"/>
    <w:rsid w:val="00AF074C"/>
    <w:rsid w:val="00AF716F"/>
    <w:rsid w:val="00B03AF0"/>
    <w:rsid w:val="00B05373"/>
    <w:rsid w:val="00B067E6"/>
    <w:rsid w:val="00B11A88"/>
    <w:rsid w:val="00B12260"/>
    <w:rsid w:val="00B13CDE"/>
    <w:rsid w:val="00B13F00"/>
    <w:rsid w:val="00B156E1"/>
    <w:rsid w:val="00B25433"/>
    <w:rsid w:val="00B2626C"/>
    <w:rsid w:val="00B36324"/>
    <w:rsid w:val="00B3694C"/>
    <w:rsid w:val="00B3728B"/>
    <w:rsid w:val="00B408B6"/>
    <w:rsid w:val="00B5312A"/>
    <w:rsid w:val="00B531ED"/>
    <w:rsid w:val="00B53574"/>
    <w:rsid w:val="00B60027"/>
    <w:rsid w:val="00B61908"/>
    <w:rsid w:val="00B62DCE"/>
    <w:rsid w:val="00B63AE9"/>
    <w:rsid w:val="00B662B0"/>
    <w:rsid w:val="00B670FF"/>
    <w:rsid w:val="00B70B80"/>
    <w:rsid w:val="00B769C4"/>
    <w:rsid w:val="00B76BE0"/>
    <w:rsid w:val="00B80913"/>
    <w:rsid w:val="00B8139C"/>
    <w:rsid w:val="00B9020A"/>
    <w:rsid w:val="00B91A8D"/>
    <w:rsid w:val="00B92E1A"/>
    <w:rsid w:val="00B94EB9"/>
    <w:rsid w:val="00B95BB4"/>
    <w:rsid w:val="00BA34AD"/>
    <w:rsid w:val="00BA4B2A"/>
    <w:rsid w:val="00BB69FF"/>
    <w:rsid w:val="00BC1F63"/>
    <w:rsid w:val="00BC639D"/>
    <w:rsid w:val="00BD545A"/>
    <w:rsid w:val="00BE4C6E"/>
    <w:rsid w:val="00BF1C2D"/>
    <w:rsid w:val="00BF2735"/>
    <w:rsid w:val="00BF30CA"/>
    <w:rsid w:val="00BF738E"/>
    <w:rsid w:val="00C01056"/>
    <w:rsid w:val="00C036DE"/>
    <w:rsid w:val="00C0402F"/>
    <w:rsid w:val="00C07AE0"/>
    <w:rsid w:val="00C129D7"/>
    <w:rsid w:val="00C14CE5"/>
    <w:rsid w:val="00C17FF5"/>
    <w:rsid w:val="00C24309"/>
    <w:rsid w:val="00C24D41"/>
    <w:rsid w:val="00C25285"/>
    <w:rsid w:val="00C30025"/>
    <w:rsid w:val="00C3254A"/>
    <w:rsid w:val="00C329A2"/>
    <w:rsid w:val="00C35EC8"/>
    <w:rsid w:val="00C37937"/>
    <w:rsid w:val="00C4065A"/>
    <w:rsid w:val="00C412B4"/>
    <w:rsid w:val="00C42FF3"/>
    <w:rsid w:val="00C447FD"/>
    <w:rsid w:val="00C44BA2"/>
    <w:rsid w:val="00C464FB"/>
    <w:rsid w:val="00C479EC"/>
    <w:rsid w:val="00C5024F"/>
    <w:rsid w:val="00C5088F"/>
    <w:rsid w:val="00C51630"/>
    <w:rsid w:val="00C52F4B"/>
    <w:rsid w:val="00C53754"/>
    <w:rsid w:val="00C6035E"/>
    <w:rsid w:val="00C60BD3"/>
    <w:rsid w:val="00C639B5"/>
    <w:rsid w:val="00C6452B"/>
    <w:rsid w:val="00C651A6"/>
    <w:rsid w:val="00C66588"/>
    <w:rsid w:val="00C725F3"/>
    <w:rsid w:val="00C72C99"/>
    <w:rsid w:val="00C822F8"/>
    <w:rsid w:val="00C8251B"/>
    <w:rsid w:val="00C826BA"/>
    <w:rsid w:val="00C83482"/>
    <w:rsid w:val="00C83A6F"/>
    <w:rsid w:val="00C83CEC"/>
    <w:rsid w:val="00C905A7"/>
    <w:rsid w:val="00C90C5D"/>
    <w:rsid w:val="00C92461"/>
    <w:rsid w:val="00C92D6F"/>
    <w:rsid w:val="00C93DEA"/>
    <w:rsid w:val="00C97351"/>
    <w:rsid w:val="00C97D8E"/>
    <w:rsid w:val="00CA2A23"/>
    <w:rsid w:val="00CA4DDD"/>
    <w:rsid w:val="00CA752C"/>
    <w:rsid w:val="00CB009F"/>
    <w:rsid w:val="00CB221F"/>
    <w:rsid w:val="00CB4A00"/>
    <w:rsid w:val="00CB767D"/>
    <w:rsid w:val="00CB7E62"/>
    <w:rsid w:val="00CC3524"/>
    <w:rsid w:val="00CD2696"/>
    <w:rsid w:val="00CD3C04"/>
    <w:rsid w:val="00CD3C3C"/>
    <w:rsid w:val="00CE5AD0"/>
    <w:rsid w:val="00CE662A"/>
    <w:rsid w:val="00CF73A6"/>
    <w:rsid w:val="00D05575"/>
    <w:rsid w:val="00D102F0"/>
    <w:rsid w:val="00D118BD"/>
    <w:rsid w:val="00D13C3B"/>
    <w:rsid w:val="00D13C76"/>
    <w:rsid w:val="00D15738"/>
    <w:rsid w:val="00D17436"/>
    <w:rsid w:val="00D2157E"/>
    <w:rsid w:val="00D22AE7"/>
    <w:rsid w:val="00D24F42"/>
    <w:rsid w:val="00D2550B"/>
    <w:rsid w:val="00D271FF"/>
    <w:rsid w:val="00D31527"/>
    <w:rsid w:val="00D31BFF"/>
    <w:rsid w:val="00D3367E"/>
    <w:rsid w:val="00D33956"/>
    <w:rsid w:val="00D34F1B"/>
    <w:rsid w:val="00D41229"/>
    <w:rsid w:val="00D4367A"/>
    <w:rsid w:val="00D57D13"/>
    <w:rsid w:val="00D6243F"/>
    <w:rsid w:val="00D6403A"/>
    <w:rsid w:val="00D70518"/>
    <w:rsid w:val="00D751D6"/>
    <w:rsid w:val="00D774C6"/>
    <w:rsid w:val="00D7795F"/>
    <w:rsid w:val="00D80163"/>
    <w:rsid w:val="00D84CCB"/>
    <w:rsid w:val="00D84E18"/>
    <w:rsid w:val="00D86C8D"/>
    <w:rsid w:val="00D95125"/>
    <w:rsid w:val="00DA7E93"/>
    <w:rsid w:val="00DB2470"/>
    <w:rsid w:val="00DC7FB4"/>
    <w:rsid w:val="00DE12C9"/>
    <w:rsid w:val="00DE5043"/>
    <w:rsid w:val="00DE7476"/>
    <w:rsid w:val="00DF2AEA"/>
    <w:rsid w:val="00DF44BE"/>
    <w:rsid w:val="00DF45D4"/>
    <w:rsid w:val="00DF51DA"/>
    <w:rsid w:val="00DF64FD"/>
    <w:rsid w:val="00E05AF6"/>
    <w:rsid w:val="00E10958"/>
    <w:rsid w:val="00E116C0"/>
    <w:rsid w:val="00E127AC"/>
    <w:rsid w:val="00E14318"/>
    <w:rsid w:val="00E14409"/>
    <w:rsid w:val="00E156DE"/>
    <w:rsid w:val="00E23C5C"/>
    <w:rsid w:val="00E24EF9"/>
    <w:rsid w:val="00E24FB9"/>
    <w:rsid w:val="00E24FC1"/>
    <w:rsid w:val="00E26CD1"/>
    <w:rsid w:val="00E26F82"/>
    <w:rsid w:val="00E34EA2"/>
    <w:rsid w:val="00E35189"/>
    <w:rsid w:val="00E424C0"/>
    <w:rsid w:val="00E44149"/>
    <w:rsid w:val="00E44D80"/>
    <w:rsid w:val="00E44ECA"/>
    <w:rsid w:val="00E459C3"/>
    <w:rsid w:val="00E46E9A"/>
    <w:rsid w:val="00E53A61"/>
    <w:rsid w:val="00E57384"/>
    <w:rsid w:val="00E5755C"/>
    <w:rsid w:val="00E61C65"/>
    <w:rsid w:val="00E61DC6"/>
    <w:rsid w:val="00E64A34"/>
    <w:rsid w:val="00E6578A"/>
    <w:rsid w:val="00E678BB"/>
    <w:rsid w:val="00E726B2"/>
    <w:rsid w:val="00E726EB"/>
    <w:rsid w:val="00E7293B"/>
    <w:rsid w:val="00E74109"/>
    <w:rsid w:val="00E750F1"/>
    <w:rsid w:val="00E75FD4"/>
    <w:rsid w:val="00E814E3"/>
    <w:rsid w:val="00E83542"/>
    <w:rsid w:val="00E912D9"/>
    <w:rsid w:val="00E9172F"/>
    <w:rsid w:val="00EA0DE3"/>
    <w:rsid w:val="00EA0E4D"/>
    <w:rsid w:val="00EA3389"/>
    <w:rsid w:val="00EB1E0E"/>
    <w:rsid w:val="00EB3EB2"/>
    <w:rsid w:val="00EB77D8"/>
    <w:rsid w:val="00EB7CEA"/>
    <w:rsid w:val="00EC100A"/>
    <w:rsid w:val="00EC6F84"/>
    <w:rsid w:val="00ED134F"/>
    <w:rsid w:val="00ED1C66"/>
    <w:rsid w:val="00ED1FB9"/>
    <w:rsid w:val="00EE081F"/>
    <w:rsid w:val="00EE4BF8"/>
    <w:rsid w:val="00EE739D"/>
    <w:rsid w:val="00EF15F7"/>
    <w:rsid w:val="00EF1EE8"/>
    <w:rsid w:val="00EF30B1"/>
    <w:rsid w:val="00EF63BE"/>
    <w:rsid w:val="00EF69B2"/>
    <w:rsid w:val="00F02711"/>
    <w:rsid w:val="00F02993"/>
    <w:rsid w:val="00F10F95"/>
    <w:rsid w:val="00F11A57"/>
    <w:rsid w:val="00F13014"/>
    <w:rsid w:val="00F172D2"/>
    <w:rsid w:val="00F22B15"/>
    <w:rsid w:val="00F242C4"/>
    <w:rsid w:val="00F336D9"/>
    <w:rsid w:val="00F33A28"/>
    <w:rsid w:val="00F33E9F"/>
    <w:rsid w:val="00F3585C"/>
    <w:rsid w:val="00F37E63"/>
    <w:rsid w:val="00F41F12"/>
    <w:rsid w:val="00F4222D"/>
    <w:rsid w:val="00F445EF"/>
    <w:rsid w:val="00F511C0"/>
    <w:rsid w:val="00F54C84"/>
    <w:rsid w:val="00F719EC"/>
    <w:rsid w:val="00F7591B"/>
    <w:rsid w:val="00F76ECD"/>
    <w:rsid w:val="00F77584"/>
    <w:rsid w:val="00F86BD5"/>
    <w:rsid w:val="00F92D2D"/>
    <w:rsid w:val="00F94BAB"/>
    <w:rsid w:val="00F9606B"/>
    <w:rsid w:val="00F96711"/>
    <w:rsid w:val="00F97D20"/>
    <w:rsid w:val="00FA3CFD"/>
    <w:rsid w:val="00FA553D"/>
    <w:rsid w:val="00FB0CA5"/>
    <w:rsid w:val="00FB1906"/>
    <w:rsid w:val="00FB4F25"/>
    <w:rsid w:val="00FC48E7"/>
    <w:rsid w:val="00FC61FD"/>
    <w:rsid w:val="00FD119D"/>
    <w:rsid w:val="00FD22FD"/>
    <w:rsid w:val="00FD5433"/>
    <w:rsid w:val="00FD6632"/>
    <w:rsid w:val="00FE262A"/>
    <w:rsid w:val="00FE36CF"/>
    <w:rsid w:val="00FE3A0D"/>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5E0D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83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802830"/>
    <w:pPr>
      <w:keepNext/>
      <w:outlineLvl w:val="0"/>
    </w:pPr>
    <w:rPr>
      <w:rFonts w:ascii="Arial" w:hAnsi="Arial"/>
      <w:sz w:val="24"/>
      <w:szCs w:val="24"/>
      <w:lang w:eastAsia="en-US"/>
    </w:rPr>
  </w:style>
  <w:style w:type="paragraph" w:styleId="Heading2">
    <w:name w:val="heading 2"/>
    <w:basedOn w:val="Normal"/>
    <w:next w:val="Normal"/>
    <w:qFormat/>
    <w:rsid w:val="00802830"/>
    <w:pPr>
      <w:keepNext/>
      <w:outlineLvl w:val="1"/>
    </w:pPr>
    <w:rPr>
      <w:rFonts w:ascii="Arial" w:hAnsi="Arial" w:cs="Arial"/>
      <w:b/>
    </w:rPr>
  </w:style>
  <w:style w:type="paragraph" w:styleId="Heading3">
    <w:name w:val="heading 3"/>
    <w:aliases w:val="Provision Heading"/>
    <w:basedOn w:val="Normal"/>
    <w:next w:val="Normal"/>
    <w:qFormat/>
    <w:rsid w:val="00802830"/>
    <w:pPr>
      <w:keepNext/>
      <w:spacing w:before="240" w:after="60"/>
      <w:outlineLvl w:val="2"/>
    </w:pPr>
    <w:rPr>
      <w:rFonts w:ascii="Arial" w:hAnsi="Arial" w:cs="Arial"/>
      <w:b/>
      <w:bCs/>
      <w:szCs w:val="26"/>
    </w:rPr>
  </w:style>
  <w:style w:type="paragraph" w:styleId="Heading4">
    <w:name w:val="heading 4"/>
    <w:basedOn w:val="Normal"/>
    <w:next w:val="Normal"/>
    <w:qFormat/>
    <w:rsid w:val="0080283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02830"/>
    <w:pPr>
      <w:spacing w:before="240" w:after="60"/>
      <w:outlineLvl w:val="4"/>
    </w:pPr>
    <w:rPr>
      <w:b/>
      <w:bCs/>
      <w:i/>
      <w:iCs/>
      <w:szCs w:val="26"/>
    </w:rPr>
  </w:style>
  <w:style w:type="paragraph" w:styleId="Heading6">
    <w:name w:val="heading 6"/>
    <w:basedOn w:val="Normal"/>
    <w:next w:val="Normal"/>
    <w:qFormat/>
    <w:rsid w:val="00802830"/>
    <w:pPr>
      <w:spacing w:before="240" w:after="60"/>
      <w:outlineLvl w:val="5"/>
    </w:pPr>
    <w:rPr>
      <w:rFonts w:ascii="Times New Roman" w:hAnsi="Times New Roman"/>
      <w:b/>
      <w:bCs/>
      <w:sz w:val="22"/>
      <w:szCs w:val="22"/>
    </w:rPr>
  </w:style>
  <w:style w:type="paragraph" w:styleId="Heading7">
    <w:name w:val="heading 7"/>
    <w:basedOn w:val="Normal"/>
    <w:next w:val="Normal"/>
    <w:qFormat/>
    <w:rsid w:val="00802830"/>
    <w:pPr>
      <w:spacing w:before="240" w:after="60"/>
      <w:outlineLvl w:val="6"/>
    </w:pPr>
    <w:rPr>
      <w:rFonts w:ascii="Times New Roman" w:hAnsi="Times New Roman"/>
    </w:rPr>
  </w:style>
  <w:style w:type="paragraph" w:styleId="Heading8">
    <w:name w:val="heading 8"/>
    <w:basedOn w:val="Normal"/>
    <w:next w:val="Normal"/>
    <w:qFormat/>
    <w:rsid w:val="00802830"/>
    <w:pPr>
      <w:spacing w:before="240" w:after="60"/>
      <w:outlineLvl w:val="7"/>
    </w:pPr>
    <w:rPr>
      <w:rFonts w:ascii="Times New Roman" w:hAnsi="Times New Roman"/>
      <w:i/>
      <w:iCs/>
    </w:rPr>
  </w:style>
  <w:style w:type="paragraph" w:styleId="Heading9">
    <w:name w:val="heading 9"/>
    <w:basedOn w:val="Normal"/>
    <w:next w:val="Normal"/>
    <w:qFormat/>
    <w:rsid w:val="0080283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2830"/>
    <w:rPr>
      <w:rFonts w:ascii="Tahoma" w:hAnsi="Tahoma" w:cs="Tahoma"/>
      <w:sz w:val="16"/>
      <w:szCs w:val="16"/>
    </w:rPr>
  </w:style>
  <w:style w:type="paragraph" w:styleId="BlockText">
    <w:name w:val="Block Text"/>
    <w:basedOn w:val="Normal"/>
    <w:rsid w:val="00802830"/>
    <w:pPr>
      <w:spacing w:after="120"/>
      <w:ind w:left="1440" w:right="1440"/>
    </w:pPr>
  </w:style>
  <w:style w:type="paragraph" w:styleId="BodyText">
    <w:name w:val="Body Text"/>
    <w:basedOn w:val="Normal"/>
    <w:rsid w:val="00802830"/>
    <w:pPr>
      <w:tabs>
        <w:tab w:val="clear" w:pos="567"/>
      </w:tabs>
      <w:overflowPunct/>
      <w:autoSpaceDE/>
      <w:autoSpaceDN/>
      <w:adjustRightInd/>
      <w:textAlignment w:val="auto"/>
    </w:pPr>
  </w:style>
  <w:style w:type="paragraph" w:styleId="BodyText2">
    <w:name w:val="Body Text 2"/>
    <w:basedOn w:val="Normal"/>
    <w:rsid w:val="00802830"/>
    <w:pPr>
      <w:spacing w:after="120" w:line="480" w:lineRule="auto"/>
    </w:pPr>
  </w:style>
  <w:style w:type="paragraph" w:styleId="BodyText3">
    <w:name w:val="Body Text 3"/>
    <w:basedOn w:val="Normal"/>
    <w:rsid w:val="00802830"/>
    <w:pPr>
      <w:spacing w:after="120"/>
    </w:pPr>
    <w:rPr>
      <w:sz w:val="16"/>
      <w:szCs w:val="16"/>
    </w:rPr>
  </w:style>
  <w:style w:type="paragraph" w:styleId="BodyTextFirstIndent">
    <w:name w:val="Body Text First Indent"/>
    <w:basedOn w:val="BodyText"/>
    <w:rsid w:val="00802830"/>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802830"/>
    <w:pPr>
      <w:spacing w:after="120"/>
      <w:ind w:left="283"/>
    </w:pPr>
  </w:style>
  <w:style w:type="paragraph" w:styleId="BodyTextFirstIndent2">
    <w:name w:val="Body Text First Indent 2"/>
    <w:basedOn w:val="BodyTextIndent"/>
    <w:rsid w:val="00802830"/>
    <w:pPr>
      <w:ind w:firstLine="210"/>
    </w:pPr>
  </w:style>
  <w:style w:type="paragraph" w:styleId="BodyTextIndent2">
    <w:name w:val="Body Text Indent 2"/>
    <w:basedOn w:val="Normal"/>
    <w:rsid w:val="00802830"/>
    <w:pPr>
      <w:spacing w:after="120" w:line="480" w:lineRule="auto"/>
      <w:ind w:left="283"/>
    </w:pPr>
  </w:style>
  <w:style w:type="paragraph" w:styleId="BodyTextIndent3">
    <w:name w:val="Body Text Indent 3"/>
    <w:basedOn w:val="Normal"/>
    <w:rsid w:val="00802830"/>
    <w:pPr>
      <w:spacing w:after="120"/>
      <w:ind w:left="283"/>
    </w:pPr>
    <w:rPr>
      <w:sz w:val="16"/>
      <w:szCs w:val="16"/>
    </w:rPr>
  </w:style>
  <w:style w:type="paragraph" w:styleId="Caption">
    <w:name w:val="caption"/>
    <w:basedOn w:val="Normal"/>
    <w:next w:val="Normal"/>
    <w:qFormat/>
    <w:rsid w:val="00802830"/>
    <w:rPr>
      <w:b/>
      <w:bCs/>
      <w:sz w:val="20"/>
    </w:rPr>
  </w:style>
  <w:style w:type="paragraph" w:styleId="Closing">
    <w:name w:val="Closing"/>
    <w:basedOn w:val="Normal"/>
    <w:rsid w:val="00802830"/>
    <w:pPr>
      <w:ind w:left="4252"/>
    </w:pPr>
  </w:style>
  <w:style w:type="paragraph" w:styleId="CommentText">
    <w:name w:val="annotation text"/>
    <w:basedOn w:val="Normal"/>
    <w:semiHidden/>
    <w:rsid w:val="00802830"/>
    <w:rPr>
      <w:sz w:val="20"/>
    </w:rPr>
  </w:style>
  <w:style w:type="paragraph" w:styleId="CommentSubject">
    <w:name w:val="annotation subject"/>
    <w:basedOn w:val="CommentText"/>
    <w:next w:val="CommentText"/>
    <w:semiHidden/>
    <w:rsid w:val="00802830"/>
    <w:rPr>
      <w:b/>
      <w:bCs/>
    </w:rPr>
  </w:style>
  <w:style w:type="paragraph" w:styleId="Date">
    <w:name w:val="Date"/>
    <w:basedOn w:val="Normal"/>
    <w:next w:val="Normal"/>
    <w:rsid w:val="00802830"/>
  </w:style>
  <w:style w:type="paragraph" w:styleId="DocumentMap">
    <w:name w:val="Document Map"/>
    <w:basedOn w:val="Normal"/>
    <w:semiHidden/>
    <w:rsid w:val="00802830"/>
    <w:pPr>
      <w:shd w:val="clear" w:color="auto" w:fill="000080"/>
    </w:pPr>
    <w:rPr>
      <w:rFonts w:ascii="Tahoma" w:hAnsi="Tahoma" w:cs="Tahoma"/>
      <w:sz w:val="20"/>
    </w:rPr>
  </w:style>
  <w:style w:type="paragraph" w:styleId="E-mailSignature">
    <w:name w:val="E-mail Signature"/>
    <w:basedOn w:val="Normal"/>
    <w:rsid w:val="00802830"/>
  </w:style>
  <w:style w:type="paragraph" w:styleId="EndnoteText">
    <w:name w:val="endnote text"/>
    <w:basedOn w:val="Normal"/>
    <w:semiHidden/>
    <w:rsid w:val="00802830"/>
    <w:rPr>
      <w:sz w:val="20"/>
    </w:rPr>
  </w:style>
  <w:style w:type="paragraph" w:styleId="EnvelopeAddress">
    <w:name w:val="envelope address"/>
    <w:basedOn w:val="Normal"/>
    <w:rsid w:val="0080283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2830"/>
    <w:rPr>
      <w:rFonts w:ascii="Arial" w:hAnsi="Arial" w:cs="Arial"/>
      <w:sz w:val="20"/>
    </w:rPr>
  </w:style>
  <w:style w:type="paragraph" w:styleId="Footer">
    <w:name w:val="footer"/>
    <w:basedOn w:val="Normal"/>
    <w:link w:val="FooterChar"/>
    <w:rsid w:val="00802830"/>
    <w:pPr>
      <w:tabs>
        <w:tab w:val="clear" w:pos="567"/>
        <w:tab w:val="right" w:pos="8505"/>
      </w:tabs>
    </w:pPr>
    <w:rPr>
      <w:sz w:val="20"/>
    </w:rPr>
  </w:style>
  <w:style w:type="character" w:customStyle="1" w:styleId="FooterChar">
    <w:name w:val="Footer Char"/>
    <w:link w:val="Footer"/>
    <w:rsid w:val="00802830"/>
    <w:rPr>
      <w:rFonts w:ascii="Times New (W1)" w:hAnsi="Times New (W1)"/>
      <w:szCs w:val="24"/>
      <w:lang w:val="en-AU" w:eastAsia="en-US" w:bidi="ar-SA"/>
    </w:rPr>
  </w:style>
  <w:style w:type="paragraph" w:styleId="FootnoteText">
    <w:name w:val="footnote text"/>
    <w:basedOn w:val="Normal"/>
    <w:semiHidden/>
    <w:rsid w:val="00802830"/>
    <w:rPr>
      <w:sz w:val="20"/>
    </w:rPr>
  </w:style>
  <w:style w:type="paragraph" w:styleId="Header">
    <w:name w:val="header"/>
    <w:basedOn w:val="Normal"/>
    <w:link w:val="HeaderChar"/>
    <w:rsid w:val="00802830"/>
    <w:pPr>
      <w:tabs>
        <w:tab w:val="clear" w:pos="567"/>
        <w:tab w:val="center" w:pos="4153"/>
        <w:tab w:val="right" w:pos="8306"/>
      </w:tabs>
    </w:pPr>
  </w:style>
  <w:style w:type="character" w:customStyle="1" w:styleId="HeaderChar">
    <w:name w:val="Header Char"/>
    <w:link w:val="Header"/>
    <w:rsid w:val="00802830"/>
    <w:rPr>
      <w:rFonts w:ascii="Times New (W1)" w:hAnsi="Times New (W1)"/>
      <w:sz w:val="24"/>
      <w:szCs w:val="24"/>
      <w:lang w:val="en-AU" w:eastAsia="en-US" w:bidi="ar-SA"/>
    </w:rPr>
  </w:style>
  <w:style w:type="paragraph" w:styleId="HTMLAddress">
    <w:name w:val="HTML Address"/>
    <w:basedOn w:val="Normal"/>
    <w:rsid w:val="00802830"/>
    <w:rPr>
      <w:i/>
      <w:iCs/>
    </w:rPr>
  </w:style>
  <w:style w:type="paragraph" w:styleId="HTMLPreformatted">
    <w:name w:val="HTML Preformatted"/>
    <w:basedOn w:val="Normal"/>
    <w:rsid w:val="00802830"/>
    <w:rPr>
      <w:rFonts w:ascii="Courier New" w:hAnsi="Courier New" w:cs="Courier New"/>
      <w:sz w:val="20"/>
    </w:rPr>
  </w:style>
  <w:style w:type="paragraph" w:customStyle="1" w:styleId="indent">
    <w:name w:val="indent"/>
    <w:basedOn w:val="Normal"/>
    <w:rsid w:val="00802830"/>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802830"/>
    <w:pPr>
      <w:tabs>
        <w:tab w:val="clear" w:pos="567"/>
      </w:tabs>
      <w:ind w:left="260" w:hanging="260"/>
    </w:pPr>
  </w:style>
  <w:style w:type="paragraph" w:styleId="Index2">
    <w:name w:val="index 2"/>
    <w:basedOn w:val="Normal"/>
    <w:next w:val="Normal"/>
    <w:autoRedefine/>
    <w:semiHidden/>
    <w:rsid w:val="00802830"/>
    <w:pPr>
      <w:tabs>
        <w:tab w:val="clear" w:pos="567"/>
      </w:tabs>
      <w:ind w:left="520" w:hanging="260"/>
    </w:pPr>
  </w:style>
  <w:style w:type="paragraph" w:styleId="Index3">
    <w:name w:val="index 3"/>
    <w:basedOn w:val="Normal"/>
    <w:next w:val="Normal"/>
    <w:autoRedefine/>
    <w:semiHidden/>
    <w:rsid w:val="00802830"/>
    <w:pPr>
      <w:tabs>
        <w:tab w:val="clear" w:pos="567"/>
      </w:tabs>
      <w:ind w:left="780" w:hanging="260"/>
    </w:pPr>
  </w:style>
  <w:style w:type="paragraph" w:styleId="Index4">
    <w:name w:val="index 4"/>
    <w:basedOn w:val="Normal"/>
    <w:next w:val="Normal"/>
    <w:autoRedefine/>
    <w:semiHidden/>
    <w:rsid w:val="00802830"/>
    <w:pPr>
      <w:tabs>
        <w:tab w:val="clear" w:pos="567"/>
      </w:tabs>
      <w:ind w:left="1040" w:hanging="260"/>
    </w:pPr>
  </w:style>
  <w:style w:type="paragraph" w:styleId="Index5">
    <w:name w:val="index 5"/>
    <w:basedOn w:val="Normal"/>
    <w:next w:val="Normal"/>
    <w:autoRedefine/>
    <w:semiHidden/>
    <w:rsid w:val="00802830"/>
    <w:pPr>
      <w:tabs>
        <w:tab w:val="clear" w:pos="567"/>
      </w:tabs>
      <w:ind w:left="1300" w:hanging="260"/>
    </w:pPr>
  </w:style>
  <w:style w:type="paragraph" w:styleId="Index6">
    <w:name w:val="index 6"/>
    <w:basedOn w:val="Normal"/>
    <w:next w:val="Normal"/>
    <w:autoRedefine/>
    <w:semiHidden/>
    <w:rsid w:val="00802830"/>
    <w:pPr>
      <w:tabs>
        <w:tab w:val="clear" w:pos="567"/>
      </w:tabs>
      <w:ind w:left="1560" w:hanging="260"/>
    </w:pPr>
  </w:style>
  <w:style w:type="paragraph" w:styleId="Index7">
    <w:name w:val="index 7"/>
    <w:basedOn w:val="Normal"/>
    <w:next w:val="Normal"/>
    <w:autoRedefine/>
    <w:semiHidden/>
    <w:rsid w:val="00802830"/>
    <w:pPr>
      <w:tabs>
        <w:tab w:val="clear" w:pos="567"/>
      </w:tabs>
      <w:ind w:left="1820" w:hanging="260"/>
    </w:pPr>
  </w:style>
  <w:style w:type="paragraph" w:styleId="Index8">
    <w:name w:val="index 8"/>
    <w:basedOn w:val="Normal"/>
    <w:next w:val="Normal"/>
    <w:autoRedefine/>
    <w:semiHidden/>
    <w:rsid w:val="00802830"/>
    <w:pPr>
      <w:tabs>
        <w:tab w:val="clear" w:pos="567"/>
      </w:tabs>
      <w:ind w:left="2080" w:hanging="260"/>
    </w:pPr>
  </w:style>
  <w:style w:type="paragraph" w:styleId="Index9">
    <w:name w:val="index 9"/>
    <w:basedOn w:val="Normal"/>
    <w:next w:val="Normal"/>
    <w:autoRedefine/>
    <w:semiHidden/>
    <w:rsid w:val="00802830"/>
    <w:pPr>
      <w:tabs>
        <w:tab w:val="clear" w:pos="567"/>
      </w:tabs>
      <w:ind w:left="2340" w:hanging="260"/>
    </w:pPr>
  </w:style>
  <w:style w:type="paragraph" w:styleId="IndexHeading">
    <w:name w:val="index heading"/>
    <w:basedOn w:val="Normal"/>
    <w:next w:val="Index1"/>
    <w:semiHidden/>
    <w:rsid w:val="00802830"/>
    <w:rPr>
      <w:rFonts w:ascii="Arial" w:hAnsi="Arial" w:cs="Arial"/>
      <w:b/>
      <w:bCs/>
    </w:rPr>
  </w:style>
  <w:style w:type="paragraph" w:customStyle="1" w:styleId="LDTitle">
    <w:name w:val="LDTitle"/>
    <w:rsid w:val="00802830"/>
    <w:pPr>
      <w:spacing w:before="480" w:after="480"/>
    </w:pPr>
    <w:rPr>
      <w:rFonts w:ascii="Arial" w:hAnsi="Arial"/>
      <w:sz w:val="24"/>
      <w:szCs w:val="24"/>
      <w:lang w:eastAsia="en-US"/>
    </w:rPr>
  </w:style>
  <w:style w:type="paragraph" w:customStyle="1" w:styleId="LDDescription">
    <w:name w:val="LD Description"/>
    <w:basedOn w:val="LDTitle"/>
    <w:rsid w:val="00802830"/>
    <w:pPr>
      <w:pBdr>
        <w:bottom w:val="single" w:sz="4" w:space="3" w:color="auto"/>
      </w:pBdr>
      <w:spacing w:before="600" w:after="120"/>
    </w:pPr>
    <w:rPr>
      <w:b/>
    </w:rPr>
  </w:style>
  <w:style w:type="paragraph" w:customStyle="1" w:styleId="LDAmendHeading">
    <w:name w:val="LDAmendHeading"/>
    <w:basedOn w:val="LDTitle"/>
    <w:next w:val="LDAmendInstruction"/>
    <w:rsid w:val="00802830"/>
    <w:pPr>
      <w:keepNext/>
      <w:spacing w:before="180" w:after="60"/>
      <w:ind w:left="720" w:hanging="720"/>
    </w:pPr>
    <w:rPr>
      <w:b/>
    </w:rPr>
  </w:style>
  <w:style w:type="paragraph" w:customStyle="1" w:styleId="LDAmendInstruction">
    <w:name w:val="LDAmendInstruction"/>
    <w:basedOn w:val="LDScheduleClause"/>
    <w:next w:val="LDAmendText"/>
    <w:rsid w:val="00802830"/>
    <w:pPr>
      <w:keepNext/>
      <w:spacing w:before="120"/>
      <w:ind w:left="737" w:firstLine="0"/>
    </w:pPr>
    <w:rPr>
      <w:i/>
    </w:rPr>
  </w:style>
  <w:style w:type="paragraph" w:customStyle="1" w:styleId="LDScheduleClause">
    <w:name w:val="LDScheduleClause"/>
    <w:basedOn w:val="LDClause"/>
    <w:rsid w:val="00802830"/>
    <w:pPr>
      <w:ind w:left="738" w:hanging="851"/>
    </w:pPr>
  </w:style>
  <w:style w:type="paragraph" w:customStyle="1" w:styleId="LDClause">
    <w:name w:val="LDClause"/>
    <w:basedOn w:val="LDBodytext"/>
    <w:link w:val="LDClauseChar"/>
    <w:rsid w:val="00802830"/>
    <w:pPr>
      <w:tabs>
        <w:tab w:val="right" w:pos="454"/>
        <w:tab w:val="left" w:pos="737"/>
      </w:tabs>
      <w:spacing w:before="60" w:after="60"/>
      <w:ind w:left="737" w:hanging="1021"/>
    </w:pPr>
  </w:style>
  <w:style w:type="paragraph" w:customStyle="1" w:styleId="LDBodytext">
    <w:name w:val="LDBody text"/>
    <w:link w:val="LDBodytextChar"/>
    <w:rsid w:val="00802830"/>
    <w:rPr>
      <w:sz w:val="24"/>
      <w:szCs w:val="24"/>
      <w:lang w:eastAsia="en-US"/>
    </w:rPr>
  </w:style>
  <w:style w:type="character" w:customStyle="1" w:styleId="LDBodytextChar">
    <w:name w:val="LDBody text Char"/>
    <w:link w:val="LDBodytext"/>
    <w:rsid w:val="00802830"/>
    <w:rPr>
      <w:sz w:val="24"/>
      <w:szCs w:val="24"/>
      <w:lang w:val="en-AU" w:eastAsia="en-US" w:bidi="ar-SA"/>
    </w:rPr>
  </w:style>
  <w:style w:type="character" w:customStyle="1" w:styleId="LDClauseChar">
    <w:name w:val="LDClause Char"/>
    <w:basedOn w:val="LDBodytextChar"/>
    <w:link w:val="LDClause"/>
    <w:rsid w:val="00802830"/>
    <w:rPr>
      <w:sz w:val="24"/>
      <w:szCs w:val="24"/>
      <w:lang w:val="en-AU" w:eastAsia="en-US" w:bidi="ar-SA"/>
    </w:rPr>
  </w:style>
  <w:style w:type="paragraph" w:customStyle="1" w:styleId="LDAmendText">
    <w:name w:val="LDAmendText"/>
    <w:basedOn w:val="LDBodytext"/>
    <w:next w:val="LDAmendInstruction"/>
    <w:rsid w:val="00802830"/>
    <w:pPr>
      <w:spacing w:before="60" w:after="60"/>
      <w:ind w:left="964"/>
    </w:pPr>
  </w:style>
  <w:style w:type="character" w:customStyle="1" w:styleId="LDCitation">
    <w:name w:val="LDCitation"/>
    <w:rsid w:val="00802830"/>
    <w:rPr>
      <w:i/>
      <w:iCs/>
    </w:rPr>
  </w:style>
  <w:style w:type="paragraph" w:customStyle="1" w:styleId="LDClauseHeading">
    <w:name w:val="LDClauseHeading"/>
    <w:basedOn w:val="LDTitle"/>
    <w:next w:val="LDClause"/>
    <w:link w:val="LDClauseHeadingChar"/>
    <w:rsid w:val="00802830"/>
    <w:pPr>
      <w:keepNext/>
      <w:tabs>
        <w:tab w:val="left" w:pos="737"/>
      </w:tabs>
      <w:spacing w:before="180" w:after="60"/>
      <w:ind w:left="737" w:hanging="737"/>
    </w:pPr>
    <w:rPr>
      <w:b/>
    </w:rPr>
  </w:style>
  <w:style w:type="paragraph" w:customStyle="1" w:styleId="LDDate">
    <w:name w:val="LDDate"/>
    <w:basedOn w:val="LDBodytext"/>
    <w:rsid w:val="00802830"/>
    <w:pPr>
      <w:tabs>
        <w:tab w:val="left" w:pos="3402"/>
      </w:tabs>
      <w:spacing w:before="240"/>
    </w:pPr>
  </w:style>
  <w:style w:type="paragraph" w:customStyle="1" w:styleId="LDdefinition">
    <w:name w:val="LDdefinition"/>
    <w:basedOn w:val="LDClause"/>
    <w:rsid w:val="00802830"/>
    <w:pPr>
      <w:tabs>
        <w:tab w:val="clear" w:pos="454"/>
        <w:tab w:val="clear" w:pos="737"/>
      </w:tabs>
      <w:ind w:firstLine="0"/>
    </w:pPr>
  </w:style>
  <w:style w:type="paragraph" w:customStyle="1" w:styleId="LDEndLine">
    <w:name w:val="LDEndLine"/>
    <w:basedOn w:val="BodyText"/>
    <w:rsid w:val="00802830"/>
    <w:pPr>
      <w:pBdr>
        <w:bottom w:val="single" w:sz="2" w:space="0" w:color="auto"/>
      </w:pBdr>
    </w:pPr>
    <w:rPr>
      <w:rFonts w:ascii="Times New Roman" w:hAnsi="Times New Roman"/>
    </w:rPr>
  </w:style>
  <w:style w:type="paragraph" w:customStyle="1" w:styleId="LDFollowing">
    <w:name w:val="LDFollowing"/>
    <w:basedOn w:val="LDDate"/>
    <w:next w:val="LDBodytext"/>
    <w:rsid w:val="00802830"/>
    <w:pPr>
      <w:spacing w:before="60"/>
    </w:pPr>
  </w:style>
  <w:style w:type="paragraph" w:customStyle="1" w:styleId="LDFooter">
    <w:name w:val="LDFooter"/>
    <w:basedOn w:val="LDBodytext"/>
    <w:rsid w:val="00802830"/>
    <w:pPr>
      <w:tabs>
        <w:tab w:val="right" w:pos="8505"/>
      </w:tabs>
    </w:pPr>
    <w:rPr>
      <w:sz w:val="20"/>
    </w:rPr>
  </w:style>
  <w:style w:type="paragraph" w:customStyle="1" w:styleId="LDNote">
    <w:name w:val="LDNote"/>
    <w:basedOn w:val="LDClause"/>
    <w:link w:val="LDNoteChar"/>
    <w:rsid w:val="00254D0C"/>
    <w:pPr>
      <w:ind w:firstLine="0"/>
    </w:pPr>
    <w:rPr>
      <w:sz w:val="20"/>
    </w:rPr>
  </w:style>
  <w:style w:type="character" w:customStyle="1" w:styleId="LDNoteChar">
    <w:name w:val="LDNote Char"/>
    <w:basedOn w:val="LDClauseChar"/>
    <w:link w:val="LDNote"/>
    <w:rsid w:val="00254D0C"/>
    <w:rPr>
      <w:sz w:val="24"/>
      <w:szCs w:val="24"/>
      <w:lang w:val="en-AU" w:eastAsia="en-US" w:bidi="ar-SA"/>
    </w:rPr>
  </w:style>
  <w:style w:type="paragraph" w:customStyle="1" w:styleId="LDNotePara">
    <w:name w:val="LDNotePara"/>
    <w:basedOn w:val="LDNote"/>
    <w:rsid w:val="00802830"/>
    <w:pPr>
      <w:tabs>
        <w:tab w:val="clear" w:pos="454"/>
      </w:tabs>
      <w:ind w:left="1701" w:hanging="454"/>
    </w:pPr>
  </w:style>
  <w:style w:type="paragraph" w:customStyle="1" w:styleId="LDP1a">
    <w:name w:val="LDP1(a)"/>
    <w:basedOn w:val="LDClause"/>
    <w:link w:val="LDP1aChar"/>
    <w:rsid w:val="00802830"/>
    <w:pPr>
      <w:tabs>
        <w:tab w:val="clear" w:pos="454"/>
        <w:tab w:val="clear" w:pos="737"/>
        <w:tab w:val="left" w:pos="1191"/>
      </w:tabs>
      <w:ind w:left="1191" w:hanging="454"/>
    </w:pPr>
  </w:style>
  <w:style w:type="paragraph" w:customStyle="1" w:styleId="LDP2i">
    <w:name w:val="LDP2 (i)"/>
    <w:basedOn w:val="LDP1a"/>
    <w:rsid w:val="00802830"/>
    <w:pPr>
      <w:tabs>
        <w:tab w:val="clear" w:pos="1191"/>
        <w:tab w:val="right" w:pos="1418"/>
        <w:tab w:val="left" w:pos="1559"/>
      </w:tabs>
      <w:ind w:left="1588" w:hanging="1134"/>
    </w:pPr>
  </w:style>
  <w:style w:type="paragraph" w:customStyle="1" w:styleId="LDP3A">
    <w:name w:val="LDP3 (A)"/>
    <w:basedOn w:val="LDP2i"/>
    <w:rsid w:val="00802830"/>
    <w:pPr>
      <w:tabs>
        <w:tab w:val="clear" w:pos="1418"/>
        <w:tab w:val="clear" w:pos="1559"/>
        <w:tab w:val="left" w:pos="1985"/>
      </w:tabs>
      <w:ind w:left="1985" w:hanging="567"/>
    </w:pPr>
  </w:style>
  <w:style w:type="paragraph" w:customStyle="1" w:styleId="LDReference">
    <w:name w:val="LDReference"/>
    <w:basedOn w:val="LDTitle"/>
    <w:rsid w:val="00802830"/>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802830"/>
  </w:style>
  <w:style w:type="paragraph" w:customStyle="1" w:styleId="LDSchedSubclHead">
    <w:name w:val="LDSchedSubclHead"/>
    <w:basedOn w:val="LDScheduleClauseHead"/>
    <w:rsid w:val="00CA4DDD"/>
    <w:rPr>
      <w:b w:val="0"/>
    </w:rPr>
  </w:style>
  <w:style w:type="paragraph" w:customStyle="1" w:styleId="LDScheduleheading">
    <w:name w:val="LDSchedule heading"/>
    <w:basedOn w:val="LDTitle"/>
    <w:next w:val="LDBodytext"/>
    <w:rsid w:val="00802830"/>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802830"/>
    <w:pPr>
      <w:keepNext/>
      <w:spacing w:before="1440"/>
    </w:pPr>
  </w:style>
  <w:style w:type="character" w:customStyle="1" w:styleId="LDSignatoryChar">
    <w:name w:val="LDSignatory Char"/>
    <w:basedOn w:val="LDBodytextChar"/>
    <w:link w:val="LDSignatory"/>
    <w:rsid w:val="00802830"/>
    <w:rPr>
      <w:sz w:val="24"/>
      <w:szCs w:val="24"/>
      <w:lang w:val="en-AU" w:eastAsia="en-US" w:bidi="ar-SA"/>
    </w:rPr>
  </w:style>
  <w:style w:type="paragraph" w:customStyle="1" w:styleId="LDSubclauseHead">
    <w:name w:val="LDSubclauseHead"/>
    <w:basedOn w:val="LDClauseHeading"/>
    <w:rsid w:val="00802830"/>
    <w:rPr>
      <w:b w:val="0"/>
    </w:rPr>
  </w:style>
  <w:style w:type="paragraph" w:customStyle="1" w:styleId="LDTableheading">
    <w:name w:val="LDTableheading"/>
    <w:basedOn w:val="LDBodytext"/>
    <w:rsid w:val="00802830"/>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802830"/>
    <w:pPr>
      <w:spacing w:before="120"/>
    </w:pPr>
  </w:style>
  <w:style w:type="paragraph" w:customStyle="1" w:styleId="LDTabletext">
    <w:name w:val="LDTabletext"/>
    <w:basedOn w:val="LDBodytext"/>
    <w:rsid w:val="00802830"/>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802830"/>
    <w:pPr>
      <w:ind w:left="283" w:hanging="283"/>
    </w:pPr>
  </w:style>
  <w:style w:type="paragraph" w:styleId="List2">
    <w:name w:val="List 2"/>
    <w:basedOn w:val="Normal"/>
    <w:rsid w:val="00802830"/>
    <w:pPr>
      <w:ind w:left="566" w:hanging="283"/>
    </w:pPr>
  </w:style>
  <w:style w:type="paragraph" w:styleId="List3">
    <w:name w:val="List 3"/>
    <w:basedOn w:val="Normal"/>
    <w:rsid w:val="00802830"/>
    <w:pPr>
      <w:ind w:left="849" w:hanging="283"/>
    </w:pPr>
  </w:style>
  <w:style w:type="paragraph" w:styleId="List4">
    <w:name w:val="List 4"/>
    <w:basedOn w:val="Normal"/>
    <w:rsid w:val="00802830"/>
    <w:pPr>
      <w:ind w:left="1132" w:hanging="283"/>
    </w:pPr>
  </w:style>
  <w:style w:type="paragraph" w:styleId="List5">
    <w:name w:val="List 5"/>
    <w:basedOn w:val="Normal"/>
    <w:rsid w:val="00802830"/>
    <w:pPr>
      <w:ind w:left="1415" w:hanging="283"/>
    </w:pPr>
  </w:style>
  <w:style w:type="paragraph" w:styleId="ListBullet">
    <w:name w:val="List Bullet"/>
    <w:basedOn w:val="Normal"/>
    <w:rsid w:val="00802830"/>
    <w:pPr>
      <w:numPr>
        <w:numId w:val="15"/>
      </w:numPr>
    </w:pPr>
  </w:style>
  <w:style w:type="paragraph" w:styleId="ListBullet2">
    <w:name w:val="List Bullet 2"/>
    <w:basedOn w:val="Normal"/>
    <w:rsid w:val="00802830"/>
    <w:pPr>
      <w:numPr>
        <w:numId w:val="16"/>
      </w:numPr>
    </w:pPr>
  </w:style>
  <w:style w:type="paragraph" w:styleId="ListBullet3">
    <w:name w:val="List Bullet 3"/>
    <w:basedOn w:val="Normal"/>
    <w:rsid w:val="00802830"/>
    <w:pPr>
      <w:numPr>
        <w:numId w:val="17"/>
      </w:numPr>
    </w:pPr>
  </w:style>
  <w:style w:type="paragraph" w:styleId="ListBullet4">
    <w:name w:val="List Bullet 4"/>
    <w:basedOn w:val="Normal"/>
    <w:rsid w:val="00802830"/>
    <w:pPr>
      <w:numPr>
        <w:numId w:val="18"/>
      </w:numPr>
    </w:pPr>
  </w:style>
  <w:style w:type="paragraph" w:styleId="ListBullet5">
    <w:name w:val="List Bullet 5"/>
    <w:basedOn w:val="Normal"/>
    <w:rsid w:val="00802830"/>
    <w:pPr>
      <w:numPr>
        <w:numId w:val="19"/>
      </w:numPr>
    </w:pPr>
  </w:style>
  <w:style w:type="paragraph" w:styleId="ListContinue">
    <w:name w:val="List Continue"/>
    <w:basedOn w:val="Normal"/>
    <w:rsid w:val="00802830"/>
    <w:pPr>
      <w:spacing w:after="120"/>
      <w:ind w:left="283"/>
    </w:pPr>
  </w:style>
  <w:style w:type="paragraph" w:styleId="ListContinue2">
    <w:name w:val="List Continue 2"/>
    <w:basedOn w:val="Normal"/>
    <w:rsid w:val="00802830"/>
    <w:pPr>
      <w:spacing w:after="120"/>
      <w:ind w:left="566"/>
    </w:pPr>
  </w:style>
  <w:style w:type="paragraph" w:styleId="ListContinue3">
    <w:name w:val="List Continue 3"/>
    <w:basedOn w:val="Normal"/>
    <w:rsid w:val="00802830"/>
    <w:pPr>
      <w:spacing w:after="120"/>
      <w:ind w:left="849"/>
    </w:pPr>
  </w:style>
  <w:style w:type="paragraph" w:styleId="ListContinue4">
    <w:name w:val="List Continue 4"/>
    <w:basedOn w:val="Normal"/>
    <w:rsid w:val="00802830"/>
    <w:pPr>
      <w:spacing w:after="120"/>
      <w:ind w:left="1132"/>
    </w:pPr>
  </w:style>
  <w:style w:type="paragraph" w:styleId="ListContinue5">
    <w:name w:val="List Continue 5"/>
    <w:basedOn w:val="Normal"/>
    <w:rsid w:val="00802830"/>
    <w:pPr>
      <w:spacing w:after="120"/>
      <w:ind w:left="1415"/>
    </w:pPr>
  </w:style>
  <w:style w:type="paragraph" w:styleId="ListNumber">
    <w:name w:val="List Number"/>
    <w:basedOn w:val="Normal"/>
    <w:rsid w:val="00802830"/>
    <w:pPr>
      <w:numPr>
        <w:numId w:val="20"/>
      </w:numPr>
    </w:pPr>
  </w:style>
  <w:style w:type="paragraph" w:styleId="ListNumber2">
    <w:name w:val="List Number 2"/>
    <w:basedOn w:val="Normal"/>
    <w:rsid w:val="00802830"/>
    <w:pPr>
      <w:numPr>
        <w:numId w:val="21"/>
      </w:numPr>
    </w:pPr>
  </w:style>
  <w:style w:type="paragraph" w:styleId="ListNumber3">
    <w:name w:val="List Number 3"/>
    <w:basedOn w:val="Normal"/>
    <w:rsid w:val="00802830"/>
    <w:pPr>
      <w:numPr>
        <w:numId w:val="22"/>
      </w:numPr>
    </w:pPr>
  </w:style>
  <w:style w:type="paragraph" w:styleId="ListNumber4">
    <w:name w:val="List Number 4"/>
    <w:basedOn w:val="Normal"/>
    <w:rsid w:val="00802830"/>
    <w:pPr>
      <w:numPr>
        <w:numId w:val="23"/>
      </w:numPr>
    </w:pPr>
  </w:style>
  <w:style w:type="paragraph" w:styleId="ListNumber5">
    <w:name w:val="List Number 5"/>
    <w:basedOn w:val="Normal"/>
    <w:rsid w:val="00802830"/>
    <w:pPr>
      <w:numPr>
        <w:numId w:val="24"/>
      </w:numPr>
    </w:pPr>
  </w:style>
  <w:style w:type="paragraph" w:styleId="MacroText">
    <w:name w:val="macro"/>
    <w:semiHidden/>
    <w:rsid w:val="00802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8028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02830"/>
    <w:rPr>
      <w:rFonts w:ascii="Times New Roman" w:hAnsi="Times New Roman"/>
    </w:rPr>
  </w:style>
  <w:style w:type="paragraph" w:styleId="NormalIndent">
    <w:name w:val="Normal Indent"/>
    <w:basedOn w:val="Normal"/>
    <w:rsid w:val="00802830"/>
    <w:pPr>
      <w:ind w:left="720"/>
    </w:pPr>
  </w:style>
  <w:style w:type="paragraph" w:styleId="NoteHeading">
    <w:name w:val="Note Heading"/>
    <w:aliases w:val="HN"/>
    <w:basedOn w:val="Normal"/>
    <w:next w:val="Normal"/>
    <w:rsid w:val="00802830"/>
  </w:style>
  <w:style w:type="paragraph" w:customStyle="1" w:styleId="numeric">
    <w:name w:val="numeric"/>
    <w:basedOn w:val="Normal"/>
    <w:rsid w:val="00802830"/>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802830"/>
  </w:style>
  <w:style w:type="paragraph" w:styleId="PlainText">
    <w:name w:val="Plain Text"/>
    <w:basedOn w:val="Normal"/>
    <w:rsid w:val="00802830"/>
    <w:rPr>
      <w:rFonts w:ascii="Courier New" w:hAnsi="Courier New" w:cs="Courier New"/>
      <w:sz w:val="20"/>
    </w:rPr>
  </w:style>
  <w:style w:type="paragraph" w:customStyle="1" w:styleId="Reference">
    <w:name w:val="Reference"/>
    <w:basedOn w:val="BodyText"/>
    <w:rsid w:val="00802830"/>
    <w:pPr>
      <w:spacing w:before="360"/>
    </w:pPr>
    <w:rPr>
      <w:rFonts w:ascii="Arial" w:hAnsi="Arial"/>
      <w:b/>
      <w:lang w:val="en-GB"/>
    </w:rPr>
  </w:style>
  <w:style w:type="paragraph" w:styleId="Salutation">
    <w:name w:val="Salutation"/>
    <w:basedOn w:val="Normal"/>
    <w:next w:val="Normal"/>
    <w:rsid w:val="00802830"/>
  </w:style>
  <w:style w:type="paragraph" w:styleId="Signature">
    <w:name w:val="Signature"/>
    <w:basedOn w:val="Normal"/>
    <w:rsid w:val="00802830"/>
    <w:pPr>
      <w:ind w:left="4252"/>
    </w:pPr>
  </w:style>
  <w:style w:type="paragraph" w:customStyle="1" w:styleId="StyleLDClause">
    <w:name w:val="Style LDClause"/>
    <w:basedOn w:val="LDClause"/>
    <w:rsid w:val="00802830"/>
    <w:rPr>
      <w:szCs w:val="20"/>
    </w:rPr>
  </w:style>
  <w:style w:type="paragraph" w:customStyle="1" w:styleId="Style2">
    <w:name w:val="Style2"/>
    <w:basedOn w:val="Normal"/>
    <w:rsid w:val="0080283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802830"/>
    <w:pPr>
      <w:spacing w:after="60"/>
      <w:jc w:val="center"/>
      <w:outlineLvl w:val="1"/>
    </w:pPr>
    <w:rPr>
      <w:rFonts w:ascii="Arial" w:hAnsi="Arial" w:cs="Arial"/>
    </w:rPr>
  </w:style>
  <w:style w:type="paragraph" w:styleId="TableofAuthorities">
    <w:name w:val="table of authorities"/>
    <w:basedOn w:val="Normal"/>
    <w:next w:val="Normal"/>
    <w:semiHidden/>
    <w:rsid w:val="00802830"/>
    <w:pPr>
      <w:tabs>
        <w:tab w:val="clear" w:pos="567"/>
      </w:tabs>
      <w:ind w:left="260" w:hanging="260"/>
    </w:pPr>
  </w:style>
  <w:style w:type="paragraph" w:styleId="TableofFigures">
    <w:name w:val="table of figures"/>
    <w:basedOn w:val="Normal"/>
    <w:next w:val="Normal"/>
    <w:semiHidden/>
    <w:rsid w:val="00802830"/>
    <w:pPr>
      <w:tabs>
        <w:tab w:val="clear" w:pos="567"/>
      </w:tabs>
    </w:pPr>
  </w:style>
  <w:style w:type="paragraph" w:styleId="Title">
    <w:name w:val="Title"/>
    <w:basedOn w:val="BodyText"/>
    <w:next w:val="BodyText"/>
    <w:qFormat/>
    <w:rsid w:val="00802830"/>
    <w:pPr>
      <w:spacing w:before="120" w:after="60"/>
      <w:outlineLvl w:val="0"/>
    </w:pPr>
    <w:rPr>
      <w:rFonts w:ascii="Arial" w:hAnsi="Arial" w:cs="Arial"/>
      <w:bCs/>
      <w:kern w:val="28"/>
      <w:szCs w:val="32"/>
    </w:rPr>
  </w:style>
  <w:style w:type="paragraph" w:styleId="TOAHeading">
    <w:name w:val="toa heading"/>
    <w:basedOn w:val="Normal"/>
    <w:next w:val="Normal"/>
    <w:semiHidden/>
    <w:rsid w:val="00802830"/>
    <w:pPr>
      <w:spacing w:before="120"/>
    </w:pPr>
    <w:rPr>
      <w:rFonts w:ascii="Arial" w:hAnsi="Arial" w:cs="Arial"/>
      <w:b/>
      <w:bCs/>
    </w:rPr>
  </w:style>
  <w:style w:type="paragraph" w:styleId="TOC1">
    <w:name w:val="toc 1"/>
    <w:basedOn w:val="Normal"/>
    <w:next w:val="Normal"/>
    <w:autoRedefine/>
    <w:rsid w:val="00802830"/>
    <w:pPr>
      <w:tabs>
        <w:tab w:val="clear" w:pos="567"/>
      </w:tabs>
    </w:pPr>
    <w:rPr>
      <w:rFonts w:ascii="Arial" w:hAnsi="Arial"/>
      <w:b/>
    </w:rPr>
  </w:style>
  <w:style w:type="paragraph" w:styleId="TOC2">
    <w:name w:val="toc 2"/>
    <w:basedOn w:val="Normal"/>
    <w:next w:val="Normal"/>
    <w:autoRedefine/>
    <w:rsid w:val="00802830"/>
    <w:pPr>
      <w:tabs>
        <w:tab w:val="clear" w:pos="567"/>
      </w:tabs>
      <w:ind w:left="260"/>
    </w:pPr>
    <w:rPr>
      <w:rFonts w:ascii="Arial" w:hAnsi="Arial"/>
      <w:b/>
      <w:sz w:val="20"/>
    </w:rPr>
  </w:style>
  <w:style w:type="paragraph" w:styleId="TOC3">
    <w:name w:val="toc 3"/>
    <w:basedOn w:val="Normal"/>
    <w:next w:val="Normal"/>
    <w:autoRedefine/>
    <w:rsid w:val="00802830"/>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rsid w:val="00802830"/>
    <w:pPr>
      <w:tabs>
        <w:tab w:val="clear" w:pos="567"/>
        <w:tab w:val="left" w:pos="2200"/>
        <w:tab w:val="right" w:leader="dot" w:pos="8495"/>
      </w:tabs>
    </w:pPr>
    <w:rPr>
      <w:rFonts w:ascii="Arial" w:hAnsi="Arial"/>
      <w:b/>
    </w:rPr>
  </w:style>
  <w:style w:type="paragraph" w:styleId="TOC5">
    <w:name w:val="toc 5"/>
    <w:basedOn w:val="Normal"/>
    <w:next w:val="Normal"/>
    <w:autoRedefine/>
    <w:rsid w:val="00802830"/>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rsid w:val="00802830"/>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802830"/>
    <w:pPr>
      <w:tabs>
        <w:tab w:val="clear" w:pos="567"/>
      </w:tabs>
      <w:ind w:left="1560"/>
    </w:pPr>
  </w:style>
  <w:style w:type="paragraph" w:styleId="TOC8">
    <w:name w:val="toc 8"/>
    <w:basedOn w:val="Normal"/>
    <w:next w:val="Normal"/>
    <w:autoRedefine/>
    <w:rsid w:val="00802830"/>
    <w:pPr>
      <w:tabs>
        <w:tab w:val="clear" w:pos="567"/>
      </w:tabs>
      <w:ind w:left="1820"/>
    </w:pPr>
  </w:style>
  <w:style w:type="paragraph" w:styleId="TOC9">
    <w:name w:val="toc 9"/>
    <w:basedOn w:val="Normal"/>
    <w:next w:val="Normal"/>
    <w:autoRedefine/>
    <w:rsid w:val="00802830"/>
    <w:pPr>
      <w:tabs>
        <w:tab w:val="clear" w:pos="567"/>
      </w:tabs>
      <w:ind w:left="2080"/>
    </w:pPr>
  </w:style>
  <w:style w:type="paragraph" w:customStyle="1" w:styleId="StyleLDSignatoryBold">
    <w:name w:val="Style LDSignatory + Bold"/>
    <w:basedOn w:val="LDSignatory"/>
    <w:link w:val="StyleLDSignatoryBoldChar"/>
    <w:rsid w:val="00802830"/>
    <w:pPr>
      <w:spacing w:before="1200"/>
    </w:pPr>
    <w:rPr>
      <w:b/>
      <w:bCs/>
    </w:rPr>
  </w:style>
  <w:style w:type="character" w:customStyle="1" w:styleId="StyleLDSignatoryBoldChar">
    <w:name w:val="Style LDSignatory + Bold Char"/>
    <w:link w:val="StyleLDSignatoryBold"/>
    <w:rsid w:val="00802830"/>
    <w:rPr>
      <w:b/>
      <w:bCs/>
      <w:sz w:val="24"/>
      <w:szCs w:val="24"/>
      <w:lang w:val="en-AU" w:eastAsia="en-US" w:bidi="ar-SA"/>
    </w:rPr>
  </w:style>
  <w:style w:type="paragraph" w:customStyle="1" w:styleId="LDDivision">
    <w:name w:val="LDDivision"/>
    <w:basedOn w:val="LDBodytext"/>
    <w:next w:val="LDClauseHeading"/>
    <w:rsid w:val="00802830"/>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802830"/>
    <w:pPr>
      <w:ind w:left="1134" w:firstLine="0"/>
    </w:pPr>
  </w:style>
  <w:style w:type="paragraph" w:customStyle="1" w:styleId="LDpenalty">
    <w:name w:val="LDpenalty"/>
    <w:basedOn w:val="LDClause"/>
    <w:rsid w:val="00802830"/>
    <w:pPr>
      <w:ind w:left="1134" w:firstLine="0"/>
    </w:pPr>
  </w:style>
  <w:style w:type="paragraph" w:customStyle="1" w:styleId="LDquery">
    <w:name w:val="LDquery"/>
    <w:basedOn w:val="LDClause"/>
    <w:rsid w:val="00802830"/>
    <w:rPr>
      <w:b/>
      <w:i/>
    </w:rPr>
  </w:style>
  <w:style w:type="paragraph" w:customStyle="1" w:styleId="LDSubdivision">
    <w:name w:val="LDSubdivision"/>
    <w:basedOn w:val="LDDivision"/>
    <w:next w:val="LDClauseHeading"/>
    <w:rsid w:val="00802830"/>
    <w:pPr>
      <w:spacing w:after="240" w:line="260" w:lineRule="atLeast"/>
    </w:pPr>
    <w:rPr>
      <w:i/>
      <w:sz w:val="26"/>
    </w:rPr>
  </w:style>
  <w:style w:type="paragraph" w:customStyle="1" w:styleId="LDTableP1a">
    <w:name w:val="LDTableP1(a)"/>
    <w:basedOn w:val="LDTabletext"/>
    <w:qFormat/>
    <w:rsid w:val="00802830"/>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802830"/>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802830"/>
    <w:pPr>
      <w:tabs>
        <w:tab w:val="clear" w:pos="507"/>
        <w:tab w:val="clear" w:pos="649"/>
        <w:tab w:val="right" w:pos="676"/>
        <w:tab w:val="left" w:pos="916"/>
      </w:tabs>
      <w:ind w:left="851" w:hanging="851"/>
    </w:pPr>
    <w:rPr>
      <w:lang w:val="en-GB" w:eastAsia="en-AU"/>
    </w:rPr>
  </w:style>
  <w:style w:type="paragraph" w:customStyle="1" w:styleId="LDSchedDivision">
    <w:name w:val="LDSchedDivision"/>
    <w:basedOn w:val="LDScheduleheading"/>
    <w:rsid w:val="002D635B"/>
    <w:pPr>
      <w:tabs>
        <w:tab w:val="clear" w:pos="1843"/>
        <w:tab w:val="left" w:pos="1440"/>
      </w:tabs>
      <w:ind w:left="1440" w:hanging="1440"/>
    </w:pPr>
    <w:rPr>
      <w:sz w:val="24"/>
    </w:rPr>
  </w:style>
  <w:style w:type="paragraph" w:customStyle="1" w:styleId="SigningPageBreak">
    <w:name w:val="SigningPage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802830"/>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802830"/>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802830"/>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802830"/>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802830"/>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802830"/>
    <w:pPr>
      <w:tabs>
        <w:tab w:val="clear" w:pos="567"/>
      </w:tabs>
      <w:overflowPunct/>
      <w:autoSpaceDE/>
      <w:autoSpaceDN/>
      <w:adjustRightInd/>
      <w:textAlignment w:val="auto"/>
    </w:pPr>
    <w:rPr>
      <w:rFonts w:ascii="Times New Roman" w:hAnsi="Times New Roman"/>
    </w:rPr>
  </w:style>
  <w:style w:type="character" w:styleId="Hyperlink">
    <w:name w:val="Hyperlink"/>
    <w:rsid w:val="00802830"/>
    <w:rPr>
      <w:color w:val="0000FF"/>
      <w:u w:val="single"/>
    </w:rPr>
  </w:style>
  <w:style w:type="paragraph" w:customStyle="1" w:styleId="Subsectiontext">
    <w:name w:val="Subsection text"/>
    <w:basedOn w:val="Normal"/>
    <w:link w:val="SubsectiontextChar"/>
    <w:rsid w:val="00802830"/>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802830"/>
    <w:rPr>
      <w:bCs/>
      <w:sz w:val="24"/>
      <w:szCs w:val="28"/>
      <w:lang w:val="en-GB" w:eastAsia="en-US" w:bidi="ar-SA"/>
    </w:rPr>
  </w:style>
  <w:style w:type="paragraph" w:customStyle="1" w:styleId="paratext">
    <w:name w:val="para text"/>
    <w:basedOn w:val="Normal"/>
    <w:link w:val="paratextChar"/>
    <w:rsid w:val="00802830"/>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802830"/>
    <w:rPr>
      <w:sz w:val="24"/>
      <w:lang w:val="en-GB" w:eastAsia="en-US" w:bidi="ar-SA"/>
    </w:rPr>
  </w:style>
  <w:style w:type="paragraph" w:customStyle="1" w:styleId="Definition">
    <w:name w:val="Definition"/>
    <w:basedOn w:val="Normal"/>
    <w:link w:val="DefinitionChar"/>
    <w:autoRedefine/>
    <w:rsid w:val="00802830"/>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802830"/>
    <w:rPr>
      <w:lang w:val="en-GB" w:eastAsia="en-US" w:bidi="ar-SA"/>
    </w:rPr>
  </w:style>
  <w:style w:type="paragraph" w:customStyle="1" w:styleId="definitionnote">
    <w:name w:val="definition note"/>
    <w:basedOn w:val="Normal"/>
    <w:next w:val="Definition"/>
    <w:autoRedefine/>
    <w:rsid w:val="00802830"/>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802830"/>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802830"/>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802830"/>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802830"/>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802830"/>
    <w:rPr>
      <w:bCs/>
    </w:rPr>
  </w:style>
  <w:style w:type="character" w:customStyle="1" w:styleId="StyleDefinitionBoldChar">
    <w:name w:val="Style Definition + Bold Char"/>
    <w:link w:val="StyleDefinitionBold"/>
    <w:rsid w:val="00802830"/>
    <w:rPr>
      <w:bCs/>
      <w:lang w:val="en-GB" w:eastAsia="en-US" w:bidi="ar-SA"/>
    </w:rPr>
  </w:style>
  <w:style w:type="paragraph" w:customStyle="1" w:styleId="Healthnote">
    <w:name w:val="Health note"/>
    <w:basedOn w:val="Normal"/>
    <w:link w:val="HealthnoteChar"/>
    <w:rsid w:val="00802830"/>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802830"/>
    <w:rPr>
      <w:iCs/>
      <w:color w:val="000000"/>
      <w:lang w:val="en-AU" w:eastAsia="en-US" w:bidi="ar-SA"/>
    </w:rPr>
  </w:style>
  <w:style w:type="paragraph" w:customStyle="1" w:styleId="Sectionheading">
    <w:name w:val="Section heading"/>
    <w:basedOn w:val="Heading7"/>
    <w:next w:val="Normal"/>
    <w:link w:val="SectionheadingChar"/>
    <w:autoRedefine/>
    <w:rsid w:val="00802830"/>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802830"/>
    <w:rPr>
      <w:rFonts w:ascii="Arial" w:hAnsi="Arial" w:cs="Arial"/>
      <w:b/>
      <w:sz w:val="32"/>
      <w:szCs w:val="28"/>
      <w:lang w:val="en-GB" w:eastAsia="en-US" w:bidi="ar-SA"/>
    </w:rPr>
  </w:style>
  <w:style w:type="paragraph" w:customStyle="1" w:styleId="Note">
    <w:name w:val="Note"/>
    <w:basedOn w:val="Normal"/>
    <w:link w:val="NoteChar"/>
    <w:autoRedefine/>
    <w:rsid w:val="00802830"/>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802830"/>
    <w:rPr>
      <w:i/>
      <w:lang w:val="en-GB" w:eastAsia="en-US" w:bidi="ar-SA"/>
    </w:rPr>
  </w:style>
  <w:style w:type="paragraph" w:customStyle="1" w:styleId="HealthnumLevel5">
    <w:name w:val="Health (num) Level 5"/>
    <w:basedOn w:val="Normal"/>
    <w:rsid w:val="00802830"/>
    <w:pPr>
      <w:tabs>
        <w:tab w:val="clear" w:pos="567"/>
        <w:tab w:val="num" w:pos="360"/>
      </w:tabs>
      <w:overflowPunct/>
      <w:adjustRightInd/>
      <w:spacing w:before="180" w:line="260" w:lineRule="exact"/>
      <w:textAlignment w:val="auto"/>
    </w:pPr>
    <w:rPr>
      <w:rFonts w:ascii="Times New Roman" w:hAnsi="Times New Roman"/>
    </w:rPr>
  </w:style>
  <w:style w:type="paragraph" w:customStyle="1" w:styleId="aNote">
    <w:name w:val="aNote"/>
    <w:basedOn w:val="Normal"/>
    <w:rsid w:val="00802830"/>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character" w:customStyle="1" w:styleId="charItals">
    <w:name w:val="charItals"/>
    <w:rsid w:val="00802830"/>
    <w:rPr>
      <w:rFonts w:cs="Times New Roman"/>
      <w:i/>
    </w:rPr>
  </w:style>
  <w:style w:type="paragraph" w:customStyle="1" w:styleId="aNoteBulletss">
    <w:name w:val="aNoteBulletss"/>
    <w:basedOn w:val="Normal"/>
    <w:rsid w:val="00802830"/>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subsubsectiontext">
    <w:name w:val="subsubsection text"/>
    <w:basedOn w:val="Normal"/>
    <w:rsid w:val="00802830"/>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802830"/>
    <w:rPr>
      <w:rFonts w:cs="Times New Roman"/>
      <w:b/>
      <w:i/>
    </w:rPr>
  </w:style>
  <w:style w:type="paragraph" w:customStyle="1" w:styleId="aDef">
    <w:name w:val="aDef"/>
    <w:basedOn w:val="Normal"/>
    <w:link w:val="aDefCharChar"/>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DefCharChar">
    <w:name w:val="aDef Char Char"/>
    <w:link w:val="aDef"/>
    <w:locked/>
    <w:rsid w:val="00802830"/>
    <w:rPr>
      <w:sz w:val="24"/>
      <w:lang w:val="en-AU" w:eastAsia="en-US" w:bidi="ar-SA"/>
    </w:rPr>
  </w:style>
  <w:style w:type="paragraph" w:customStyle="1" w:styleId="aDefpara">
    <w:name w:val="aDef para"/>
    <w:basedOn w:val="Normal"/>
    <w:rsid w:val="00813D44"/>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paragraph" w:customStyle="1" w:styleId="aExamHdgss">
    <w:name w:val="aExamHdgss"/>
    <w:basedOn w:val="Normal"/>
    <w:next w:val="Normal"/>
    <w:rsid w:val="00802830"/>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802830"/>
    <w:pPr>
      <w:spacing w:before="0"/>
      <w:ind w:left="1100" w:firstLine="0"/>
    </w:pPr>
  </w:style>
  <w:style w:type="character" w:customStyle="1" w:styleId="CharSectNo">
    <w:name w:val="CharSectNo"/>
    <w:rsid w:val="00802830"/>
    <w:rPr>
      <w:rFonts w:cs="Times New Roman"/>
    </w:rPr>
  </w:style>
  <w:style w:type="paragraph" w:customStyle="1" w:styleId="Penalty0">
    <w:name w:val="Penalty"/>
    <w:basedOn w:val="Normal"/>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802830"/>
    <w:rPr>
      <w:rFonts w:cs="Times New Roman"/>
    </w:rPr>
  </w:style>
  <w:style w:type="character" w:customStyle="1" w:styleId="CharDivText">
    <w:name w:val="CharDivText"/>
    <w:rsid w:val="00802830"/>
    <w:rPr>
      <w:rFonts w:cs="Times New Roman"/>
    </w:rPr>
  </w:style>
  <w:style w:type="paragraph" w:customStyle="1" w:styleId="Placeholder">
    <w:name w:val="Placeholder"/>
    <w:basedOn w:val="Normal"/>
    <w:link w:val="PlaceholderChar"/>
    <w:rsid w:val="00802830"/>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802830"/>
    <w:rPr>
      <w:sz w:val="10"/>
      <w:lang w:val="en-AU" w:eastAsia="en-US" w:bidi="ar-SA"/>
    </w:rPr>
  </w:style>
  <w:style w:type="character" w:customStyle="1" w:styleId="CharPartText">
    <w:name w:val="CharPartText"/>
    <w:rsid w:val="00802830"/>
    <w:rPr>
      <w:rFonts w:cs="Times New Roman"/>
    </w:rPr>
  </w:style>
  <w:style w:type="paragraph" w:customStyle="1" w:styleId="aExamINumss">
    <w:name w:val="aExamINumss"/>
    <w:basedOn w:val="aExamss"/>
    <w:rsid w:val="00802830"/>
    <w:pPr>
      <w:tabs>
        <w:tab w:val="left" w:pos="1500"/>
      </w:tabs>
      <w:ind w:left="1500" w:hanging="400"/>
    </w:pPr>
  </w:style>
  <w:style w:type="paragraph" w:customStyle="1" w:styleId="Paragrapha">
    <w:name w:val="Paragraph (a)"/>
    <w:basedOn w:val="Normal"/>
    <w:link w:val="ParagraphaChar"/>
    <w:autoRedefine/>
    <w:rsid w:val="00802830"/>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802830"/>
    <w:rPr>
      <w:sz w:val="24"/>
      <w:szCs w:val="24"/>
      <w:lang w:val="en-GB" w:eastAsia="en-US" w:bidi="ar-SA"/>
    </w:rPr>
  </w:style>
  <w:style w:type="paragraph" w:customStyle="1" w:styleId="HeaderEven">
    <w:name w:val="HeaderEven"/>
    <w:basedOn w:val="Normal"/>
    <w:rsid w:val="00802830"/>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802830"/>
    <w:pPr>
      <w:spacing w:before="120" w:after="60"/>
    </w:pPr>
  </w:style>
  <w:style w:type="paragraph" w:customStyle="1" w:styleId="HeaderOdd6">
    <w:name w:val="HeaderOdd6"/>
    <w:basedOn w:val="HeaderEven6"/>
    <w:rsid w:val="00802830"/>
    <w:pPr>
      <w:jc w:val="right"/>
    </w:pPr>
  </w:style>
  <w:style w:type="paragraph" w:customStyle="1" w:styleId="Sched-heading">
    <w:name w:val="Sched-heading"/>
    <w:basedOn w:val="Normal"/>
    <w:next w:val="ref"/>
    <w:rsid w:val="00802830"/>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802830"/>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802830"/>
    <w:rPr>
      <w:rFonts w:cs="Times New Roman"/>
    </w:rPr>
  </w:style>
  <w:style w:type="character" w:customStyle="1" w:styleId="CharChapNo">
    <w:name w:val="CharChapNo"/>
    <w:rsid w:val="00802830"/>
    <w:rPr>
      <w:rFonts w:cs="Times New Roman"/>
    </w:rPr>
  </w:style>
  <w:style w:type="character" w:customStyle="1" w:styleId="CharChapText">
    <w:name w:val="CharChapText"/>
    <w:rsid w:val="00802830"/>
    <w:rPr>
      <w:rFonts w:cs="Times New Roman"/>
    </w:rPr>
  </w:style>
  <w:style w:type="paragraph" w:customStyle="1" w:styleId="TableColHd">
    <w:name w:val="TableColHd"/>
    <w:basedOn w:val="Normal"/>
    <w:rsid w:val="00802830"/>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802830"/>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802830"/>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802830"/>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802830"/>
    <w:pPr>
      <w:numPr>
        <w:numId w:val="14"/>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802830"/>
    <w:rPr>
      <w:color w:val="000000"/>
      <w:sz w:val="24"/>
      <w:szCs w:val="24"/>
      <w:lang w:val="en-AU" w:eastAsia="en-US" w:bidi="ar-SA"/>
    </w:rPr>
  </w:style>
  <w:style w:type="paragraph" w:customStyle="1" w:styleId="HealthnumLevel3">
    <w:name w:val="Health (num) Level 3"/>
    <w:basedOn w:val="Normal"/>
    <w:link w:val="HealthnumLevel3Char"/>
    <w:rsid w:val="00802830"/>
    <w:pPr>
      <w:numPr>
        <w:ilvl w:val="2"/>
        <w:numId w:val="14"/>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802830"/>
    <w:rPr>
      <w:color w:val="000000"/>
      <w:sz w:val="24"/>
      <w:szCs w:val="24"/>
      <w:lang w:val="en-AU" w:eastAsia="en-US" w:bidi="ar-SA"/>
    </w:rPr>
  </w:style>
  <w:style w:type="paragraph" w:customStyle="1" w:styleId="HealthnumLevel4">
    <w:name w:val="Health (num) Level 4"/>
    <w:basedOn w:val="Normal"/>
    <w:rsid w:val="00802830"/>
    <w:pPr>
      <w:numPr>
        <w:ilvl w:val="4"/>
        <w:numId w:val="14"/>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802830"/>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802830"/>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802830"/>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ContentsSectionBreak">
    <w:name w:val="Contents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ContentsPage">
    <w:name w:val="HeaderContents&quot;Page&quot;"/>
    <w:basedOn w:val="Normal"/>
    <w:rsid w:val="00802830"/>
    <w:pPr>
      <w:tabs>
        <w:tab w:val="clear" w:pos="567"/>
      </w:tabs>
      <w:overflowPunct/>
      <w:autoSpaceDE/>
      <w:autoSpaceDN/>
      <w:adjustRightInd/>
      <w:spacing w:before="120" w:after="120"/>
      <w:jc w:val="right"/>
      <w:textAlignment w:val="auto"/>
    </w:pPr>
    <w:rPr>
      <w:rFonts w:ascii="Arial" w:hAnsi="Arial"/>
      <w:sz w:val="20"/>
    </w:rPr>
  </w:style>
  <w:style w:type="paragraph" w:customStyle="1" w:styleId="LDSchedDivHead">
    <w:name w:val="LDSchedDivHead"/>
    <w:basedOn w:val="LDDivision"/>
    <w:rsid w:val="00802830"/>
  </w:style>
  <w:style w:type="character" w:customStyle="1" w:styleId="CharChar15">
    <w:name w:val="Char Char15"/>
    <w:rsid w:val="006F6039"/>
    <w:rPr>
      <w:rFonts w:ascii="Arial" w:hAnsi="Arial"/>
      <w:sz w:val="16"/>
      <w:szCs w:val="24"/>
    </w:rPr>
  </w:style>
  <w:style w:type="character" w:customStyle="1" w:styleId="CharENotesHeading">
    <w:name w:val="CharENotesHeading"/>
    <w:basedOn w:val="DefaultParagraphFont"/>
    <w:rsid w:val="00802830"/>
  </w:style>
  <w:style w:type="paragraph" w:customStyle="1" w:styleId="EndNotes">
    <w:name w:val="EndNotes"/>
    <w:basedOn w:val="Normal"/>
    <w:rsid w:val="00802830"/>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802830"/>
    <w:pPr>
      <w:ind w:left="357" w:hanging="357"/>
    </w:pPr>
    <w:rPr>
      <w:rFonts w:ascii="Arial" w:hAnsi="Arial"/>
      <w:b/>
    </w:rPr>
  </w:style>
  <w:style w:type="paragraph" w:customStyle="1" w:styleId="LDCompilation">
    <w:name w:val="LDCompilation"/>
    <w:next w:val="LDDescription"/>
    <w:rsid w:val="00802830"/>
    <w:pPr>
      <w:spacing w:before="360"/>
    </w:pPr>
    <w:rPr>
      <w:rFonts w:ascii="Arial" w:hAnsi="Arial"/>
      <w:b/>
      <w:sz w:val="24"/>
      <w:szCs w:val="24"/>
      <w:lang w:eastAsia="en-US"/>
    </w:rPr>
  </w:style>
  <w:style w:type="paragraph" w:customStyle="1" w:styleId="LDsolas">
    <w:name w:val="LDsolas"/>
    <w:basedOn w:val="LDBodytext"/>
    <w:rsid w:val="00802830"/>
    <w:pPr>
      <w:keepNext/>
      <w:ind w:left="709"/>
    </w:pPr>
    <w:rPr>
      <w:rFonts w:ascii="Arial" w:hAnsi="Arial"/>
      <w:b/>
      <w:bCs/>
      <w:i/>
      <w:iCs/>
      <w:sz w:val="20"/>
      <w:szCs w:val="32"/>
    </w:rPr>
  </w:style>
  <w:style w:type="paragraph" w:customStyle="1" w:styleId="RegNotesa">
    <w:name w:val="RegNotes(a)"/>
    <w:basedOn w:val="Normal"/>
    <w:rsid w:val="00802830"/>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802830"/>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802830"/>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802830"/>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802830"/>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802830"/>
    <w:pPr>
      <w:spacing w:before="0"/>
    </w:pPr>
  </w:style>
  <w:style w:type="paragraph" w:customStyle="1" w:styleId="TableOfAmendHead">
    <w:name w:val="TableOfAmendHead"/>
    <w:basedOn w:val="TableOfAmend"/>
    <w:next w:val="Normal"/>
    <w:rsid w:val="00802830"/>
    <w:pPr>
      <w:spacing w:after="60"/>
    </w:pPr>
    <w:rPr>
      <w:sz w:val="16"/>
    </w:rPr>
  </w:style>
  <w:style w:type="paragraph" w:customStyle="1" w:styleId="TableOfStatRules">
    <w:name w:val="TableOfStatRules"/>
    <w:basedOn w:val="Normal"/>
    <w:rsid w:val="00802830"/>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CharSchPTNo">
    <w:name w:val="CharSchPTNo"/>
    <w:basedOn w:val="DefaultParagraphFont"/>
    <w:rsid w:val="00641705"/>
  </w:style>
  <w:style w:type="character" w:customStyle="1" w:styleId="CharSchPTText">
    <w:name w:val="CharSchPTText"/>
    <w:basedOn w:val="DefaultParagraphFont"/>
    <w:rsid w:val="00641705"/>
  </w:style>
  <w:style w:type="character" w:customStyle="1" w:styleId="LDP1aChar">
    <w:name w:val="LDP1(a) Char"/>
    <w:link w:val="LDP1a"/>
    <w:locked/>
    <w:rsid w:val="008656A5"/>
    <w:rPr>
      <w:sz w:val="24"/>
      <w:szCs w:val="24"/>
      <w:lang w:eastAsia="en-US"/>
    </w:rPr>
  </w:style>
  <w:style w:type="paragraph" w:customStyle="1" w:styleId="Default">
    <w:name w:val="Default"/>
    <w:rsid w:val="00C5088F"/>
    <w:pPr>
      <w:autoSpaceDE w:val="0"/>
      <w:autoSpaceDN w:val="0"/>
      <w:adjustRightInd w:val="0"/>
    </w:pPr>
    <w:rPr>
      <w:rFonts w:ascii="Calibri" w:hAnsi="Calibri" w:cs="Calibri"/>
      <w:color w:val="000000"/>
      <w:sz w:val="24"/>
      <w:szCs w:val="24"/>
    </w:rPr>
  </w:style>
  <w:style w:type="character" w:customStyle="1" w:styleId="LDClauseHeadingChar">
    <w:name w:val="LDClauseHeading Char"/>
    <w:link w:val="LDClauseHeading"/>
    <w:locked/>
    <w:rsid w:val="00073A5C"/>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4A765-7D6C-4C77-83BF-987B0BA17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2020-06-15T03:01:00Z</dcterms:created>
  <dcterms:modified xsi:type="dcterms:W3CDTF">2020-06-15T03:10:00Z</dcterms:modified>
</cp:coreProperties>
</file>