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3078D" w14:textId="77777777" w:rsidR="00BE1BAD" w:rsidRPr="004813C1" w:rsidRDefault="00BE1BAD" w:rsidP="0052392E">
      <w:pPr>
        <w:spacing w:before="0" w:after="0"/>
        <w:jc w:val="center"/>
        <w:rPr>
          <w:b/>
          <w:sz w:val="22"/>
          <w:szCs w:val="22"/>
          <w:u w:val="single"/>
        </w:rPr>
      </w:pPr>
      <w:r w:rsidRPr="004813C1">
        <w:rPr>
          <w:b/>
          <w:sz w:val="22"/>
          <w:szCs w:val="22"/>
          <w:u w:val="single"/>
        </w:rPr>
        <w:t>EXPLANATORY STATEMENT</w:t>
      </w:r>
    </w:p>
    <w:p w14:paraId="5F97D340" w14:textId="77777777" w:rsidR="0052392E" w:rsidRDefault="0052392E" w:rsidP="0052392E">
      <w:pPr>
        <w:spacing w:before="0" w:after="0"/>
        <w:jc w:val="center"/>
        <w:rPr>
          <w:i/>
          <w:sz w:val="22"/>
          <w:szCs w:val="22"/>
        </w:rPr>
      </w:pPr>
    </w:p>
    <w:p w14:paraId="53559426" w14:textId="00D7F51A" w:rsidR="00BE1BAD" w:rsidRDefault="00BE1BAD" w:rsidP="0052392E">
      <w:pPr>
        <w:spacing w:before="0" w:after="0"/>
        <w:jc w:val="center"/>
        <w:rPr>
          <w:i/>
          <w:sz w:val="22"/>
          <w:szCs w:val="22"/>
        </w:rPr>
      </w:pPr>
      <w:r w:rsidRPr="004813C1">
        <w:rPr>
          <w:i/>
          <w:sz w:val="22"/>
          <w:szCs w:val="22"/>
        </w:rPr>
        <w:t>Therapeutic Goods Act 1989</w:t>
      </w:r>
    </w:p>
    <w:p w14:paraId="77E2AA07" w14:textId="77777777" w:rsidR="0052392E" w:rsidRPr="0052392E" w:rsidRDefault="0052392E" w:rsidP="0052392E">
      <w:pPr>
        <w:spacing w:before="0" w:after="0"/>
        <w:jc w:val="center"/>
        <w:rPr>
          <w:i/>
          <w:sz w:val="22"/>
          <w:szCs w:val="22"/>
        </w:rPr>
      </w:pPr>
    </w:p>
    <w:p w14:paraId="15214D40" w14:textId="423D864E" w:rsidR="00BE1BAD" w:rsidRDefault="00BE1BAD" w:rsidP="0052392E">
      <w:pPr>
        <w:spacing w:before="0" w:after="0"/>
        <w:jc w:val="center"/>
        <w:rPr>
          <w:i/>
          <w:sz w:val="22"/>
          <w:szCs w:val="22"/>
        </w:rPr>
      </w:pPr>
      <w:r w:rsidRPr="004813C1">
        <w:rPr>
          <w:i/>
          <w:sz w:val="22"/>
          <w:szCs w:val="22"/>
        </w:rPr>
        <w:t xml:space="preserve">Poisons Standard </w:t>
      </w:r>
      <w:r w:rsidR="00683B5D" w:rsidRPr="004813C1">
        <w:rPr>
          <w:i/>
          <w:sz w:val="22"/>
          <w:szCs w:val="22"/>
        </w:rPr>
        <w:t>(No.</w:t>
      </w:r>
      <w:r w:rsidR="006905DE" w:rsidRPr="004813C1">
        <w:rPr>
          <w:i/>
          <w:sz w:val="22"/>
          <w:szCs w:val="22"/>
        </w:rPr>
        <w:t xml:space="preserve"> </w:t>
      </w:r>
      <w:r w:rsidR="00D55F68" w:rsidRPr="004813C1">
        <w:rPr>
          <w:i/>
          <w:sz w:val="22"/>
          <w:szCs w:val="22"/>
        </w:rPr>
        <w:t>3</w:t>
      </w:r>
      <w:r w:rsidR="00683B5D" w:rsidRPr="004813C1">
        <w:rPr>
          <w:i/>
          <w:sz w:val="22"/>
          <w:szCs w:val="22"/>
        </w:rPr>
        <w:t xml:space="preserve">) </w:t>
      </w:r>
      <w:r w:rsidR="00FF52FB" w:rsidRPr="004813C1">
        <w:rPr>
          <w:i/>
          <w:sz w:val="22"/>
          <w:szCs w:val="22"/>
        </w:rPr>
        <w:t xml:space="preserve">June </w:t>
      </w:r>
      <w:r w:rsidR="00C0681E" w:rsidRPr="004813C1">
        <w:rPr>
          <w:i/>
          <w:sz w:val="22"/>
          <w:szCs w:val="22"/>
        </w:rPr>
        <w:t>2020</w:t>
      </w:r>
    </w:p>
    <w:p w14:paraId="753929C3" w14:textId="77777777" w:rsidR="0052392E" w:rsidRPr="0052392E" w:rsidRDefault="0052392E" w:rsidP="0052392E">
      <w:pPr>
        <w:spacing w:before="0" w:after="0"/>
        <w:jc w:val="center"/>
        <w:rPr>
          <w:sz w:val="22"/>
          <w:szCs w:val="22"/>
        </w:rPr>
      </w:pPr>
    </w:p>
    <w:p w14:paraId="399D42C1" w14:textId="1466D214" w:rsidR="00BE1BAD" w:rsidRPr="004813C1" w:rsidRDefault="00BE1BAD" w:rsidP="004813C1">
      <w:pPr>
        <w:spacing w:before="0" w:after="0"/>
        <w:rPr>
          <w:sz w:val="22"/>
          <w:szCs w:val="22"/>
        </w:rPr>
      </w:pPr>
      <w:r w:rsidRPr="004813C1">
        <w:rPr>
          <w:sz w:val="22"/>
          <w:szCs w:val="22"/>
        </w:rPr>
        <w:t xml:space="preserve">The </w:t>
      </w:r>
      <w:r w:rsidRPr="004813C1">
        <w:rPr>
          <w:i/>
          <w:sz w:val="22"/>
          <w:szCs w:val="22"/>
        </w:rPr>
        <w:t>Therapeutic Goods Act 1989</w:t>
      </w:r>
      <w:r w:rsidRPr="004813C1">
        <w:rPr>
          <w:sz w:val="22"/>
          <w:szCs w:val="22"/>
        </w:rPr>
        <w:t xml:space="preserve"> (“the Act”) provides for the establishment and maintenance of a national system of controls for the quality, safety, efficacy and timely availability of therapeutic goods that are used in, or exported from, Australia. </w:t>
      </w:r>
      <w:r w:rsidR="0052392E">
        <w:rPr>
          <w:sz w:val="22"/>
          <w:szCs w:val="22"/>
        </w:rPr>
        <w:t xml:space="preserve"> </w:t>
      </w:r>
      <w:r w:rsidRPr="004813C1">
        <w:rPr>
          <w:sz w:val="22"/>
          <w:szCs w:val="22"/>
        </w:rPr>
        <w:t xml:space="preserve">The Act also provides a framework for State and Territory governments to adopt a uniform approach to control the availability and accessibility, and to ensure the safe handling, of medicines and poisons in Australia. </w:t>
      </w:r>
      <w:r w:rsidR="0052392E">
        <w:rPr>
          <w:sz w:val="22"/>
          <w:szCs w:val="22"/>
        </w:rPr>
        <w:t xml:space="preserve"> </w:t>
      </w:r>
      <w:r w:rsidRPr="004813C1">
        <w:rPr>
          <w:sz w:val="22"/>
          <w:szCs w:val="22"/>
        </w:rPr>
        <w:t xml:space="preserve">The </w:t>
      </w:r>
      <w:proofErr w:type="gramStart"/>
      <w:r w:rsidRPr="004813C1">
        <w:rPr>
          <w:sz w:val="22"/>
          <w:szCs w:val="22"/>
        </w:rPr>
        <w:t>Act is administered by the Therapeutic Goods Administration (“the TGA”)</w:t>
      </w:r>
      <w:r w:rsidR="00622BC3" w:rsidRPr="004813C1">
        <w:rPr>
          <w:sz w:val="22"/>
          <w:szCs w:val="22"/>
        </w:rPr>
        <w:t xml:space="preserve"> </w:t>
      </w:r>
      <w:r w:rsidRPr="004813C1">
        <w:rPr>
          <w:sz w:val="22"/>
          <w:szCs w:val="22"/>
        </w:rPr>
        <w:t>within the Australian Government Department of Health</w:t>
      </w:r>
      <w:proofErr w:type="gramEnd"/>
      <w:r w:rsidRPr="004813C1">
        <w:rPr>
          <w:sz w:val="22"/>
          <w:szCs w:val="22"/>
        </w:rPr>
        <w:t>.</w:t>
      </w:r>
    </w:p>
    <w:p w14:paraId="286B26D4" w14:textId="77777777" w:rsidR="004813C1" w:rsidRDefault="004813C1" w:rsidP="004813C1">
      <w:pPr>
        <w:autoSpaceDE w:val="0"/>
        <w:autoSpaceDN w:val="0"/>
        <w:adjustRightInd w:val="0"/>
        <w:spacing w:before="0" w:after="0"/>
        <w:rPr>
          <w:rFonts w:eastAsiaTheme="minorHAnsi"/>
          <w:color w:val="000000"/>
          <w:sz w:val="22"/>
          <w:szCs w:val="22"/>
          <w:lang w:val="en-AU"/>
        </w:rPr>
      </w:pPr>
    </w:p>
    <w:p w14:paraId="6116A9EC" w14:textId="32371712" w:rsidR="00BE1BAD" w:rsidRPr="004813C1" w:rsidRDefault="00BE1BAD" w:rsidP="004813C1">
      <w:pPr>
        <w:autoSpaceDE w:val="0"/>
        <w:autoSpaceDN w:val="0"/>
        <w:adjustRightInd w:val="0"/>
        <w:spacing w:before="0" w:after="0"/>
        <w:rPr>
          <w:rFonts w:eastAsiaTheme="minorHAnsi"/>
          <w:color w:val="000000"/>
          <w:sz w:val="22"/>
          <w:szCs w:val="22"/>
          <w:lang w:val="en-AU"/>
        </w:rPr>
      </w:pPr>
      <w:r w:rsidRPr="004813C1">
        <w:rPr>
          <w:rFonts w:eastAsiaTheme="minorHAnsi"/>
          <w:color w:val="000000"/>
          <w:sz w:val="22"/>
          <w:szCs w:val="22"/>
          <w:lang w:val="en-AU"/>
        </w:rPr>
        <w:t xml:space="preserve">Part 6-3 of the Act (sections 52AA to 52EC) provides the basis for a uniform system of access controls for goods containing scheduled substances. </w:t>
      </w:r>
      <w:r w:rsidR="0052392E">
        <w:rPr>
          <w:rFonts w:eastAsiaTheme="minorHAnsi"/>
          <w:color w:val="000000"/>
          <w:sz w:val="22"/>
          <w:szCs w:val="22"/>
          <w:lang w:val="en-AU"/>
        </w:rPr>
        <w:t xml:space="preserve"> </w:t>
      </w:r>
      <w:r w:rsidRPr="004813C1">
        <w:rPr>
          <w:rFonts w:eastAsiaTheme="minorHAnsi"/>
          <w:color w:val="000000"/>
          <w:sz w:val="22"/>
          <w:szCs w:val="22"/>
          <w:lang w:val="en-AU"/>
        </w:rPr>
        <w:t xml:space="preserve">The scheduling of substances allows restrictions to </w:t>
      </w:r>
      <w:proofErr w:type="gramStart"/>
      <w:r w:rsidRPr="004813C1">
        <w:rPr>
          <w:rFonts w:eastAsiaTheme="minorHAnsi"/>
          <w:color w:val="000000"/>
          <w:sz w:val="22"/>
          <w:szCs w:val="22"/>
          <w:lang w:val="en-AU"/>
        </w:rPr>
        <w:t>be placed</w:t>
      </w:r>
      <w:proofErr w:type="gramEnd"/>
      <w:r w:rsidRPr="004813C1">
        <w:rPr>
          <w:rFonts w:eastAsiaTheme="minorHAnsi"/>
          <w:color w:val="000000"/>
          <w:sz w:val="22"/>
          <w:szCs w:val="22"/>
          <w:lang w:val="en-AU"/>
        </w:rPr>
        <w:t xml:space="preserve"> on their supply to the public, in the interests of public health and safety. </w:t>
      </w:r>
      <w:r w:rsidR="0052392E">
        <w:rPr>
          <w:rFonts w:eastAsiaTheme="minorHAnsi"/>
          <w:color w:val="000000"/>
          <w:sz w:val="22"/>
          <w:szCs w:val="22"/>
          <w:lang w:val="en-AU"/>
        </w:rPr>
        <w:t xml:space="preserve"> </w:t>
      </w:r>
      <w:r w:rsidRPr="004813C1">
        <w:rPr>
          <w:rFonts w:eastAsiaTheme="minorHAnsi"/>
          <w:color w:val="000000"/>
          <w:sz w:val="22"/>
          <w:szCs w:val="22"/>
          <w:lang w:val="en-AU"/>
        </w:rPr>
        <w:t xml:space="preserve">The scheduling of substances </w:t>
      </w:r>
      <w:proofErr w:type="gramStart"/>
      <w:r w:rsidRPr="004813C1">
        <w:rPr>
          <w:rFonts w:eastAsiaTheme="minorHAnsi"/>
          <w:color w:val="000000"/>
          <w:sz w:val="22"/>
          <w:szCs w:val="22"/>
          <w:lang w:val="en-AU"/>
        </w:rPr>
        <w:t>is aimed</w:t>
      </w:r>
      <w:proofErr w:type="gramEnd"/>
      <w:r w:rsidRPr="004813C1">
        <w:rPr>
          <w:rFonts w:eastAsiaTheme="minorHAnsi"/>
          <w:color w:val="000000"/>
          <w:sz w:val="22"/>
          <w:szCs w:val="22"/>
          <w:lang w:val="en-AU"/>
        </w:rPr>
        <w:t xml:space="preserve"> at minimising the risks of poisoning from, and the misuse or abuse of, scheduled substances.</w:t>
      </w:r>
    </w:p>
    <w:p w14:paraId="2A6AA915" w14:textId="77777777" w:rsidR="004813C1" w:rsidRDefault="004813C1" w:rsidP="004813C1">
      <w:pPr>
        <w:autoSpaceDE w:val="0"/>
        <w:autoSpaceDN w:val="0"/>
        <w:adjustRightInd w:val="0"/>
        <w:spacing w:before="0" w:after="0"/>
        <w:rPr>
          <w:rFonts w:eastAsiaTheme="minorHAnsi"/>
          <w:color w:val="000000"/>
          <w:sz w:val="22"/>
          <w:szCs w:val="22"/>
          <w:lang w:val="en-AU"/>
        </w:rPr>
      </w:pPr>
    </w:p>
    <w:p w14:paraId="3D81AB56" w14:textId="7B92F84C" w:rsidR="00BE1BAD" w:rsidRPr="004813C1" w:rsidRDefault="00BE1BAD" w:rsidP="004813C1">
      <w:pPr>
        <w:autoSpaceDE w:val="0"/>
        <w:autoSpaceDN w:val="0"/>
        <w:adjustRightInd w:val="0"/>
        <w:spacing w:before="0" w:after="0"/>
        <w:rPr>
          <w:rFonts w:eastAsiaTheme="minorHAnsi"/>
          <w:color w:val="000000"/>
          <w:sz w:val="22"/>
          <w:szCs w:val="22"/>
          <w:lang w:val="en-AU"/>
        </w:rPr>
      </w:pPr>
      <w:r w:rsidRPr="004813C1">
        <w:rPr>
          <w:rFonts w:eastAsiaTheme="minorHAnsi"/>
          <w:color w:val="000000"/>
          <w:sz w:val="22"/>
          <w:szCs w:val="22"/>
          <w:lang w:val="en-AU"/>
        </w:rPr>
        <w:t>Subsection 52D(2) of the Act empowers the Secretary to amend the current Poisons Standard or to prepare a document (“a new Poisons Standard”) that includes schedules containing the names or descriptions of substances, in substitution for the current Poisons Standard.</w:t>
      </w:r>
    </w:p>
    <w:p w14:paraId="3D647999" w14:textId="77777777" w:rsidR="004813C1" w:rsidRDefault="004813C1" w:rsidP="004813C1">
      <w:pPr>
        <w:autoSpaceDE w:val="0"/>
        <w:autoSpaceDN w:val="0"/>
        <w:adjustRightInd w:val="0"/>
        <w:spacing w:before="0" w:after="0"/>
        <w:rPr>
          <w:rFonts w:eastAsiaTheme="minorHAnsi"/>
          <w:color w:val="000000"/>
          <w:sz w:val="22"/>
          <w:szCs w:val="22"/>
          <w:lang w:val="en-AU"/>
        </w:rPr>
      </w:pPr>
    </w:p>
    <w:p w14:paraId="3296CB99" w14:textId="5EC16C4C" w:rsidR="00BE1BAD" w:rsidRPr="004813C1" w:rsidRDefault="00BE1BAD" w:rsidP="004813C1">
      <w:pPr>
        <w:autoSpaceDE w:val="0"/>
        <w:autoSpaceDN w:val="0"/>
        <w:adjustRightInd w:val="0"/>
        <w:spacing w:before="0" w:after="0"/>
        <w:rPr>
          <w:rFonts w:eastAsiaTheme="minorHAnsi"/>
          <w:color w:val="000000"/>
          <w:sz w:val="22"/>
          <w:szCs w:val="22"/>
          <w:lang w:val="en-AU"/>
        </w:rPr>
      </w:pPr>
      <w:r w:rsidRPr="004813C1">
        <w:rPr>
          <w:rFonts w:eastAsiaTheme="minorHAnsi"/>
          <w:color w:val="000000"/>
          <w:sz w:val="22"/>
          <w:szCs w:val="22"/>
          <w:lang w:val="en-AU"/>
        </w:rPr>
        <w:t xml:space="preserve">The Poisons Standard reflects decisions of the Secretary or a delegate of the Secretary regarding the classification of medicines and poisons into the different Schedules, signifying the degree of risk and the control </w:t>
      </w:r>
      <w:proofErr w:type="gramStart"/>
      <w:r w:rsidRPr="004813C1">
        <w:rPr>
          <w:rFonts w:eastAsiaTheme="minorHAnsi"/>
          <w:color w:val="000000"/>
          <w:sz w:val="22"/>
          <w:szCs w:val="22"/>
          <w:lang w:val="en-AU"/>
        </w:rPr>
        <w:t>recommended to be exercised</w:t>
      </w:r>
      <w:proofErr w:type="gramEnd"/>
      <w:r w:rsidRPr="004813C1">
        <w:rPr>
          <w:rFonts w:eastAsiaTheme="minorHAnsi"/>
          <w:color w:val="000000"/>
          <w:sz w:val="22"/>
          <w:szCs w:val="22"/>
          <w:lang w:val="en-AU"/>
        </w:rPr>
        <w:t xml:space="preserve"> over their availability to the public.</w:t>
      </w:r>
    </w:p>
    <w:p w14:paraId="675ED3FC" w14:textId="77777777" w:rsidR="004813C1" w:rsidRDefault="004813C1" w:rsidP="004813C1">
      <w:pPr>
        <w:autoSpaceDE w:val="0"/>
        <w:autoSpaceDN w:val="0"/>
        <w:adjustRightInd w:val="0"/>
        <w:spacing w:before="0" w:after="0"/>
        <w:rPr>
          <w:rFonts w:eastAsiaTheme="minorHAnsi"/>
          <w:color w:val="000000"/>
          <w:sz w:val="22"/>
          <w:szCs w:val="22"/>
          <w:lang w:val="en-AU"/>
        </w:rPr>
      </w:pPr>
    </w:p>
    <w:p w14:paraId="5E0D7FC0" w14:textId="203D3674" w:rsidR="00BE1BAD" w:rsidRPr="004813C1" w:rsidRDefault="00BE1BAD" w:rsidP="004813C1">
      <w:pPr>
        <w:autoSpaceDE w:val="0"/>
        <w:autoSpaceDN w:val="0"/>
        <w:adjustRightInd w:val="0"/>
        <w:spacing w:before="0" w:after="0"/>
        <w:rPr>
          <w:rFonts w:eastAsiaTheme="minorHAnsi"/>
          <w:color w:val="000000"/>
          <w:sz w:val="22"/>
          <w:szCs w:val="22"/>
          <w:lang w:val="en-AU"/>
        </w:rPr>
      </w:pPr>
      <w:r w:rsidRPr="004813C1">
        <w:rPr>
          <w:rFonts w:eastAsiaTheme="minorHAnsi"/>
          <w:color w:val="000000"/>
          <w:sz w:val="22"/>
          <w:szCs w:val="22"/>
          <w:lang w:val="en-AU"/>
        </w:rPr>
        <w:t>The Act establishes two expert advisory committees, the Advisory Committee on Medicines Scheduling (“ACMS”) (section 52B of the Act refers) and the Advisory Committee on Chemicals Scheduling (“ACCS”) (section 52C of the Act refers), which provide advice and make recommendations to the Secretary on matters relating to medicines and chemicals scheduling decisions.</w:t>
      </w:r>
    </w:p>
    <w:p w14:paraId="0656F1DB" w14:textId="77777777" w:rsidR="004813C1" w:rsidRDefault="004813C1" w:rsidP="004813C1">
      <w:pPr>
        <w:autoSpaceDE w:val="0"/>
        <w:autoSpaceDN w:val="0"/>
        <w:adjustRightInd w:val="0"/>
        <w:spacing w:before="0" w:after="0"/>
        <w:rPr>
          <w:rFonts w:eastAsiaTheme="minorHAnsi"/>
          <w:color w:val="000000"/>
          <w:sz w:val="22"/>
          <w:szCs w:val="22"/>
          <w:lang w:val="en-AU"/>
        </w:rPr>
      </w:pPr>
    </w:p>
    <w:p w14:paraId="46EADA6B" w14:textId="4D564849" w:rsidR="00BE1BAD" w:rsidRPr="004813C1" w:rsidRDefault="00BE1BAD" w:rsidP="004813C1">
      <w:pPr>
        <w:autoSpaceDE w:val="0"/>
        <w:autoSpaceDN w:val="0"/>
        <w:adjustRightInd w:val="0"/>
        <w:spacing w:before="0" w:after="0"/>
        <w:rPr>
          <w:rFonts w:eastAsiaTheme="minorHAnsi"/>
          <w:color w:val="000000"/>
          <w:sz w:val="22"/>
          <w:szCs w:val="22"/>
          <w:lang w:val="en-AU"/>
        </w:rPr>
      </w:pPr>
      <w:r w:rsidRPr="004813C1">
        <w:rPr>
          <w:rFonts w:eastAsiaTheme="minorHAnsi"/>
          <w:color w:val="000000"/>
          <w:sz w:val="22"/>
          <w:szCs w:val="22"/>
          <w:lang w:val="en-AU"/>
        </w:rPr>
        <w:t xml:space="preserve">The Schedules contained in the Poisons Standard </w:t>
      </w:r>
      <w:proofErr w:type="gramStart"/>
      <w:r w:rsidRPr="004813C1">
        <w:rPr>
          <w:rFonts w:eastAsiaTheme="minorHAnsi"/>
          <w:color w:val="000000"/>
          <w:sz w:val="22"/>
          <w:szCs w:val="22"/>
          <w:lang w:val="en-AU"/>
        </w:rPr>
        <w:t>are referred</w:t>
      </w:r>
      <w:proofErr w:type="gramEnd"/>
      <w:r w:rsidRPr="004813C1">
        <w:rPr>
          <w:rFonts w:eastAsiaTheme="minorHAnsi"/>
          <w:color w:val="000000"/>
          <w:sz w:val="22"/>
          <w:szCs w:val="22"/>
          <w:lang w:val="en-AU"/>
        </w:rPr>
        <w:t xml:space="preserve"> to under State and Territory legislation for regulatory purposes. </w:t>
      </w:r>
      <w:r w:rsidR="0052392E">
        <w:rPr>
          <w:rFonts w:eastAsiaTheme="minorHAnsi"/>
          <w:color w:val="000000"/>
          <w:sz w:val="22"/>
          <w:szCs w:val="22"/>
          <w:lang w:val="en-AU"/>
        </w:rPr>
        <w:t xml:space="preserve"> </w:t>
      </w:r>
      <w:r w:rsidRPr="004813C1">
        <w:rPr>
          <w:rFonts w:eastAsiaTheme="minorHAnsi"/>
          <w:color w:val="000000"/>
          <w:sz w:val="22"/>
          <w:szCs w:val="22"/>
          <w:lang w:val="en-AU"/>
        </w:rPr>
        <w:t xml:space="preserve">This enables restrictions to be </w:t>
      </w:r>
      <w:proofErr w:type="gramStart"/>
      <w:r w:rsidRPr="004813C1">
        <w:rPr>
          <w:rFonts w:eastAsiaTheme="minorHAnsi"/>
          <w:color w:val="000000"/>
          <w:sz w:val="22"/>
          <w:szCs w:val="22"/>
          <w:lang w:val="en-AU"/>
        </w:rPr>
        <w:t>placed</w:t>
      </w:r>
      <w:proofErr w:type="gramEnd"/>
      <w:r w:rsidRPr="004813C1">
        <w:rPr>
          <w:rFonts w:eastAsiaTheme="minorHAnsi"/>
          <w:color w:val="000000"/>
          <w:sz w:val="22"/>
          <w:szCs w:val="22"/>
          <w:lang w:val="en-AU"/>
        </w:rPr>
        <w:t xml:space="preserve"> on the supply of scheduled substances to the public, according to the degree of risk associated with the substances and the level of control recommended over their availability, in the interest of public health and safety.</w:t>
      </w:r>
    </w:p>
    <w:p w14:paraId="1777B93D" w14:textId="77777777" w:rsidR="004813C1" w:rsidRDefault="004813C1" w:rsidP="004813C1">
      <w:pPr>
        <w:autoSpaceDE w:val="0"/>
        <w:autoSpaceDN w:val="0"/>
        <w:adjustRightInd w:val="0"/>
        <w:spacing w:before="0" w:after="0"/>
        <w:rPr>
          <w:rFonts w:eastAsiaTheme="minorHAnsi"/>
          <w:color w:val="000000"/>
          <w:sz w:val="22"/>
          <w:szCs w:val="22"/>
          <w:lang w:val="en-AU"/>
        </w:rPr>
      </w:pPr>
      <w:bookmarkStart w:id="0" w:name="_GoBack"/>
      <w:bookmarkEnd w:id="0"/>
    </w:p>
    <w:p w14:paraId="3ACA0367" w14:textId="70A52A1B" w:rsidR="00BE1BAD" w:rsidRPr="004813C1" w:rsidRDefault="00BE1BAD" w:rsidP="004813C1">
      <w:pPr>
        <w:autoSpaceDE w:val="0"/>
        <w:autoSpaceDN w:val="0"/>
        <w:adjustRightInd w:val="0"/>
        <w:spacing w:before="0" w:after="0"/>
        <w:rPr>
          <w:rFonts w:eastAsiaTheme="minorHAnsi"/>
          <w:color w:val="000000"/>
          <w:sz w:val="22"/>
          <w:szCs w:val="22"/>
          <w:lang w:val="en-AU"/>
        </w:rPr>
      </w:pPr>
      <w:r w:rsidRPr="004813C1">
        <w:rPr>
          <w:rFonts w:eastAsiaTheme="minorHAnsi"/>
          <w:color w:val="000000"/>
          <w:sz w:val="22"/>
          <w:szCs w:val="22"/>
          <w:lang w:val="en-AU"/>
        </w:rPr>
        <w:t xml:space="preserve">The Commonwealth takes into account the scheduling and classification of substances in the Poisons Standard for regulatory and enforcement purposes under the Act. </w:t>
      </w:r>
      <w:r w:rsidR="0052392E">
        <w:rPr>
          <w:rFonts w:eastAsiaTheme="minorHAnsi"/>
          <w:color w:val="000000"/>
          <w:sz w:val="22"/>
          <w:szCs w:val="22"/>
          <w:lang w:val="en-AU"/>
        </w:rPr>
        <w:t xml:space="preserve"> </w:t>
      </w:r>
      <w:r w:rsidRPr="004813C1">
        <w:rPr>
          <w:rFonts w:eastAsiaTheme="minorHAnsi"/>
          <w:color w:val="000000"/>
          <w:sz w:val="22"/>
          <w:szCs w:val="22"/>
          <w:lang w:val="en-AU"/>
        </w:rPr>
        <w:t xml:space="preserve">For example, the Act prohibits the publication or broadcasting of advertisements to consumers about prescription medicines containing substances included in Schedule 4 or Schedule 8 to the Poisons Standard, or over-the-counter medicines containing substances included in Schedule 3 and not included in Appendix H of the Poisons Standard. </w:t>
      </w:r>
      <w:r w:rsidR="0052392E">
        <w:rPr>
          <w:rFonts w:eastAsiaTheme="minorHAnsi"/>
          <w:color w:val="000000"/>
          <w:sz w:val="22"/>
          <w:szCs w:val="22"/>
          <w:lang w:val="en-AU"/>
        </w:rPr>
        <w:t xml:space="preserve"> </w:t>
      </w:r>
      <w:r w:rsidRPr="004813C1">
        <w:rPr>
          <w:rFonts w:eastAsiaTheme="minorHAnsi"/>
          <w:color w:val="000000"/>
          <w:sz w:val="22"/>
          <w:szCs w:val="22"/>
          <w:lang w:val="en-AU"/>
        </w:rPr>
        <w:t xml:space="preserve">The advertising of substances included in Schedule 9 or Schedule 10 </w:t>
      </w:r>
      <w:r w:rsidR="00CF2FA8" w:rsidRPr="004813C1">
        <w:rPr>
          <w:rFonts w:eastAsiaTheme="minorHAnsi"/>
          <w:color w:val="000000"/>
          <w:sz w:val="22"/>
          <w:szCs w:val="22"/>
          <w:lang w:val="en-AU"/>
        </w:rPr>
        <w:t xml:space="preserve">to </w:t>
      </w:r>
      <w:r w:rsidRPr="004813C1">
        <w:rPr>
          <w:rFonts w:eastAsiaTheme="minorHAnsi"/>
          <w:color w:val="000000"/>
          <w:sz w:val="22"/>
          <w:szCs w:val="22"/>
          <w:lang w:val="en-AU"/>
        </w:rPr>
        <w:t xml:space="preserve">the Poisons Standard </w:t>
      </w:r>
      <w:proofErr w:type="gramStart"/>
      <w:r w:rsidRPr="004813C1">
        <w:rPr>
          <w:rFonts w:eastAsiaTheme="minorHAnsi"/>
          <w:color w:val="000000"/>
          <w:sz w:val="22"/>
          <w:szCs w:val="22"/>
          <w:lang w:val="en-AU"/>
        </w:rPr>
        <w:t>is also prohibited</w:t>
      </w:r>
      <w:proofErr w:type="gramEnd"/>
      <w:r w:rsidRPr="004813C1">
        <w:rPr>
          <w:rFonts w:eastAsiaTheme="minorHAnsi"/>
          <w:color w:val="000000"/>
          <w:sz w:val="22"/>
          <w:szCs w:val="22"/>
          <w:lang w:val="en-AU"/>
        </w:rPr>
        <w:t>.</w:t>
      </w:r>
    </w:p>
    <w:p w14:paraId="1AD2087B" w14:textId="77777777" w:rsidR="004813C1" w:rsidRDefault="004813C1" w:rsidP="004813C1">
      <w:pPr>
        <w:autoSpaceDE w:val="0"/>
        <w:autoSpaceDN w:val="0"/>
        <w:adjustRightInd w:val="0"/>
        <w:spacing w:before="0" w:after="0"/>
        <w:rPr>
          <w:rFonts w:eastAsiaTheme="minorHAnsi"/>
          <w:color w:val="000000"/>
          <w:sz w:val="22"/>
          <w:szCs w:val="22"/>
          <w:lang w:val="en-AU"/>
        </w:rPr>
      </w:pPr>
    </w:p>
    <w:p w14:paraId="72F159A9" w14:textId="51960427" w:rsidR="00BE1BAD" w:rsidRPr="004813C1" w:rsidRDefault="00BE1BAD" w:rsidP="0052392E">
      <w:pPr>
        <w:keepLines/>
        <w:autoSpaceDE w:val="0"/>
        <w:autoSpaceDN w:val="0"/>
        <w:adjustRightInd w:val="0"/>
        <w:spacing w:before="0" w:after="0"/>
        <w:rPr>
          <w:rFonts w:eastAsiaTheme="minorHAnsi"/>
          <w:color w:val="000000"/>
          <w:sz w:val="22"/>
          <w:szCs w:val="22"/>
          <w:lang w:val="en-AU"/>
        </w:rPr>
      </w:pPr>
      <w:r w:rsidRPr="004813C1">
        <w:rPr>
          <w:rFonts w:eastAsiaTheme="minorHAnsi"/>
          <w:color w:val="000000"/>
          <w:sz w:val="22"/>
          <w:szCs w:val="22"/>
          <w:lang w:val="en-AU"/>
        </w:rPr>
        <w:t xml:space="preserve">The Scheduling Policy Framework (“the SPF”) provides guidance on whether a decision concerning the scheduling of substances under the Poisons Standard would benefit from </w:t>
      </w:r>
      <w:proofErr w:type="gramStart"/>
      <w:r w:rsidRPr="004813C1">
        <w:rPr>
          <w:rFonts w:eastAsiaTheme="minorHAnsi"/>
          <w:color w:val="000000"/>
          <w:sz w:val="22"/>
          <w:szCs w:val="22"/>
          <w:lang w:val="en-AU"/>
        </w:rPr>
        <w:t>being referred</w:t>
      </w:r>
      <w:proofErr w:type="gramEnd"/>
      <w:r w:rsidRPr="004813C1">
        <w:rPr>
          <w:rFonts w:eastAsiaTheme="minorHAnsi"/>
          <w:color w:val="000000"/>
          <w:sz w:val="22"/>
          <w:szCs w:val="22"/>
          <w:lang w:val="en-AU"/>
        </w:rPr>
        <w:t xml:space="preserve"> to ACMS or ACCS for advice. </w:t>
      </w:r>
      <w:r w:rsidR="0052392E">
        <w:rPr>
          <w:rFonts w:eastAsiaTheme="minorHAnsi"/>
          <w:color w:val="000000"/>
          <w:sz w:val="22"/>
          <w:szCs w:val="22"/>
          <w:lang w:val="en-AU"/>
        </w:rPr>
        <w:t xml:space="preserve"> </w:t>
      </w:r>
      <w:r w:rsidRPr="004813C1">
        <w:rPr>
          <w:rFonts w:eastAsiaTheme="minorHAnsi"/>
          <w:color w:val="000000"/>
          <w:sz w:val="22"/>
          <w:szCs w:val="22"/>
          <w:lang w:val="en-AU"/>
        </w:rPr>
        <w:t xml:space="preserve">A copy of the SPF can be found </w:t>
      </w:r>
      <w:proofErr w:type="gramStart"/>
      <w:r w:rsidRPr="004813C1">
        <w:rPr>
          <w:rFonts w:eastAsiaTheme="minorHAnsi"/>
          <w:color w:val="000000"/>
          <w:sz w:val="22"/>
          <w:szCs w:val="22"/>
          <w:lang w:val="en-AU"/>
        </w:rPr>
        <w:t>at</w:t>
      </w:r>
      <w:r w:rsidR="00B041B3">
        <w:rPr>
          <w:rFonts w:eastAsiaTheme="minorHAnsi"/>
          <w:color w:val="000000"/>
          <w:sz w:val="22"/>
          <w:szCs w:val="22"/>
          <w:lang w:val="en-AU"/>
        </w:rPr>
        <w:t>:</w:t>
      </w:r>
      <w:proofErr w:type="gramEnd"/>
      <w:r w:rsidRPr="004813C1">
        <w:rPr>
          <w:rFonts w:eastAsiaTheme="minorHAnsi"/>
          <w:color w:val="000000"/>
          <w:sz w:val="22"/>
          <w:szCs w:val="22"/>
          <w:lang w:val="en-AU"/>
        </w:rPr>
        <w:t xml:space="preserve"> </w:t>
      </w:r>
      <w:hyperlink r:id="rId8" w:history="1">
        <w:r w:rsidRPr="004813C1">
          <w:rPr>
            <w:rStyle w:val="Hyperlink"/>
            <w:rFonts w:eastAsiaTheme="minorHAnsi"/>
            <w:sz w:val="22"/>
            <w:szCs w:val="22"/>
            <w:lang w:val="en-AU"/>
          </w:rPr>
          <w:t>https://www.tga.gov.au/publication/ahmac-scheduling-policy-framework-medicines-and-chemicals</w:t>
        </w:r>
      </w:hyperlink>
      <w:r w:rsidRPr="004813C1">
        <w:rPr>
          <w:rFonts w:eastAsiaTheme="minorHAnsi"/>
          <w:color w:val="000000"/>
          <w:sz w:val="22"/>
          <w:szCs w:val="22"/>
          <w:lang w:val="en-AU"/>
        </w:rPr>
        <w:t>.</w:t>
      </w:r>
    </w:p>
    <w:p w14:paraId="44FBB2EE" w14:textId="77777777" w:rsidR="004813C1" w:rsidRDefault="004813C1" w:rsidP="004813C1">
      <w:pPr>
        <w:autoSpaceDE w:val="0"/>
        <w:autoSpaceDN w:val="0"/>
        <w:adjustRightInd w:val="0"/>
        <w:spacing w:before="0" w:after="0"/>
        <w:rPr>
          <w:rFonts w:eastAsiaTheme="minorHAnsi"/>
          <w:color w:val="000000"/>
          <w:sz w:val="22"/>
          <w:szCs w:val="22"/>
          <w:lang w:val="en-AU"/>
        </w:rPr>
      </w:pPr>
    </w:p>
    <w:p w14:paraId="05E9ADB4" w14:textId="1CD285AD" w:rsidR="003F6727" w:rsidRPr="004813C1" w:rsidRDefault="003F6727" w:rsidP="004813C1">
      <w:pPr>
        <w:autoSpaceDE w:val="0"/>
        <w:autoSpaceDN w:val="0"/>
        <w:adjustRightInd w:val="0"/>
        <w:spacing w:before="0" w:after="0"/>
        <w:rPr>
          <w:rFonts w:eastAsiaTheme="minorHAnsi"/>
          <w:i/>
          <w:color w:val="000000"/>
          <w:sz w:val="22"/>
          <w:szCs w:val="22"/>
          <w:lang w:val="en-AU"/>
        </w:rPr>
      </w:pPr>
      <w:r w:rsidRPr="004813C1">
        <w:rPr>
          <w:rFonts w:eastAsiaTheme="minorHAnsi"/>
          <w:color w:val="000000"/>
          <w:sz w:val="22"/>
          <w:szCs w:val="22"/>
          <w:lang w:val="en-AU"/>
        </w:rPr>
        <w:t xml:space="preserve">The purpose of this instrument is to make a new Poisons Standard, the </w:t>
      </w:r>
      <w:r w:rsidRPr="004813C1">
        <w:rPr>
          <w:rFonts w:eastAsiaTheme="minorHAnsi"/>
          <w:i/>
          <w:color w:val="000000"/>
          <w:sz w:val="22"/>
          <w:szCs w:val="22"/>
          <w:lang w:val="en-AU"/>
        </w:rPr>
        <w:t xml:space="preserve">Poisons Standard </w:t>
      </w:r>
      <w:r w:rsidR="00683B5D" w:rsidRPr="004813C1">
        <w:rPr>
          <w:rFonts w:eastAsiaTheme="minorHAnsi"/>
          <w:i/>
          <w:color w:val="000000"/>
          <w:sz w:val="22"/>
          <w:szCs w:val="22"/>
          <w:lang w:val="en-AU"/>
        </w:rPr>
        <w:t>(No</w:t>
      </w:r>
      <w:r w:rsidR="00D51092" w:rsidRPr="004813C1">
        <w:rPr>
          <w:rFonts w:eastAsiaTheme="minorHAnsi"/>
          <w:i/>
          <w:color w:val="000000"/>
          <w:sz w:val="22"/>
          <w:szCs w:val="22"/>
          <w:lang w:val="en-AU"/>
        </w:rPr>
        <w:t>.</w:t>
      </w:r>
      <w:r w:rsidR="004813C1">
        <w:rPr>
          <w:rFonts w:eastAsiaTheme="minorHAnsi"/>
          <w:i/>
          <w:color w:val="000000"/>
          <w:sz w:val="22"/>
          <w:szCs w:val="22"/>
          <w:lang w:val="en-AU"/>
        </w:rPr>
        <w:t> </w:t>
      </w:r>
      <w:r w:rsidR="008E2B60" w:rsidRPr="004813C1">
        <w:rPr>
          <w:rFonts w:eastAsiaTheme="minorHAnsi"/>
          <w:i/>
          <w:color w:val="000000"/>
          <w:sz w:val="22"/>
          <w:szCs w:val="22"/>
          <w:lang w:val="en-AU"/>
        </w:rPr>
        <w:t>3</w:t>
      </w:r>
      <w:r w:rsidR="00683B5D" w:rsidRPr="004813C1">
        <w:rPr>
          <w:rFonts w:eastAsiaTheme="minorHAnsi"/>
          <w:i/>
          <w:color w:val="000000"/>
          <w:sz w:val="22"/>
          <w:szCs w:val="22"/>
          <w:lang w:val="en-AU"/>
        </w:rPr>
        <w:t xml:space="preserve">) </w:t>
      </w:r>
      <w:r w:rsidR="00FF52FB" w:rsidRPr="004813C1">
        <w:rPr>
          <w:rFonts w:eastAsiaTheme="minorHAnsi"/>
          <w:i/>
          <w:color w:val="000000"/>
          <w:sz w:val="22"/>
          <w:szCs w:val="22"/>
          <w:lang w:val="en-AU"/>
        </w:rPr>
        <w:t xml:space="preserve">June </w:t>
      </w:r>
      <w:r w:rsidRPr="004813C1">
        <w:rPr>
          <w:rFonts w:eastAsiaTheme="minorHAnsi"/>
          <w:i/>
          <w:color w:val="000000"/>
          <w:sz w:val="22"/>
          <w:szCs w:val="22"/>
          <w:lang w:val="en-AU"/>
        </w:rPr>
        <w:t>2020</w:t>
      </w:r>
      <w:r w:rsidRPr="004813C1">
        <w:rPr>
          <w:rFonts w:eastAsiaTheme="minorHAnsi"/>
          <w:color w:val="000000"/>
          <w:sz w:val="22"/>
          <w:szCs w:val="22"/>
          <w:lang w:val="en-AU"/>
        </w:rPr>
        <w:t xml:space="preserve">, in substitution for the previous Poisons Standard, the </w:t>
      </w:r>
      <w:r w:rsidRPr="004813C1">
        <w:rPr>
          <w:rFonts w:eastAsiaTheme="minorHAnsi"/>
          <w:i/>
          <w:color w:val="000000"/>
          <w:sz w:val="22"/>
          <w:szCs w:val="22"/>
          <w:lang w:val="en-AU"/>
        </w:rPr>
        <w:t>Poisons Standard</w:t>
      </w:r>
      <w:r w:rsidR="008E2B60" w:rsidRPr="004813C1">
        <w:rPr>
          <w:rFonts w:eastAsiaTheme="minorHAnsi"/>
          <w:i/>
          <w:color w:val="000000"/>
          <w:sz w:val="22"/>
          <w:szCs w:val="22"/>
          <w:lang w:val="en-AU"/>
        </w:rPr>
        <w:t xml:space="preserve"> (No.2)</w:t>
      </w:r>
      <w:r w:rsidRPr="004813C1">
        <w:rPr>
          <w:rFonts w:eastAsiaTheme="minorHAnsi"/>
          <w:i/>
          <w:color w:val="000000"/>
          <w:sz w:val="22"/>
          <w:szCs w:val="22"/>
          <w:lang w:val="en-AU"/>
        </w:rPr>
        <w:t xml:space="preserve"> </w:t>
      </w:r>
      <w:r w:rsidR="00683B5D" w:rsidRPr="004813C1">
        <w:rPr>
          <w:rFonts w:eastAsiaTheme="minorHAnsi"/>
          <w:i/>
          <w:color w:val="000000"/>
          <w:sz w:val="22"/>
          <w:szCs w:val="22"/>
          <w:lang w:val="en-AU"/>
        </w:rPr>
        <w:t>June</w:t>
      </w:r>
      <w:r w:rsidR="00FF52FB" w:rsidRPr="004813C1">
        <w:rPr>
          <w:rFonts w:eastAsiaTheme="minorHAnsi"/>
          <w:i/>
          <w:color w:val="000000"/>
          <w:sz w:val="22"/>
          <w:szCs w:val="22"/>
          <w:lang w:val="en-AU"/>
        </w:rPr>
        <w:t xml:space="preserve"> 2020</w:t>
      </w:r>
      <w:r w:rsidR="00683B5D" w:rsidRPr="004813C1">
        <w:rPr>
          <w:rFonts w:eastAsiaTheme="minorHAnsi"/>
          <w:color w:val="000000"/>
          <w:sz w:val="22"/>
          <w:szCs w:val="22"/>
          <w:lang w:val="en-AU"/>
        </w:rPr>
        <w:t>,</w:t>
      </w:r>
      <w:r w:rsidRPr="004813C1">
        <w:rPr>
          <w:rFonts w:eastAsiaTheme="minorHAnsi"/>
          <w:i/>
          <w:color w:val="000000"/>
          <w:sz w:val="22"/>
          <w:szCs w:val="22"/>
          <w:lang w:val="en-AU"/>
        </w:rPr>
        <w:t xml:space="preserve"> </w:t>
      </w:r>
      <w:r w:rsidRPr="004813C1">
        <w:rPr>
          <w:rFonts w:eastAsiaTheme="minorHAnsi"/>
          <w:color w:val="000000"/>
          <w:sz w:val="22"/>
          <w:szCs w:val="22"/>
          <w:lang w:val="en-AU"/>
        </w:rPr>
        <w:t xml:space="preserve">which </w:t>
      </w:r>
      <w:proofErr w:type="gramStart"/>
      <w:r w:rsidR="00683B5D" w:rsidRPr="004813C1">
        <w:rPr>
          <w:rFonts w:eastAsiaTheme="minorHAnsi"/>
          <w:color w:val="000000"/>
          <w:sz w:val="22"/>
          <w:szCs w:val="22"/>
          <w:lang w:val="en-AU"/>
        </w:rPr>
        <w:t xml:space="preserve">was registered on </w:t>
      </w:r>
      <w:r w:rsidR="008E2B60" w:rsidRPr="004813C1">
        <w:rPr>
          <w:rFonts w:eastAsiaTheme="minorHAnsi"/>
          <w:color w:val="000000"/>
          <w:sz w:val="22"/>
          <w:szCs w:val="22"/>
          <w:lang w:val="en-AU"/>
        </w:rPr>
        <w:t xml:space="preserve">29 </w:t>
      </w:r>
      <w:r w:rsidR="00683B5D" w:rsidRPr="004813C1">
        <w:rPr>
          <w:rFonts w:eastAsiaTheme="minorHAnsi"/>
          <w:color w:val="000000"/>
          <w:sz w:val="22"/>
          <w:szCs w:val="22"/>
          <w:lang w:val="en-AU"/>
        </w:rPr>
        <w:t xml:space="preserve">May </w:t>
      </w:r>
      <w:r w:rsidR="0052392E">
        <w:rPr>
          <w:rFonts w:eastAsiaTheme="minorHAnsi"/>
          <w:color w:val="000000"/>
          <w:sz w:val="22"/>
          <w:szCs w:val="22"/>
          <w:lang w:val="en-AU"/>
        </w:rPr>
        <w:t xml:space="preserve">2020 </w:t>
      </w:r>
      <w:r w:rsidR="00683B5D" w:rsidRPr="004813C1">
        <w:rPr>
          <w:rFonts w:eastAsiaTheme="minorHAnsi"/>
          <w:color w:val="000000"/>
          <w:sz w:val="22"/>
          <w:szCs w:val="22"/>
          <w:lang w:val="en-AU"/>
        </w:rPr>
        <w:t xml:space="preserve">and </w:t>
      </w:r>
      <w:r w:rsidRPr="004813C1">
        <w:rPr>
          <w:rFonts w:eastAsiaTheme="minorHAnsi"/>
          <w:color w:val="000000"/>
          <w:sz w:val="22"/>
          <w:szCs w:val="22"/>
          <w:lang w:val="en-AU"/>
        </w:rPr>
        <w:t>commence</w:t>
      </w:r>
      <w:r w:rsidR="008E2B60" w:rsidRPr="004813C1">
        <w:rPr>
          <w:rFonts w:eastAsiaTheme="minorHAnsi"/>
          <w:color w:val="000000"/>
          <w:sz w:val="22"/>
          <w:szCs w:val="22"/>
          <w:lang w:val="en-AU"/>
        </w:rPr>
        <w:t>d</w:t>
      </w:r>
      <w:r w:rsidR="00D51092" w:rsidRPr="004813C1">
        <w:rPr>
          <w:rFonts w:eastAsiaTheme="minorHAnsi"/>
          <w:color w:val="000000"/>
          <w:sz w:val="22"/>
          <w:szCs w:val="22"/>
          <w:lang w:val="en-AU"/>
        </w:rPr>
        <w:t xml:space="preserve"> </w:t>
      </w:r>
      <w:r w:rsidRPr="004813C1">
        <w:rPr>
          <w:rFonts w:eastAsiaTheme="minorHAnsi"/>
          <w:color w:val="000000"/>
          <w:sz w:val="22"/>
          <w:szCs w:val="22"/>
          <w:lang w:val="en-AU"/>
        </w:rPr>
        <w:t>on</w:t>
      </w:r>
      <w:r w:rsidR="007347C7" w:rsidRPr="004813C1">
        <w:rPr>
          <w:rFonts w:eastAsiaTheme="minorHAnsi"/>
          <w:color w:val="000000"/>
          <w:sz w:val="22"/>
          <w:szCs w:val="22"/>
          <w:lang w:val="en-AU"/>
        </w:rPr>
        <w:t xml:space="preserve"> 1 </w:t>
      </w:r>
      <w:r w:rsidR="00683B5D" w:rsidRPr="004813C1">
        <w:rPr>
          <w:rFonts w:eastAsiaTheme="minorHAnsi"/>
          <w:color w:val="000000"/>
          <w:sz w:val="22"/>
          <w:szCs w:val="22"/>
          <w:lang w:val="en-AU"/>
        </w:rPr>
        <w:t>June</w:t>
      </w:r>
      <w:r w:rsidR="00FF52FB" w:rsidRPr="004813C1">
        <w:rPr>
          <w:rFonts w:eastAsiaTheme="minorHAnsi"/>
          <w:color w:val="000000"/>
          <w:sz w:val="22"/>
          <w:szCs w:val="22"/>
          <w:lang w:val="en-AU"/>
        </w:rPr>
        <w:t xml:space="preserve"> 2020</w:t>
      </w:r>
      <w:r w:rsidRPr="004813C1">
        <w:rPr>
          <w:rFonts w:eastAsiaTheme="minorHAnsi"/>
          <w:color w:val="000000"/>
          <w:sz w:val="22"/>
          <w:szCs w:val="22"/>
          <w:lang w:val="en-AU"/>
        </w:rPr>
        <w:t>,</w:t>
      </w:r>
      <w:proofErr w:type="gramEnd"/>
      <w:r w:rsidRPr="004813C1">
        <w:rPr>
          <w:rFonts w:eastAsiaTheme="minorHAnsi"/>
          <w:color w:val="000000"/>
          <w:sz w:val="22"/>
          <w:szCs w:val="22"/>
          <w:lang w:val="en-AU"/>
        </w:rPr>
        <w:t xml:space="preserve"> and which is repealed and replaced by this new Poisons Standard.</w:t>
      </w:r>
    </w:p>
    <w:p w14:paraId="2976B96D" w14:textId="77777777" w:rsidR="004813C1" w:rsidRDefault="004813C1" w:rsidP="004813C1">
      <w:pPr>
        <w:spacing w:before="0" w:after="0"/>
        <w:rPr>
          <w:rFonts w:eastAsiaTheme="minorHAnsi"/>
          <w:sz w:val="22"/>
          <w:szCs w:val="22"/>
          <w:lang w:val="en-AU"/>
        </w:rPr>
      </w:pPr>
    </w:p>
    <w:p w14:paraId="5903930F" w14:textId="33EF4D29" w:rsidR="0065490C" w:rsidRPr="004813C1" w:rsidRDefault="000104DC" w:rsidP="004813C1">
      <w:pPr>
        <w:spacing w:before="0" w:after="0"/>
        <w:rPr>
          <w:rFonts w:eastAsiaTheme="minorHAnsi"/>
          <w:sz w:val="22"/>
          <w:szCs w:val="22"/>
          <w:lang w:val="en-AU"/>
        </w:rPr>
      </w:pPr>
      <w:r w:rsidRPr="004813C1">
        <w:rPr>
          <w:rFonts w:eastAsiaTheme="minorHAnsi"/>
          <w:sz w:val="22"/>
          <w:szCs w:val="22"/>
          <w:lang w:val="en-AU"/>
        </w:rPr>
        <w:t xml:space="preserve">The </w:t>
      </w:r>
      <w:r w:rsidRPr="004813C1">
        <w:rPr>
          <w:rFonts w:eastAsiaTheme="minorHAnsi"/>
          <w:i/>
          <w:sz w:val="22"/>
          <w:szCs w:val="22"/>
          <w:lang w:val="en-AU"/>
        </w:rPr>
        <w:t>Poisons Standard (No.</w:t>
      </w:r>
      <w:r w:rsidR="006905DE" w:rsidRPr="004813C1">
        <w:rPr>
          <w:rFonts w:eastAsiaTheme="minorHAnsi"/>
          <w:i/>
          <w:sz w:val="22"/>
          <w:szCs w:val="22"/>
          <w:lang w:val="en-AU"/>
        </w:rPr>
        <w:t xml:space="preserve"> </w:t>
      </w:r>
      <w:r w:rsidRPr="004813C1">
        <w:rPr>
          <w:rFonts w:eastAsiaTheme="minorHAnsi"/>
          <w:i/>
          <w:sz w:val="22"/>
          <w:szCs w:val="22"/>
          <w:lang w:val="en-AU"/>
        </w:rPr>
        <w:t>3) June 2020</w:t>
      </w:r>
      <w:r w:rsidRPr="004813C1">
        <w:rPr>
          <w:rFonts w:eastAsiaTheme="minorHAnsi"/>
          <w:sz w:val="22"/>
          <w:szCs w:val="22"/>
          <w:lang w:val="en-AU"/>
        </w:rPr>
        <w:t xml:space="preserve"> incorporates a small number of changes to the </w:t>
      </w:r>
      <w:r w:rsidRPr="004813C1">
        <w:rPr>
          <w:rFonts w:eastAsiaTheme="minorHAnsi"/>
          <w:i/>
          <w:sz w:val="22"/>
          <w:szCs w:val="22"/>
          <w:lang w:val="en-AU"/>
        </w:rPr>
        <w:t>Poisons Standard (No.2) June 2020</w:t>
      </w:r>
      <w:r w:rsidRPr="004813C1">
        <w:rPr>
          <w:rFonts w:eastAsiaTheme="minorHAnsi"/>
          <w:sz w:val="22"/>
          <w:szCs w:val="22"/>
          <w:lang w:val="en-AU"/>
        </w:rPr>
        <w:t xml:space="preserve">, principally to </w:t>
      </w:r>
      <w:r w:rsidR="006905DE" w:rsidRPr="004813C1">
        <w:rPr>
          <w:rFonts w:eastAsiaTheme="minorHAnsi"/>
          <w:sz w:val="22"/>
          <w:szCs w:val="22"/>
          <w:lang w:val="en-AU"/>
        </w:rPr>
        <w:t>correct errors</w:t>
      </w:r>
      <w:r w:rsidRPr="004813C1">
        <w:rPr>
          <w:rFonts w:eastAsiaTheme="minorHAnsi"/>
          <w:sz w:val="22"/>
          <w:szCs w:val="22"/>
          <w:lang w:val="en-AU"/>
        </w:rPr>
        <w:t xml:space="preserve"> </w:t>
      </w:r>
      <w:r w:rsidR="006905DE" w:rsidRPr="004813C1">
        <w:rPr>
          <w:rFonts w:eastAsiaTheme="minorHAnsi"/>
          <w:sz w:val="22"/>
          <w:szCs w:val="22"/>
          <w:lang w:val="en-AU"/>
        </w:rPr>
        <w:t>made in relation to</w:t>
      </w:r>
      <w:r w:rsidRPr="004813C1">
        <w:rPr>
          <w:rFonts w:eastAsiaTheme="minorHAnsi"/>
          <w:sz w:val="22"/>
          <w:szCs w:val="22"/>
          <w:lang w:val="en-AU"/>
        </w:rPr>
        <w:t xml:space="preserve"> </w:t>
      </w:r>
      <w:r w:rsidR="004813C1" w:rsidRPr="004813C1">
        <w:rPr>
          <w:rFonts w:eastAsiaTheme="minorHAnsi"/>
          <w:sz w:val="22"/>
          <w:szCs w:val="22"/>
          <w:lang w:val="en-AU"/>
        </w:rPr>
        <w:t xml:space="preserve">the entries of </w:t>
      </w:r>
      <w:r w:rsidR="006905DE" w:rsidRPr="004813C1">
        <w:rPr>
          <w:rFonts w:eastAsiaTheme="minorHAnsi"/>
          <w:sz w:val="22"/>
          <w:szCs w:val="22"/>
          <w:lang w:val="en-AU"/>
        </w:rPr>
        <w:t>two</w:t>
      </w:r>
      <w:r w:rsidRPr="004813C1">
        <w:rPr>
          <w:rFonts w:eastAsiaTheme="minorHAnsi"/>
          <w:sz w:val="22"/>
          <w:szCs w:val="22"/>
          <w:lang w:val="en-AU"/>
        </w:rPr>
        <w:t xml:space="preserve"> substances </w:t>
      </w:r>
      <w:r w:rsidR="006905DE" w:rsidRPr="004813C1">
        <w:rPr>
          <w:rFonts w:eastAsiaTheme="minorHAnsi"/>
          <w:sz w:val="22"/>
          <w:szCs w:val="22"/>
          <w:lang w:val="en-AU"/>
        </w:rPr>
        <w:t>by</w:t>
      </w:r>
      <w:r w:rsidRPr="004813C1">
        <w:rPr>
          <w:rFonts w:eastAsiaTheme="minorHAnsi"/>
          <w:sz w:val="22"/>
          <w:szCs w:val="22"/>
          <w:lang w:val="en-AU"/>
        </w:rPr>
        <w:t xml:space="preserve"> the </w:t>
      </w:r>
      <w:r w:rsidRPr="004813C1">
        <w:rPr>
          <w:rFonts w:eastAsiaTheme="minorHAnsi"/>
          <w:i/>
          <w:sz w:val="22"/>
          <w:szCs w:val="22"/>
          <w:lang w:val="en-AU"/>
        </w:rPr>
        <w:t>Poisons Standard (No.2) June 2020</w:t>
      </w:r>
      <w:r w:rsidRPr="004813C1">
        <w:rPr>
          <w:rFonts w:eastAsiaTheme="minorHAnsi"/>
          <w:sz w:val="22"/>
          <w:szCs w:val="22"/>
          <w:lang w:val="en-AU"/>
        </w:rPr>
        <w:t xml:space="preserve">. </w:t>
      </w:r>
      <w:r w:rsidR="0052392E">
        <w:rPr>
          <w:rFonts w:eastAsiaTheme="minorHAnsi"/>
          <w:sz w:val="22"/>
          <w:szCs w:val="22"/>
          <w:lang w:val="en-AU"/>
        </w:rPr>
        <w:t xml:space="preserve"> </w:t>
      </w:r>
      <w:r w:rsidRPr="004813C1">
        <w:rPr>
          <w:rFonts w:eastAsiaTheme="minorHAnsi"/>
          <w:sz w:val="22"/>
          <w:szCs w:val="22"/>
          <w:lang w:val="en-AU"/>
        </w:rPr>
        <w:t>The</w:t>
      </w:r>
      <w:r w:rsidR="00ED7CA0" w:rsidRPr="004813C1">
        <w:rPr>
          <w:rFonts w:eastAsiaTheme="minorHAnsi"/>
          <w:sz w:val="22"/>
          <w:szCs w:val="22"/>
          <w:lang w:val="en-AU"/>
        </w:rPr>
        <w:t xml:space="preserve">se </w:t>
      </w:r>
      <w:r w:rsidRPr="004813C1">
        <w:rPr>
          <w:rFonts w:eastAsiaTheme="minorHAnsi"/>
          <w:sz w:val="22"/>
          <w:szCs w:val="22"/>
          <w:lang w:val="en-AU"/>
        </w:rPr>
        <w:t>substances</w:t>
      </w:r>
      <w:r w:rsidR="00ED7CA0" w:rsidRPr="004813C1">
        <w:rPr>
          <w:rFonts w:eastAsiaTheme="minorHAnsi"/>
          <w:sz w:val="22"/>
          <w:szCs w:val="22"/>
          <w:lang w:val="en-AU"/>
        </w:rPr>
        <w:t>,</w:t>
      </w:r>
      <w:r w:rsidRPr="004813C1">
        <w:rPr>
          <w:rFonts w:eastAsiaTheme="minorHAnsi"/>
          <w:sz w:val="22"/>
          <w:szCs w:val="22"/>
          <w:lang w:val="en-AU"/>
        </w:rPr>
        <w:t xml:space="preserve"> </w:t>
      </w:r>
      <w:proofErr w:type="spellStart"/>
      <w:r w:rsidRPr="004813C1">
        <w:rPr>
          <w:rFonts w:eastAsiaTheme="minorHAnsi"/>
          <w:sz w:val="22"/>
          <w:szCs w:val="22"/>
          <w:lang w:val="en-AU"/>
        </w:rPr>
        <w:t>s</w:t>
      </w:r>
      <w:r w:rsidR="00716C96" w:rsidRPr="004813C1">
        <w:rPr>
          <w:rFonts w:eastAsiaTheme="minorHAnsi"/>
          <w:sz w:val="22"/>
          <w:szCs w:val="22"/>
          <w:lang w:val="en-AU"/>
        </w:rPr>
        <w:t>umatriptan</w:t>
      </w:r>
      <w:proofErr w:type="spellEnd"/>
      <w:r w:rsidR="00716C96" w:rsidRPr="004813C1">
        <w:rPr>
          <w:rFonts w:eastAsiaTheme="minorHAnsi"/>
          <w:sz w:val="22"/>
          <w:szCs w:val="22"/>
          <w:lang w:val="en-AU"/>
        </w:rPr>
        <w:t xml:space="preserve"> and </w:t>
      </w:r>
      <w:proofErr w:type="spellStart"/>
      <w:r w:rsidR="00716C96" w:rsidRPr="004813C1">
        <w:rPr>
          <w:rFonts w:eastAsiaTheme="minorHAnsi"/>
          <w:sz w:val="22"/>
          <w:szCs w:val="22"/>
          <w:lang w:val="en-AU"/>
        </w:rPr>
        <w:t>zolmitriptan</w:t>
      </w:r>
      <w:proofErr w:type="spellEnd"/>
      <w:r w:rsidR="00ED7CA0" w:rsidRPr="004813C1">
        <w:rPr>
          <w:rFonts w:eastAsiaTheme="minorHAnsi"/>
          <w:sz w:val="22"/>
          <w:szCs w:val="22"/>
          <w:lang w:val="en-AU"/>
        </w:rPr>
        <w:t>,</w:t>
      </w:r>
      <w:r w:rsidRPr="004813C1">
        <w:rPr>
          <w:rFonts w:eastAsiaTheme="minorHAnsi"/>
          <w:sz w:val="22"/>
          <w:szCs w:val="22"/>
          <w:lang w:val="en-AU"/>
        </w:rPr>
        <w:t xml:space="preserve"> </w:t>
      </w:r>
      <w:r w:rsidR="006D2DC2" w:rsidRPr="004813C1">
        <w:rPr>
          <w:rFonts w:eastAsiaTheme="minorHAnsi"/>
          <w:sz w:val="22"/>
          <w:szCs w:val="22"/>
          <w:lang w:val="en-AU"/>
        </w:rPr>
        <w:t xml:space="preserve">were inadvertently </w:t>
      </w:r>
      <w:r w:rsidR="00DF0A80" w:rsidRPr="004813C1">
        <w:rPr>
          <w:rFonts w:eastAsiaTheme="minorHAnsi"/>
          <w:sz w:val="22"/>
          <w:szCs w:val="22"/>
          <w:lang w:val="en-AU"/>
        </w:rPr>
        <w:t xml:space="preserve">included in </w:t>
      </w:r>
      <w:r w:rsidR="006D2DC2" w:rsidRPr="004813C1">
        <w:rPr>
          <w:rFonts w:eastAsiaTheme="minorHAnsi"/>
          <w:sz w:val="22"/>
          <w:szCs w:val="22"/>
          <w:lang w:val="en-AU"/>
        </w:rPr>
        <w:t xml:space="preserve">Schedule 3 and Appendix H </w:t>
      </w:r>
      <w:r w:rsidRPr="004813C1">
        <w:rPr>
          <w:rFonts w:eastAsiaTheme="minorHAnsi"/>
          <w:sz w:val="22"/>
          <w:szCs w:val="22"/>
          <w:lang w:val="en-AU"/>
        </w:rPr>
        <w:t>of</w:t>
      </w:r>
      <w:r w:rsidR="006D2DC2" w:rsidRPr="004813C1">
        <w:rPr>
          <w:rFonts w:eastAsiaTheme="minorHAnsi"/>
          <w:sz w:val="22"/>
          <w:szCs w:val="22"/>
          <w:lang w:val="en-AU"/>
        </w:rPr>
        <w:t xml:space="preserve"> t</w:t>
      </w:r>
      <w:r w:rsidR="00CB053D" w:rsidRPr="004813C1">
        <w:rPr>
          <w:rFonts w:eastAsiaTheme="minorHAnsi"/>
          <w:sz w:val="22"/>
          <w:szCs w:val="22"/>
          <w:lang w:val="en-AU"/>
        </w:rPr>
        <w:t xml:space="preserve">he </w:t>
      </w:r>
      <w:r w:rsidR="00294AC9" w:rsidRPr="004813C1">
        <w:rPr>
          <w:rFonts w:eastAsiaTheme="minorHAnsi"/>
          <w:i/>
          <w:sz w:val="22"/>
          <w:szCs w:val="22"/>
          <w:lang w:val="en-AU"/>
        </w:rPr>
        <w:t>Poisons Standard (No.</w:t>
      </w:r>
      <w:r w:rsidR="00716C96" w:rsidRPr="004813C1">
        <w:rPr>
          <w:rFonts w:eastAsiaTheme="minorHAnsi"/>
          <w:i/>
          <w:sz w:val="22"/>
          <w:szCs w:val="22"/>
          <w:lang w:val="en-AU"/>
        </w:rPr>
        <w:t>2</w:t>
      </w:r>
      <w:r w:rsidR="00CB053D" w:rsidRPr="004813C1">
        <w:rPr>
          <w:rFonts w:eastAsiaTheme="minorHAnsi"/>
          <w:i/>
          <w:sz w:val="22"/>
          <w:szCs w:val="22"/>
          <w:lang w:val="en-AU"/>
        </w:rPr>
        <w:t>) June 2020</w:t>
      </w:r>
      <w:r w:rsidR="00A40290" w:rsidRPr="004813C1">
        <w:rPr>
          <w:rFonts w:eastAsiaTheme="minorHAnsi"/>
          <w:sz w:val="22"/>
          <w:szCs w:val="22"/>
          <w:lang w:val="en-AU"/>
        </w:rPr>
        <w:t>,</w:t>
      </w:r>
      <w:r w:rsidR="00DF0A80" w:rsidRPr="004813C1">
        <w:rPr>
          <w:rFonts w:eastAsiaTheme="minorHAnsi"/>
          <w:sz w:val="22"/>
          <w:szCs w:val="22"/>
          <w:lang w:val="en-AU"/>
        </w:rPr>
        <w:t xml:space="preserve"> and </w:t>
      </w:r>
      <w:r w:rsidR="00A40290" w:rsidRPr="004813C1">
        <w:rPr>
          <w:rFonts w:eastAsiaTheme="minorHAnsi"/>
          <w:sz w:val="22"/>
          <w:szCs w:val="22"/>
          <w:lang w:val="en-AU"/>
        </w:rPr>
        <w:t>amendments</w:t>
      </w:r>
      <w:r w:rsidR="00DF0A80" w:rsidRPr="004813C1">
        <w:rPr>
          <w:rFonts w:eastAsiaTheme="minorHAnsi"/>
          <w:sz w:val="22"/>
          <w:szCs w:val="22"/>
          <w:lang w:val="en-AU"/>
        </w:rPr>
        <w:t xml:space="preserve"> made t</w:t>
      </w:r>
      <w:r w:rsidR="00A40290" w:rsidRPr="004813C1">
        <w:rPr>
          <w:rFonts w:eastAsiaTheme="minorHAnsi"/>
          <w:sz w:val="22"/>
          <w:szCs w:val="22"/>
          <w:lang w:val="en-AU"/>
        </w:rPr>
        <w:t>o the</w:t>
      </w:r>
      <w:r w:rsidR="00DF0A80" w:rsidRPr="004813C1">
        <w:rPr>
          <w:rFonts w:eastAsiaTheme="minorHAnsi"/>
          <w:sz w:val="22"/>
          <w:szCs w:val="22"/>
          <w:lang w:val="en-AU"/>
        </w:rPr>
        <w:t xml:space="preserve"> entries </w:t>
      </w:r>
      <w:r w:rsidR="00A40290" w:rsidRPr="004813C1">
        <w:rPr>
          <w:rFonts w:eastAsiaTheme="minorHAnsi"/>
          <w:sz w:val="22"/>
          <w:szCs w:val="22"/>
          <w:lang w:val="en-AU"/>
        </w:rPr>
        <w:t xml:space="preserve">relating to those substances </w:t>
      </w:r>
      <w:r w:rsidR="00DF0A80" w:rsidRPr="004813C1">
        <w:rPr>
          <w:rFonts w:eastAsiaTheme="minorHAnsi"/>
          <w:sz w:val="22"/>
          <w:szCs w:val="22"/>
          <w:lang w:val="en-AU"/>
        </w:rPr>
        <w:t xml:space="preserve">in Schedule 4 to reflect that </w:t>
      </w:r>
      <w:r w:rsidR="00A40290" w:rsidRPr="004813C1">
        <w:rPr>
          <w:rFonts w:eastAsiaTheme="minorHAnsi"/>
          <w:sz w:val="22"/>
          <w:szCs w:val="22"/>
          <w:lang w:val="en-AU"/>
        </w:rPr>
        <w:t>down-</w:t>
      </w:r>
      <w:r w:rsidR="00DF0A80" w:rsidRPr="004813C1">
        <w:rPr>
          <w:rFonts w:eastAsiaTheme="minorHAnsi"/>
          <w:sz w:val="22"/>
          <w:szCs w:val="22"/>
          <w:lang w:val="en-AU"/>
        </w:rPr>
        <w:t>scheduling</w:t>
      </w:r>
      <w:r w:rsidR="0065490C" w:rsidRPr="004813C1">
        <w:rPr>
          <w:rFonts w:eastAsiaTheme="minorHAnsi"/>
          <w:sz w:val="22"/>
          <w:szCs w:val="22"/>
          <w:lang w:val="en-AU"/>
        </w:rPr>
        <w:t>.</w:t>
      </w:r>
    </w:p>
    <w:p w14:paraId="357CC5A6" w14:textId="77777777" w:rsidR="004813C1" w:rsidRDefault="004813C1" w:rsidP="004813C1">
      <w:pPr>
        <w:spacing w:before="0" w:after="0"/>
        <w:rPr>
          <w:rFonts w:eastAsiaTheme="minorHAnsi"/>
          <w:sz w:val="22"/>
          <w:szCs w:val="22"/>
          <w:lang w:val="en-AU"/>
        </w:rPr>
      </w:pPr>
    </w:p>
    <w:p w14:paraId="1D768CC8" w14:textId="4021D7FD" w:rsidR="00281CCF" w:rsidRPr="004813C1" w:rsidRDefault="0065490C" w:rsidP="004813C1">
      <w:pPr>
        <w:spacing w:before="0" w:after="0"/>
        <w:rPr>
          <w:rFonts w:eastAsiaTheme="minorHAnsi"/>
          <w:sz w:val="22"/>
          <w:szCs w:val="22"/>
          <w:lang w:val="en-AU"/>
        </w:rPr>
      </w:pPr>
      <w:r w:rsidRPr="004813C1">
        <w:rPr>
          <w:rFonts w:eastAsiaTheme="minorHAnsi"/>
          <w:sz w:val="22"/>
          <w:szCs w:val="22"/>
          <w:lang w:val="en-AU"/>
        </w:rPr>
        <w:t xml:space="preserve">While a delegate of the Secretary </w:t>
      </w:r>
      <w:r w:rsidR="00281CCF" w:rsidRPr="004813C1">
        <w:rPr>
          <w:rFonts w:eastAsiaTheme="minorHAnsi"/>
          <w:sz w:val="22"/>
          <w:szCs w:val="22"/>
          <w:lang w:val="en-AU"/>
        </w:rPr>
        <w:t xml:space="preserve">recently </w:t>
      </w:r>
      <w:r w:rsidRPr="004813C1">
        <w:rPr>
          <w:rFonts w:eastAsiaTheme="minorHAnsi"/>
          <w:sz w:val="22"/>
          <w:szCs w:val="22"/>
          <w:lang w:val="en-AU"/>
        </w:rPr>
        <w:t xml:space="preserve">made a </w:t>
      </w:r>
      <w:r w:rsidR="00281CCF" w:rsidRPr="004813C1">
        <w:rPr>
          <w:rFonts w:eastAsiaTheme="minorHAnsi"/>
          <w:sz w:val="22"/>
          <w:szCs w:val="22"/>
          <w:lang w:val="en-AU"/>
        </w:rPr>
        <w:t xml:space="preserve">final </w:t>
      </w:r>
      <w:r w:rsidRPr="004813C1">
        <w:rPr>
          <w:rFonts w:eastAsiaTheme="minorHAnsi"/>
          <w:sz w:val="22"/>
          <w:szCs w:val="22"/>
          <w:lang w:val="en-AU"/>
        </w:rPr>
        <w:t xml:space="preserve">decision under regulation </w:t>
      </w:r>
      <w:r w:rsidRPr="0052392E">
        <w:rPr>
          <w:rFonts w:eastAsiaTheme="minorHAnsi"/>
          <w:sz w:val="22"/>
          <w:szCs w:val="22"/>
          <w:lang w:val="en-AU"/>
        </w:rPr>
        <w:t>42ZCZR o</w:t>
      </w:r>
      <w:r w:rsidRPr="004813C1">
        <w:rPr>
          <w:rFonts w:eastAsiaTheme="minorHAnsi"/>
          <w:sz w:val="22"/>
          <w:szCs w:val="22"/>
          <w:lang w:val="en-AU"/>
        </w:rPr>
        <w:t xml:space="preserve">f the </w:t>
      </w:r>
      <w:r w:rsidRPr="004813C1">
        <w:rPr>
          <w:rFonts w:eastAsiaTheme="minorHAnsi"/>
          <w:i/>
          <w:sz w:val="22"/>
          <w:szCs w:val="22"/>
          <w:lang w:val="en-AU"/>
        </w:rPr>
        <w:t>Therapeutic Goods Regulations 1990</w:t>
      </w:r>
      <w:r w:rsidR="00281CCF" w:rsidRPr="004813C1">
        <w:rPr>
          <w:rFonts w:eastAsiaTheme="minorHAnsi"/>
          <w:sz w:val="22"/>
          <w:szCs w:val="22"/>
          <w:lang w:val="en-AU"/>
        </w:rPr>
        <w:t xml:space="preserve"> (</w:t>
      </w:r>
      <w:r w:rsidR="006905DE" w:rsidRPr="004813C1">
        <w:rPr>
          <w:rFonts w:eastAsiaTheme="minorHAnsi"/>
          <w:sz w:val="22"/>
          <w:szCs w:val="22"/>
          <w:lang w:val="en-AU"/>
        </w:rPr>
        <w:t>“</w:t>
      </w:r>
      <w:r w:rsidR="00281CCF" w:rsidRPr="004813C1">
        <w:rPr>
          <w:rFonts w:eastAsiaTheme="minorHAnsi"/>
          <w:sz w:val="22"/>
          <w:szCs w:val="22"/>
          <w:lang w:val="en-AU"/>
        </w:rPr>
        <w:t>the Regulations</w:t>
      </w:r>
      <w:r w:rsidR="006905DE" w:rsidRPr="004813C1">
        <w:rPr>
          <w:rFonts w:eastAsiaTheme="minorHAnsi"/>
          <w:sz w:val="22"/>
          <w:szCs w:val="22"/>
          <w:lang w:val="en-AU"/>
        </w:rPr>
        <w:t>”</w:t>
      </w:r>
      <w:r w:rsidR="00281CCF" w:rsidRPr="004813C1">
        <w:rPr>
          <w:rFonts w:eastAsiaTheme="minorHAnsi"/>
          <w:sz w:val="22"/>
          <w:szCs w:val="22"/>
          <w:lang w:val="en-AU"/>
        </w:rPr>
        <w:t>)</w:t>
      </w:r>
      <w:r w:rsidRPr="004813C1">
        <w:rPr>
          <w:rFonts w:eastAsiaTheme="minorHAnsi"/>
          <w:sz w:val="22"/>
          <w:szCs w:val="22"/>
          <w:lang w:val="en-AU"/>
        </w:rPr>
        <w:t xml:space="preserve"> to </w:t>
      </w:r>
      <w:r w:rsidR="00A40290" w:rsidRPr="004813C1">
        <w:rPr>
          <w:rFonts w:eastAsiaTheme="minorHAnsi"/>
          <w:sz w:val="22"/>
          <w:szCs w:val="22"/>
          <w:lang w:val="en-AU"/>
        </w:rPr>
        <w:t>include</w:t>
      </w:r>
      <w:r w:rsidRPr="004813C1">
        <w:rPr>
          <w:rFonts w:eastAsiaTheme="minorHAnsi"/>
          <w:sz w:val="22"/>
          <w:szCs w:val="22"/>
          <w:lang w:val="en-AU"/>
        </w:rPr>
        <w:t xml:space="preserve"> the</w:t>
      </w:r>
      <w:r w:rsidR="00ED7CA0" w:rsidRPr="004813C1">
        <w:rPr>
          <w:rFonts w:eastAsiaTheme="minorHAnsi"/>
          <w:sz w:val="22"/>
          <w:szCs w:val="22"/>
          <w:lang w:val="en-AU"/>
        </w:rPr>
        <w:t xml:space="preserve"> two</w:t>
      </w:r>
      <w:r w:rsidRPr="004813C1">
        <w:rPr>
          <w:rFonts w:eastAsiaTheme="minorHAnsi"/>
          <w:sz w:val="22"/>
          <w:szCs w:val="22"/>
          <w:lang w:val="en-AU"/>
        </w:rPr>
        <w:t xml:space="preserve"> substances </w:t>
      </w:r>
      <w:r w:rsidR="00A40290" w:rsidRPr="004813C1">
        <w:rPr>
          <w:rFonts w:eastAsiaTheme="minorHAnsi"/>
          <w:sz w:val="22"/>
          <w:szCs w:val="22"/>
          <w:lang w:val="en-AU"/>
        </w:rPr>
        <w:t>in</w:t>
      </w:r>
      <w:r w:rsidRPr="004813C1">
        <w:rPr>
          <w:rFonts w:eastAsiaTheme="minorHAnsi"/>
          <w:sz w:val="22"/>
          <w:szCs w:val="22"/>
          <w:lang w:val="en-AU"/>
        </w:rPr>
        <w:t xml:space="preserve"> Schedule 3 and Appendix H</w:t>
      </w:r>
      <w:r w:rsidR="00A40290" w:rsidRPr="004813C1">
        <w:rPr>
          <w:rFonts w:eastAsiaTheme="minorHAnsi"/>
          <w:sz w:val="22"/>
          <w:szCs w:val="22"/>
          <w:lang w:val="en-AU"/>
        </w:rPr>
        <w:t xml:space="preserve"> </w:t>
      </w:r>
      <w:r w:rsidR="004813C1" w:rsidRPr="004813C1">
        <w:rPr>
          <w:rFonts w:eastAsiaTheme="minorHAnsi"/>
          <w:sz w:val="22"/>
          <w:szCs w:val="22"/>
          <w:lang w:val="en-AU"/>
        </w:rPr>
        <w:t>(</w:t>
      </w:r>
      <w:r w:rsidR="00A40290" w:rsidRPr="004813C1">
        <w:rPr>
          <w:rFonts w:eastAsiaTheme="minorHAnsi"/>
          <w:sz w:val="22"/>
          <w:szCs w:val="22"/>
          <w:lang w:val="en-AU"/>
        </w:rPr>
        <w:t xml:space="preserve">in </w:t>
      </w:r>
      <w:r w:rsidR="004813C1" w:rsidRPr="004813C1">
        <w:rPr>
          <w:rFonts w:eastAsiaTheme="minorHAnsi"/>
          <w:sz w:val="22"/>
          <w:szCs w:val="22"/>
          <w:lang w:val="en-AU"/>
        </w:rPr>
        <w:t xml:space="preserve">certain </w:t>
      </w:r>
      <w:r w:rsidR="00A40290" w:rsidRPr="004813C1">
        <w:rPr>
          <w:rFonts w:eastAsiaTheme="minorHAnsi"/>
          <w:sz w:val="22"/>
          <w:szCs w:val="22"/>
          <w:lang w:val="en-AU"/>
        </w:rPr>
        <w:t>oral preparations</w:t>
      </w:r>
      <w:r w:rsidR="004813C1" w:rsidRPr="004813C1">
        <w:rPr>
          <w:rFonts w:eastAsiaTheme="minorHAnsi"/>
          <w:sz w:val="22"/>
          <w:szCs w:val="22"/>
          <w:lang w:val="en-AU"/>
        </w:rPr>
        <w:t>)</w:t>
      </w:r>
      <w:r w:rsidRPr="004813C1">
        <w:rPr>
          <w:rFonts w:eastAsiaTheme="minorHAnsi"/>
          <w:sz w:val="22"/>
          <w:szCs w:val="22"/>
          <w:lang w:val="en-AU"/>
        </w:rPr>
        <w:t xml:space="preserve">, </w:t>
      </w:r>
      <w:r w:rsidR="00A40290" w:rsidRPr="004813C1">
        <w:rPr>
          <w:rFonts w:eastAsiaTheme="minorHAnsi"/>
          <w:sz w:val="22"/>
          <w:szCs w:val="22"/>
          <w:lang w:val="en-AU"/>
        </w:rPr>
        <w:t xml:space="preserve">that decision was intended to </w:t>
      </w:r>
      <w:r w:rsidR="00281CCF" w:rsidRPr="004813C1">
        <w:rPr>
          <w:rFonts w:eastAsiaTheme="minorHAnsi"/>
          <w:sz w:val="22"/>
          <w:szCs w:val="22"/>
          <w:lang w:val="en-AU"/>
        </w:rPr>
        <w:t xml:space="preserve">take effect by amendment to the Poisons Standard </w:t>
      </w:r>
      <w:r w:rsidR="00A40290" w:rsidRPr="004813C1">
        <w:rPr>
          <w:rFonts w:eastAsiaTheme="minorHAnsi"/>
          <w:sz w:val="22"/>
          <w:szCs w:val="22"/>
          <w:lang w:val="en-AU"/>
        </w:rPr>
        <w:t xml:space="preserve">in </w:t>
      </w:r>
      <w:r w:rsidR="00281CCF" w:rsidRPr="004813C1">
        <w:rPr>
          <w:rFonts w:eastAsiaTheme="minorHAnsi"/>
          <w:sz w:val="22"/>
          <w:szCs w:val="22"/>
          <w:lang w:val="en-AU"/>
        </w:rPr>
        <w:t xml:space="preserve">February 2021 rather than June 2020. </w:t>
      </w:r>
      <w:r w:rsidR="0052392E">
        <w:rPr>
          <w:rFonts w:eastAsiaTheme="minorHAnsi"/>
          <w:sz w:val="22"/>
          <w:szCs w:val="22"/>
          <w:lang w:val="en-AU"/>
        </w:rPr>
        <w:t xml:space="preserve"> </w:t>
      </w:r>
      <w:r w:rsidR="00281CCF" w:rsidRPr="004813C1">
        <w:rPr>
          <w:rFonts w:eastAsiaTheme="minorHAnsi"/>
          <w:sz w:val="22"/>
          <w:szCs w:val="22"/>
          <w:lang w:val="en-AU"/>
        </w:rPr>
        <w:t>Th</w:t>
      </w:r>
      <w:r w:rsidR="00A40290" w:rsidRPr="004813C1">
        <w:rPr>
          <w:rFonts w:eastAsiaTheme="minorHAnsi"/>
          <w:sz w:val="22"/>
          <w:szCs w:val="22"/>
          <w:lang w:val="en-AU"/>
        </w:rPr>
        <w:t xml:space="preserve">e </w:t>
      </w:r>
      <w:r w:rsidR="004813C1" w:rsidRPr="004813C1">
        <w:rPr>
          <w:rFonts w:eastAsiaTheme="minorHAnsi"/>
          <w:sz w:val="22"/>
          <w:szCs w:val="22"/>
          <w:lang w:val="en-AU"/>
        </w:rPr>
        <w:t xml:space="preserve">delegate’s </w:t>
      </w:r>
      <w:r w:rsidR="00281CCF" w:rsidRPr="004813C1">
        <w:rPr>
          <w:rFonts w:eastAsiaTheme="minorHAnsi"/>
          <w:sz w:val="22"/>
          <w:szCs w:val="22"/>
          <w:lang w:val="en-AU"/>
        </w:rPr>
        <w:t>decision</w:t>
      </w:r>
      <w:r w:rsidR="004813C1" w:rsidRPr="004813C1">
        <w:rPr>
          <w:rFonts w:eastAsiaTheme="minorHAnsi"/>
          <w:sz w:val="22"/>
          <w:szCs w:val="22"/>
          <w:lang w:val="en-AU"/>
        </w:rPr>
        <w:t xml:space="preserve"> reflecting the date of effect as 1 February 2021</w:t>
      </w:r>
      <w:r w:rsidR="00281CCF" w:rsidRPr="004813C1">
        <w:rPr>
          <w:rFonts w:eastAsiaTheme="minorHAnsi"/>
          <w:sz w:val="22"/>
          <w:szCs w:val="22"/>
          <w:lang w:val="en-AU"/>
        </w:rPr>
        <w:t xml:space="preserve"> was published on the TGA website </w:t>
      </w:r>
      <w:r w:rsidR="004813C1" w:rsidRPr="004813C1">
        <w:rPr>
          <w:rFonts w:eastAsiaTheme="minorHAnsi"/>
          <w:sz w:val="22"/>
          <w:szCs w:val="22"/>
          <w:lang w:val="en-AU"/>
        </w:rPr>
        <w:t xml:space="preserve">on 7 </w:t>
      </w:r>
      <w:r w:rsidR="00281CCF" w:rsidRPr="004813C1">
        <w:rPr>
          <w:rFonts w:eastAsiaTheme="minorHAnsi"/>
          <w:sz w:val="22"/>
          <w:szCs w:val="22"/>
          <w:lang w:val="en-AU"/>
        </w:rPr>
        <w:t xml:space="preserve">May 2020 in accordance with the requirements of regulation </w:t>
      </w:r>
      <w:r w:rsidR="00281CCF" w:rsidRPr="0052392E">
        <w:rPr>
          <w:rFonts w:eastAsiaTheme="minorHAnsi"/>
          <w:sz w:val="22"/>
          <w:szCs w:val="22"/>
          <w:lang w:val="en-AU"/>
        </w:rPr>
        <w:t>42ZCZ</w:t>
      </w:r>
      <w:r w:rsidR="006905DE" w:rsidRPr="0052392E">
        <w:rPr>
          <w:rFonts w:eastAsiaTheme="minorHAnsi"/>
          <w:sz w:val="22"/>
          <w:szCs w:val="22"/>
          <w:lang w:val="en-AU"/>
        </w:rPr>
        <w:t>S</w:t>
      </w:r>
      <w:r w:rsidR="00281CCF" w:rsidRPr="004813C1">
        <w:rPr>
          <w:rFonts w:eastAsiaTheme="minorHAnsi"/>
          <w:sz w:val="22"/>
          <w:szCs w:val="22"/>
          <w:lang w:val="en-AU"/>
        </w:rPr>
        <w:t xml:space="preserve"> of the Regulations.</w:t>
      </w:r>
    </w:p>
    <w:p w14:paraId="16619731" w14:textId="77777777" w:rsidR="004813C1" w:rsidRDefault="004813C1" w:rsidP="004813C1">
      <w:pPr>
        <w:spacing w:before="0" w:after="0"/>
        <w:rPr>
          <w:rFonts w:eastAsiaTheme="minorHAnsi"/>
          <w:sz w:val="22"/>
          <w:szCs w:val="22"/>
          <w:lang w:val="en-AU"/>
        </w:rPr>
      </w:pPr>
    </w:p>
    <w:p w14:paraId="4655A77F" w14:textId="3B0AC4A9" w:rsidR="00716C96" w:rsidRPr="004813C1" w:rsidRDefault="003300BD" w:rsidP="004813C1">
      <w:pPr>
        <w:spacing w:before="0" w:after="0"/>
        <w:rPr>
          <w:rFonts w:eastAsiaTheme="minorHAnsi"/>
          <w:sz w:val="22"/>
          <w:szCs w:val="22"/>
          <w:lang w:val="en-AU"/>
        </w:rPr>
      </w:pPr>
      <w:r w:rsidRPr="004813C1">
        <w:rPr>
          <w:rFonts w:eastAsiaTheme="minorHAnsi"/>
          <w:sz w:val="22"/>
          <w:szCs w:val="22"/>
          <w:lang w:val="en-AU"/>
        </w:rPr>
        <w:t xml:space="preserve">The </w:t>
      </w:r>
      <w:r w:rsidR="004813C1" w:rsidRPr="004813C1">
        <w:rPr>
          <w:rFonts w:eastAsiaTheme="minorHAnsi"/>
          <w:sz w:val="22"/>
          <w:szCs w:val="22"/>
          <w:lang w:val="en-AU"/>
        </w:rPr>
        <w:t>date of effect</w:t>
      </w:r>
      <w:r w:rsidR="00281CCF" w:rsidRPr="004813C1">
        <w:rPr>
          <w:rFonts w:eastAsiaTheme="minorHAnsi"/>
          <w:sz w:val="22"/>
          <w:szCs w:val="22"/>
          <w:lang w:val="en-AU"/>
        </w:rPr>
        <w:t xml:space="preserve"> reflects the </w:t>
      </w:r>
      <w:r w:rsidR="00B57924" w:rsidRPr="004813C1">
        <w:rPr>
          <w:rFonts w:eastAsiaTheme="minorHAnsi"/>
          <w:sz w:val="22"/>
          <w:szCs w:val="22"/>
          <w:lang w:val="en-AU"/>
        </w:rPr>
        <w:t>agree</w:t>
      </w:r>
      <w:r w:rsidR="00281CCF" w:rsidRPr="004813C1">
        <w:rPr>
          <w:rFonts w:eastAsiaTheme="minorHAnsi"/>
          <w:sz w:val="22"/>
          <w:szCs w:val="22"/>
          <w:lang w:val="en-AU"/>
        </w:rPr>
        <w:t>ment</w:t>
      </w:r>
      <w:r w:rsidR="00B57924" w:rsidRPr="004813C1">
        <w:rPr>
          <w:rFonts w:eastAsiaTheme="minorHAnsi"/>
          <w:sz w:val="22"/>
          <w:szCs w:val="22"/>
          <w:lang w:val="en-AU"/>
        </w:rPr>
        <w:t xml:space="preserve"> </w:t>
      </w:r>
      <w:r w:rsidR="00281CCF" w:rsidRPr="004813C1">
        <w:rPr>
          <w:rFonts w:eastAsiaTheme="minorHAnsi"/>
          <w:sz w:val="22"/>
          <w:szCs w:val="22"/>
          <w:lang w:val="en-AU"/>
        </w:rPr>
        <w:t>of</w:t>
      </w:r>
      <w:r w:rsidR="00B57924" w:rsidRPr="004813C1">
        <w:rPr>
          <w:rFonts w:eastAsiaTheme="minorHAnsi"/>
          <w:sz w:val="22"/>
          <w:szCs w:val="22"/>
          <w:lang w:val="en-AU"/>
        </w:rPr>
        <w:t xml:space="preserve"> stakeholders</w:t>
      </w:r>
      <w:r w:rsidR="00C130B0" w:rsidRPr="004813C1">
        <w:rPr>
          <w:rFonts w:eastAsiaTheme="minorHAnsi"/>
          <w:sz w:val="22"/>
          <w:szCs w:val="22"/>
          <w:lang w:val="en-AU"/>
        </w:rPr>
        <w:t>,</w:t>
      </w:r>
      <w:r w:rsidR="00B57924" w:rsidRPr="004813C1">
        <w:rPr>
          <w:rFonts w:eastAsiaTheme="minorHAnsi"/>
          <w:sz w:val="22"/>
          <w:szCs w:val="22"/>
          <w:lang w:val="en-AU"/>
        </w:rPr>
        <w:t xml:space="preserve"> </w:t>
      </w:r>
      <w:r w:rsidR="00281CCF" w:rsidRPr="004813C1">
        <w:rPr>
          <w:rFonts w:eastAsiaTheme="minorHAnsi"/>
          <w:sz w:val="22"/>
          <w:szCs w:val="22"/>
          <w:lang w:val="en-AU"/>
        </w:rPr>
        <w:t>including</w:t>
      </w:r>
      <w:r w:rsidR="00B57924" w:rsidRPr="004813C1">
        <w:rPr>
          <w:rFonts w:eastAsiaTheme="minorHAnsi"/>
          <w:sz w:val="22"/>
          <w:szCs w:val="22"/>
          <w:lang w:val="en-AU"/>
        </w:rPr>
        <w:t xml:space="preserve"> </w:t>
      </w:r>
      <w:r w:rsidR="00C130B0" w:rsidRPr="004813C1">
        <w:rPr>
          <w:rFonts w:eastAsiaTheme="minorHAnsi"/>
          <w:sz w:val="22"/>
          <w:szCs w:val="22"/>
          <w:lang w:val="en-AU"/>
        </w:rPr>
        <w:t>the s</w:t>
      </w:r>
      <w:r w:rsidR="000104DC" w:rsidRPr="004813C1">
        <w:rPr>
          <w:rFonts w:eastAsiaTheme="minorHAnsi"/>
          <w:sz w:val="22"/>
          <w:szCs w:val="22"/>
          <w:lang w:val="en-AU"/>
        </w:rPr>
        <w:t xml:space="preserve">tates and </w:t>
      </w:r>
      <w:r w:rsidR="00C130B0" w:rsidRPr="004813C1">
        <w:rPr>
          <w:rFonts w:eastAsiaTheme="minorHAnsi"/>
          <w:sz w:val="22"/>
          <w:szCs w:val="22"/>
          <w:lang w:val="en-AU"/>
        </w:rPr>
        <w:t>t</w:t>
      </w:r>
      <w:r w:rsidR="000104DC" w:rsidRPr="004813C1">
        <w:rPr>
          <w:rFonts w:eastAsiaTheme="minorHAnsi"/>
          <w:sz w:val="22"/>
          <w:szCs w:val="22"/>
          <w:lang w:val="en-AU"/>
        </w:rPr>
        <w:t>erritories</w:t>
      </w:r>
      <w:r w:rsidR="00C130B0" w:rsidRPr="004813C1">
        <w:rPr>
          <w:rFonts w:eastAsiaTheme="minorHAnsi"/>
          <w:sz w:val="22"/>
          <w:szCs w:val="22"/>
          <w:lang w:val="en-AU"/>
        </w:rPr>
        <w:t>,</w:t>
      </w:r>
      <w:r w:rsidR="00B57924" w:rsidRPr="004813C1">
        <w:rPr>
          <w:rFonts w:eastAsiaTheme="minorHAnsi"/>
          <w:sz w:val="22"/>
          <w:szCs w:val="22"/>
          <w:lang w:val="en-AU"/>
        </w:rPr>
        <w:t xml:space="preserve"> </w:t>
      </w:r>
      <w:r w:rsidR="004813C1" w:rsidRPr="004813C1">
        <w:rPr>
          <w:rFonts w:eastAsiaTheme="minorHAnsi"/>
          <w:sz w:val="22"/>
          <w:szCs w:val="22"/>
          <w:lang w:val="en-AU"/>
        </w:rPr>
        <w:t>for</w:t>
      </w:r>
      <w:r w:rsidRPr="004813C1">
        <w:rPr>
          <w:rFonts w:eastAsiaTheme="minorHAnsi"/>
          <w:sz w:val="22"/>
          <w:szCs w:val="22"/>
          <w:lang w:val="en-AU"/>
        </w:rPr>
        <w:t xml:space="preserve"> the </w:t>
      </w:r>
      <w:r w:rsidR="004813C1" w:rsidRPr="004813C1">
        <w:rPr>
          <w:rFonts w:eastAsiaTheme="minorHAnsi"/>
          <w:sz w:val="22"/>
          <w:szCs w:val="22"/>
          <w:lang w:val="en-AU"/>
        </w:rPr>
        <w:t xml:space="preserve">changes to </w:t>
      </w:r>
      <w:r w:rsidRPr="004813C1">
        <w:rPr>
          <w:rFonts w:eastAsiaTheme="minorHAnsi"/>
          <w:sz w:val="22"/>
          <w:szCs w:val="22"/>
          <w:lang w:val="en-AU"/>
        </w:rPr>
        <w:t>scheduling of</w:t>
      </w:r>
      <w:r w:rsidR="00281CCF" w:rsidRPr="004813C1">
        <w:rPr>
          <w:rFonts w:eastAsiaTheme="minorHAnsi"/>
          <w:sz w:val="22"/>
          <w:szCs w:val="22"/>
          <w:lang w:val="en-AU"/>
        </w:rPr>
        <w:t xml:space="preserve"> these </w:t>
      </w:r>
      <w:r w:rsidR="004813C1" w:rsidRPr="004813C1">
        <w:rPr>
          <w:rFonts w:eastAsiaTheme="minorHAnsi"/>
          <w:sz w:val="22"/>
          <w:szCs w:val="22"/>
          <w:lang w:val="en-AU"/>
        </w:rPr>
        <w:t xml:space="preserve">two </w:t>
      </w:r>
      <w:r w:rsidR="00281CCF" w:rsidRPr="004813C1">
        <w:rPr>
          <w:rFonts w:eastAsiaTheme="minorHAnsi"/>
          <w:sz w:val="22"/>
          <w:szCs w:val="22"/>
          <w:lang w:val="en-AU"/>
        </w:rPr>
        <w:t>substances</w:t>
      </w:r>
      <w:r w:rsidR="006D2DC2" w:rsidRPr="004813C1">
        <w:rPr>
          <w:rFonts w:eastAsiaTheme="minorHAnsi"/>
          <w:sz w:val="22"/>
          <w:szCs w:val="22"/>
          <w:lang w:val="en-AU"/>
        </w:rPr>
        <w:t>.</w:t>
      </w:r>
      <w:r w:rsidR="00DF0A80" w:rsidRPr="004813C1">
        <w:rPr>
          <w:rFonts w:eastAsiaTheme="minorHAnsi"/>
          <w:sz w:val="22"/>
          <w:szCs w:val="22"/>
          <w:lang w:val="en-AU"/>
        </w:rPr>
        <w:t xml:space="preserve"> </w:t>
      </w:r>
      <w:r w:rsidR="0052392E">
        <w:rPr>
          <w:rFonts w:eastAsiaTheme="minorHAnsi"/>
          <w:sz w:val="22"/>
          <w:szCs w:val="22"/>
          <w:lang w:val="en-AU"/>
        </w:rPr>
        <w:t xml:space="preserve"> </w:t>
      </w:r>
      <w:r w:rsidR="00671009" w:rsidRPr="004813C1">
        <w:rPr>
          <w:rFonts w:eastAsiaTheme="minorHAnsi"/>
          <w:sz w:val="22"/>
          <w:szCs w:val="22"/>
          <w:lang w:val="en-AU"/>
        </w:rPr>
        <w:t xml:space="preserve">The </w:t>
      </w:r>
      <w:r w:rsidR="00671009" w:rsidRPr="004813C1">
        <w:rPr>
          <w:rFonts w:eastAsiaTheme="minorHAnsi"/>
          <w:i/>
          <w:sz w:val="22"/>
          <w:szCs w:val="22"/>
          <w:lang w:val="en-AU"/>
        </w:rPr>
        <w:t>Poisons Standard (No. 3) June 2020</w:t>
      </w:r>
      <w:r w:rsidRPr="004813C1">
        <w:rPr>
          <w:rFonts w:eastAsiaTheme="minorHAnsi"/>
          <w:sz w:val="22"/>
          <w:szCs w:val="22"/>
          <w:lang w:val="en-AU"/>
        </w:rPr>
        <w:t xml:space="preserve"> </w:t>
      </w:r>
      <w:r w:rsidR="00C130B0" w:rsidRPr="004813C1">
        <w:rPr>
          <w:rFonts w:eastAsiaTheme="minorHAnsi"/>
          <w:sz w:val="22"/>
          <w:szCs w:val="22"/>
          <w:lang w:val="en-AU"/>
        </w:rPr>
        <w:t>give</w:t>
      </w:r>
      <w:r w:rsidR="00671009" w:rsidRPr="004813C1">
        <w:rPr>
          <w:rFonts w:eastAsiaTheme="minorHAnsi"/>
          <w:sz w:val="22"/>
          <w:szCs w:val="22"/>
          <w:lang w:val="en-AU"/>
        </w:rPr>
        <w:t>s</w:t>
      </w:r>
      <w:r w:rsidR="00C130B0" w:rsidRPr="004813C1">
        <w:rPr>
          <w:rFonts w:eastAsiaTheme="minorHAnsi"/>
          <w:sz w:val="22"/>
          <w:szCs w:val="22"/>
          <w:lang w:val="en-AU"/>
        </w:rPr>
        <w:t xml:space="preserve"> effect to</w:t>
      </w:r>
      <w:r w:rsidR="006D2DC2" w:rsidRPr="004813C1">
        <w:rPr>
          <w:rFonts w:eastAsiaTheme="minorHAnsi"/>
          <w:sz w:val="22"/>
          <w:szCs w:val="22"/>
          <w:lang w:val="en-AU"/>
        </w:rPr>
        <w:t xml:space="preserve"> the</w:t>
      </w:r>
      <w:r w:rsidR="00D51092" w:rsidRPr="004813C1">
        <w:rPr>
          <w:rFonts w:eastAsiaTheme="minorHAnsi"/>
          <w:sz w:val="22"/>
          <w:szCs w:val="22"/>
          <w:lang w:val="en-AU"/>
        </w:rPr>
        <w:t xml:space="preserve"> d</w:t>
      </w:r>
      <w:r w:rsidR="006D2DC2" w:rsidRPr="004813C1">
        <w:rPr>
          <w:rFonts w:eastAsiaTheme="minorHAnsi"/>
          <w:sz w:val="22"/>
          <w:szCs w:val="22"/>
          <w:lang w:val="en-AU"/>
        </w:rPr>
        <w:t>elegate’s final decision</w:t>
      </w:r>
      <w:r w:rsidR="00281CCF" w:rsidRPr="004813C1">
        <w:rPr>
          <w:rFonts w:eastAsiaTheme="minorHAnsi"/>
          <w:sz w:val="22"/>
          <w:szCs w:val="22"/>
          <w:lang w:val="en-AU"/>
        </w:rPr>
        <w:t xml:space="preserve"> </w:t>
      </w:r>
      <w:r w:rsidR="00671009" w:rsidRPr="004813C1">
        <w:rPr>
          <w:rFonts w:eastAsiaTheme="minorHAnsi"/>
          <w:sz w:val="22"/>
          <w:szCs w:val="22"/>
          <w:lang w:val="en-AU"/>
        </w:rPr>
        <w:t>by</w:t>
      </w:r>
      <w:r w:rsidR="00281CCF" w:rsidRPr="004813C1">
        <w:rPr>
          <w:rFonts w:eastAsiaTheme="minorHAnsi"/>
          <w:sz w:val="22"/>
          <w:szCs w:val="22"/>
          <w:lang w:val="en-AU"/>
        </w:rPr>
        <w:t xml:space="preserve"> </w:t>
      </w:r>
      <w:r w:rsidRPr="004813C1">
        <w:rPr>
          <w:rFonts w:eastAsiaTheme="minorHAnsi"/>
          <w:sz w:val="22"/>
          <w:szCs w:val="22"/>
          <w:lang w:val="en-AU"/>
        </w:rPr>
        <w:t xml:space="preserve">removing </w:t>
      </w:r>
      <w:r w:rsidR="004813C1" w:rsidRPr="004813C1">
        <w:rPr>
          <w:rFonts w:eastAsiaTheme="minorHAnsi"/>
          <w:sz w:val="22"/>
          <w:szCs w:val="22"/>
          <w:lang w:val="en-AU"/>
        </w:rPr>
        <w:t xml:space="preserve">the entries for </w:t>
      </w:r>
      <w:proofErr w:type="spellStart"/>
      <w:r w:rsidRPr="004813C1">
        <w:rPr>
          <w:rFonts w:eastAsiaTheme="minorHAnsi"/>
          <w:sz w:val="22"/>
          <w:szCs w:val="22"/>
          <w:lang w:val="en-AU"/>
        </w:rPr>
        <w:t>sumatriptan</w:t>
      </w:r>
      <w:proofErr w:type="spellEnd"/>
      <w:r w:rsidRPr="004813C1">
        <w:rPr>
          <w:rFonts w:eastAsiaTheme="minorHAnsi"/>
          <w:sz w:val="22"/>
          <w:szCs w:val="22"/>
          <w:lang w:val="en-AU"/>
        </w:rPr>
        <w:t xml:space="preserve"> and </w:t>
      </w:r>
      <w:proofErr w:type="spellStart"/>
      <w:r w:rsidRPr="004813C1">
        <w:rPr>
          <w:rFonts w:eastAsiaTheme="minorHAnsi"/>
          <w:sz w:val="22"/>
          <w:szCs w:val="22"/>
          <w:lang w:val="en-AU"/>
        </w:rPr>
        <w:t>zolmitriptan</w:t>
      </w:r>
      <w:proofErr w:type="spellEnd"/>
      <w:r w:rsidRPr="004813C1">
        <w:rPr>
          <w:rFonts w:eastAsiaTheme="minorHAnsi"/>
          <w:sz w:val="22"/>
          <w:szCs w:val="22"/>
          <w:lang w:val="en-AU"/>
        </w:rPr>
        <w:t xml:space="preserve"> from Schedule</w:t>
      </w:r>
      <w:r w:rsidR="00D51092" w:rsidRPr="004813C1">
        <w:rPr>
          <w:rFonts w:eastAsiaTheme="minorHAnsi"/>
          <w:sz w:val="22"/>
          <w:szCs w:val="22"/>
          <w:lang w:val="en-AU"/>
        </w:rPr>
        <w:t xml:space="preserve"> </w:t>
      </w:r>
      <w:r w:rsidRPr="004813C1">
        <w:rPr>
          <w:rFonts w:eastAsiaTheme="minorHAnsi"/>
          <w:sz w:val="22"/>
          <w:szCs w:val="22"/>
          <w:lang w:val="en-AU"/>
        </w:rPr>
        <w:t>3 and Appendix H</w:t>
      </w:r>
      <w:r w:rsidR="00281CCF" w:rsidRPr="004813C1">
        <w:rPr>
          <w:rFonts w:eastAsiaTheme="minorHAnsi"/>
          <w:sz w:val="22"/>
          <w:szCs w:val="22"/>
          <w:lang w:val="en-AU"/>
        </w:rPr>
        <w:t xml:space="preserve"> and restoring th</w:t>
      </w:r>
      <w:r w:rsidR="004813C1" w:rsidRPr="004813C1">
        <w:rPr>
          <w:rFonts w:eastAsiaTheme="minorHAnsi"/>
          <w:sz w:val="22"/>
          <w:szCs w:val="22"/>
          <w:lang w:val="en-AU"/>
        </w:rPr>
        <w:t xml:space="preserve">ose </w:t>
      </w:r>
      <w:r w:rsidR="00C130B0" w:rsidRPr="004813C1">
        <w:rPr>
          <w:rFonts w:eastAsiaTheme="minorHAnsi"/>
          <w:sz w:val="22"/>
          <w:szCs w:val="22"/>
          <w:lang w:val="en-AU"/>
        </w:rPr>
        <w:t xml:space="preserve">entries </w:t>
      </w:r>
      <w:r w:rsidR="00281CCF" w:rsidRPr="004813C1">
        <w:rPr>
          <w:rFonts w:eastAsiaTheme="minorHAnsi"/>
          <w:sz w:val="22"/>
          <w:szCs w:val="22"/>
          <w:lang w:val="en-AU"/>
        </w:rPr>
        <w:t>to Schedule 4</w:t>
      </w:r>
      <w:r w:rsidR="00DF0A80" w:rsidRPr="004813C1">
        <w:rPr>
          <w:rFonts w:eastAsiaTheme="minorHAnsi"/>
          <w:sz w:val="22"/>
          <w:szCs w:val="22"/>
          <w:lang w:val="en-AU"/>
        </w:rPr>
        <w:t xml:space="preserve"> only</w:t>
      </w:r>
      <w:r w:rsidRPr="004813C1">
        <w:rPr>
          <w:rFonts w:eastAsiaTheme="minorHAnsi"/>
          <w:sz w:val="22"/>
          <w:szCs w:val="22"/>
          <w:lang w:val="en-AU"/>
        </w:rPr>
        <w:t>.</w:t>
      </w:r>
    </w:p>
    <w:p w14:paraId="41694864" w14:textId="77777777" w:rsidR="0052392E" w:rsidRDefault="0052392E" w:rsidP="004813C1">
      <w:pPr>
        <w:spacing w:before="0" w:after="0"/>
        <w:rPr>
          <w:rFonts w:eastAsiaTheme="minorHAnsi"/>
          <w:sz w:val="22"/>
          <w:szCs w:val="22"/>
          <w:lang w:val="en-AU"/>
        </w:rPr>
      </w:pPr>
    </w:p>
    <w:p w14:paraId="769F4179" w14:textId="273EDA04" w:rsidR="00CB053D" w:rsidRPr="004813C1" w:rsidRDefault="008E2B60" w:rsidP="004813C1">
      <w:pPr>
        <w:spacing w:before="0" w:after="0"/>
        <w:rPr>
          <w:rFonts w:eastAsiaTheme="minorHAnsi"/>
          <w:sz w:val="22"/>
          <w:szCs w:val="22"/>
          <w:lang w:val="en-AU"/>
        </w:rPr>
      </w:pPr>
      <w:r w:rsidRPr="004813C1">
        <w:rPr>
          <w:rFonts w:eastAsiaTheme="minorHAnsi"/>
          <w:sz w:val="22"/>
          <w:szCs w:val="22"/>
          <w:lang w:val="en-AU"/>
        </w:rPr>
        <w:t xml:space="preserve">The </w:t>
      </w:r>
      <w:r w:rsidRPr="004813C1">
        <w:rPr>
          <w:rFonts w:eastAsiaTheme="minorHAnsi"/>
          <w:i/>
          <w:sz w:val="22"/>
          <w:szCs w:val="22"/>
          <w:lang w:val="en-AU"/>
        </w:rPr>
        <w:t>Poisons Standard (No. 3) June 2020</w:t>
      </w:r>
      <w:r w:rsidRPr="004813C1">
        <w:rPr>
          <w:rFonts w:eastAsiaTheme="minorHAnsi"/>
          <w:sz w:val="22"/>
          <w:szCs w:val="22"/>
          <w:lang w:val="en-AU"/>
        </w:rPr>
        <w:t xml:space="preserve"> also </w:t>
      </w:r>
      <w:r w:rsidR="00281CCF" w:rsidRPr="004813C1">
        <w:rPr>
          <w:rFonts w:eastAsiaTheme="minorHAnsi"/>
          <w:sz w:val="22"/>
          <w:szCs w:val="22"/>
          <w:lang w:val="en-AU"/>
        </w:rPr>
        <w:t xml:space="preserve">includes </w:t>
      </w:r>
      <w:r w:rsidR="001D49AC" w:rsidRPr="004813C1">
        <w:rPr>
          <w:rFonts w:eastAsiaTheme="minorHAnsi"/>
          <w:sz w:val="22"/>
          <w:szCs w:val="22"/>
          <w:lang w:val="en-AU"/>
        </w:rPr>
        <w:t xml:space="preserve">minor formatting changes and a </w:t>
      </w:r>
      <w:r w:rsidR="00DD288C" w:rsidRPr="004813C1">
        <w:rPr>
          <w:rFonts w:eastAsiaTheme="minorHAnsi"/>
          <w:sz w:val="22"/>
          <w:szCs w:val="22"/>
          <w:lang w:val="en-AU"/>
        </w:rPr>
        <w:t>correct</w:t>
      </w:r>
      <w:r w:rsidR="001D49AC" w:rsidRPr="004813C1">
        <w:rPr>
          <w:rFonts w:eastAsiaTheme="minorHAnsi"/>
          <w:sz w:val="22"/>
          <w:szCs w:val="22"/>
          <w:lang w:val="en-AU"/>
        </w:rPr>
        <w:t>ion to</w:t>
      </w:r>
      <w:r w:rsidR="00CB053D" w:rsidRPr="004813C1">
        <w:rPr>
          <w:rFonts w:eastAsiaTheme="minorHAnsi"/>
          <w:sz w:val="22"/>
          <w:szCs w:val="22"/>
          <w:lang w:val="en-AU"/>
        </w:rPr>
        <w:t xml:space="preserve"> the spelling of </w:t>
      </w:r>
      <w:r w:rsidR="000A6132" w:rsidRPr="004813C1">
        <w:rPr>
          <w:rFonts w:eastAsiaTheme="minorHAnsi"/>
          <w:sz w:val="22"/>
          <w:szCs w:val="22"/>
          <w:lang w:val="en-AU"/>
        </w:rPr>
        <w:t xml:space="preserve">the </w:t>
      </w:r>
      <w:r w:rsidR="003C176C" w:rsidRPr="004813C1">
        <w:rPr>
          <w:rFonts w:eastAsiaTheme="minorHAnsi"/>
          <w:sz w:val="22"/>
          <w:szCs w:val="22"/>
          <w:lang w:val="en-AU"/>
        </w:rPr>
        <w:t xml:space="preserve">substance </w:t>
      </w:r>
      <w:proofErr w:type="spellStart"/>
      <w:r w:rsidR="00CB053D" w:rsidRPr="004813C1">
        <w:rPr>
          <w:rFonts w:eastAsiaTheme="minorHAnsi"/>
          <w:sz w:val="22"/>
          <w:szCs w:val="22"/>
          <w:lang w:val="en-AU"/>
        </w:rPr>
        <w:t>cedazuridine</w:t>
      </w:r>
      <w:proofErr w:type="spellEnd"/>
      <w:r w:rsidR="004813C1" w:rsidRPr="004813C1">
        <w:rPr>
          <w:rFonts w:eastAsiaTheme="minorHAnsi"/>
          <w:sz w:val="22"/>
          <w:szCs w:val="22"/>
          <w:lang w:val="en-AU"/>
        </w:rPr>
        <w:t xml:space="preserve">, which </w:t>
      </w:r>
      <w:proofErr w:type="gramStart"/>
      <w:r w:rsidR="00D51092" w:rsidRPr="004813C1">
        <w:rPr>
          <w:rFonts w:eastAsiaTheme="minorHAnsi"/>
          <w:sz w:val="22"/>
          <w:szCs w:val="22"/>
          <w:lang w:val="en-AU"/>
        </w:rPr>
        <w:t>was</w:t>
      </w:r>
      <w:r w:rsidR="003C176C" w:rsidRPr="004813C1">
        <w:rPr>
          <w:rFonts w:eastAsiaTheme="minorHAnsi"/>
          <w:sz w:val="22"/>
          <w:szCs w:val="22"/>
          <w:lang w:val="en-AU"/>
        </w:rPr>
        <w:t xml:space="preserve"> </w:t>
      </w:r>
      <w:r w:rsidR="001D49AC" w:rsidRPr="004813C1">
        <w:rPr>
          <w:rFonts w:eastAsiaTheme="minorHAnsi"/>
          <w:sz w:val="22"/>
          <w:szCs w:val="22"/>
          <w:lang w:val="en-AU"/>
        </w:rPr>
        <w:t xml:space="preserve">inadvertently </w:t>
      </w:r>
      <w:r w:rsidR="000A6132" w:rsidRPr="004813C1">
        <w:rPr>
          <w:rFonts w:eastAsiaTheme="minorHAnsi"/>
          <w:sz w:val="22"/>
          <w:szCs w:val="22"/>
          <w:lang w:val="en-AU"/>
        </w:rPr>
        <w:t>referred</w:t>
      </w:r>
      <w:proofErr w:type="gramEnd"/>
      <w:r w:rsidR="000A6132" w:rsidRPr="004813C1">
        <w:rPr>
          <w:rFonts w:eastAsiaTheme="minorHAnsi"/>
          <w:sz w:val="22"/>
          <w:szCs w:val="22"/>
          <w:lang w:val="en-AU"/>
        </w:rPr>
        <w:t xml:space="preserve"> to</w:t>
      </w:r>
      <w:r w:rsidR="003C176C" w:rsidRPr="004813C1">
        <w:rPr>
          <w:rFonts w:eastAsiaTheme="minorHAnsi"/>
          <w:sz w:val="22"/>
          <w:szCs w:val="22"/>
          <w:lang w:val="en-AU"/>
        </w:rPr>
        <w:t xml:space="preserve"> as </w:t>
      </w:r>
      <w:proofErr w:type="spellStart"/>
      <w:r w:rsidR="003C176C" w:rsidRPr="004813C1">
        <w:rPr>
          <w:rFonts w:eastAsiaTheme="minorHAnsi"/>
          <w:sz w:val="22"/>
          <w:szCs w:val="22"/>
          <w:lang w:val="en-AU"/>
        </w:rPr>
        <w:t>cezauridine</w:t>
      </w:r>
      <w:proofErr w:type="spellEnd"/>
      <w:r w:rsidRPr="004813C1">
        <w:rPr>
          <w:rFonts w:eastAsiaTheme="minorHAnsi"/>
          <w:sz w:val="22"/>
          <w:szCs w:val="22"/>
          <w:lang w:val="en-AU"/>
        </w:rPr>
        <w:t xml:space="preserve"> in the </w:t>
      </w:r>
      <w:r w:rsidRPr="004813C1">
        <w:rPr>
          <w:rFonts w:eastAsiaTheme="minorHAnsi"/>
          <w:i/>
          <w:sz w:val="22"/>
          <w:szCs w:val="22"/>
          <w:lang w:val="en-AU"/>
        </w:rPr>
        <w:t>Poisons Standard (No.2) June 2020</w:t>
      </w:r>
      <w:r w:rsidR="00DD288C" w:rsidRPr="004813C1">
        <w:rPr>
          <w:rFonts w:eastAsiaTheme="minorHAnsi"/>
          <w:sz w:val="22"/>
          <w:szCs w:val="22"/>
          <w:lang w:val="en-AU"/>
        </w:rPr>
        <w:t>.</w:t>
      </w:r>
    </w:p>
    <w:p w14:paraId="2D33543A" w14:textId="77777777" w:rsidR="004813C1" w:rsidRDefault="004813C1" w:rsidP="004813C1">
      <w:pPr>
        <w:spacing w:before="0" w:after="0"/>
        <w:rPr>
          <w:rFonts w:eastAsiaTheme="minorHAnsi"/>
          <w:sz w:val="22"/>
          <w:szCs w:val="22"/>
          <w:lang w:val="en-AU"/>
        </w:rPr>
      </w:pPr>
    </w:p>
    <w:p w14:paraId="75F04334" w14:textId="3C6B2277" w:rsidR="002021F7" w:rsidRPr="004813C1" w:rsidRDefault="002021F7" w:rsidP="004813C1">
      <w:pPr>
        <w:spacing w:before="0" w:after="0"/>
        <w:rPr>
          <w:rFonts w:eastAsiaTheme="minorHAnsi"/>
          <w:sz w:val="22"/>
          <w:szCs w:val="22"/>
          <w:lang w:val="en-AU"/>
        </w:rPr>
      </w:pPr>
      <w:r w:rsidRPr="004813C1">
        <w:rPr>
          <w:rFonts w:eastAsiaTheme="minorHAnsi"/>
          <w:sz w:val="22"/>
          <w:szCs w:val="22"/>
          <w:lang w:val="en-AU"/>
        </w:rPr>
        <w:t xml:space="preserve">The </w:t>
      </w:r>
      <w:r w:rsidRPr="004813C1">
        <w:rPr>
          <w:rFonts w:eastAsiaTheme="minorHAnsi"/>
          <w:i/>
          <w:sz w:val="22"/>
          <w:szCs w:val="22"/>
          <w:lang w:val="en-AU"/>
        </w:rPr>
        <w:t xml:space="preserve">Poisons Standard </w:t>
      </w:r>
      <w:r w:rsidR="00FD49A5" w:rsidRPr="004813C1">
        <w:rPr>
          <w:rFonts w:eastAsiaTheme="minorHAnsi"/>
          <w:i/>
          <w:sz w:val="22"/>
          <w:szCs w:val="22"/>
          <w:lang w:val="en-AU"/>
        </w:rPr>
        <w:t>(No.</w:t>
      </w:r>
      <w:r w:rsidR="006905DE" w:rsidRPr="004813C1">
        <w:rPr>
          <w:rFonts w:eastAsiaTheme="minorHAnsi"/>
          <w:i/>
          <w:sz w:val="22"/>
          <w:szCs w:val="22"/>
          <w:lang w:val="en-AU"/>
        </w:rPr>
        <w:t xml:space="preserve"> </w:t>
      </w:r>
      <w:r w:rsidR="00E5263A" w:rsidRPr="004813C1">
        <w:rPr>
          <w:rFonts w:eastAsiaTheme="minorHAnsi"/>
          <w:i/>
          <w:sz w:val="22"/>
          <w:szCs w:val="22"/>
          <w:lang w:val="en-AU"/>
        </w:rPr>
        <w:t>3</w:t>
      </w:r>
      <w:r w:rsidR="00FD49A5" w:rsidRPr="004813C1">
        <w:rPr>
          <w:rFonts w:eastAsiaTheme="minorHAnsi"/>
          <w:i/>
          <w:sz w:val="22"/>
          <w:szCs w:val="22"/>
          <w:lang w:val="en-AU"/>
        </w:rPr>
        <w:t xml:space="preserve">) </w:t>
      </w:r>
      <w:r w:rsidR="00FF52FB" w:rsidRPr="004813C1">
        <w:rPr>
          <w:rFonts w:eastAsiaTheme="minorHAnsi"/>
          <w:i/>
          <w:sz w:val="22"/>
          <w:szCs w:val="22"/>
          <w:lang w:val="en-AU"/>
        </w:rPr>
        <w:t xml:space="preserve">June </w:t>
      </w:r>
      <w:r w:rsidRPr="004813C1">
        <w:rPr>
          <w:rFonts w:eastAsiaTheme="minorHAnsi"/>
          <w:i/>
          <w:sz w:val="22"/>
          <w:szCs w:val="22"/>
          <w:lang w:val="en-AU"/>
        </w:rPr>
        <w:t>2020</w:t>
      </w:r>
      <w:r w:rsidRPr="004813C1">
        <w:rPr>
          <w:rFonts w:eastAsiaTheme="minorHAnsi"/>
          <w:sz w:val="22"/>
          <w:szCs w:val="22"/>
          <w:lang w:val="en-AU"/>
        </w:rPr>
        <w:t xml:space="preserve"> is a legislative instrument for the purposes of the </w:t>
      </w:r>
      <w:r w:rsidRPr="004813C1">
        <w:rPr>
          <w:rFonts w:eastAsiaTheme="minorHAnsi"/>
          <w:i/>
          <w:sz w:val="22"/>
          <w:szCs w:val="22"/>
          <w:lang w:val="en-AU"/>
        </w:rPr>
        <w:t>Legislation Act 2003</w:t>
      </w:r>
      <w:r w:rsidRPr="004813C1">
        <w:rPr>
          <w:rFonts w:eastAsiaTheme="minorHAnsi"/>
          <w:sz w:val="22"/>
          <w:szCs w:val="22"/>
          <w:lang w:val="en-AU"/>
        </w:rPr>
        <w:t xml:space="preserve">. However, section 42 </w:t>
      </w:r>
      <w:r w:rsidR="00CF2FA8" w:rsidRPr="004813C1">
        <w:rPr>
          <w:rFonts w:eastAsiaTheme="minorHAnsi"/>
          <w:sz w:val="22"/>
          <w:szCs w:val="22"/>
          <w:lang w:val="en-AU"/>
        </w:rPr>
        <w:t xml:space="preserve">of that Act relating to </w:t>
      </w:r>
      <w:r w:rsidRPr="004813C1">
        <w:rPr>
          <w:rFonts w:eastAsiaTheme="minorHAnsi"/>
          <w:sz w:val="22"/>
          <w:szCs w:val="22"/>
          <w:lang w:val="en-AU"/>
        </w:rPr>
        <w:t xml:space="preserve">disallowance does not apply </w:t>
      </w:r>
      <w:r w:rsidR="001D49AC" w:rsidRPr="004813C1">
        <w:rPr>
          <w:rFonts w:eastAsiaTheme="minorHAnsi"/>
          <w:sz w:val="22"/>
          <w:szCs w:val="22"/>
          <w:lang w:val="en-AU"/>
        </w:rPr>
        <w:t xml:space="preserve">in accordance with </w:t>
      </w:r>
      <w:r w:rsidRPr="004813C1">
        <w:rPr>
          <w:rFonts w:eastAsiaTheme="minorHAnsi"/>
          <w:sz w:val="22"/>
          <w:szCs w:val="22"/>
          <w:lang w:val="en-AU"/>
        </w:rPr>
        <w:t xml:space="preserve">subsection </w:t>
      </w:r>
      <w:proofErr w:type="gramStart"/>
      <w:r w:rsidRPr="004813C1">
        <w:rPr>
          <w:rFonts w:eastAsiaTheme="minorHAnsi"/>
          <w:sz w:val="22"/>
          <w:szCs w:val="22"/>
          <w:lang w:val="en-AU"/>
        </w:rPr>
        <w:t>52D(</w:t>
      </w:r>
      <w:proofErr w:type="gramEnd"/>
      <w:r w:rsidRPr="004813C1">
        <w:rPr>
          <w:rFonts w:eastAsiaTheme="minorHAnsi"/>
          <w:sz w:val="22"/>
          <w:szCs w:val="22"/>
          <w:lang w:val="en-AU"/>
        </w:rPr>
        <w:t xml:space="preserve">4A) of the Act. </w:t>
      </w:r>
      <w:r w:rsidR="0052392E">
        <w:rPr>
          <w:rFonts w:eastAsiaTheme="minorHAnsi"/>
          <w:sz w:val="22"/>
          <w:szCs w:val="22"/>
          <w:lang w:val="en-AU"/>
        </w:rPr>
        <w:t xml:space="preserve"> </w:t>
      </w:r>
      <w:r w:rsidRPr="004813C1">
        <w:rPr>
          <w:rFonts w:eastAsiaTheme="minorHAnsi"/>
          <w:sz w:val="22"/>
          <w:szCs w:val="22"/>
          <w:lang w:val="en-AU"/>
        </w:rPr>
        <w:t xml:space="preserve">As </w:t>
      </w:r>
      <w:r w:rsidR="00CF2FA8" w:rsidRPr="004813C1">
        <w:rPr>
          <w:rFonts w:eastAsiaTheme="minorHAnsi"/>
          <w:sz w:val="22"/>
          <w:szCs w:val="22"/>
          <w:lang w:val="en-AU"/>
        </w:rPr>
        <w:t xml:space="preserve">the instrument </w:t>
      </w:r>
      <w:r w:rsidRPr="004813C1">
        <w:rPr>
          <w:rFonts w:eastAsiaTheme="minorHAnsi"/>
          <w:sz w:val="22"/>
          <w:szCs w:val="22"/>
          <w:lang w:val="en-AU"/>
        </w:rPr>
        <w:t xml:space="preserve">is not disallowable, subsection 9(1) of the </w:t>
      </w:r>
      <w:r w:rsidRPr="004813C1">
        <w:rPr>
          <w:rFonts w:eastAsiaTheme="minorHAnsi"/>
          <w:i/>
          <w:sz w:val="22"/>
          <w:szCs w:val="22"/>
          <w:lang w:val="en-AU"/>
        </w:rPr>
        <w:t>Human Rights (Parliamentary Scrutiny) Act 2011</w:t>
      </w:r>
      <w:r w:rsidRPr="004813C1">
        <w:rPr>
          <w:rFonts w:eastAsiaTheme="minorHAnsi"/>
          <w:sz w:val="22"/>
          <w:szCs w:val="22"/>
          <w:lang w:val="en-AU"/>
        </w:rPr>
        <w:t xml:space="preserve"> does not require that the instrument </w:t>
      </w:r>
      <w:proofErr w:type="gramStart"/>
      <w:r w:rsidRPr="004813C1">
        <w:rPr>
          <w:rFonts w:eastAsiaTheme="minorHAnsi"/>
          <w:sz w:val="22"/>
          <w:szCs w:val="22"/>
          <w:lang w:val="en-AU"/>
        </w:rPr>
        <w:t>be accompanied</w:t>
      </w:r>
      <w:proofErr w:type="gramEnd"/>
      <w:r w:rsidRPr="004813C1">
        <w:rPr>
          <w:rFonts w:eastAsiaTheme="minorHAnsi"/>
          <w:sz w:val="22"/>
          <w:szCs w:val="22"/>
          <w:lang w:val="en-AU"/>
        </w:rPr>
        <w:t xml:space="preserve"> by a statement of compatibility with the human rights recognised under that Act.</w:t>
      </w:r>
    </w:p>
    <w:p w14:paraId="0094CBC6" w14:textId="77777777" w:rsidR="004813C1" w:rsidRDefault="004813C1" w:rsidP="004813C1">
      <w:pPr>
        <w:spacing w:before="0" w:after="0"/>
        <w:rPr>
          <w:rFonts w:eastAsiaTheme="minorHAnsi"/>
          <w:sz w:val="22"/>
          <w:szCs w:val="22"/>
          <w:lang w:val="en-AU"/>
        </w:rPr>
      </w:pPr>
    </w:p>
    <w:p w14:paraId="50731F47" w14:textId="796CC49D" w:rsidR="00BE1BAD" w:rsidRPr="004813C1" w:rsidRDefault="002021F7" w:rsidP="004813C1">
      <w:pPr>
        <w:spacing w:before="0" w:after="0"/>
        <w:rPr>
          <w:sz w:val="22"/>
          <w:szCs w:val="22"/>
        </w:rPr>
      </w:pPr>
      <w:r w:rsidRPr="004813C1">
        <w:rPr>
          <w:rFonts w:eastAsiaTheme="minorHAnsi"/>
          <w:sz w:val="22"/>
          <w:szCs w:val="22"/>
          <w:lang w:val="en-AU"/>
        </w:rPr>
        <w:t xml:space="preserve">The </w:t>
      </w:r>
      <w:r w:rsidRPr="004813C1">
        <w:rPr>
          <w:rFonts w:eastAsiaTheme="minorHAnsi"/>
          <w:i/>
          <w:sz w:val="22"/>
          <w:szCs w:val="22"/>
          <w:lang w:val="en-AU"/>
        </w:rPr>
        <w:t xml:space="preserve">Poisons Standard </w:t>
      </w:r>
      <w:r w:rsidR="00FD49A5" w:rsidRPr="004813C1">
        <w:rPr>
          <w:rFonts w:eastAsiaTheme="minorHAnsi"/>
          <w:i/>
          <w:sz w:val="22"/>
          <w:szCs w:val="22"/>
          <w:lang w:val="en-AU"/>
        </w:rPr>
        <w:t>(No.</w:t>
      </w:r>
      <w:r w:rsidR="006905DE" w:rsidRPr="004813C1">
        <w:rPr>
          <w:rFonts w:eastAsiaTheme="minorHAnsi"/>
          <w:i/>
          <w:sz w:val="22"/>
          <w:szCs w:val="22"/>
          <w:lang w:val="en-AU"/>
        </w:rPr>
        <w:t xml:space="preserve"> </w:t>
      </w:r>
      <w:r w:rsidR="00E5263A" w:rsidRPr="004813C1">
        <w:rPr>
          <w:rFonts w:eastAsiaTheme="minorHAnsi"/>
          <w:i/>
          <w:sz w:val="22"/>
          <w:szCs w:val="22"/>
          <w:lang w:val="en-AU"/>
        </w:rPr>
        <w:t>3</w:t>
      </w:r>
      <w:r w:rsidR="00FD49A5" w:rsidRPr="004813C1">
        <w:rPr>
          <w:rFonts w:eastAsiaTheme="minorHAnsi"/>
          <w:i/>
          <w:sz w:val="22"/>
          <w:szCs w:val="22"/>
          <w:lang w:val="en-AU"/>
        </w:rPr>
        <w:t xml:space="preserve">) </w:t>
      </w:r>
      <w:r w:rsidR="00FF52FB" w:rsidRPr="004813C1">
        <w:rPr>
          <w:rFonts w:eastAsiaTheme="minorHAnsi"/>
          <w:i/>
          <w:sz w:val="22"/>
          <w:szCs w:val="22"/>
          <w:lang w:val="en-AU"/>
        </w:rPr>
        <w:t xml:space="preserve">June </w:t>
      </w:r>
      <w:r w:rsidRPr="004813C1">
        <w:rPr>
          <w:rFonts w:eastAsiaTheme="minorHAnsi"/>
          <w:i/>
          <w:sz w:val="22"/>
          <w:szCs w:val="22"/>
          <w:lang w:val="en-AU"/>
        </w:rPr>
        <w:t>2020</w:t>
      </w:r>
      <w:r w:rsidRPr="004813C1">
        <w:rPr>
          <w:rFonts w:eastAsiaTheme="minorHAnsi"/>
          <w:sz w:val="22"/>
          <w:szCs w:val="22"/>
          <w:lang w:val="en-AU"/>
        </w:rPr>
        <w:t xml:space="preserve"> commences </w:t>
      </w:r>
      <w:r w:rsidR="001D49AC" w:rsidRPr="004813C1">
        <w:rPr>
          <w:rFonts w:eastAsiaTheme="minorHAnsi"/>
          <w:sz w:val="22"/>
          <w:szCs w:val="22"/>
          <w:lang w:val="en-AU"/>
        </w:rPr>
        <w:t>on the day after registration</w:t>
      </w:r>
      <w:r w:rsidRPr="004813C1">
        <w:rPr>
          <w:rFonts w:eastAsiaTheme="minorHAnsi"/>
          <w:sz w:val="22"/>
          <w:szCs w:val="22"/>
          <w:lang w:val="en-AU"/>
        </w:rPr>
        <w:t>.</w:t>
      </w:r>
    </w:p>
    <w:sectPr w:rsidR="00BE1BAD" w:rsidRPr="004813C1" w:rsidSect="00872BB1">
      <w:footerReference w:type="default" r:id="rId9"/>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2203C" w14:textId="77777777" w:rsidR="00C55D64" w:rsidRDefault="00C55D64" w:rsidP="00002885">
      <w:r>
        <w:separator/>
      </w:r>
    </w:p>
  </w:endnote>
  <w:endnote w:type="continuationSeparator" w:id="0">
    <w:p w14:paraId="7B9E0AF4" w14:textId="77777777" w:rsidR="00C55D64" w:rsidRDefault="00C55D64"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240664"/>
      <w:docPartObj>
        <w:docPartGallery w:val="Page Numbers (Bottom of Page)"/>
        <w:docPartUnique/>
      </w:docPartObj>
    </w:sdtPr>
    <w:sdtEndPr>
      <w:rPr>
        <w:noProof/>
        <w:sz w:val="22"/>
        <w:szCs w:val="22"/>
      </w:rPr>
    </w:sdtEndPr>
    <w:sdtContent>
      <w:p w14:paraId="6F240BE5" w14:textId="3572F672" w:rsidR="001D49AC" w:rsidRPr="00B041B3" w:rsidRDefault="001D49AC">
        <w:pPr>
          <w:pStyle w:val="Footer"/>
          <w:jc w:val="right"/>
          <w:rPr>
            <w:sz w:val="22"/>
            <w:szCs w:val="22"/>
          </w:rPr>
        </w:pPr>
        <w:r w:rsidRPr="00B041B3">
          <w:rPr>
            <w:sz w:val="22"/>
            <w:szCs w:val="22"/>
          </w:rPr>
          <w:fldChar w:fldCharType="begin"/>
        </w:r>
        <w:r w:rsidRPr="00B041B3">
          <w:rPr>
            <w:sz w:val="22"/>
            <w:szCs w:val="22"/>
          </w:rPr>
          <w:instrText xml:space="preserve"> PAGE   \* MERGEFORMAT </w:instrText>
        </w:r>
        <w:r w:rsidRPr="00B041B3">
          <w:rPr>
            <w:sz w:val="22"/>
            <w:szCs w:val="22"/>
          </w:rPr>
          <w:fldChar w:fldCharType="separate"/>
        </w:r>
        <w:r w:rsidR="009A23DA">
          <w:rPr>
            <w:noProof/>
            <w:sz w:val="22"/>
            <w:szCs w:val="22"/>
          </w:rPr>
          <w:t>1</w:t>
        </w:r>
        <w:r w:rsidRPr="00B041B3">
          <w:rPr>
            <w:noProof/>
            <w:sz w:val="22"/>
            <w:szCs w:val="22"/>
          </w:rPr>
          <w:fldChar w:fldCharType="end"/>
        </w:r>
      </w:p>
    </w:sdtContent>
  </w:sdt>
  <w:p w14:paraId="18F436CB" w14:textId="77777777"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74C20" w14:textId="77777777" w:rsidR="00C55D64" w:rsidRDefault="00C55D64" w:rsidP="00002885">
      <w:r>
        <w:separator/>
      </w:r>
    </w:p>
  </w:footnote>
  <w:footnote w:type="continuationSeparator" w:id="0">
    <w:p w14:paraId="207D2C1C" w14:textId="77777777" w:rsidR="00C55D64" w:rsidRDefault="00C55D64"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6D"/>
    <w:multiLevelType w:val="hybridMultilevel"/>
    <w:tmpl w:val="3EF25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F2EBD"/>
    <w:multiLevelType w:val="hybridMultilevel"/>
    <w:tmpl w:val="D424246C"/>
    <w:lvl w:ilvl="0" w:tplc="CDAE0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75484E"/>
    <w:multiLevelType w:val="hybridMultilevel"/>
    <w:tmpl w:val="40D2371A"/>
    <w:lvl w:ilvl="0" w:tplc="5A12FAF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5D1A09"/>
    <w:multiLevelType w:val="hybridMultilevel"/>
    <w:tmpl w:val="1F4AA0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2CD34958"/>
    <w:multiLevelType w:val="hybridMultilevel"/>
    <w:tmpl w:val="118E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7E3C61"/>
    <w:multiLevelType w:val="hybridMultilevel"/>
    <w:tmpl w:val="491C1ADC"/>
    <w:lvl w:ilvl="0" w:tplc="B076168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E85329F"/>
    <w:multiLevelType w:val="hybridMultilevel"/>
    <w:tmpl w:val="3CC83160"/>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534772"/>
    <w:multiLevelType w:val="hybridMultilevel"/>
    <w:tmpl w:val="3B745BB8"/>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27"/>
  </w:num>
  <w:num w:numId="3">
    <w:abstractNumId w:val="32"/>
  </w:num>
  <w:num w:numId="4">
    <w:abstractNumId w:val="17"/>
  </w:num>
  <w:num w:numId="5">
    <w:abstractNumId w:val="8"/>
  </w:num>
  <w:num w:numId="6">
    <w:abstractNumId w:val="37"/>
  </w:num>
  <w:num w:numId="7">
    <w:abstractNumId w:val="18"/>
  </w:num>
  <w:num w:numId="8">
    <w:abstractNumId w:val="30"/>
  </w:num>
  <w:num w:numId="9">
    <w:abstractNumId w:val="24"/>
  </w:num>
  <w:num w:numId="10">
    <w:abstractNumId w:val="2"/>
  </w:num>
  <w:num w:numId="11">
    <w:abstractNumId w:val="38"/>
  </w:num>
  <w:num w:numId="12">
    <w:abstractNumId w:val="9"/>
  </w:num>
  <w:num w:numId="13">
    <w:abstractNumId w:val="25"/>
  </w:num>
  <w:num w:numId="14">
    <w:abstractNumId w:val="28"/>
  </w:num>
  <w:num w:numId="15">
    <w:abstractNumId w:val="41"/>
  </w:num>
  <w:num w:numId="16">
    <w:abstractNumId w:val="26"/>
  </w:num>
  <w:num w:numId="17">
    <w:abstractNumId w:val="19"/>
  </w:num>
  <w:num w:numId="18">
    <w:abstractNumId w:val="1"/>
  </w:num>
  <w:num w:numId="19">
    <w:abstractNumId w:val="35"/>
  </w:num>
  <w:num w:numId="20">
    <w:abstractNumId w:val="4"/>
  </w:num>
  <w:num w:numId="21">
    <w:abstractNumId w:val="15"/>
  </w:num>
  <w:num w:numId="22">
    <w:abstractNumId w:val="40"/>
  </w:num>
  <w:num w:numId="23">
    <w:abstractNumId w:val="36"/>
  </w:num>
  <w:num w:numId="24">
    <w:abstractNumId w:val="20"/>
  </w:num>
  <w:num w:numId="25">
    <w:abstractNumId w:val="23"/>
  </w:num>
  <w:num w:numId="26">
    <w:abstractNumId w:val="34"/>
  </w:num>
  <w:num w:numId="27">
    <w:abstractNumId w:val="12"/>
  </w:num>
  <w:num w:numId="28">
    <w:abstractNumId w:val="3"/>
  </w:num>
  <w:num w:numId="29">
    <w:abstractNumId w:val="5"/>
    <w:lvlOverride w:ilvl="0"/>
    <w:lvlOverride w:ilvl="1">
      <w:startOverride w:val="1"/>
    </w:lvlOverride>
    <w:lvlOverride w:ilvl="2"/>
    <w:lvlOverride w:ilvl="3"/>
    <w:lvlOverride w:ilvl="4"/>
    <w:lvlOverride w:ilvl="5"/>
    <w:lvlOverride w:ilvl="6"/>
    <w:lvlOverride w:ilvl="7"/>
    <w:lvlOverride w:ilvl="8"/>
  </w:num>
  <w:num w:numId="30">
    <w:abstractNumId w:val="39"/>
  </w:num>
  <w:num w:numId="31">
    <w:abstractNumId w:val="33"/>
  </w:num>
  <w:num w:numId="32">
    <w:abstractNumId w:val="21"/>
  </w:num>
  <w:num w:numId="33">
    <w:abstractNumId w:val="16"/>
  </w:num>
  <w:num w:numId="34">
    <w:abstractNumId w:val="10"/>
  </w:num>
  <w:num w:numId="35">
    <w:abstractNumId w:val="6"/>
  </w:num>
  <w:num w:numId="36">
    <w:abstractNumId w:val="22"/>
  </w:num>
  <w:num w:numId="37">
    <w:abstractNumId w:val="31"/>
  </w:num>
  <w:num w:numId="38">
    <w:abstractNumId w:val="13"/>
  </w:num>
  <w:num w:numId="39">
    <w:abstractNumId w:val="14"/>
  </w:num>
  <w:num w:numId="40">
    <w:abstractNumId w:val="7"/>
  </w:num>
  <w:num w:numId="41">
    <w:abstractNumId w:val="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CD"/>
    <w:rsid w:val="000014DC"/>
    <w:rsid w:val="00002787"/>
    <w:rsid w:val="00002885"/>
    <w:rsid w:val="000031D3"/>
    <w:rsid w:val="00003F40"/>
    <w:rsid w:val="00004B55"/>
    <w:rsid w:val="00007D7E"/>
    <w:rsid w:val="000104DC"/>
    <w:rsid w:val="00011147"/>
    <w:rsid w:val="00011923"/>
    <w:rsid w:val="00013101"/>
    <w:rsid w:val="0001344B"/>
    <w:rsid w:val="0001557A"/>
    <w:rsid w:val="00015D91"/>
    <w:rsid w:val="00015F7D"/>
    <w:rsid w:val="000163D5"/>
    <w:rsid w:val="00016497"/>
    <w:rsid w:val="00020B01"/>
    <w:rsid w:val="0002378A"/>
    <w:rsid w:val="000239E4"/>
    <w:rsid w:val="000245BC"/>
    <w:rsid w:val="00024635"/>
    <w:rsid w:val="00024DBC"/>
    <w:rsid w:val="000408EE"/>
    <w:rsid w:val="00040E21"/>
    <w:rsid w:val="000410C1"/>
    <w:rsid w:val="000416AC"/>
    <w:rsid w:val="00044A0E"/>
    <w:rsid w:val="000461D2"/>
    <w:rsid w:val="00047A51"/>
    <w:rsid w:val="00050EB5"/>
    <w:rsid w:val="000547AB"/>
    <w:rsid w:val="00057A65"/>
    <w:rsid w:val="00060D54"/>
    <w:rsid w:val="000611B6"/>
    <w:rsid w:val="00061FF7"/>
    <w:rsid w:val="00065A55"/>
    <w:rsid w:val="00067854"/>
    <w:rsid w:val="000723FA"/>
    <w:rsid w:val="000810CF"/>
    <w:rsid w:val="00083426"/>
    <w:rsid w:val="00083B34"/>
    <w:rsid w:val="00085CAB"/>
    <w:rsid w:val="00085F57"/>
    <w:rsid w:val="0008693E"/>
    <w:rsid w:val="0009060C"/>
    <w:rsid w:val="00090731"/>
    <w:rsid w:val="0009240B"/>
    <w:rsid w:val="00094186"/>
    <w:rsid w:val="00096CF4"/>
    <w:rsid w:val="00097388"/>
    <w:rsid w:val="000A1AE9"/>
    <w:rsid w:val="000A26F2"/>
    <w:rsid w:val="000A30D2"/>
    <w:rsid w:val="000A433D"/>
    <w:rsid w:val="000A54E1"/>
    <w:rsid w:val="000A6132"/>
    <w:rsid w:val="000A665B"/>
    <w:rsid w:val="000B5294"/>
    <w:rsid w:val="000C0B6E"/>
    <w:rsid w:val="000C1920"/>
    <w:rsid w:val="000C1F50"/>
    <w:rsid w:val="000C2B11"/>
    <w:rsid w:val="000C6AC7"/>
    <w:rsid w:val="000C7419"/>
    <w:rsid w:val="000D0790"/>
    <w:rsid w:val="000D07F2"/>
    <w:rsid w:val="000D084B"/>
    <w:rsid w:val="000D1217"/>
    <w:rsid w:val="000D5884"/>
    <w:rsid w:val="000D589B"/>
    <w:rsid w:val="000D5B0D"/>
    <w:rsid w:val="000D5C26"/>
    <w:rsid w:val="000D6E73"/>
    <w:rsid w:val="000D7D58"/>
    <w:rsid w:val="000E065B"/>
    <w:rsid w:val="000E10D0"/>
    <w:rsid w:val="000E1A37"/>
    <w:rsid w:val="000E1D7F"/>
    <w:rsid w:val="000E2752"/>
    <w:rsid w:val="000E3A76"/>
    <w:rsid w:val="000F10CF"/>
    <w:rsid w:val="000F4187"/>
    <w:rsid w:val="000F46C6"/>
    <w:rsid w:val="000F5B73"/>
    <w:rsid w:val="000F66E3"/>
    <w:rsid w:val="000F7064"/>
    <w:rsid w:val="00101113"/>
    <w:rsid w:val="00103637"/>
    <w:rsid w:val="00107427"/>
    <w:rsid w:val="001075FB"/>
    <w:rsid w:val="00107A47"/>
    <w:rsid w:val="001100E5"/>
    <w:rsid w:val="0011193B"/>
    <w:rsid w:val="00112C17"/>
    <w:rsid w:val="001147B1"/>
    <w:rsid w:val="0011569B"/>
    <w:rsid w:val="00115C3B"/>
    <w:rsid w:val="00117231"/>
    <w:rsid w:val="001178E6"/>
    <w:rsid w:val="00121869"/>
    <w:rsid w:val="00121FBA"/>
    <w:rsid w:val="001226D3"/>
    <w:rsid w:val="001247BF"/>
    <w:rsid w:val="001263E3"/>
    <w:rsid w:val="00131841"/>
    <w:rsid w:val="00133E6E"/>
    <w:rsid w:val="00136ECD"/>
    <w:rsid w:val="0013744B"/>
    <w:rsid w:val="00137A4D"/>
    <w:rsid w:val="0014023B"/>
    <w:rsid w:val="00140CDD"/>
    <w:rsid w:val="0015058D"/>
    <w:rsid w:val="00150B6E"/>
    <w:rsid w:val="00150E5B"/>
    <w:rsid w:val="00152DCA"/>
    <w:rsid w:val="00154877"/>
    <w:rsid w:val="00154F69"/>
    <w:rsid w:val="00160B52"/>
    <w:rsid w:val="00160DD7"/>
    <w:rsid w:val="00161FAA"/>
    <w:rsid w:val="00164241"/>
    <w:rsid w:val="001642AC"/>
    <w:rsid w:val="00164EBF"/>
    <w:rsid w:val="00166DC2"/>
    <w:rsid w:val="001671AC"/>
    <w:rsid w:val="001723CD"/>
    <w:rsid w:val="00172990"/>
    <w:rsid w:val="0017322A"/>
    <w:rsid w:val="0017679F"/>
    <w:rsid w:val="00177D93"/>
    <w:rsid w:val="001816D7"/>
    <w:rsid w:val="0018373F"/>
    <w:rsid w:val="0018447A"/>
    <w:rsid w:val="00184ED7"/>
    <w:rsid w:val="0019081A"/>
    <w:rsid w:val="00192452"/>
    <w:rsid w:val="00192D23"/>
    <w:rsid w:val="00195B6C"/>
    <w:rsid w:val="001963A6"/>
    <w:rsid w:val="001A1BAA"/>
    <w:rsid w:val="001A1DA8"/>
    <w:rsid w:val="001A2F53"/>
    <w:rsid w:val="001A7ABF"/>
    <w:rsid w:val="001B16FE"/>
    <w:rsid w:val="001B1A51"/>
    <w:rsid w:val="001B25B0"/>
    <w:rsid w:val="001B2819"/>
    <w:rsid w:val="001B79E5"/>
    <w:rsid w:val="001C0CF6"/>
    <w:rsid w:val="001C2836"/>
    <w:rsid w:val="001C28B3"/>
    <w:rsid w:val="001C57FA"/>
    <w:rsid w:val="001C5ED4"/>
    <w:rsid w:val="001C6BB5"/>
    <w:rsid w:val="001D0B9A"/>
    <w:rsid w:val="001D29E7"/>
    <w:rsid w:val="001D49AC"/>
    <w:rsid w:val="001D5F61"/>
    <w:rsid w:val="001E0522"/>
    <w:rsid w:val="001E16D6"/>
    <w:rsid w:val="001E298A"/>
    <w:rsid w:val="001E2BA3"/>
    <w:rsid w:val="001E3F97"/>
    <w:rsid w:val="001E5AF0"/>
    <w:rsid w:val="001E7A9B"/>
    <w:rsid w:val="001F2A71"/>
    <w:rsid w:val="001F75C8"/>
    <w:rsid w:val="00200F2D"/>
    <w:rsid w:val="002021F7"/>
    <w:rsid w:val="00202E44"/>
    <w:rsid w:val="00202F89"/>
    <w:rsid w:val="00203D86"/>
    <w:rsid w:val="00204AB8"/>
    <w:rsid w:val="0020549C"/>
    <w:rsid w:val="00206991"/>
    <w:rsid w:val="002112E6"/>
    <w:rsid w:val="00213C33"/>
    <w:rsid w:val="00214730"/>
    <w:rsid w:val="00215C67"/>
    <w:rsid w:val="002167F3"/>
    <w:rsid w:val="002173F5"/>
    <w:rsid w:val="00220D4B"/>
    <w:rsid w:val="002244F4"/>
    <w:rsid w:val="00227CFA"/>
    <w:rsid w:val="002305C1"/>
    <w:rsid w:val="00231DF6"/>
    <w:rsid w:val="0023235D"/>
    <w:rsid w:val="00235B34"/>
    <w:rsid w:val="00237639"/>
    <w:rsid w:val="00240A4C"/>
    <w:rsid w:val="00240DB3"/>
    <w:rsid w:val="00245C64"/>
    <w:rsid w:val="002472DF"/>
    <w:rsid w:val="00250856"/>
    <w:rsid w:val="0025421D"/>
    <w:rsid w:val="00255241"/>
    <w:rsid w:val="00260771"/>
    <w:rsid w:val="00260B7A"/>
    <w:rsid w:val="002617D0"/>
    <w:rsid w:val="0026204F"/>
    <w:rsid w:val="0026226E"/>
    <w:rsid w:val="00272528"/>
    <w:rsid w:val="00274950"/>
    <w:rsid w:val="00277672"/>
    <w:rsid w:val="00280FDD"/>
    <w:rsid w:val="00281B78"/>
    <w:rsid w:val="00281CCF"/>
    <w:rsid w:val="00283416"/>
    <w:rsid w:val="00283679"/>
    <w:rsid w:val="00283C62"/>
    <w:rsid w:val="00290C61"/>
    <w:rsid w:val="00290E42"/>
    <w:rsid w:val="00294AC9"/>
    <w:rsid w:val="0029630A"/>
    <w:rsid w:val="00296A3C"/>
    <w:rsid w:val="002A1999"/>
    <w:rsid w:val="002A1A5D"/>
    <w:rsid w:val="002A39A8"/>
    <w:rsid w:val="002A39B3"/>
    <w:rsid w:val="002A5D82"/>
    <w:rsid w:val="002B1352"/>
    <w:rsid w:val="002B1B8E"/>
    <w:rsid w:val="002B61BD"/>
    <w:rsid w:val="002C1F13"/>
    <w:rsid w:val="002C2A05"/>
    <w:rsid w:val="002C3D2F"/>
    <w:rsid w:val="002C6882"/>
    <w:rsid w:val="002C7B90"/>
    <w:rsid w:val="002D1B66"/>
    <w:rsid w:val="002D3F55"/>
    <w:rsid w:val="002D4673"/>
    <w:rsid w:val="002D7553"/>
    <w:rsid w:val="002E232E"/>
    <w:rsid w:val="002E2BD8"/>
    <w:rsid w:val="002E4A7A"/>
    <w:rsid w:val="002E7354"/>
    <w:rsid w:val="002F3F6D"/>
    <w:rsid w:val="002F73CA"/>
    <w:rsid w:val="002F74C7"/>
    <w:rsid w:val="00300AA5"/>
    <w:rsid w:val="00300D5F"/>
    <w:rsid w:val="003034DA"/>
    <w:rsid w:val="0030383A"/>
    <w:rsid w:val="00305CB9"/>
    <w:rsid w:val="003101C1"/>
    <w:rsid w:val="00313AAD"/>
    <w:rsid w:val="00317537"/>
    <w:rsid w:val="00321DB4"/>
    <w:rsid w:val="003300BD"/>
    <w:rsid w:val="00330DF9"/>
    <w:rsid w:val="0033255C"/>
    <w:rsid w:val="00334356"/>
    <w:rsid w:val="00335590"/>
    <w:rsid w:val="00337BC6"/>
    <w:rsid w:val="003404D7"/>
    <w:rsid w:val="00341179"/>
    <w:rsid w:val="003415EF"/>
    <w:rsid w:val="003431F9"/>
    <w:rsid w:val="0034329C"/>
    <w:rsid w:val="003466A5"/>
    <w:rsid w:val="00346FBD"/>
    <w:rsid w:val="00350A18"/>
    <w:rsid w:val="00350AD4"/>
    <w:rsid w:val="0035375C"/>
    <w:rsid w:val="00354012"/>
    <w:rsid w:val="00357276"/>
    <w:rsid w:val="003572D8"/>
    <w:rsid w:val="00357B5C"/>
    <w:rsid w:val="00362F90"/>
    <w:rsid w:val="00366B0C"/>
    <w:rsid w:val="0036743D"/>
    <w:rsid w:val="003715A7"/>
    <w:rsid w:val="00372064"/>
    <w:rsid w:val="00373423"/>
    <w:rsid w:val="00374974"/>
    <w:rsid w:val="00377830"/>
    <w:rsid w:val="00377F14"/>
    <w:rsid w:val="003806A8"/>
    <w:rsid w:val="003829DB"/>
    <w:rsid w:val="00383160"/>
    <w:rsid w:val="00384D93"/>
    <w:rsid w:val="003855C2"/>
    <w:rsid w:val="00385F15"/>
    <w:rsid w:val="00391669"/>
    <w:rsid w:val="00391AB4"/>
    <w:rsid w:val="00395482"/>
    <w:rsid w:val="0039705F"/>
    <w:rsid w:val="003A1DE0"/>
    <w:rsid w:val="003A342F"/>
    <w:rsid w:val="003A3C28"/>
    <w:rsid w:val="003B2E72"/>
    <w:rsid w:val="003B5A6F"/>
    <w:rsid w:val="003C0849"/>
    <w:rsid w:val="003C176C"/>
    <w:rsid w:val="003C2E82"/>
    <w:rsid w:val="003C33DB"/>
    <w:rsid w:val="003C3801"/>
    <w:rsid w:val="003C5E79"/>
    <w:rsid w:val="003C68EC"/>
    <w:rsid w:val="003C777B"/>
    <w:rsid w:val="003D2B5B"/>
    <w:rsid w:val="003D34C8"/>
    <w:rsid w:val="003D3A8B"/>
    <w:rsid w:val="003D5C29"/>
    <w:rsid w:val="003D6ADB"/>
    <w:rsid w:val="003E3086"/>
    <w:rsid w:val="003E7057"/>
    <w:rsid w:val="003E7B33"/>
    <w:rsid w:val="003F596A"/>
    <w:rsid w:val="003F6727"/>
    <w:rsid w:val="003F692D"/>
    <w:rsid w:val="003F73B6"/>
    <w:rsid w:val="003F7446"/>
    <w:rsid w:val="004022F0"/>
    <w:rsid w:val="00403C13"/>
    <w:rsid w:val="00405296"/>
    <w:rsid w:val="00406039"/>
    <w:rsid w:val="00410E46"/>
    <w:rsid w:val="0041139F"/>
    <w:rsid w:val="00414125"/>
    <w:rsid w:val="004148D3"/>
    <w:rsid w:val="004176E8"/>
    <w:rsid w:val="00420580"/>
    <w:rsid w:val="004215C5"/>
    <w:rsid w:val="00421ACA"/>
    <w:rsid w:val="0042243B"/>
    <w:rsid w:val="004252A3"/>
    <w:rsid w:val="0042581B"/>
    <w:rsid w:val="00426846"/>
    <w:rsid w:val="00426FB6"/>
    <w:rsid w:val="00427401"/>
    <w:rsid w:val="00431392"/>
    <w:rsid w:val="004320B6"/>
    <w:rsid w:val="00433C18"/>
    <w:rsid w:val="00435D1D"/>
    <w:rsid w:val="00436D9A"/>
    <w:rsid w:val="00436FDA"/>
    <w:rsid w:val="004414F1"/>
    <w:rsid w:val="00441682"/>
    <w:rsid w:val="0044168C"/>
    <w:rsid w:val="004422DD"/>
    <w:rsid w:val="0044300D"/>
    <w:rsid w:val="00445AED"/>
    <w:rsid w:val="004478F7"/>
    <w:rsid w:val="00454A9A"/>
    <w:rsid w:val="0045536F"/>
    <w:rsid w:val="00455694"/>
    <w:rsid w:val="0045683A"/>
    <w:rsid w:val="004606E2"/>
    <w:rsid w:val="004658E5"/>
    <w:rsid w:val="00467B32"/>
    <w:rsid w:val="00472B86"/>
    <w:rsid w:val="0047404B"/>
    <w:rsid w:val="00474C57"/>
    <w:rsid w:val="004813C1"/>
    <w:rsid w:val="004819F8"/>
    <w:rsid w:val="00481CFC"/>
    <w:rsid w:val="00483395"/>
    <w:rsid w:val="00483783"/>
    <w:rsid w:val="00484116"/>
    <w:rsid w:val="00484CED"/>
    <w:rsid w:val="00490962"/>
    <w:rsid w:val="00494D06"/>
    <w:rsid w:val="004A0446"/>
    <w:rsid w:val="004A465D"/>
    <w:rsid w:val="004A4C08"/>
    <w:rsid w:val="004A5607"/>
    <w:rsid w:val="004B5EB7"/>
    <w:rsid w:val="004B5F4D"/>
    <w:rsid w:val="004B7029"/>
    <w:rsid w:val="004C252D"/>
    <w:rsid w:val="004C39ED"/>
    <w:rsid w:val="004C4F67"/>
    <w:rsid w:val="004C6F14"/>
    <w:rsid w:val="004D69B3"/>
    <w:rsid w:val="004E19E1"/>
    <w:rsid w:val="004E3EF7"/>
    <w:rsid w:val="004E43B8"/>
    <w:rsid w:val="004E4891"/>
    <w:rsid w:val="004E4ABE"/>
    <w:rsid w:val="004F03F3"/>
    <w:rsid w:val="004F2DF2"/>
    <w:rsid w:val="004F3884"/>
    <w:rsid w:val="004F6243"/>
    <w:rsid w:val="004F70AF"/>
    <w:rsid w:val="00500BCA"/>
    <w:rsid w:val="00501333"/>
    <w:rsid w:val="00502625"/>
    <w:rsid w:val="00503FCA"/>
    <w:rsid w:val="0050787F"/>
    <w:rsid w:val="00507EF5"/>
    <w:rsid w:val="00510AE8"/>
    <w:rsid w:val="00510AF0"/>
    <w:rsid w:val="00513ADE"/>
    <w:rsid w:val="005166A2"/>
    <w:rsid w:val="005177AA"/>
    <w:rsid w:val="005219A0"/>
    <w:rsid w:val="00522854"/>
    <w:rsid w:val="0052392E"/>
    <w:rsid w:val="005275E7"/>
    <w:rsid w:val="0053185D"/>
    <w:rsid w:val="00532734"/>
    <w:rsid w:val="005329BF"/>
    <w:rsid w:val="00533303"/>
    <w:rsid w:val="0053481F"/>
    <w:rsid w:val="00535D66"/>
    <w:rsid w:val="00541816"/>
    <w:rsid w:val="005442AA"/>
    <w:rsid w:val="00544A86"/>
    <w:rsid w:val="00556156"/>
    <w:rsid w:val="0055736A"/>
    <w:rsid w:val="00562CF6"/>
    <w:rsid w:val="005633F0"/>
    <w:rsid w:val="005648B1"/>
    <w:rsid w:val="005708F5"/>
    <w:rsid w:val="00571CFB"/>
    <w:rsid w:val="00571FE7"/>
    <w:rsid w:val="00573390"/>
    <w:rsid w:val="0057652A"/>
    <w:rsid w:val="00577AB0"/>
    <w:rsid w:val="0058128A"/>
    <w:rsid w:val="00581F00"/>
    <w:rsid w:val="00582C07"/>
    <w:rsid w:val="005834A3"/>
    <w:rsid w:val="005841EF"/>
    <w:rsid w:val="005859B8"/>
    <w:rsid w:val="00585A4E"/>
    <w:rsid w:val="005863AE"/>
    <w:rsid w:val="00586D23"/>
    <w:rsid w:val="005A0235"/>
    <w:rsid w:val="005A0442"/>
    <w:rsid w:val="005A3441"/>
    <w:rsid w:val="005A48DF"/>
    <w:rsid w:val="005A5956"/>
    <w:rsid w:val="005A6755"/>
    <w:rsid w:val="005B105A"/>
    <w:rsid w:val="005B4DF8"/>
    <w:rsid w:val="005B740C"/>
    <w:rsid w:val="005B78B8"/>
    <w:rsid w:val="005C0632"/>
    <w:rsid w:val="005C14D8"/>
    <w:rsid w:val="005C2846"/>
    <w:rsid w:val="005C291D"/>
    <w:rsid w:val="005C5A61"/>
    <w:rsid w:val="005C5F22"/>
    <w:rsid w:val="005C63C4"/>
    <w:rsid w:val="005D31AD"/>
    <w:rsid w:val="005D5CC9"/>
    <w:rsid w:val="005E1EEC"/>
    <w:rsid w:val="005E407F"/>
    <w:rsid w:val="005F03F6"/>
    <w:rsid w:val="005F11D2"/>
    <w:rsid w:val="005F18DC"/>
    <w:rsid w:val="005F19BF"/>
    <w:rsid w:val="005F28D9"/>
    <w:rsid w:val="005F3E4F"/>
    <w:rsid w:val="006027E8"/>
    <w:rsid w:val="00606156"/>
    <w:rsid w:val="00610B80"/>
    <w:rsid w:val="00610B92"/>
    <w:rsid w:val="00613493"/>
    <w:rsid w:val="006168B4"/>
    <w:rsid w:val="00617BC2"/>
    <w:rsid w:val="006208B0"/>
    <w:rsid w:val="00622BC3"/>
    <w:rsid w:val="00624509"/>
    <w:rsid w:val="00626D35"/>
    <w:rsid w:val="00633E42"/>
    <w:rsid w:val="00635828"/>
    <w:rsid w:val="00637558"/>
    <w:rsid w:val="00641497"/>
    <w:rsid w:val="00642AAD"/>
    <w:rsid w:val="00646A14"/>
    <w:rsid w:val="006516DC"/>
    <w:rsid w:val="00652C3D"/>
    <w:rsid w:val="00652DD6"/>
    <w:rsid w:val="00653930"/>
    <w:rsid w:val="00654054"/>
    <w:rsid w:val="006540F8"/>
    <w:rsid w:val="00654789"/>
    <w:rsid w:val="0065490C"/>
    <w:rsid w:val="00656D45"/>
    <w:rsid w:val="006619F5"/>
    <w:rsid w:val="006625B0"/>
    <w:rsid w:val="006627BE"/>
    <w:rsid w:val="006634B6"/>
    <w:rsid w:val="006675BC"/>
    <w:rsid w:val="00667949"/>
    <w:rsid w:val="00671009"/>
    <w:rsid w:val="0067367E"/>
    <w:rsid w:val="00677858"/>
    <w:rsid w:val="0068178C"/>
    <w:rsid w:val="00683B5D"/>
    <w:rsid w:val="00684FFC"/>
    <w:rsid w:val="00686402"/>
    <w:rsid w:val="006905DE"/>
    <w:rsid w:val="00690EE6"/>
    <w:rsid w:val="00691169"/>
    <w:rsid w:val="00691AC4"/>
    <w:rsid w:val="006930BB"/>
    <w:rsid w:val="00695182"/>
    <w:rsid w:val="00695B5A"/>
    <w:rsid w:val="0069607D"/>
    <w:rsid w:val="006A17A3"/>
    <w:rsid w:val="006A5826"/>
    <w:rsid w:val="006A5A26"/>
    <w:rsid w:val="006B19FA"/>
    <w:rsid w:val="006B277A"/>
    <w:rsid w:val="006B4940"/>
    <w:rsid w:val="006B7E6E"/>
    <w:rsid w:val="006B7EBA"/>
    <w:rsid w:val="006C079A"/>
    <w:rsid w:val="006C1E8F"/>
    <w:rsid w:val="006C4875"/>
    <w:rsid w:val="006C5047"/>
    <w:rsid w:val="006C5FB1"/>
    <w:rsid w:val="006D2DC2"/>
    <w:rsid w:val="006D5BBC"/>
    <w:rsid w:val="006E0D8F"/>
    <w:rsid w:val="006E5047"/>
    <w:rsid w:val="006F0BDB"/>
    <w:rsid w:val="006F3284"/>
    <w:rsid w:val="006F3D65"/>
    <w:rsid w:val="006F6B94"/>
    <w:rsid w:val="00701DAD"/>
    <w:rsid w:val="00705A13"/>
    <w:rsid w:val="00705C26"/>
    <w:rsid w:val="007105C1"/>
    <w:rsid w:val="0071553E"/>
    <w:rsid w:val="00716C96"/>
    <w:rsid w:val="00716CBF"/>
    <w:rsid w:val="00716F32"/>
    <w:rsid w:val="00717271"/>
    <w:rsid w:val="00717E89"/>
    <w:rsid w:val="00722370"/>
    <w:rsid w:val="00724A06"/>
    <w:rsid w:val="007264AE"/>
    <w:rsid w:val="00731D65"/>
    <w:rsid w:val="007325EE"/>
    <w:rsid w:val="007347C7"/>
    <w:rsid w:val="007363BC"/>
    <w:rsid w:val="0073750C"/>
    <w:rsid w:val="00741A10"/>
    <w:rsid w:val="00742626"/>
    <w:rsid w:val="00751790"/>
    <w:rsid w:val="00754F99"/>
    <w:rsid w:val="007558A1"/>
    <w:rsid w:val="00766E05"/>
    <w:rsid w:val="00770349"/>
    <w:rsid w:val="00774020"/>
    <w:rsid w:val="007764BA"/>
    <w:rsid w:val="007812DD"/>
    <w:rsid w:val="00786F66"/>
    <w:rsid w:val="007905DA"/>
    <w:rsid w:val="007A12FB"/>
    <w:rsid w:val="007A1CE0"/>
    <w:rsid w:val="007A2F37"/>
    <w:rsid w:val="007A7E1A"/>
    <w:rsid w:val="007B0E29"/>
    <w:rsid w:val="007B1199"/>
    <w:rsid w:val="007B739B"/>
    <w:rsid w:val="007B7932"/>
    <w:rsid w:val="007C21EE"/>
    <w:rsid w:val="007C4E7D"/>
    <w:rsid w:val="007C4FD6"/>
    <w:rsid w:val="007C618D"/>
    <w:rsid w:val="007C61F5"/>
    <w:rsid w:val="007C7B86"/>
    <w:rsid w:val="007D1171"/>
    <w:rsid w:val="007D2DAE"/>
    <w:rsid w:val="007D7863"/>
    <w:rsid w:val="007E000E"/>
    <w:rsid w:val="007E171B"/>
    <w:rsid w:val="007E3722"/>
    <w:rsid w:val="007E37CC"/>
    <w:rsid w:val="007E542E"/>
    <w:rsid w:val="007E78F5"/>
    <w:rsid w:val="007F05BA"/>
    <w:rsid w:val="007F0B79"/>
    <w:rsid w:val="007F2131"/>
    <w:rsid w:val="007F2B19"/>
    <w:rsid w:val="007F499A"/>
    <w:rsid w:val="007F4E20"/>
    <w:rsid w:val="007F5859"/>
    <w:rsid w:val="007F5B3D"/>
    <w:rsid w:val="008006B0"/>
    <w:rsid w:val="008037F0"/>
    <w:rsid w:val="008068F0"/>
    <w:rsid w:val="00810B6E"/>
    <w:rsid w:val="008114DC"/>
    <w:rsid w:val="008137C2"/>
    <w:rsid w:val="00815138"/>
    <w:rsid w:val="0081650B"/>
    <w:rsid w:val="008201C1"/>
    <w:rsid w:val="00820F33"/>
    <w:rsid w:val="00822447"/>
    <w:rsid w:val="0082407F"/>
    <w:rsid w:val="00824745"/>
    <w:rsid w:val="008312A8"/>
    <w:rsid w:val="00833D23"/>
    <w:rsid w:val="00835112"/>
    <w:rsid w:val="00835916"/>
    <w:rsid w:val="008373D9"/>
    <w:rsid w:val="00840E77"/>
    <w:rsid w:val="00844FE2"/>
    <w:rsid w:val="00845076"/>
    <w:rsid w:val="0085088D"/>
    <w:rsid w:val="00851C12"/>
    <w:rsid w:val="00854598"/>
    <w:rsid w:val="00854D98"/>
    <w:rsid w:val="0086453E"/>
    <w:rsid w:val="008656F5"/>
    <w:rsid w:val="0086586C"/>
    <w:rsid w:val="00865A56"/>
    <w:rsid w:val="00870648"/>
    <w:rsid w:val="0087140C"/>
    <w:rsid w:val="00872BB1"/>
    <w:rsid w:val="00873E9D"/>
    <w:rsid w:val="008745CB"/>
    <w:rsid w:val="00875363"/>
    <w:rsid w:val="00876201"/>
    <w:rsid w:val="00884E9E"/>
    <w:rsid w:val="00884F67"/>
    <w:rsid w:val="008850E3"/>
    <w:rsid w:val="00891014"/>
    <w:rsid w:val="00894F11"/>
    <w:rsid w:val="008957C7"/>
    <w:rsid w:val="00896121"/>
    <w:rsid w:val="00896BD9"/>
    <w:rsid w:val="00897C3E"/>
    <w:rsid w:val="008A0C55"/>
    <w:rsid w:val="008A2541"/>
    <w:rsid w:val="008B45FD"/>
    <w:rsid w:val="008B674D"/>
    <w:rsid w:val="008B6C25"/>
    <w:rsid w:val="008C018C"/>
    <w:rsid w:val="008C17E6"/>
    <w:rsid w:val="008C3C3D"/>
    <w:rsid w:val="008D02D1"/>
    <w:rsid w:val="008D22F6"/>
    <w:rsid w:val="008D28A9"/>
    <w:rsid w:val="008D2D5D"/>
    <w:rsid w:val="008D3A8C"/>
    <w:rsid w:val="008D3C37"/>
    <w:rsid w:val="008D543F"/>
    <w:rsid w:val="008D73F1"/>
    <w:rsid w:val="008E0492"/>
    <w:rsid w:val="008E2B60"/>
    <w:rsid w:val="008E45A8"/>
    <w:rsid w:val="008E4A1A"/>
    <w:rsid w:val="008E5AE6"/>
    <w:rsid w:val="008F0EF8"/>
    <w:rsid w:val="008F1C3D"/>
    <w:rsid w:val="008F2166"/>
    <w:rsid w:val="008F286C"/>
    <w:rsid w:val="008F4CC4"/>
    <w:rsid w:val="008F6969"/>
    <w:rsid w:val="00901014"/>
    <w:rsid w:val="00906B0F"/>
    <w:rsid w:val="0091081B"/>
    <w:rsid w:val="00910872"/>
    <w:rsid w:val="00913421"/>
    <w:rsid w:val="00916BAB"/>
    <w:rsid w:val="00931D18"/>
    <w:rsid w:val="00932ED1"/>
    <w:rsid w:val="009345CC"/>
    <w:rsid w:val="00941F86"/>
    <w:rsid w:val="00942C8E"/>
    <w:rsid w:val="009454E9"/>
    <w:rsid w:val="009466E7"/>
    <w:rsid w:val="00951EF4"/>
    <w:rsid w:val="009536FA"/>
    <w:rsid w:val="0095670F"/>
    <w:rsid w:val="0095778D"/>
    <w:rsid w:val="00957D58"/>
    <w:rsid w:val="0096156F"/>
    <w:rsid w:val="00963E74"/>
    <w:rsid w:val="009640DD"/>
    <w:rsid w:val="009701C7"/>
    <w:rsid w:val="00971D37"/>
    <w:rsid w:val="00974E0D"/>
    <w:rsid w:val="00975799"/>
    <w:rsid w:val="00975E7E"/>
    <w:rsid w:val="00976823"/>
    <w:rsid w:val="00980DDF"/>
    <w:rsid w:val="0098658A"/>
    <w:rsid w:val="00987018"/>
    <w:rsid w:val="00987D93"/>
    <w:rsid w:val="00992167"/>
    <w:rsid w:val="0099359D"/>
    <w:rsid w:val="009A09FA"/>
    <w:rsid w:val="009A0C5C"/>
    <w:rsid w:val="009A23DA"/>
    <w:rsid w:val="009A5873"/>
    <w:rsid w:val="009B0616"/>
    <w:rsid w:val="009B06E4"/>
    <w:rsid w:val="009B3927"/>
    <w:rsid w:val="009B4CAD"/>
    <w:rsid w:val="009C5BCF"/>
    <w:rsid w:val="009C691B"/>
    <w:rsid w:val="009C6D2D"/>
    <w:rsid w:val="009C6FD8"/>
    <w:rsid w:val="009C7D27"/>
    <w:rsid w:val="009D032D"/>
    <w:rsid w:val="009D12ED"/>
    <w:rsid w:val="009D3CF9"/>
    <w:rsid w:val="009D3F95"/>
    <w:rsid w:val="009D4397"/>
    <w:rsid w:val="009E0D0D"/>
    <w:rsid w:val="009E3E4C"/>
    <w:rsid w:val="009E4F47"/>
    <w:rsid w:val="009E71A8"/>
    <w:rsid w:val="009F098A"/>
    <w:rsid w:val="009F155A"/>
    <w:rsid w:val="009F2D80"/>
    <w:rsid w:val="009F37AA"/>
    <w:rsid w:val="00A01AD4"/>
    <w:rsid w:val="00A02ADD"/>
    <w:rsid w:val="00A04082"/>
    <w:rsid w:val="00A04832"/>
    <w:rsid w:val="00A0521D"/>
    <w:rsid w:val="00A07769"/>
    <w:rsid w:val="00A10F60"/>
    <w:rsid w:val="00A14B3A"/>
    <w:rsid w:val="00A152AC"/>
    <w:rsid w:val="00A15577"/>
    <w:rsid w:val="00A15A43"/>
    <w:rsid w:val="00A16144"/>
    <w:rsid w:val="00A21AD4"/>
    <w:rsid w:val="00A23DF3"/>
    <w:rsid w:val="00A25937"/>
    <w:rsid w:val="00A34F15"/>
    <w:rsid w:val="00A3794D"/>
    <w:rsid w:val="00A40290"/>
    <w:rsid w:val="00A41B89"/>
    <w:rsid w:val="00A45D17"/>
    <w:rsid w:val="00A45F20"/>
    <w:rsid w:val="00A46295"/>
    <w:rsid w:val="00A5277E"/>
    <w:rsid w:val="00A561CC"/>
    <w:rsid w:val="00A62109"/>
    <w:rsid w:val="00A63D13"/>
    <w:rsid w:val="00A66966"/>
    <w:rsid w:val="00A669E6"/>
    <w:rsid w:val="00A673ED"/>
    <w:rsid w:val="00A70D69"/>
    <w:rsid w:val="00A72D44"/>
    <w:rsid w:val="00A7379F"/>
    <w:rsid w:val="00A739CD"/>
    <w:rsid w:val="00A73D19"/>
    <w:rsid w:val="00A742FD"/>
    <w:rsid w:val="00A752CC"/>
    <w:rsid w:val="00A83B2B"/>
    <w:rsid w:val="00A933EE"/>
    <w:rsid w:val="00A93D87"/>
    <w:rsid w:val="00A95B55"/>
    <w:rsid w:val="00A96765"/>
    <w:rsid w:val="00A97C8E"/>
    <w:rsid w:val="00AA184B"/>
    <w:rsid w:val="00AA24BD"/>
    <w:rsid w:val="00AA2FAB"/>
    <w:rsid w:val="00AA41BA"/>
    <w:rsid w:val="00AB742C"/>
    <w:rsid w:val="00AB759E"/>
    <w:rsid w:val="00AB7BEE"/>
    <w:rsid w:val="00AC4C20"/>
    <w:rsid w:val="00AC68E0"/>
    <w:rsid w:val="00AD0D97"/>
    <w:rsid w:val="00AD4080"/>
    <w:rsid w:val="00AD4AED"/>
    <w:rsid w:val="00AD5706"/>
    <w:rsid w:val="00AE511D"/>
    <w:rsid w:val="00AE6F29"/>
    <w:rsid w:val="00AE769C"/>
    <w:rsid w:val="00AF0581"/>
    <w:rsid w:val="00AF08DE"/>
    <w:rsid w:val="00AF11E9"/>
    <w:rsid w:val="00AF2751"/>
    <w:rsid w:val="00AF4F78"/>
    <w:rsid w:val="00AF678D"/>
    <w:rsid w:val="00B01BF2"/>
    <w:rsid w:val="00B03BC0"/>
    <w:rsid w:val="00B03D28"/>
    <w:rsid w:val="00B04122"/>
    <w:rsid w:val="00B041B3"/>
    <w:rsid w:val="00B04B79"/>
    <w:rsid w:val="00B04DCD"/>
    <w:rsid w:val="00B07029"/>
    <w:rsid w:val="00B070F8"/>
    <w:rsid w:val="00B12ACE"/>
    <w:rsid w:val="00B1398E"/>
    <w:rsid w:val="00B147AF"/>
    <w:rsid w:val="00B14BDC"/>
    <w:rsid w:val="00B21732"/>
    <w:rsid w:val="00B2406E"/>
    <w:rsid w:val="00B32E0B"/>
    <w:rsid w:val="00B350FA"/>
    <w:rsid w:val="00B35A14"/>
    <w:rsid w:val="00B400C8"/>
    <w:rsid w:val="00B43E10"/>
    <w:rsid w:val="00B47D2D"/>
    <w:rsid w:val="00B55E28"/>
    <w:rsid w:val="00B55FA4"/>
    <w:rsid w:val="00B57924"/>
    <w:rsid w:val="00B60F34"/>
    <w:rsid w:val="00B612C5"/>
    <w:rsid w:val="00B61E27"/>
    <w:rsid w:val="00B66709"/>
    <w:rsid w:val="00B7255E"/>
    <w:rsid w:val="00B73FA6"/>
    <w:rsid w:val="00B744FA"/>
    <w:rsid w:val="00B8213A"/>
    <w:rsid w:val="00B8369D"/>
    <w:rsid w:val="00B846D4"/>
    <w:rsid w:val="00B85810"/>
    <w:rsid w:val="00B9062C"/>
    <w:rsid w:val="00B90ED1"/>
    <w:rsid w:val="00B914EF"/>
    <w:rsid w:val="00B91DCF"/>
    <w:rsid w:val="00B922C5"/>
    <w:rsid w:val="00B92384"/>
    <w:rsid w:val="00B95B78"/>
    <w:rsid w:val="00B97687"/>
    <w:rsid w:val="00B97A05"/>
    <w:rsid w:val="00BA0A9C"/>
    <w:rsid w:val="00BA7B0F"/>
    <w:rsid w:val="00BB061C"/>
    <w:rsid w:val="00BB1719"/>
    <w:rsid w:val="00BB2A8F"/>
    <w:rsid w:val="00BB3EC1"/>
    <w:rsid w:val="00BB5C25"/>
    <w:rsid w:val="00BB6CE0"/>
    <w:rsid w:val="00BB770B"/>
    <w:rsid w:val="00BC0581"/>
    <w:rsid w:val="00BC211B"/>
    <w:rsid w:val="00BC3E69"/>
    <w:rsid w:val="00BC6257"/>
    <w:rsid w:val="00BC6C9E"/>
    <w:rsid w:val="00BD08E3"/>
    <w:rsid w:val="00BD25C3"/>
    <w:rsid w:val="00BD5174"/>
    <w:rsid w:val="00BD70E4"/>
    <w:rsid w:val="00BD7292"/>
    <w:rsid w:val="00BE1BAD"/>
    <w:rsid w:val="00BE2C22"/>
    <w:rsid w:val="00BE3859"/>
    <w:rsid w:val="00BE4750"/>
    <w:rsid w:val="00BE4B04"/>
    <w:rsid w:val="00BE64EA"/>
    <w:rsid w:val="00BE6C5A"/>
    <w:rsid w:val="00BF02AC"/>
    <w:rsid w:val="00BF12D8"/>
    <w:rsid w:val="00BF2E43"/>
    <w:rsid w:val="00BF5186"/>
    <w:rsid w:val="00BF51CE"/>
    <w:rsid w:val="00BF5B86"/>
    <w:rsid w:val="00C00573"/>
    <w:rsid w:val="00C01184"/>
    <w:rsid w:val="00C03383"/>
    <w:rsid w:val="00C05015"/>
    <w:rsid w:val="00C0681E"/>
    <w:rsid w:val="00C06E4C"/>
    <w:rsid w:val="00C07F29"/>
    <w:rsid w:val="00C122E7"/>
    <w:rsid w:val="00C1277C"/>
    <w:rsid w:val="00C130B0"/>
    <w:rsid w:val="00C15631"/>
    <w:rsid w:val="00C1765E"/>
    <w:rsid w:val="00C21B5F"/>
    <w:rsid w:val="00C23676"/>
    <w:rsid w:val="00C268A7"/>
    <w:rsid w:val="00C27263"/>
    <w:rsid w:val="00C35036"/>
    <w:rsid w:val="00C37534"/>
    <w:rsid w:val="00C41CB7"/>
    <w:rsid w:val="00C42E97"/>
    <w:rsid w:val="00C439EC"/>
    <w:rsid w:val="00C44B89"/>
    <w:rsid w:val="00C46096"/>
    <w:rsid w:val="00C5094E"/>
    <w:rsid w:val="00C55D64"/>
    <w:rsid w:val="00C5697D"/>
    <w:rsid w:val="00C5761D"/>
    <w:rsid w:val="00C57A06"/>
    <w:rsid w:val="00C614B5"/>
    <w:rsid w:val="00C62668"/>
    <w:rsid w:val="00C62E4A"/>
    <w:rsid w:val="00C6436A"/>
    <w:rsid w:val="00C643FC"/>
    <w:rsid w:val="00C645BC"/>
    <w:rsid w:val="00C67E84"/>
    <w:rsid w:val="00C731D6"/>
    <w:rsid w:val="00C80322"/>
    <w:rsid w:val="00C849E9"/>
    <w:rsid w:val="00C91ADA"/>
    <w:rsid w:val="00C91FAA"/>
    <w:rsid w:val="00C9448C"/>
    <w:rsid w:val="00C94C5D"/>
    <w:rsid w:val="00C95A45"/>
    <w:rsid w:val="00CA004A"/>
    <w:rsid w:val="00CA200C"/>
    <w:rsid w:val="00CA35D9"/>
    <w:rsid w:val="00CA5D73"/>
    <w:rsid w:val="00CA7590"/>
    <w:rsid w:val="00CA786D"/>
    <w:rsid w:val="00CB053D"/>
    <w:rsid w:val="00CB1879"/>
    <w:rsid w:val="00CB2767"/>
    <w:rsid w:val="00CB2C04"/>
    <w:rsid w:val="00CB46EF"/>
    <w:rsid w:val="00CB4ECE"/>
    <w:rsid w:val="00CB69F3"/>
    <w:rsid w:val="00CC4206"/>
    <w:rsid w:val="00CD116B"/>
    <w:rsid w:val="00CD15B8"/>
    <w:rsid w:val="00CD7DDE"/>
    <w:rsid w:val="00CE19E3"/>
    <w:rsid w:val="00CE2276"/>
    <w:rsid w:val="00CE3BFF"/>
    <w:rsid w:val="00CE7CE9"/>
    <w:rsid w:val="00CF08F8"/>
    <w:rsid w:val="00CF2137"/>
    <w:rsid w:val="00CF2FA8"/>
    <w:rsid w:val="00CF3212"/>
    <w:rsid w:val="00CF46CD"/>
    <w:rsid w:val="00CF53E0"/>
    <w:rsid w:val="00CF763E"/>
    <w:rsid w:val="00D01F8F"/>
    <w:rsid w:val="00D0429E"/>
    <w:rsid w:val="00D04864"/>
    <w:rsid w:val="00D055BE"/>
    <w:rsid w:val="00D115AD"/>
    <w:rsid w:val="00D11BCB"/>
    <w:rsid w:val="00D12DE6"/>
    <w:rsid w:val="00D134F3"/>
    <w:rsid w:val="00D142C6"/>
    <w:rsid w:val="00D14ABC"/>
    <w:rsid w:val="00D15560"/>
    <w:rsid w:val="00D16A1C"/>
    <w:rsid w:val="00D17AEF"/>
    <w:rsid w:val="00D20DAC"/>
    <w:rsid w:val="00D217F3"/>
    <w:rsid w:val="00D21EF3"/>
    <w:rsid w:val="00D21F88"/>
    <w:rsid w:val="00D2671C"/>
    <w:rsid w:val="00D26DAA"/>
    <w:rsid w:val="00D308CE"/>
    <w:rsid w:val="00D320D7"/>
    <w:rsid w:val="00D36DE0"/>
    <w:rsid w:val="00D41FF8"/>
    <w:rsid w:val="00D430D5"/>
    <w:rsid w:val="00D45EC3"/>
    <w:rsid w:val="00D46429"/>
    <w:rsid w:val="00D4703A"/>
    <w:rsid w:val="00D476B4"/>
    <w:rsid w:val="00D47DB6"/>
    <w:rsid w:val="00D51092"/>
    <w:rsid w:val="00D5187C"/>
    <w:rsid w:val="00D54FCC"/>
    <w:rsid w:val="00D558AC"/>
    <w:rsid w:val="00D55F68"/>
    <w:rsid w:val="00D5607F"/>
    <w:rsid w:val="00D60302"/>
    <w:rsid w:val="00D61187"/>
    <w:rsid w:val="00D63D34"/>
    <w:rsid w:val="00D64960"/>
    <w:rsid w:val="00D71601"/>
    <w:rsid w:val="00D72E47"/>
    <w:rsid w:val="00D73DC3"/>
    <w:rsid w:val="00D746C8"/>
    <w:rsid w:val="00D74E66"/>
    <w:rsid w:val="00D74EC5"/>
    <w:rsid w:val="00D772C3"/>
    <w:rsid w:val="00D80BCB"/>
    <w:rsid w:val="00D80CB9"/>
    <w:rsid w:val="00D9082D"/>
    <w:rsid w:val="00D93FF8"/>
    <w:rsid w:val="00D95079"/>
    <w:rsid w:val="00D9666F"/>
    <w:rsid w:val="00D967AC"/>
    <w:rsid w:val="00DA44CD"/>
    <w:rsid w:val="00DA4825"/>
    <w:rsid w:val="00DA73DF"/>
    <w:rsid w:val="00DB25D2"/>
    <w:rsid w:val="00DB2B36"/>
    <w:rsid w:val="00DB7345"/>
    <w:rsid w:val="00DC0D00"/>
    <w:rsid w:val="00DC141F"/>
    <w:rsid w:val="00DC2E45"/>
    <w:rsid w:val="00DC4BA9"/>
    <w:rsid w:val="00DD0506"/>
    <w:rsid w:val="00DD288C"/>
    <w:rsid w:val="00DD392C"/>
    <w:rsid w:val="00DD5B84"/>
    <w:rsid w:val="00DD769D"/>
    <w:rsid w:val="00DE08F0"/>
    <w:rsid w:val="00DE0A79"/>
    <w:rsid w:val="00DE1363"/>
    <w:rsid w:val="00DE1713"/>
    <w:rsid w:val="00DE508A"/>
    <w:rsid w:val="00DE7E47"/>
    <w:rsid w:val="00DF0A80"/>
    <w:rsid w:val="00DF11F0"/>
    <w:rsid w:val="00DF3F6E"/>
    <w:rsid w:val="00DF70A4"/>
    <w:rsid w:val="00E00574"/>
    <w:rsid w:val="00E011F8"/>
    <w:rsid w:val="00E01223"/>
    <w:rsid w:val="00E01B71"/>
    <w:rsid w:val="00E01C7A"/>
    <w:rsid w:val="00E03815"/>
    <w:rsid w:val="00E046EC"/>
    <w:rsid w:val="00E04D54"/>
    <w:rsid w:val="00E05A0A"/>
    <w:rsid w:val="00E06DC2"/>
    <w:rsid w:val="00E10EE3"/>
    <w:rsid w:val="00E16607"/>
    <w:rsid w:val="00E172FE"/>
    <w:rsid w:val="00E17C39"/>
    <w:rsid w:val="00E20BDE"/>
    <w:rsid w:val="00E24C18"/>
    <w:rsid w:val="00E27834"/>
    <w:rsid w:val="00E303FB"/>
    <w:rsid w:val="00E32B5E"/>
    <w:rsid w:val="00E344E2"/>
    <w:rsid w:val="00E36723"/>
    <w:rsid w:val="00E43AFC"/>
    <w:rsid w:val="00E4549E"/>
    <w:rsid w:val="00E51EC9"/>
    <w:rsid w:val="00E5263A"/>
    <w:rsid w:val="00E53D6D"/>
    <w:rsid w:val="00E54684"/>
    <w:rsid w:val="00E56164"/>
    <w:rsid w:val="00E562EA"/>
    <w:rsid w:val="00E56DEF"/>
    <w:rsid w:val="00E64E0D"/>
    <w:rsid w:val="00E663CF"/>
    <w:rsid w:val="00E70991"/>
    <w:rsid w:val="00E715EB"/>
    <w:rsid w:val="00E71819"/>
    <w:rsid w:val="00E71ABD"/>
    <w:rsid w:val="00E71B69"/>
    <w:rsid w:val="00E71EB8"/>
    <w:rsid w:val="00E767BF"/>
    <w:rsid w:val="00E76F77"/>
    <w:rsid w:val="00E800CA"/>
    <w:rsid w:val="00E80D6C"/>
    <w:rsid w:val="00E812D4"/>
    <w:rsid w:val="00E84809"/>
    <w:rsid w:val="00E90B1F"/>
    <w:rsid w:val="00E9250B"/>
    <w:rsid w:val="00E925D0"/>
    <w:rsid w:val="00E93155"/>
    <w:rsid w:val="00E96CA2"/>
    <w:rsid w:val="00E96F43"/>
    <w:rsid w:val="00E9736D"/>
    <w:rsid w:val="00E97424"/>
    <w:rsid w:val="00EA065A"/>
    <w:rsid w:val="00EA296E"/>
    <w:rsid w:val="00EA4ACC"/>
    <w:rsid w:val="00EA5236"/>
    <w:rsid w:val="00EA69F9"/>
    <w:rsid w:val="00EA7920"/>
    <w:rsid w:val="00EA797E"/>
    <w:rsid w:val="00EB0B37"/>
    <w:rsid w:val="00EB25FB"/>
    <w:rsid w:val="00EB573E"/>
    <w:rsid w:val="00EB69DE"/>
    <w:rsid w:val="00EB6EA7"/>
    <w:rsid w:val="00EC2144"/>
    <w:rsid w:val="00EC7C04"/>
    <w:rsid w:val="00ED4603"/>
    <w:rsid w:val="00ED46A4"/>
    <w:rsid w:val="00ED7CA0"/>
    <w:rsid w:val="00EE5E9B"/>
    <w:rsid w:val="00EF0A4D"/>
    <w:rsid w:val="00EF2557"/>
    <w:rsid w:val="00EF4B08"/>
    <w:rsid w:val="00EF4C3B"/>
    <w:rsid w:val="00EF68C1"/>
    <w:rsid w:val="00EF6D47"/>
    <w:rsid w:val="00EF6DC9"/>
    <w:rsid w:val="00EF7158"/>
    <w:rsid w:val="00F005FD"/>
    <w:rsid w:val="00F06843"/>
    <w:rsid w:val="00F10F62"/>
    <w:rsid w:val="00F12898"/>
    <w:rsid w:val="00F14136"/>
    <w:rsid w:val="00F148D3"/>
    <w:rsid w:val="00F14E11"/>
    <w:rsid w:val="00F15F2D"/>
    <w:rsid w:val="00F172C7"/>
    <w:rsid w:val="00F178D3"/>
    <w:rsid w:val="00F25789"/>
    <w:rsid w:val="00F44088"/>
    <w:rsid w:val="00F45316"/>
    <w:rsid w:val="00F461CE"/>
    <w:rsid w:val="00F46EEC"/>
    <w:rsid w:val="00F47DA1"/>
    <w:rsid w:val="00F5028D"/>
    <w:rsid w:val="00F50F84"/>
    <w:rsid w:val="00F52208"/>
    <w:rsid w:val="00F53CEB"/>
    <w:rsid w:val="00F553A9"/>
    <w:rsid w:val="00F63C7A"/>
    <w:rsid w:val="00F700C6"/>
    <w:rsid w:val="00F7033A"/>
    <w:rsid w:val="00F716F9"/>
    <w:rsid w:val="00F71948"/>
    <w:rsid w:val="00F721AC"/>
    <w:rsid w:val="00F743AC"/>
    <w:rsid w:val="00F7539B"/>
    <w:rsid w:val="00F772D9"/>
    <w:rsid w:val="00F8056E"/>
    <w:rsid w:val="00F8140B"/>
    <w:rsid w:val="00F81E5C"/>
    <w:rsid w:val="00F826B8"/>
    <w:rsid w:val="00F84A17"/>
    <w:rsid w:val="00F870FA"/>
    <w:rsid w:val="00F874A3"/>
    <w:rsid w:val="00F90002"/>
    <w:rsid w:val="00F90D94"/>
    <w:rsid w:val="00F94C31"/>
    <w:rsid w:val="00F9518D"/>
    <w:rsid w:val="00F95F17"/>
    <w:rsid w:val="00FA41FC"/>
    <w:rsid w:val="00FA5900"/>
    <w:rsid w:val="00FA7893"/>
    <w:rsid w:val="00FB0777"/>
    <w:rsid w:val="00FB1BCD"/>
    <w:rsid w:val="00FB3FA0"/>
    <w:rsid w:val="00FB7236"/>
    <w:rsid w:val="00FC116A"/>
    <w:rsid w:val="00FC3BA0"/>
    <w:rsid w:val="00FC51D8"/>
    <w:rsid w:val="00FC60F7"/>
    <w:rsid w:val="00FD00DD"/>
    <w:rsid w:val="00FD04C0"/>
    <w:rsid w:val="00FD0C58"/>
    <w:rsid w:val="00FD2129"/>
    <w:rsid w:val="00FD490F"/>
    <w:rsid w:val="00FD49A5"/>
    <w:rsid w:val="00FD4F3B"/>
    <w:rsid w:val="00FD76BB"/>
    <w:rsid w:val="00FE19ED"/>
    <w:rsid w:val="00FE5B25"/>
    <w:rsid w:val="00FF09BF"/>
    <w:rsid w:val="00FF2658"/>
    <w:rsid w:val="00FF2736"/>
    <w:rsid w:val="00FF52FB"/>
    <w:rsid w:val="00FF5948"/>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86279C"/>
  <w15:docId w15:val="{829D2977-401B-4F15-9763-327F707A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BD5174"/>
    <w:pPr>
      <w:numPr>
        <w:numId w:val="40"/>
      </w:numPr>
      <w:autoSpaceDE w:val="0"/>
      <w:autoSpaceDN w:val="0"/>
      <w:adjustRightInd w:val="0"/>
      <w:ind w:left="426"/>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6109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ahmac-scheduling-policy-framework-medicines-and-chemic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A887DB9-3683-4025-B775-C95EE450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3</cp:revision>
  <cp:lastPrinted>2017-12-06T00:35:00Z</cp:lastPrinted>
  <dcterms:created xsi:type="dcterms:W3CDTF">2020-06-17T00:16:00Z</dcterms:created>
  <dcterms:modified xsi:type="dcterms:W3CDTF">2020-06-17T01:37:00Z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