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C85162" w:rsidRDefault="00FA6784" w:rsidP="00FA6784">
      <w:pPr>
        <w:pStyle w:val="H3"/>
        <w:jc w:val="center"/>
        <w:rPr>
          <w:sz w:val="24"/>
          <w:szCs w:val="24"/>
        </w:rPr>
      </w:pPr>
      <w:r w:rsidRPr="00C85162">
        <w:rPr>
          <w:sz w:val="24"/>
          <w:szCs w:val="24"/>
        </w:rPr>
        <w:t>EXPLANATORY STATEMENT</w:t>
      </w:r>
    </w:p>
    <w:p w14:paraId="2412D122" w14:textId="77777777" w:rsidR="00FA6784" w:rsidRPr="00C85162" w:rsidRDefault="00FA6784" w:rsidP="00FA6784">
      <w:pPr>
        <w:jc w:val="center"/>
        <w:rPr>
          <w:i/>
          <w:iCs/>
          <w:sz w:val="20"/>
        </w:rPr>
      </w:pPr>
    </w:p>
    <w:p w14:paraId="2412D123" w14:textId="77777777" w:rsidR="00FA6784" w:rsidRPr="00C85162" w:rsidRDefault="00FA6784" w:rsidP="00FA6784">
      <w:pPr>
        <w:jc w:val="center"/>
        <w:rPr>
          <w:i/>
          <w:iCs/>
        </w:rPr>
      </w:pPr>
      <w:r w:rsidRPr="00C85162">
        <w:rPr>
          <w:i/>
          <w:iCs/>
        </w:rPr>
        <w:t>Health Insurance Act 1973</w:t>
      </w:r>
    </w:p>
    <w:p w14:paraId="2412D124" w14:textId="77777777" w:rsidR="00A1739A" w:rsidRPr="00C85162" w:rsidRDefault="00A1739A" w:rsidP="00A1739A">
      <w:pPr>
        <w:rPr>
          <w:szCs w:val="24"/>
          <w:highlight w:val="yellow"/>
          <w:u w:val="single"/>
        </w:rPr>
      </w:pPr>
    </w:p>
    <w:p w14:paraId="0672E813" w14:textId="219059E7" w:rsidR="001B7F67" w:rsidRPr="006A3214" w:rsidRDefault="001B7F67" w:rsidP="006A3214">
      <w:pPr>
        <w:ind w:right="261"/>
        <w:jc w:val="center"/>
        <w:rPr>
          <w:i/>
          <w:iCs/>
        </w:rPr>
      </w:pPr>
      <w:r w:rsidRPr="006A3214">
        <w:rPr>
          <w:i/>
          <w:iCs/>
        </w:rPr>
        <w:t xml:space="preserve">Health Insurance </w:t>
      </w:r>
      <w:r w:rsidR="00A327DD" w:rsidRPr="006A3214">
        <w:rPr>
          <w:i/>
          <w:iCs/>
        </w:rPr>
        <w:t xml:space="preserve">(Section 3C </w:t>
      </w:r>
      <w:r w:rsidR="005D1A89" w:rsidRPr="006A3214">
        <w:rPr>
          <w:i/>
          <w:iCs/>
        </w:rPr>
        <w:t xml:space="preserve">General Medical Services - </w:t>
      </w:r>
      <w:r w:rsidR="00051648" w:rsidRPr="006A3214">
        <w:rPr>
          <w:i/>
          <w:iCs/>
        </w:rPr>
        <w:t>Optometric Services</w:t>
      </w:r>
      <w:r w:rsidR="007B6505" w:rsidRPr="006A3214">
        <w:rPr>
          <w:i/>
          <w:iCs/>
        </w:rPr>
        <w:t>)</w:t>
      </w:r>
      <w:r w:rsidRPr="006A3214">
        <w:rPr>
          <w:i/>
          <w:iCs/>
        </w:rPr>
        <w:t xml:space="preserve"> Determination 20</w:t>
      </w:r>
      <w:r w:rsidR="00A327DD" w:rsidRPr="006A3214">
        <w:rPr>
          <w:i/>
          <w:iCs/>
        </w:rPr>
        <w:t>20</w:t>
      </w:r>
    </w:p>
    <w:p w14:paraId="4C964DC9" w14:textId="77777777" w:rsidR="007F21C2" w:rsidRPr="00EB601D" w:rsidRDefault="007F21C2" w:rsidP="007F21C2">
      <w:pPr>
        <w:ind w:right="-483"/>
        <w:jc w:val="center"/>
        <w:rPr>
          <w:szCs w:val="24"/>
          <w:highlight w:val="yellow"/>
        </w:rPr>
      </w:pPr>
    </w:p>
    <w:p w14:paraId="6F9C48B2" w14:textId="77777777" w:rsidR="006A3214" w:rsidRPr="00A26264" w:rsidRDefault="006A3214" w:rsidP="006A3214">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D87426">
        <w:rPr>
          <w:color w:val="000000"/>
          <w:shd w:val="clear" w:color="auto" w:fill="FFFFFF"/>
        </w:rPr>
        <w:t xml:space="preserve">Subsection 3C(1) of the </w:t>
      </w:r>
      <w:r w:rsidRPr="00D87426">
        <w:rPr>
          <w:i/>
          <w:color w:val="000000"/>
          <w:shd w:val="clear" w:color="auto" w:fill="FFFFFF"/>
        </w:rPr>
        <w:t>Health Insurance Act 1973</w:t>
      </w:r>
      <w:r w:rsidRPr="00D87426">
        <w:rPr>
          <w:color w:val="000000"/>
          <w:shd w:val="clear" w:color="auto" w:fill="FFFFFF"/>
        </w:rPr>
        <w:t xml:space="preserve"> (the Act) </w:t>
      </w:r>
      <w:r>
        <w:rPr>
          <w:color w:val="000000"/>
          <w:shd w:val="clear" w:color="auto" w:fill="FFFFFF"/>
        </w:rPr>
        <w:t xml:space="preserve">provides that </w:t>
      </w:r>
      <w:r w:rsidRPr="00D87426">
        <w:rPr>
          <w:color w:val="000000"/>
          <w:shd w:val="clear" w:color="auto" w:fill="FFFFFF"/>
        </w:rPr>
        <w:t xml:space="preserve">the Minister </w:t>
      </w:r>
      <w:r>
        <w:rPr>
          <w:color w:val="000000"/>
          <w:shd w:val="clear" w:color="auto" w:fill="FFFFFF"/>
        </w:rPr>
        <w:t>may</w:t>
      </w:r>
      <w:r w:rsidRPr="00D87426">
        <w:rPr>
          <w:color w:val="000000"/>
          <w:shd w:val="clear" w:color="auto" w:fill="FFFFFF"/>
        </w:rPr>
        <w:t xml:space="preserve">, by legislative instrument, determine that a health service not specified in an item in the </w:t>
      </w:r>
      <w:r>
        <w:rPr>
          <w:color w:val="000000"/>
          <w:shd w:val="clear" w:color="auto" w:fill="FFFFFF"/>
        </w:rPr>
        <w:t xml:space="preserve">general medical </w:t>
      </w:r>
      <w:r w:rsidRPr="00A26264">
        <w:rPr>
          <w:color w:val="000000"/>
          <w:shd w:val="clear" w:color="auto" w:fill="FFFFFF"/>
        </w:rPr>
        <w:t>services table (the Table) shall, in specified circumstances and for specified statutory provisions, be treated as if it were specified in the Table.</w:t>
      </w:r>
    </w:p>
    <w:p w14:paraId="599DBC07" w14:textId="77777777" w:rsidR="006A3214" w:rsidRPr="00A26264" w:rsidRDefault="006A3214" w:rsidP="006A3214">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1343353B" w14:textId="77777777" w:rsidR="006A3214" w:rsidRPr="00D01D5A" w:rsidRDefault="006A3214" w:rsidP="006A3214">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rPr>
      </w:pPr>
      <w:r w:rsidRPr="00A26264">
        <w:t>The Table is set out in the regulations made under subsection 4(1) of</w:t>
      </w:r>
      <w:r w:rsidRPr="00D87426">
        <w:t xml:space="preserve"> the Act</w:t>
      </w:r>
      <w:r>
        <w:t xml:space="preserve">. </w:t>
      </w:r>
    </w:p>
    <w:p w14:paraId="145DE65D" w14:textId="77777777" w:rsidR="006A3214" w:rsidRDefault="006A3214" w:rsidP="006A3214">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715B2DA9" w14:textId="77777777" w:rsidR="006A3214" w:rsidRPr="0092616B" w:rsidRDefault="006A3214" w:rsidP="006A3214">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BB09A8">
        <w:t xml:space="preserve">This instrument relies on subsection 33(3) of the </w:t>
      </w:r>
      <w:r w:rsidRPr="00B42FFF">
        <w:rPr>
          <w:i/>
        </w:rPr>
        <w:t>Acts Interpretation Act 1901</w:t>
      </w:r>
      <w:r w:rsidRPr="00BB09A8">
        <w:t xml:space="preserve"> (AIA).  </w:t>
      </w:r>
      <w:r>
        <w:t xml:space="preserve">Subsection 33(3) of the </w:t>
      </w:r>
      <w:r w:rsidRPr="00156151">
        <w:t>AIA</w:t>
      </w:r>
      <w:r>
        <w:rPr>
          <w:i/>
        </w:rPr>
        <w:t xml:space="preserve"> </w:t>
      </w:r>
      <w:r w:rsidRPr="0092616B">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w:t>
      </w:r>
      <w:r>
        <w:t>t.</w:t>
      </w:r>
    </w:p>
    <w:p w14:paraId="3C8CBE7F" w14:textId="77777777" w:rsidR="00051648" w:rsidRPr="00C54B1B" w:rsidRDefault="00051648" w:rsidP="00785A13"/>
    <w:p w14:paraId="39F9C75E" w14:textId="77777777" w:rsidR="007F21C2" w:rsidRPr="00CD4A21" w:rsidRDefault="007F21C2" w:rsidP="00785A13">
      <w:pPr>
        <w:rPr>
          <w:b/>
          <w:szCs w:val="24"/>
          <w:lang w:val="en-US" w:eastAsia="en-US"/>
        </w:rPr>
      </w:pPr>
      <w:r w:rsidRPr="00CD4A21">
        <w:rPr>
          <w:b/>
          <w:szCs w:val="24"/>
          <w:lang w:val="en-US" w:eastAsia="en-US"/>
        </w:rPr>
        <w:t>Purpose</w:t>
      </w:r>
    </w:p>
    <w:p w14:paraId="266DEBE3" w14:textId="290A344E" w:rsidR="001E498A" w:rsidRDefault="001E498A" w:rsidP="00785A13">
      <w:pPr>
        <w:rPr>
          <w:szCs w:val="24"/>
          <w:lang w:val="en-US" w:eastAsia="en-US"/>
        </w:rPr>
      </w:pPr>
      <w:r w:rsidRPr="00127B00">
        <w:rPr>
          <w:szCs w:val="24"/>
          <w:lang w:val="en-US" w:eastAsia="en-US"/>
        </w:rPr>
        <w:t xml:space="preserve">The purpose of the </w:t>
      </w:r>
      <w:r w:rsidRPr="00127B00">
        <w:rPr>
          <w:i/>
          <w:szCs w:val="24"/>
          <w:lang w:val="en-US" w:eastAsia="en-US"/>
        </w:rPr>
        <w:t xml:space="preserve">Health Insurance (Section 3C </w:t>
      </w:r>
      <w:r w:rsidR="005D1A89">
        <w:rPr>
          <w:i/>
          <w:szCs w:val="24"/>
          <w:lang w:val="en-US" w:eastAsia="en-US"/>
        </w:rPr>
        <w:t xml:space="preserve">General Medical services - </w:t>
      </w:r>
      <w:r w:rsidRPr="00127B00">
        <w:rPr>
          <w:i/>
          <w:szCs w:val="24"/>
          <w:lang w:val="en-US" w:eastAsia="en-US"/>
        </w:rPr>
        <w:t>Optometric Services) Determination 2020</w:t>
      </w:r>
      <w:r>
        <w:rPr>
          <w:szCs w:val="24"/>
          <w:lang w:val="en-US" w:eastAsia="en-US"/>
        </w:rPr>
        <w:t xml:space="preserve"> (the Determination) </w:t>
      </w:r>
      <w:r w:rsidRPr="00127B00">
        <w:rPr>
          <w:szCs w:val="24"/>
          <w:lang w:val="en-US" w:eastAsia="en-US"/>
        </w:rPr>
        <w:t xml:space="preserve">is to repeal </w:t>
      </w:r>
      <w:r w:rsidR="006A3214">
        <w:rPr>
          <w:szCs w:val="24"/>
          <w:lang w:val="en-US" w:eastAsia="en-US"/>
        </w:rPr>
        <w:t xml:space="preserve">and remake </w:t>
      </w:r>
      <w:r w:rsidRPr="00127B00">
        <w:rPr>
          <w:szCs w:val="24"/>
          <w:lang w:val="en-US" w:eastAsia="en-US"/>
        </w:rPr>
        <w:t xml:space="preserve">the </w:t>
      </w:r>
      <w:r w:rsidRPr="00573B2B">
        <w:rPr>
          <w:i/>
          <w:szCs w:val="24"/>
          <w:lang w:val="en-US" w:eastAsia="en-US"/>
        </w:rPr>
        <w:t>Health Insurance (</w:t>
      </w:r>
      <w:r>
        <w:rPr>
          <w:i/>
          <w:szCs w:val="24"/>
          <w:lang w:val="en-US" w:eastAsia="en-US"/>
        </w:rPr>
        <w:t>Optometric services</w:t>
      </w:r>
      <w:r w:rsidRPr="00573B2B">
        <w:rPr>
          <w:i/>
          <w:szCs w:val="24"/>
          <w:lang w:val="en-US" w:eastAsia="en-US"/>
        </w:rPr>
        <w:t>) Determination</w:t>
      </w:r>
      <w:r w:rsidR="00785A13">
        <w:rPr>
          <w:i/>
          <w:szCs w:val="24"/>
          <w:lang w:val="en-US" w:eastAsia="en-US"/>
        </w:rPr>
        <w:t xml:space="preserve"> 2016</w:t>
      </w:r>
      <w:r>
        <w:rPr>
          <w:i/>
          <w:szCs w:val="24"/>
          <w:lang w:val="en-US" w:eastAsia="en-US"/>
        </w:rPr>
        <w:t xml:space="preserve"> </w:t>
      </w:r>
      <w:r>
        <w:rPr>
          <w:szCs w:val="24"/>
          <w:lang w:val="en-US" w:eastAsia="en-US"/>
        </w:rPr>
        <w:t>(the previous Determination)</w:t>
      </w:r>
      <w:r w:rsidRPr="00573B2B">
        <w:rPr>
          <w:i/>
          <w:szCs w:val="24"/>
          <w:lang w:val="en-US" w:eastAsia="en-US"/>
        </w:rPr>
        <w:t xml:space="preserve"> </w:t>
      </w:r>
      <w:r w:rsidRPr="00127B00">
        <w:rPr>
          <w:szCs w:val="24"/>
          <w:lang w:val="en-US" w:eastAsia="en-US"/>
        </w:rPr>
        <w:t xml:space="preserve">and prescribe a new table of </w:t>
      </w:r>
      <w:r>
        <w:rPr>
          <w:szCs w:val="24"/>
          <w:lang w:val="en-US" w:eastAsia="en-US"/>
        </w:rPr>
        <w:t>optometric services from 1 July 2020</w:t>
      </w:r>
      <w:r w:rsidRPr="00127B00">
        <w:rPr>
          <w:szCs w:val="24"/>
          <w:lang w:val="en-US" w:eastAsia="en-US"/>
        </w:rPr>
        <w:t xml:space="preserve">. This will ensure that Medicare benefits continue to be payable for </w:t>
      </w:r>
      <w:r>
        <w:rPr>
          <w:szCs w:val="24"/>
          <w:lang w:val="en-US" w:eastAsia="en-US"/>
        </w:rPr>
        <w:t>optometric services</w:t>
      </w:r>
      <w:r w:rsidRPr="00127B00">
        <w:rPr>
          <w:szCs w:val="24"/>
          <w:lang w:val="en-US" w:eastAsia="en-US"/>
        </w:rPr>
        <w:t xml:space="preserve"> performed by </w:t>
      </w:r>
      <w:r>
        <w:rPr>
          <w:szCs w:val="24"/>
          <w:lang w:val="en-US" w:eastAsia="en-US"/>
        </w:rPr>
        <w:t>optometrists.</w:t>
      </w:r>
    </w:p>
    <w:p w14:paraId="61FF306A" w14:textId="77777777" w:rsidR="001E498A" w:rsidRDefault="001E498A" w:rsidP="00785A13">
      <w:pPr>
        <w:rPr>
          <w:szCs w:val="24"/>
          <w:lang w:val="en-US" w:eastAsia="en-US"/>
        </w:rPr>
      </w:pPr>
    </w:p>
    <w:p w14:paraId="15F14141" w14:textId="63845BAD" w:rsidR="001E498A" w:rsidRDefault="001E498A" w:rsidP="00785A13">
      <w:pPr>
        <w:rPr>
          <w:szCs w:val="24"/>
          <w:lang w:val="en-US" w:eastAsia="en-US"/>
        </w:rPr>
      </w:pPr>
      <w:r w:rsidRPr="00AB147D">
        <w:rPr>
          <w:szCs w:val="24"/>
          <w:lang w:val="en-US" w:eastAsia="en-US"/>
        </w:rPr>
        <w:t xml:space="preserve">This Determination will </w:t>
      </w:r>
      <w:r>
        <w:rPr>
          <w:szCs w:val="24"/>
          <w:lang w:val="en-US" w:eastAsia="en-US"/>
        </w:rPr>
        <w:t>also apply indexation for optometric services by replacing the fees in the previous Determination with fees indexed by 1.5%. This is part of the Government’s polic</w:t>
      </w:r>
      <w:r w:rsidR="006A3214">
        <w:rPr>
          <w:szCs w:val="24"/>
          <w:lang w:val="en-US" w:eastAsia="en-US"/>
        </w:rPr>
        <w:t xml:space="preserve">y regarding Medicare indexation </w:t>
      </w:r>
      <w:r w:rsidR="006A3214">
        <w:t>and means that patients will receive a higher Medicare benefit for these services from 1 July 2020.</w:t>
      </w:r>
      <w:r>
        <w:rPr>
          <w:szCs w:val="24"/>
          <w:lang w:val="en-US" w:eastAsia="en-US"/>
        </w:rPr>
        <w:t xml:space="preserve"> </w:t>
      </w:r>
    </w:p>
    <w:p w14:paraId="67EB326B" w14:textId="474E79D3" w:rsidR="007F21C2" w:rsidRPr="00C54B1B" w:rsidRDefault="007F21C2" w:rsidP="00785A13"/>
    <w:p w14:paraId="44FA3300" w14:textId="5B48DFDB" w:rsidR="007F21C2" w:rsidRDefault="007F21C2" w:rsidP="00785A13">
      <w:pPr>
        <w:rPr>
          <w:b/>
        </w:rPr>
      </w:pPr>
      <w:r w:rsidRPr="00A853D1">
        <w:rPr>
          <w:b/>
        </w:rPr>
        <w:t>Consultation</w:t>
      </w:r>
    </w:p>
    <w:p w14:paraId="0B3234F9" w14:textId="7C07E5FB" w:rsidR="006A3214" w:rsidRDefault="006A3214" w:rsidP="006A3214">
      <w:pPr>
        <w:rPr>
          <w:szCs w:val="24"/>
        </w:rPr>
      </w:pPr>
      <w:r>
        <w:t xml:space="preserve">In the 2017-18 Budget, the Government announced the re-commencement of indexation of Medicare benefits under the </w:t>
      </w:r>
      <w:r>
        <w:rPr>
          <w:i/>
          <w:iCs/>
        </w:rPr>
        <w:t xml:space="preserve">Guaranteeing Medicare - Medicare </w:t>
      </w:r>
      <w:r w:rsidRPr="00302CB2">
        <w:rPr>
          <w:i/>
          <w:iCs/>
        </w:rPr>
        <w:t>Benefits Schedule - indexation</w:t>
      </w:r>
      <w:r w:rsidRPr="00302CB2">
        <w:t xml:space="preserve"> measure. This instrument will continue the Government’s policy regarding indexation by indexing the schedule fees of </w:t>
      </w:r>
      <w:r>
        <w:t>these services</w:t>
      </w:r>
      <w:r w:rsidRPr="00302CB2">
        <w:t>.</w:t>
      </w:r>
      <w:r>
        <w:t xml:space="preserve"> </w:t>
      </w:r>
    </w:p>
    <w:p w14:paraId="2026DE1F" w14:textId="77777777" w:rsidR="006A3214" w:rsidRDefault="006A3214" w:rsidP="006A3214">
      <w:pPr>
        <w:rPr>
          <w:rFonts w:ascii="Calibri" w:hAnsi="Calibri" w:cs="Calibri"/>
          <w:sz w:val="22"/>
          <w:szCs w:val="22"/>
          <w:lang w:eastAsia="en-US"/>
        </w:rPr>
      </w:pPr>
    </w:p>
    <w:p w14:paraId="572D7B59" w14:textId="6C430EF1" w:rsidR="007467E6" w:rsidRPr="006A3214" w:rsidRDefault="006A3214" w:rsidP="00785A13">
      <w:r>
        <w:t xml:space="preserve">No consultation was undertaken on this instrument as it continues the business-as-usual implementation of the Government’s policy on Medicare indexation, which is expected by stakeholders to be applied on 1 July of each year. </w:t>
      </w:r>
      <w:r w:rsidR="00754B5E" w:rsidRPr="00754B5E">
        <w:t>The complete list of all indexed fees is available in the Medicare Benefits Schedule xml data file which is available for anyone to download on MBS Online (www.mbsonline.gov.au).</w:t>
      </w:r>
      <w:r w:rsidR="001E498A">
        <w:rPr>
          <w:rFonts w:eastAsiaTheme="minorHAnsi"/>
          <w:szCs w:val="24"/>
          <w:lang w:eastAsia="en-US"/>
        </w:rPr>
        <w:br/>
      </w:r>
    </w:p>
    <w:p w14:paraId="77BCE5D8" w14:textId="77777777" w:rsidR="006A3214" w:rsidRPr="00A853D1" w:rsidRDefault="006A3214" w:rsidP="006A3214">
      <w:pPr>
        <w:rPr>
          <w:szCs w:val="24"/>
        </w:rPr>
      </w:pPr>
      <w:r w:rsidRPr="00A853D1">
        <w:rPr>
          <w:szCs w:val="24"/>
        </w:rPr>
        <w:t xml:space="preserve">Details of the Determination are set out in the </w:t>
      </w:r>
      <w:r w:rsidRPr="00A853D1">
        <w:rPr>
          <w:szCs w:val="24"/>
          <w:u w:val="single"/>
        </w:rPr>
        <w:t>Attachment</w:t>
      </w:r>
      <w:r w:rsidRPr="00A853D1">
        <w:rPr>
          <w:szCs w:val="24"/>
        </w:rPr>
        <w:t>.</w:t>
      </w:r>
    </w:p>
    <w:p w14:paraId="24CA7E5D" w14:textId="77777777" w:rsidR="006A3214" w:rsidRDefault="006A3214" w:rsidP="006A3214">
      <w:pPr>
        <w:tabs>
          <w:tab w:val="left" w:pos="567"/>
        </w:tabs>
        <w:spacing w:before="240"/>
        <w:rPr>
          <w:szCs w:val="24"/>
        </w:rPr>
      </w:pPr>
      <w:r w:rsidRPr="00A853D1">
        <w:rPr>
          <w:szCs w:val="24"/>
        </w:rPr>
        <w:t xml:space="preserve">The Determination commences </w:t>
      </w:r>
      <w:r>
        <w:rPr>
          <w:szCs w:val="24"/>
        </w:rPr>
        <w:t xml:space="preserve">on 1 July 2020. </w:t>
      </w:r>
      <w:bookmarkStart w:id="0" w:name="_GoBack"/>
      <w:bookmarkEnd w:id="0"/>
    </w:p>
    <w:p w14:paraId="075E8909" w14:textId="77777777" w:rsidR="006A3214" w:rsidRPr="00A853D1" w:rsidRDefault="006A3214" w:rsidP="006A3214">
      <w:pPr>
        <w:rPr>
          <w:szCs w:val="24"/>
        </w:rPr>
      </w:pPr>
    </w:p>
    <w:p w14:paraId="50BBCA2D" w14:textId="77777777" w:rsidR="006A3214" w:rsidRPr="00A853D1" w:rsidRDefault="006A3214" w:rsidP="006A3214">
      <w:pPr>
        <w:spacing w:after="200" w:line="276" w:lineRule="auto"/>
        <w:ind w:right="-483"/>
        <w:rPr>
          <w:szCs w:val="24"/>
        </w:rPr>
      </w:pPr>
      <w:r>
        <w:rPr>
          <w:szCs w:val="24"/>
        </w:rPr>
        <w:t>T</w:t>
      </w:r>
      <w:r w:rsidRPr="00A853D1">
        <w:rPr>
          <w:szCs w:val="24"/>
        </w:rPr>
        <w:t xml:space="preserve">he Determination is a legislative instrument for the purposes of the </w:t>
      </w:r>
      <w:r w:rsidRPr="00A853D1">
        <w:rPr>
          <w:i/>
        </w:rPr>
        <w:t>Legislation Act 2003</w:t>
      </w:r>
      <w:r w:rsidRPr="00A853D1">
        <w:rPr>
          <w:szCs w:val="24"/>
        </w:rPr>
        <w:t xml:space="preserve">.           </w:t>
      </w:r>
    </w:p>
    <w:p w14:paraId="4F480B1F" w14:textId="77777777" w:rsidR="006A3214" w:rsidRPr="00A853D1" w:rsidRDefault="006A3214" w:rsidP="006A3214">
      <w:pPr>
        <w:ind w:left="6663" w:hanging="2410"/>
        <w:rPr>
          <w:szCs w:val="24"/>
        </w:rPr>
      </w:pPr>
      <w:r w:rsidRPr="00A853D1">
        <w:rPr>
          <w:szCs w:val="24"/>
          <w:u w:val="single"/>
        </w:rPr>
        <w:t>Authority</w:t>
      </w:r>
      <w:r w:rsidRPr="00A853D1">
        <w:rPr>
          <w:szCs w:val="24"/>
        </w:rPr>
        <w:t xml:space="preserve">:     Subsection 3C(1) of the </w:t>
      </w:r>
    </w:p>
    <w:p w14:paraId="19DF77E2" w14:textId="77777777" w:rsidR="006A3214" w:rsidRPr="00A853D1" w:rsidRDefault="006A3214" w:rsidP="006A3214">
      <w:pPr>
        <w:tabs>
          <w:tab w:val="left" w:pos="5529"/>
        </w:tabs>
        <w:rPr>
          <w:szCs w:val="24"/>
        </w:rPr>
        <w:sectPr w:rsidR="006A3214" w:rsidRPr="00A853D1" w:rsidSect="00235B6C">
          <w:headerReference w:type="default" r:id="rId11"/>
          <w:footerReference w:type="default" r:id="rId12"/>
          <w:footerReference w:type="first" r:id="rId13"/>
          <w:pgSz w:w="11906" w:h="16838"/>
          <w:pgMar w:top="1440" w:right="1800" w:bottom="1135" w:left="1800" w:header="708" w:footer="708" w:gutter="0"/>
          <w:pgNumType w:start="1"/>
          <w:cols w:space="708"/>
          <w:docGrid w:linePitch="360"/>
        </w:sectPr>
      </w:pPr>
      <w:r w:rsidRPr="00A853D1">
        <w:rPr>
          <w:i/>
          <w:szCs w:val="24"/>
        </w:rPr>
        <w:tab/>
        <w:t>Health Insurance Act 1973</w:t>
      </w:r>
    </w:p>
    <w:p w14:paraId="2412D13B" w14:textId="2AD7034C" w:rsidR="00A1739A" w:rsidRDefault="00A1739A" w:rsidP="000337CB">
      <w:pPr>
        <w:tabs>
          <w:tab w:val="left" w:pos="4820"/>
        </w:tabs>
        <w:rPr>
          <w:i/>
          <w:szCs w:val="24"/>
        </w:rPr>
      </w:pPr>
    </w:p>
    <w:p w14:paraId="44848EAA" w14:textId="46EE697A" w:rsidR="00AE7239" w:rsidRPr="009C0610" w:rsidRDefault="00AE7239" w:rsidP="00AE7239">
      <w:pPr>
        <w:spacing w:after="200" w:line="276" w:lineRule="auto"/>
        <w:jc w:val="right"/>
        <w:rPr>
          <w:b/>
          <w:szCs w:val="24"/>
        </w:rPr>
      </w:pPr>
      <w:r w:rsidRPr="009C0610">
        <w:rPr>
          <w:b/>
          <w:szCs w:val="24"/>
        </w:rPr>
        <w:t>ATTACHMENT</w:t>
      </w:r>
    </w:p>
    <w:p w14:paraId="6AF32ABC" w14:textId="3F6A1DD0" w:rsidR="007F21C2" w:rsidRPr="00215191" w:rsidRDefault="00AE7239" w:rsidP="007F21C2">
      <w:pPr>
        <w:pStyle w:val="BodyText"/>
        <w:rPr>
          <w:i/>
          <w:szCs w:val="24"/>
        </w:rPr>
      </w:pPr>
      <w:r w:rsidRPr="00215191">
        <w:rPr>
          <w:szCs w:val="24"/>
        </w:rPr>
        <w:t xml:space="preserve">Details of the </w:t>
      </w:r>
      <w:r w:rsidR="00C30ED2" w:rsidRPr="001B7F67">
        <w:rPr>
          <w:bCs/>
          <w:i/>
          <w:szCs w:val="24"/>
        </w:rPr>
        <w:t xml:space="preserve">Health Insurance </w:t>
      </w:r>
      <w:r w:rsidR="00C30ED2">
        <w:rPr>
          <w:bCs/>
          <w:i/>
          <w:szCs w:val="24"/>
        </w:rPr>
        <w:t xml:space="preserve">(Section 3C </w:t>
      </w:r>
      <w:r w:rsidR="005D1A89">
        <w:rPr>
          <w:bCs/>
          <w:i/>
          <w:szCs w:val="24"/>
        </w:rPr>
        <w:t xml:space="preserve">General Medical Services – </w:t>
      </w:r>
      <w:r w:rsidR="00051648">
        <w:rPr>
          <w:bCs/>
          <w:i/>
          <w:szCs w:val="24"/>
        </w:rPr>
        <w:t>Optometric</w:t>
      </w:r>
      <w:r w:rsidR="005D1A89">
        <w:rPr>
          <w:bCs/>
          <w:i/>
          <w:szCs w:val="24"/>
        </w:rPr>
        <w:t xml:space="preserve"> Services</w:t>
      </w:r>
      <w:r w:rsidR="007B6505">
        <w:rPr>
          <w:bCs/>
          <w:i/>
          <w:szCs w:val="24"/>
        </w:rPr>
        <w:t>)</w:t>
      </w:r>
      <w:r w:rsidR="00C30ED2" w:rsidRPr="001B7F67">
        <w:rPr>
          <w:bCs/>
          <w:i/>
          <w:szCs w:val="24"/>
        </w:rPr>
        <w:t xml:space="preserve"> Determination 20</w:t>
      </w:r>
      <w:r w:rsidR="00C30ED2">
        <w:rPr>
          <w:bCs/>
          <w:i/>
          <w:szCs w:val="24"/>
        </w:rPr>
        <w:t>20</w:t>
      </w:r>
    </w:p>
    <w:p w14:paraId="3A8422E0" w14:textId="413BBA0C" w:rsidR="00AE7239" w:rsidRDefault="00AE7239" w:rsidP="00AE7239">
      <w:pPr>
        <w:pStyle w:val="BodyText"/>
        <w:rPr>
          <w:b w:val="0"/>
          <w:i/>
          <w:szCs w:val="24"/>
        </w:rPr>
      </w:pPr>
    </w:p>
    <w:p w14:paraId="2B5D25D8" w14:textId="7E8968DA" w:rsidR="006E3649" w:rsidRPr="006E3649" w:rsidRDefault="006E3649" w:rsidP="00AE7239">
      <w:pPr>
        <w:pStyle w:val="BodyText"/>
        <w:rPr>
          <w:szCs w:val="24"/>
        </w:rPr>
      </w:pPr>
      <w:r w:rsidRPr="006E3649">
        <w:rPr>
          <w:szCs w:val="24"/>
        </w:rPr>
        <w:t>Part 1 - P</w:t>
      </w:r>
      <w:r>
        <w:rPr>
          <w:szCs w:val="24"/>
        </w:rPr>
        <w:t>r</w:t>
      </w:r>
      <w:r w:rsidRPr="006E3649">
        <w:rPr>
          <w:szCs w:val="24"/>
        </w:rPr>
        <w:t>eliminary</w:t>
      </w:r>
    </w:p>
    <w:p w14:paraId="0ED4534A" w14:textId="77777777" w:rsidR="006E3649" w:rsidRDefault="006E3649" w:rsidP="00AE7239">
      <w:pPr>
        <w:pStyle w:val="BodyText"/>
        <w:rPr>
          <w:b w:val="0"/>
          <w:i/>
          <w:szCs w:val="24"/>
        </w:rPr>
      </w:pPr>
    </w:p>
    <w:p w14:paraId="6FA10D68" w14:textId="61664DA4" w:rsidR="007F21C2" w:rsidRPr="00215191" w:rsidRDefault="007F21C2" w:rsidP="007F21C2">
      <w:pPr>
        <w:pStyle w:val="BodyText"/>
        <w:rPr>
          <w:b w:val="0"/>
          <w:szCs w:val="24"/>
          <w:u w:val="single"/>
        </w:rPr>
      </w:pPr>
      <w:r w:rsidRPr="00215191">
        <w:rPr>
          <w:b w:val="0"/>
          <w:szCs w:val="24"/>
          <w:u w:val="single"/>
        </w:rPr>
        <w:t xml:space="preserve">Section 1 – Name </w:t>
      </w:r>
    </w:p>
    <w:p w14:paraId="6F978BA4" w14:textId="77777777" w:rsidR="00826BAE" w:rsidRPr="00C54B1B" w:rsidRDefault="00826BAE" w:rsidP="001B7F67">
      <w:pPr>
        <w:pStyle w:val="BodyText"/>
        <w:rPr>
          <w:b w:val="0"/>
        </w:rPr>
      </w:pPr>
    </w:p>
    <w:p w14:paraId="55DD07EA" w14:textId="0DFA6F36" w:rsidR="001B7F67" w:rsidRPr="001B7F67" w:rsidRDefault="007F21C2" w:rsidP="001B7F67">
      <w:pPr>
        <w:pStyle w:val="BodyText"/>
        <w:rPr>
          <w:i/>
          <w:szCs w:val="24"/>
        </w:rPr>
      </w:pPr>
      <w:r w:rsidRPr="00215191">
        <w:rPr>
          <w:b w:val="0"/>
          <w:szCs w:val="24"/>
        </w:rPr>
        <w:t xml:space="preserve">Section 1 provides for the Determination to be referred to as the </w:t>
      </w:r>
      <w:r w:rsidR="00C30ED2" w:rsidRPr="00C30ED2">
        <w:rPr>
          <w:b w:val="0"/>
          <w:bCs/>
          <w:i/>
          <w:szCs w:val="24"/>
        </w:rPr>
        <w:t xml:space="preserve">Health Insurance (Section 3C </w:t>
      </w:r>
      <w:r w:rsidR="005D1A89">
        <w:rPr>
          <w:b w:val="0"/>
          <w:bCs/>
          <w:i/>
          <w:szCs w:val="24"/>
        </w:rPr>
        <w:t xml:space="preserve">General Medical Services - </w:t>
      </w:r>
      <w:r w:rsidR="00051648">
        <w:rPr>
          <w:b w:val="0"/>
          <w:bCs/>
          <w:i/>
          <w:szCs w:val="24"/>
        </w:rPr>
        <w:t>Optometric Services</w:t>
      </w:r>
      <w:r w:rsidR="00C30ED2" w:rsidRPr="00C30ED2">
        <w:rPr>
          <w:b w:val="0"/>
          <w:bCs/>
          <w:i/>
          <w:szCs w:val="24"/>
        </w:rPr>
        <w:t>) Determination 2020</w:t>
      </w:r>
      <w:r w:rsidR="00B51C33">
        <w:rPr>
          <w:b w:val="0"/>
          <w:bCs/>
          <w:i/>
          <w:szCs w:val="24"/>
        </w:rPr>
        <w:t>.</w:t>
      </w:r>
    </w:p>
    <w:p w14:paraId="2EED3B7A" w14:textId="77777777" w:rsidR="007F21C2" w:rsidRPr="00241E6B" w:rsidRDefault="007F21C2" w:rsidP="00A166DD">
      <w:pPr>
        <w:pStyle w:val="Heading1"/>
        <w:jc w:val="left"/>
      </w:pPr>
    </w:p>
    <w:p w14:paraId="5E0F74FC" w14:textId="660C9DE5" w:rsidR="007F21C2" w:rsidRPr="00215191" w:rsidRDefault="007F21C2" w:rsidP="007F21C2">
      <w:pPr>
        <w:pStyle w:val="BodyText"/>
        <w:rPr>
          <w:b w:val="0"/>
          <w:szCs w:val="24"/>
          <w:u w:val="single"/>
        </w:rPr>
      </w:pPr>
      <w:r w:rsidRPr="00215191">
        <w:rPr>
          <w:b w:val="0"/>
          <w:szCs w:val="24"/>
          <w:u w:val="single"/>
        </w:rPr>
        <w:t xml:space="preserve">Section 2 – Commencement </w:t>
      </w:r>
    </w:p>
    <w:p w14:paraId="3B2A6040" w14:textId="77777777" w:rsidR="00826BAE" w:rsidRDefault="00826BAE" w:rsidP="007F21C2">
      <w:pPr>
        <w:pStyle w:val="BodyText"/>
        <w:rPr>
          <w:b w:val="0"/>
          <w:szCs w:val="24"/>
        </w:rPr>
      </w:pPr>
    </w:p>
    <w:p w14:paraId="5164442D" w14:textId="325327CB" w:rsidR="007F21C2" w:rsidRPr="00215191" w:rsidRDefault="007F21C2" w:rsidP="007F21C2">
      <w:pPr>
        <w:pStyle w:val="BodyText"/>
        <w:rPr>
          <w:b w:val="0"/>
          <w:szCs w:val="24"/>
        </w:rPr>
      </w:pPr>
      <w:r w:rsidRPr="00215191">
        <w:rPr>
          <w:b w:val="0"/>
          <w:szCs w:val="24"/>
        </w:rPr>
        <w:t xml:space="preserve">Section 2 provides that the Determination commences </w:t>
      </w:r>
      <w:r>
        <w:rPr>
          <w:b w:val="0"/>
          <w:szCs w:val="24"/>
        </w:rPr>
        <w:t>on 1 July 20</w:t>
      </w:r>
      <w:r w:rsidR="00C30ED2">
        <w:rPr>
          <w:b w:val="0"/>
          <w:szCs w:val="24"/>
        </w:rPr>
        <w:t>20</w:t>
      </w:r>
      <w:r w:rsidRPr="008419D6">
        <w:rPr>
          <w:b w:val="0"/>
          <w:szCs w:val="24"/>
        </w:rPr>
        <w:t>.</w:t>
      </w:r>
    </w:p>
    <w:p w14:paraId="0E984D2A" w14:textId="77777777" w:rsidR="007F21C2" w:rsidRPr="00215191" w:rsidRDefault="007F21C2" w:rsidP="007F21C2">
      <w:pPr>
        <w:pStyle w:val="BodyText"/>
        <w:rPr>
          <w:b w:val="0"/>
          <w:szCs w:val="24"/>
        </w:rPr>
      </w:pPr>
    </w:p>
    <w:p w14:paraId="03D4FD6F" w14:textId="4C94A4BC" w:rsidR="007F21C2" w:rsidRPr="00215191" w:rsidRDefault="007F21C2" w:rsidP="007F21C2">
      <w:pPr>
        <w:pStyle w:val="BodyText"/>
        <w:rPr>
          <w:b w:val="0"/>
          <w:szCs w:val="24"/>
          <w:u w:val="single"/>
        </w:rPr>
      </w:pPr>
      <w:r w:rsidRPr="00215191">
        <w:rPr>
          <w:b w:val="0"/>
          <w:szCs w:val="24"/>
          <w:u w:val="single"/>
        </w:rPr>
        <w:t>Section 3 – Authority</w:t>
      </w:r>
    </w:p>
    <w:p w14:paraId="2F1854B2" w14:textId="77777777" w:rsidR="00826BAE" w:rsidRPr="00C54B1B" w:rsidRDefault="00826BAE" w:rsidP="007F21C2">
      <w:pPr>
        <w:pStyle w:val="BodyText"/>
        <w:rPr>
          <w:b w:val="0"/>
        </w:rPr>
      </w:pPr>
    </w:p>
    <w:p w14:paraId="511C4B2C" w14:textId="0F2F929D" w:rsidR="007F21C2" w:rsidRPr="00215191" w:rsidRDefault="007F21C2" w:rsidP="007F21C2">
      <w:pPr>
        <w:pStyle w:val="BodyText"/>
        <w:rPr>
          <w:b w:val="0"/>
        </w:rPr>
      </w:pPr>
      <w:r w:rsidRPr="00215191">
        <w:rPr>
          <w:b w:val="0"/>
        </w:rPr>
        <w:t xml:space="preserve">Section 3 provides that the Determination is made under subsection 3C(1) of the </w:t>
      </w:r>
      <w:r w:rsidRPr="00215191">
        <w:rPr>
          <w:b w:val="0"/>
          <w:i/>
        </w:rPr>
        <w:t>Health Insurance Act 1973</w:t>
      </w:r>
      <w:r w:rsidRPr="00215191">
        <w:rPr>
          <w:b w:val="0"/>
        </w:rPr>
        <w:t>.</w:t>
      </w:r>
    </w:p>
    <w:p w14:paraId="457CC1AF" w14:textId="77777777" w:rsidR="007F21C2" w:rsidRPr="00215191" w:rsidRDefault="007F21C2" w:rsidP="007F21C2">
      <w:pPr>
        <w:pStyle w:val="BodyText"/>
        <w:rPr>
          <w:b w:val="0"/>
        </w:rPr>
      </w:pPr>
    </w:p>
    <w:p w14:paraId="5E1F2339" w14:textId="296E8B68" w:rsidR="007F21C2" w:rsidRPr="00627FDA" w:rsidRDefault="007F21C2" w:rsidP="007F21C2">
      <w:pPr>
        <w:pStyle w:val="BodyText"/>
        <w:rPr>
          <w:b w:val="0"/>
          <w:szCs w:val="24"/>
          <w:highlight w:val="yellow"/>
          <w:u w:val="single"/>
        </w:rPr>
      </w:pPr>
      <w:r>
        <w:rPr>
          <w:b w:val="0"/>
          <w:szCs w:val="24"/>
          <w:u w:val="single"/>
        </w:rPr>
        <w:t>Section 4</w:t>
      </w:r>
      <w:r w:rsidRPr="00076B61">
        <w:rPr>
          <w:b w:val="0"/>
          <w:szCs w:val="24"/>
          <w:u w:val="single"/>
        </w:rPr>
        <w:t xml:space="preserve"> – </w:t>
      </w:r>
      <w:r w:rsidR="00B51C33">
        <w:rPr>
          <w:b w:val="0"/>
          <w:szCs w:val="24"/>
          <w:u w:val="single"/>
        </w:rPr>
        <w:t>Revocation</w:t>
      </w:r>
    </w:p>
    <w:p w14:paraId="7A9EADAB" w14:textId="77777777" w:rsidR="00826BAE" w:rsidRPr="00C54B1B" w:rsidRDefault="00826BAE" w:rsidP="007F21C2">
      <w:pPr>
        <w:pStyle w:val="BodyText"/>
        <w:rPr>
          <w:b w:val="0"/>
        </w:rPr>
      </w:pPr>
    </w:p>
    <w:p w14:paraId="23BD0559" w14:textId="3EAA5144" w:rsidR="007F21C2" w:rsidRDefault="007F21C2" w:rsidP="007F21C2">
      <w:pPr>
        <w:pStyle w:val="BodyText"/>
        <w:rPr>
          <w:b w:val="0"/>
          <w:szCs w:val="24"/>
        </w:rPr>
      </w:pPr>
      <w:r w:rsidRPr="00D21765">
        <w:rPr>
          <w:b w:val="0"/>
          <w:szCs w:val="24"/>
        </w:rPr>
        <w:t xml:space="preserve">Section 4 </w:t>
      </w:r>
      <w:r w:rsidR="006E3649">
        <w:rPr>
          <w:b w:val="0"/>
          <w:szCs w:val="24"/>
        </w:rPr>
        <w:t xml:space="preserve">revokes </w:t>
      </w:r>
      <w:r w:rsidR="00B51C33">
        <w:rPr>
          <w:b w:val="0"/>
          <w:szCs w:val="24"/>
        </w:rPr>
        <w:t xml:space="preserve">the </w:t>
      </w:r>
      <w:r w:rsidR="00B51C33" w:rsidRPr="00B51C33">
        <w:rPr>
          <w:b w:val="0"/>
          <w:i/>
          <w:szCs w:val="24"/>
        </w:rPr>
        <w:t>Health Insurance (</w:t>
      </w:r>
      <w:r w:rsidR="005D4954">
        <w:rPr>
          <w:b w:val="0"/>
          <w:i/>
          <w:szCs w:val="24"/>
        </w:rPr>
        <w:t>Optometric services</w:t>
      </w:r>
      <w:r w:rsidR="00B51C33" w:rsidRPr="00B51C33">
        <w:rPr>
          <w:b w:val="0"/>
          <w:i/>
          <w:szCs w:val="24"/>
        </w:rPr>
        <w:t>) Determination 201</w:t>
      </w:r>
      <w:r w:rsidR="00556DB7">
        <w:rPr>
          <w:b w:val="0"/>
          <w:i/>
          <w:szCs w:val="24"/>
        </w:rPr>
        <w:t>6</w:t>
      </w:r>
      <w:r w:rsidR="006E3649">
        <w:rPr>
          <w:b w:val="0"/>
          <w:szCs w:val="24"/>
        </w:rPr>
        <w:t>.</w:t>
      </w:r>
    </w:p>
    <w:p w14:paraId="2582DA0F" w14:textId="109AFCB2" w:rsidR="007F21C2" w:rsidRDefault="007F21C2" w:rsidP="007F21C2">
      <w:pPr>
        <w:pStyle w:val="BodyText"/>
        <w:rPr>
          <w:b w:val="0"/>
          <w:szCs w:val="24"/>
          <w:u w:val="single"/>
        </w:rPr>
      </w:pPr>
    </w:p>
    <w:p w14:paraId="5E50DAAF" w14:textId="20793908" w:rsidR="00826BAE" w:rsidRDefault="00B51C33" w:rsidP="007F21C2">
      <w:pPr>
        <w:pStyle w:val="BodyText"/>
        <w:rPr>
          <w:b w:val="0"/>
          <w:szCs w:val="24"/>
        </w:rPr>
      </w:pPr>
      <w:r>
        <w:rPr>
          <w:b w:val="0"/>
          <w:szCs w:val="24"/>
          <w:u w:val="single"/>
        </w:rPr>
        <w:t xml:space="preserve">Section 5 </w:t>
      </w:r>
      <w:r w:rsidR="004307D4">
        <w:rPr>
          <w:b w:val="0"/>
          <w:szCs w:val="24"/>
          <w:u w:val="single"/>
        </w:rPr>
        <w:t>–</w:t>
      </w:r>
      <w:r>
        <w:rPr>
          <w:b w:val="0"/>
          <w:szCs w:val="24"/>
          <w:u w:val="single"/>
        </w:rPr>
        <w:t xml:space="preserve"> Definitions</w:t>
      </w:r>
      <w:r w:rsidR="004307D4">
        <w:rPr>
          <w:b w:val="0"/>
          <w:szCs w:val="24"/>
          <w:u w:val="single"/>
        </w:rPr>
        <w:br/>
      </w:r>
    </w:p>
    <w:p w14:paraId="503A3333" w14:textId="00EE306C" w:rsidR="00B51C33" w:rsidRPr="00B51C33" w:rsidRDefault="00B51C33" w:rsidP="007F21C2">
      <w:pPr>
        <w:pStyle w:val="BodyText"/>
        <w:rPr>
          <w:b w:val="0"/>
          <w:szCs w:val="24"/>
        </w:rPr>
      </w:pPr>
      <w:r w:rsidRPr="00B51C33">
        <w:rPr>
          <w:b w:val="0"/>
          <w:szCs w:val="24"/>
        </w:rPr>
        <w:t>Se</w:t>
      </w:r>
      <w:r>
        <w:rPr>
          <w:b w:val="0"/>
          <w:szCs w:val="24"/>
        </w:rPr>
        <w:t>ction 5 provides</w:t>
      </w:r>
      <w:r w:rsidR="0066078F">
        <w:rPr>
          <w:b w:val="0"/>
          <w:szCs w:val="24"/>
        </w:rPr>
        <w:t xml:space="preserve"> definitions for 10 words or phrases used in the </w:t>
      </w:r>
      <w:r w:rsidR="00826BAE">
        <w:rPr>
          <w:b w:val="0"/>
          <w:szCs w:val="24"/>
        </w:rPr>
        <w:t>Determination</w:t>
      </w:r>
      <w:r w:rsidR="0066078F">
        <w:rPr>
          <w:b w:val="0"/>
          <w:szCs w:val="24"/>
        </w:rPr>
        <w:t>, defines Group A10 groups and subgroups and specifies</w:t>
      </w:r>
      <w:r>
        <w:rPr>
          <w:b w:val="0"/>
          <w:szCs w:val="24"/>
        </w:rPr>
        <w:t xml:space="preserve"> that the </w:t>
      </w:r>
      <w:r w:rsidRPr="006E3649">
        <w:rPr>
          <w:b w:val="0"/>
          <w:i/>
          <w:szCs w:val="24"/>
        </w:rPr>
        <w:t>Health Insurance Act 1973</w:t>
      </w:r>
      <w:r>
        <w:rPr>
          <w:b w:val="0"/>
          <w:szCs w:val="24"/>
        </w:rPr>
        <w:t xml:space="preserve"> the </w:t>
      </w:r>
      <w:r w:rsidRPr="006E3649">
        <w:rPr>
          <w:b w:val="0"/>
          <w:i/>
          <w:szCs w:val="24"/>
        </w:rPr>
        <w:t>National Health Act 1953</w:t>
      </w:r>
      <w:r>
        <w:rPr>
          <w:b w:val="0"/>
          <w:szCs w:val="24"/>
        </w:rPr>
        <w:t xml:space="preserve"> and regulations made under those Acts</w:t>
      </w:r>
      <w:r w:rsidR="006E3649">
        <w:rPr>
          <w:b w:val="0"/>
          <w:szCs w:val="24"/>
        </w:rPr>
        <w:t xml:space="preserve"> are </w:t>
      </w:r>
      <w:r w:rsidR="00F94231">
        <w:rPr>
          <w:b w:val="0"/>
          <w:szCs w:val="24"/>
        </w:rPr>
        <w:t xml:space="preserve">to be </w:t>
      </w:r>
      <w:r w:rsidR="006E3649">
        <w:rPr>
          <w:b w:val="0"/>
          <w:szCs w:val="24"/>
        </w:rPr>
        <w:t>relevant provisions</w:t>
      </w:r>
      <w:r w:rsidR="0066078F">
        <w:rPr>
          <w:b w:val="0"/>
          <w:szCs w:val="24"/>
        </w:rPr>
        <w:t xml:space="preserve"> from time to time</w:t>
      </w:r>
      <w:r w:rsidR="006E3649">
        <w:rPr>
          <w:b w:val="0"/>
          <w:szCs w:val="24"/>
        </w:rPr>
        <w:t>.</w:t>
      </w:r>
    </w:p>
    <w:p w14:paraId="5ED3C744" w14:textId="4D3E38DA" w:rsidR="00B51C33" w:rsidRPr="00B51C33" w:rsidRDefault="00B51C33" w:rsidP="007F21C2">
      <w:pPr>
        <w:pStyle w:val="BodyText"/>
        <w:rPr>
          <w:b w:val="0"/>
          <w:szCs w:val="24"/>
        </w:rPr>
      </w:pPr>
    </w:p>
    <w:p w14:paraId="36E983DD" w14:textId="21A285B5" w:rsidR="00B51C33" w:rsidRPr="006E3649" w:rsidRDefault="006E3649" w:rsidP="00556DB7">
      <w:pPr>
        <w:pStyle w:val="BodyText"/>
        <w:rPr>
          <w:szCs w:val="24"/>
        </w:rPr>
      </w:pPr>
      <w:r>
        <w:rPr>
          <w:b w:val="0"/>
          <w:szCs w:val="24"/>
          <w:u w:val="single"/>
        </w:rPr>
        <w:t xml:space="preserve">Section 6 </w:t>
      </w:r>
      <w:r w:rsidR="0066078F">
        <w:rPr>
          <w:b w:val="0"/>
          <w:szCs w:val="24"/>
          <w:u w:val="single"/>
        </w:rPr>
        <w:t>–</w:t>
      </w:r>
      <w:r>
        <w:rPr>
          <w:b w:val="0"/>
          <w:szCs w:val="24"/>
          <w:u w:val="single"/>
        </w:rPr>
        <w:t xml:space="preserve"> </w:t>
      </w:r>
      <w:r w:rsidR="0066078F">
        <w:rPr>
          <w:b w:val="0"/>
          <w:szCs w:val="24"/>
          <w:u w:val="single"/>
        </w:rPr>
        <w:t>Treatment of relevant services</w:t>
      </w:r>
    </w:p>
    <w:p w14:paraId="57A3A925" w14:textId="77777777" w:rsidR="00826BAE" w:rsidRDefault="00826BAE" w:rsidP="00C54B1B">
      <w:pPr>
        <w:pStyle w:val="pfparanumlevel1"/>
        <w:spacing w:before="0" w:beforeAutospacing="0" w:after="0" w:afterAutospacing="0"/>
      </w:pPr>
    </w:p>
    <w:p w14:paraId="36DA0467" w14:textId="4DEB5188" w:rsidR="00787C2F" w:rsidRPr="00132572" w:rsidRDefault="00787C2F" w:rsidP="00787C2F">
      <w:pPr>
        <w:pStyle w:val="pfparanumlevel1"/>
        <w:spacing w:before="0" w:beforeAutospacing="0" w:after="0" w:afterAutospacing="0"/>
      </w:pPr>
      <w:r>
        <w:t xml:space="preserve">This section provides that a relevant service described in the Schedule to the Determination </w:t>
      </w:r>
      <w:r w:rsidRPr="00132572">
        <w:t>shall be treated as if it were both a professional service and a medical service</w:t>
      </w:r>
      <w:r>
        <w:t xml:space="preserve"> as</w:t>
      </w:r>
      <w:r w:rsidRPr="00132572">
        <w:t xml:space="preserve"> if it were specified in the </w:t>
      </w:r>
      <w:r>
        <w:t>general medical services table</w:t>
      </w:r>
      <w:r w:rsidRPr="00132572">
        <w:t xml:space="preserve"> for the relevant provisions of the Act</w:t>
      </w:r>
      <w:r>
        <w:t>,</w:t>
      </w:r>
      <w:r w:rsidRPr="00132572">
        <w:t xml:space="preserve"> other than subsection 3(5)</w:t>
      </w:r>
      <w:r>
        <w:t xml:space="preserve"> of the Act </w:t>
      </w:r>
      <w:r w:rsidR="00F94231">
        <w:t xml:space="preserve">(which includes all attendances associated with a service) </w:t>
      </w:r>
      <w:r>
        <w:t>for item 10944</w:t>
      </w:r>
      <w:r w:rsidR="00F94231">
        <w:t xml:space="preserve"> (which excludes aftercare for removing a foreign body from an eye)</w:t>
      </w:r>
      <w:r>
        <w:t>.</w:t>
      </w:r>
    </w:p>
    <w:p w14:paraId="1A2C2909" w14:textId="77777777" w:rsidR="007F3B5C" w:rsidRDefault="007F3B5C" w:rsidP="007F21C2">
      <w:pPr>
        <w:pStyle w:val="BodyText"/>
        <w:rPr>
          <w:b w:val="0"/>
          <w:szCs w:val="24"/>
          <w:u w:val="single"/>
        </w:rPr>
      </w:pPr>
    </w:p>
    <w:p w14:paraId="10B61B36" w14:textId="11550397" w:rsidR="007F3B5C" w:rsidRPr="00D52B25" w:rsidRDefault="00E84B69" w:rsidP="007F3B5C">
      <w:pPr>
        <w:pStyle w:val="BodyText"/>
        <w:rPr>
          <w:b w:val="0"/>
          <w:szCs w:val="24"/>
        </w:rPr>
      </w:pPr>
      <w:r>
        <w:rPr>
          <w:b w:val="0"/>
          <w:szCs w:val="24"/>
          <w:u w:val="single"/>
        </w:rPr>
        <w:t xml:space="preserve">Section 7 </w:t>
      </w:r>
      <w:r w:rsidR="0066078F">
        <w:rPr>
          <w:b w:val="0"/>
          <w:szCs w:val="24"/>
          <w:u w:val="single"/>
        </w:rPr>
        <w:t>–</w:t>
      </w:r>
      <w:r>
        <w:rPr>
          <w:b w:val="0"/>
          <w:szCs w:val="24"/>
          <w:u w:val="single"/>
        </w:rPr>
        <w:t xml:space="preserve"> </w:t>
      </w:r>
      <w:r w:rsidR="0066078F">
        <w:rPr>
          <w:b w:val="0"/>
          <w:szCs w:val="24"/>
          <w:u w:val="single"/>
        </w:rPr>
        <w:t>Application of item 10929</w:t>
      </w:r>
    </w:p>
    <w:p w14:paraId="112667ED" w14:textId="77777777" w:rsidR="00826BAE" w:rsidRPr="004C6D5D" w:rsidRDefault="00826BAE" w:rsidP="00C54B1B"/>
    <w:p w14:paraId="7225C645" w14:textId="4C2A630B" w:rsidR="00787C2F" w:rsidRPr="00787C2F" w:rsidRDefault="00787C2F" w:rsidP="00787C2F">
      <w:pPr>
        <w:rPr>
          <w:szCs w:val="24"/>
        </w:rPr>
      </w:pPr>
      <w:r w:rsidRPr="00787C2F">
        <w:rPr>
          <w:szCs w:val="24"/>
        </w:rPr>
        <w:t>This section outlines the restrictions on the claiming of item 10929.</w:t>
      </w:r>
      <w:r w:rsidR="00F94231">
        <w:rPr>
          <w:szCs w:val="24"/>
        </w:rPr>
        <w:t xml:space="preserve"> This excludes provision of contact lenses for personal appearance, work or sport, or psychological difficulty for using spectacles.</w:t>
      </w:r>
    </w:p>
    <w:p w14:paraId="61946A22" w14:textId="77777777" w:rsidR="00E84B69" w:rsidRPr="00D52B25" w:rsidRDefault="00E84B69" w:rsidP="007F21C2">
      <w:pPr>
        <w:pStyle w:val="BodyText"/>
        <w:rPr>
          <w:b w:val="0"/>
          <w:szCs w:val="24"/>
        </w:rPr>
      </w:pPr>
    </w:p>
    <w:p w14:paraId="1BD3BCD4" w14:textId="005A26E0" w:rsidR="00826BAE" w:rsidRPr="00490840" w:rsidRDefault="00E84B69" w:rsidP="00490840">
      <w:pPr>
        <w:pStyle w:val="BodyText"/>
        <w:rPr>
          <w:b w:val="0"/>
          <w:szCs w:val="24"/>
        </w:rPr>
      </w:pPr>
      <w:r>
        <w:rPr>
          <w:b w:val="0"/>
          <w:szCs w:val="24"/>
          <w:u w:val="single"/>
        </w:rPr>
        <w:t xml:space="preserve">Section 8 – </w:t>
      </w:r>
      <w:r w:rsidR="00E840A7">
        <w:rPr>
          <w:b w:val="0"/>
          <w:szCs w:val="24"/>
          <w:u w:val="single"/>
        </w:rPr>
        <w:t>Application of items 10931</w:t>
      </w:r>
      <w:r w:rsidR="0066078F">
        <w:rPr>
          <w:b w:val="0"/>
          <w:szCs w:val="24"/>
          <w:u w:val="single"/>
        </w:rPr>
        <w:t>,</w:t>
      </w:r>
      <w:r w:rsidR="00C54B1B">
        <w:rPr>
          <w:b w:val="0"/>
          <w:szCs w:val="24"/>
          <w:u w:val="single"/>
        </w:rPr>
        <w:t xml:space="preserve"> </w:t>
      </w:r>
      <w:r w:rsidR="0066078F">
        <w:rPr>
          <w:b w:val="0"/>
          <w:szCs w:val="24"/>
          <w:u w:val="single"/>
        </w:rPr>
        <w:t>10932 and 10933</w:t>
      </w:r>
      <w:r w:rsidR="004307D4">
        <w:rPr>
          <w:b w:val="0"/>
          <w:szCs w:val="24"/>
          <w:u w:val="single"/>
        </w:rPr>
        <w:br/>
      </w:r>
    </w:p>
    <w:p w14:paraId="08D2C232" w14:textId="4D71A500" w:rsidR="00787C2F" w:rsidRPr="00787C2F" w:rsidRDefault="00787C2F" w:rsidP="00787C2F">
      <w:pPr>
        <w:rPr>
          <w:szCs w:val="24"/>
        </w:rPr>
      </w:pPr>
      <w:r w:rsidRPr="00787C2F">
        <w:rPr>
          <w:szCs w:val="24"/>
        </w:rPr>
        <w:t xml:space="preserve">This section provides that items 10931, 10932 or 10933 can be claimed </w:t>
      </w:r>
      <w:r w:rsidR="00B71DDD">
        <w:rPr>
          <w:szCs w:val="24"/>
        </w:rPr>
        <w:t>additionally to</w:t>
      </w:r>
      <w:r w:rsidRPr="00787C2F">
        <w:rPr>
          <w:szCs w:val="24"/>
        </w:rPr>
        <w:t xml:space="preserve"> another item in Subgroup 1 of Group A10 if both items apply.</w:t>
      </w:r>
    </w:p>
    <w:p w14:paraId="05DCB484" w14:textId="77777777" w:rsidR="00E84B69" w:rsidRPr="00D52B25" w:rsidRDefault="00E84B69" w:rsidP="007F21C2">
      <w:pPr>
        <w:pStyle w:val="BodyText"/>
        <w:rPr>
          <w:b w:val="0"/>
          <w:szCs w:val="24"/>
        </w:rPr>
      </w:pPr>
    </w:p>
    <w:p w14:paraId="7843F9D1" w14:textId="7EAA119B" w:rsidR="007F3B5C" w:rsidRPr="00D52B25" w:rsidRDefault="00E84B69" w:rsidP="007F3B5C">
      <w:pPr>
        <w:pStyle w:val="BodyText"/>
        <w:rPr>
          <w:b w:val="0"/>
          <w:szCs w:val="24"/>
        </w:rPr>
      </w:pPr>
      <w:r>
        <w:rPr>
          <w:b w:val="0"/>
          <w:szCs w:val="24"/>
          <w:u w:val="single"/>
        </w:rPr>
        <w:lastRenderedPageBreak/>
        <w:t xml:space="preserve">Section 9 – </w:t>
      </w:r>
      <w:r w:rsidR="0066078F">
        <w:rPr>
          <w:b w:val="0"/>
          <w:szCs w:val="24"/>
          <w:u w:val="single"/>
        </w:rPr>
        <w:t>Application of 10940 and 10941</w:t>
      </w:r>
    </w:p>
    <w:p w14:paraId="66B532F9" w14:textId="77777777" w:rsidR="00826BAE" w:rsidRPr="004C6D5D" w:rsidRDefault="00826BAE" w:rsidP="00C54B1B"/>
    <w:p w14:paraId="38D517BC" w14:textId="5D1AC2EF" w:rsidR="00787C2F" w:rsidRPr="00787C2F" w:rsidRDefault="00787C2F" w:rsidP="00787C2F">
      <w:pPr>
        <w:rPr>
          <w:szCs w:val="24"/>
        </w:rPr>
      </w:pPr>
      <w:r w:rsidRPr="00787C2F">
        <w:rPr>
          <w:szCs w:val="24"/>
        </w:rPr>
        <w:t xml:space="preserve">This section provides that items 10940 and 10941 are perimetry services, and </w:t>
      </w:r>
      <w:r w:rsidR="00B71DDD">
        <w:rPr>
          <w:szCs w:val="24"/>
        </w:rPr>
        <w:t xml:space="preserve">that a </w:t>
      </w:r>
      <w:r w:rsidRPr="00787C2F">
        <w:rPr>
          <w:szCs w:val="24"/>
        </w:rPr>
        <w:t xml:space="preserve">maximum of </w:t>
      </w:r>
      <w:r w:rsidR="00B71DDD">
        <w:rPr>
          <w:szCs w:val="24"/>
        </w:rPr>
        <w:t xml:space="preserve">only </w:t>
      </w:r>
      <w:r w:rsidRPr="00787C2F">
        <w:rPr>
          <w:szCs w:val="24"/>
        </w:rPr>
        <w:t>two perimetry services can be claimed per patient in a</w:t>
      </w:r>
      <w:r w:rsidR="00B71DDD">
        <w:rPr>
          <w:szCs w:val="24"/>
        </w:rPr>
        <w:t>ny</w:t>
      </w:r>
      <w:r w:rsidRPr="00787C2F">
        <w:rPr>
          <w:szCs w:val="24"/>
        </w:rPr>
        <w:t xml:space="preserve"> 12 month period.</w:t>
      </w:r>
    </w:p>
    <w:p w14:paraId="1059028B" w14:textId="6A092141" w:rsidR="00E84B69" w:rsidRPr="00D52B25" w:rsidRDefault="00E84B69" w:rsidP="007F21C2">
      <w:pPr>
        <w:pStyle w:val="BodyText"/>
        <w:rPr>
          <w:b w:val="0"/>
          <w:szCs w:val="24"/>
        </w:rPr>
      </w:pPr>
    </w:p>
    <w:p w14:paraId="30F402DD" w14:textId="142ECFE8" w:rsidR="007F3B5C" w:rsidRPr="007367CD" w:rsidRDefault="00E84B69" w:rsidP="007F3B5C">
      <w:pPr>
        <w:pStyle w:val="BodyText"/>
        <w:rPr>
          <w:szCs w:val="24"/>
          <w:lang w:val="en-US" w:eastAsia="en-US"/>
        </w:rPr>
      </w:pPr>
      <w:r>
        <w:rPr>
          <w:b w:val="0"/>
          <w:szCs w:val="24"/>
          <w:u w:val="single"/>
        </w:rPr>
        <w:t xml:space="preserve">Section 10 – </w:t>
      </w:r>
      <w:r w:rsidR="0066078F">
        <w:rPr>
          <w:b w:val="0"/>
          <w:szCs w:val="24"/>
          <w:u w:val="single"/>
        </w:rPr>
        <w:t>Limitation on item 10943</w:t>
      </w:r>
    </w:p>
    <w:p w14:paraId="07861DDB" w14:textId="77777777" w:rsidR="00826BAE" w:rsidRPr="00C54B1B" w:rsidRDefault="00826BAE" w:rsidP="00C54B1B"/>
    <w:p w14:paraId="0EF1E256" w14:textId="3F0A41AB" w:rsidR="00787C2F" w:rsidRPr="00787C2F" w:rsidRDefault="00787C2F" w:rsidP="00787C2F">
      <w:pPr>
        <w:rPr>
          <w:szCs w:val="24"/>
        </w:rPr>
      </w:pPr>
      <w:r w:rsidRPr="00787C2F">
        <w:rPr>
          <w:szCs w:val="24"/>
        </w:rPr>
        <w:t>This section provides that 10943 cannot be used to assess learning difficulties or learning disabilities.</w:t>
      </w:r>
    </w:p>
    <w:p w14:paraId="06A5DB2D" w14:textId="2D236FE0" w:rsidR="007367CD" w:rsidRDefault="007367CD" w:rsidP="007367CD">
      <w:pPr>
        <w:rPr>
          <w:szCs w:val="24"/>
          <w:lang w:val="en-US" w:eastAsia="en-US"/>
        </w:rPr>
      </w:pPr>
    </w:p>
    <w:p w14:paraId="34C5F492" w14:textId="0B974867" w:rsidR="007F3B5C" w:rsidRPr="00B24599" w:rsidRDefault="00E84B69" w:rsidP="007F3B5C">
      <w:pPr>
        <w:pStyle w:val="BodyText"/>
        <w:rPr>
          <w:szCs w:val="24"/>
          <w:lang w:val="en-US" w:eastAsia="en-US"/>
        </w:rPr>
      </w:pPr>
      <w:r>
        <w:rPr>
          <w:b w:val="0"/>
          <w:szCs w:val="24"/>
          <w:u w:val="single"/>
        </w:rPr>
        <w:t xml:space="preserve">Section 11 </w:t>
      </w:r>
      <w:r w:rsidR="0066078F">
        <w:rPr>
          <w:b w:val="0"/>
          <w:szCs w:val="24"/>
          <w:u w:val="single"/>
        </w:rPr>
        <w:t>–</w:t>
      </w:r>
      <w:r>
        <w:rPr>
          <w:b w:val="0"/>
          <w:szCs w:val="24"/>
          <w:u w:val="single"/>
        </w:rPr>
        <w:t xml:space="preserve"> </w:t>
      </w:r>
      <w:r w:rsidR="0066078F">
        <w:rPr>
          <w:b w:val="0"/>
          <w:szCs w:val="24"/>
          <w:u w:val="single"/>
        </w:rPr>
        <w:t>Limitation on items</w:t>
      </w:r>
    </w:p>
    <w:p w14:paraId="69C2F410" w14:textId="77777777" w:rsidR="00787C2F" w:rsidRPr="00787C2F" w:rsidRDefault="00787C2F" w:rsidP="00787C2F">
      <w:pPr>
        <w:spacing w:before="240"/>
        <w:rPr>
          <w:szCs w:val="24"/>
        </w:rPr>
      </w:pPr>
      <w:r w:rsidRPr="00787C2F">
        <w:rPr>
          <w:szCs w:val="24"/>
        </w:rPr>
        <w:t>This section provides that item 10943 may only be claimed once per patient in a 12 month period, item 10942 may only be claimed twice per patient in a 12 month period, and items 10921 to 10929 may only apply to a service once per patient once in a 36 month period.</w:t>
      </w:r>
    </w:p>
    <w:p w14:paraId="2049A116" w14:textId="40DCF99D" w:rsidR="006E3649" w:rsidRPr="00D52B25" w:rsidRDefault="006E3649" w:rsidP="007F21C2">
      <w:pPr>
        <w:pStyle w:val="BodyText"/>
        <w:rPr>
          <w:b w:val="0"/>
          <w:szCs w:val="24"/>
        </w:rPr>
      </w:pPr>
    </w:p>
    <w:p w14:paraId="7860E575" w14:textId="51163DC6" w:rsidR="007F3B5C" w:rsidRPr="00B24599" w:rsidRDefault="00E84B69" w:rsidP="007F3B5C">
      <w:pPr>
        <w:pStyle w:val="BodyText"/>
        <w:rPr>
          <w:szCs w:val="24"/>
          <w:lang w:val="en-US" w:eastAsia="en-US"/>
        </w:rPr>
      </w:pPr>
      <w:r>
        <w:rPr>
          <w:b w:val="0"/>
          <w:szCs w:val="24"/>
          <w:u w:val="single"/>
        </w:rPr>
        <w:t xml:space="preserve">Section 12 - </w:t>
      </w:r>
      <w:r w:rsidR="0066078F">
        <w:rPr>
          <w:b w:val="0"/>
          <w:szCs w:val="24"/>
          <w:u w:val="single"/>
        </w:rPr>
        <w:t>Limitation on item 10944</w:t>
      </w:r>
    </w:p>
    <w:p w14:paraId="6BF37C70" w14:textId="77777777" w:rsidR="00826BAE" w:rsidRPr="004C6D5D" w:rsidRDefault="00826BAE" w:rsidP="004C6D5D"/>
    <w:p w14:paraId="101420A7" w14:textId="4666AC79" w:rsidR="00787C2F" w:rsidRPr="00787C2F" w:rsidRDefault="00787C2F" w:rsidP="00787C2F">
      <w:pPr>
        <w:rPr>
          <w:szCs w:val="24"/>
        </w:rPr>
      </w:pPr>
      <w:r w:rsidRPr="00787C2F">
        <w:rPr>
          <w:szCs w:val="24"/>
        </w:rPr>
        <w:t xml:space="preserve">This section provides the list of </w:t>
      </w:r>
      <w:r w:rsidR="00B71DDD">
        <w:rPr>
          <w:szCs w:val="24"/>
        </w:rPr>
        <w:t xml:space="preserve">other </w:t>
      </w:r>
      <w:r w:rsidRPr="00787C2F">
        <w:rPr>
          <w:szCs w:val="24"/>
        </w:rPr>
        <w:t>items that cannot be claimed on the same occasion as 10944</w:t>
      </w:r>
      <w:r w:rsidR="00B71DDD">
        <w:rPr>
          <w:szCs w:val="24"/>
        </w:rPr>
        <w:t xml:space="preserve"> for testing for or confirmation of certain conditions in a child between 3 and 14</w:t>
      </w:r>
      <w:r w:rsidRPr="00787C2F">
        <w:rPr>
          <w:szCs w:val="24"/>
        </w:rPr>
        <w:t>.</w:t>
      </w:r>
    </w:p>
    <w:p w14:paraId="17B20EEA" w14:textId="71B2E046" w:rsidR="00B24599" w:rsidRPr="00B24599" w:rsidRDefault="00B24599" w:rsidP="00B24599">
      <w:pPr>
        <w:rPr>
          <w:szCs w:val="24"/>
          <w:lang w:val="en-US" w:eastAsia="en-US"/>
        </w:rPr>
      </w:pPr>
    </w:p>
    <w:p w14:paraId="7946AF46" w14:textId="229546A7" w:rsidR="00E84B69" w:rsidRDefault="00E84B69" w:rsidP="007F21C2">
      <w:pPr>
        <w:pStyle w:val="BodyText"/>
        <w:rPr>
          <w:b w:val="0"/>
          <w:szCs w:val="24"/>
          <w:u w:val="single"/>
        </w:rPr>
      </w:pPr>
      <w:r>
        <w:rPr>
          <w:b w:val="0"/>
          <w:szCs w:val="24"/>
          <w:u w:val="single"/>
        </w:rPr>
        <w:t>Section 13</w:t>
      </w:r>
      <w:r w:rsidR="007F3B5C">
        <w:rPr>
          <w:b w:val="0"/>
          <w:szCs w:val="24"/>
          <w:u w:val="single"/>
        </w:rPr>
        <w:t xml:space="preserve"> </w:t>
      </w:r>
      <w:r w:rsidR="005228B6">
        <w:rPr>
          <w:b w:val="0"/>
          <w:szCs w:val="24"/>
          <w:u w:val="single"/>
        </w:rPr>
        <w:t>–</w:t>
      </w:r>
      <w:r w:rsidR="007F3B5C">
        <w:rPr>
          <w:b w:val="0"/>
          <w:szCs w:val="24"/>
          <w:u w:val="single"/>
        </w:rPr>
        <w:t xml:space="preserve"> </w:t>
      </w:r>
      <w:r w:rsidR="005228B6">
        <w:rPr>
          <w:b w:val="0"/>
          <w:szCs w:val="24"/>
          <w:u w:val="single"/>
        </w:rPr>
        <w:t>Application of items 10945 and 10946</w:t>
      </w:r>
    </w:p>
    <w:p w14:paraId="4471D475" w14:textId="77777777" w:rsidR="00826BAE" w:rsidRPr="004C6D5D" w:rsidRDefault="00826BAE" w:rsidP="004C6D5D"/>
    <w:p w14:paraId="276DBC7F" w14:textId="0144B8CA" w:rsidR="00787C2F" w:rsidRPr="00787C2F" w:rsidRDefault="00787C2F" w:rsidP="00787C2F">
      <w:pPr>
        <w:rPr>
          <w:szCs w:val="24"/>
        </w:rPr>
      </w:pPr>
      <w:r w:rsidRPr="00787C2F">
        <w:rPr>
          <w:szCs w:val="24"/>
        </w:rPr>
        <w:t xml:space="preserve">This section provides that items 10945 and 10946 do not apply if the patient or specialist travels to a location (at least 15 kilometres away) to satisfy the distance requirements of the items. </w:t>
      </w:r>
    </w:p>
    <w:p w14:paraId="1C41397A" w14:textId="301EF9EB" w:rsidR="00E84B69" w:rsidRPr="00D52B25" w:rsidRDefault="00E84B69" w:rsidP="007F21C2">
      <w:pPr>
        <w:pStyle w:val="BodyText"/>
        <w:rPr>
          <w:b w:val="0"/>
          <w:szCs w:val="24"/>
        </w:rPr>
      </w:pPr>
    </w:p>
    <w:p w14:paraId="091FF501" w14:textId="28914B51" w:rsidR="00F30BC8" w:rsidRDefault="00E84B69" w:rsidP="007F3B5C">
      <w:pPr>
        <w:pStyle w:val="BodyText"/>
        <w:rPr>
          <w:b w:val="0"/>
          <w:szCs w:val="24"/>
          <w:u w:val="single"/>
        </w:rPr>
      </w:pPr>
      <w:r>
        <w:rPr>
          <w:b w:val="0"/>
          <w:szCs w:val="24"/>
          <w:u w:val="single"/>
        </w:rPr>
        <w:t xml:space="preserve">Section 14 </w:t>
      </w:r>
      <w:r w:rsidR="007F3B5C">
        <w:rPr>
          <w:b w:val="0"/>
          <w:szCs w:val="24"/>
          <w:u w:val="single"/>
        </w:rPr>
        <w:t>–</w:t>
      </w:r>
      <w:r>
        <w:rPr>
          <w:b w:val="0"/>
          <w:szCs w:val="24"/>
          <w:u w:val="single"/>
        </w:rPr>
        <w:t xml:space="preserve"> </w:t>
      </w:r>
      <w:r w:rsidR="005228B6">
        <w:rPr>
          <w:b w:val="0"/>
          <w:szCs w:val="24"/>
          <w:u w:val="single"/>
        </w:rPr>
        <w:t>Application of items 10945 to 10948</w:t>
      </w:r>
    </w:p>
    <w:p w14:paraId="4FCBF60D" w14:textId="77777777" w:rsidR="00826BAE" w:rsidRPr="004C6D5D" w:rsidRDefault="00826BAE" w:rsidP="004C6D5D"/>
    <w:p w14:paraId="38F15EAA" w14:textId="4D4AF5FE" w:rsidR="00787C2F" w:rsidRPr="00787C2F" w:rsidRDefault="00787C2F" w:rsidP="00787C2F">
      <w:pPr>
        <w:rPr>
          <w:szCs w:val="24"/>
        </w:rPr>
      </w:pPr>
      <w:r w:rsidRPr="00787C2F">
        <w:rPr>
          <w:szCs w:val="24"/>
        </w:rPr>
        <w:t>This section provides that items 10945 to 10948</w:t>
      </w:r>
      <w:r w:rsidR="00B71DDD">
        <w:rPr>
          <w:szCs w:val="24"/>
        </w:rPr>
        <w:t xml:space="preserve"> (video conferencing</w:t>
      </w:r>
      <w:r w:rsidR="00C41D4B">
        <w:rPr>
          <w:szCs w:val="24"/>
        </w:rPr>
        <w:t xml:space="preserve"> for </w:t>
      </w:r>
      <w:r w:rsidR="00B71DDD">
        <w:rPr>
          <w:szCs w:val="24"/>
        </w:rPr>
        <w:t>telehealth area patients, aboriginal health service patient or aged care facility patient</w:t>
      </w:r>
      <w:r w:rsidR="00C41D4B">
        <w:rPr>
          <w:szCs w:val="24"/>
        </w:rPr>
        <w:t>)</w:t>
      </w:r>
      <w:r w:rsidRPr="00787C2F">
        <w:rPr>
          <w:szCs w:val="24"/>
        </w:rPr>
        <w:t xml:space="preserve"> only apply if the video conference in which the patient is participating is a service for which there is</w:t>
      </w:r>
      <w:r w:rsidR="00B71DDD">
        <w:rPr>
          <w:szCs w:val="24"/>
        </w:rPr>
        <w:t xml:space="preserve"> also</w:t>
      </w:r>
      <w:r w:rsidRPr="00787C2F">
        <w:rPr>
          <w:szCs w:val="24"/>
        </w:rPr>
        <w:t xml:space="preserve"> an item in the general medical services table </w:t>
      </w:r>
      <w:r w:rsidR="00B71DDD">
        <w:rPr>
          <w:szCs w:val="24"/>
        </w:rPr>
        <w:t>(</w:t>
      </w:r>
      <w:r w:rsidRPr="00787C2F">
        <w:rPr>
          <w:szCs w:val="24"/>
        </w:rPr>
        <w:t xml:space="preserve">or </w:t>
      </w:r>
      <w:r w:rsidR="00B71DDD">
        <w:rPr>
          <w:szCs w:val="24"/>
        </w:rPr>
        <w:t xml:space="preserve">is </w:t>
      </w:r>
      <w:r w:rsidRPr="00787C2F">
        <w:rPr>
          <w:szCs w:val="24"/>
        </w:rPr>
        <w:t>treated as being in the table because of subsection 3C(1) o</w:t>
      </w:r>
      <w:r w:rsidR="00B71DDD">
        <w:rPr>
          <w:szCs w:val="24"/>
        </w:rPr>
        <w:t>f the Act).</w:t>
      </w:r>
    </w:p>
    <w:p w14:paraId="5458DEF0" w14:textId="64FDF0F3" w:rsidR="00E84B69" w:rsidRPr="00D52B25" w:rsidRDefault="00E84B69" w:rsidP="007F21C2">
      <w:pPr>
        <w:pStyle w:val="BodyText"/>
        <w:rPr>
          <w:b w:val="0"/>
          <w:szCs w:val="24"/>
        </w:rPr>
      </w:pPr>
    </w:p>
    <w:p w14:paraId="7D118785" w14:textId="6DE277BF" w:rsidR="007F3B5C" w:rsidRPr="004C6D5D" w:rsidRDefault="00E84B69" w:rsidP="007F3B5C">
      <w:pPr>
        <w:pStyle w:val="BodyText"/>
        <w:rPr>
          <w:lang w:val="en-US"/>
        </w:rPr>
      </w:pPr>
      <w:r>
        <w:rPr>
          <w:b w:val="0"/>
          <w:szCs w:val="24"/>
          <w:u w:val="single"/>
        </w:rPr>
        <w:t xml:space="preserve">Section 15 </w:t>
      </w:r>
      <w:r w:rsidR="00D52B25">
        <w:rPr>
          <w:b w:val="0"/>
          <w:szCs w:val="24"/>
          <w:u w:val="single"/>
        </w:rPr>
        <w:t>–</w:t>
      </w:r>
      <w:r>
        <w:rPr>
          <w:b w:val="0"/>
          <w:szCs w:val="24"/>
          <w:u w:val="single"/>
        </w:rPr>
        <w:t xml:space="preserve"> </w:t>
      </w:r>
      <w:r w:rsidR="005228B6">
        <w:rPr>
          <w:b w:val="0"/>
          <w:szCs w:val="24"/>
          <w:u w:val="single"/>
        </w:rPr>
        <w:t>Professional attendance items and services provided with non-</w:t>
      </w:r>
      <w:proofErr w:type="spellStart"/>
      <w:r w:rsidR="005228B6">
        <w:rPr>
          <w:b w:val="0"/>
          <w:szCs w:val="24"/>
          <w:u w:val="single"/>
        </w:rPr>
        <w:t>medicare</w:t>
      </w:r>
      <w:proofErr w:type="spellEnd"/>
      <w:r w:rsidR="005228B6">
        <w:rPr>
          <w:b w:val="0"/>
          <w:szCs w:val="24"/>
          <w:u w:val="single"/>
        </w:rPr>
        <w:t xml:space="preserve"> services</w:t>
      </w:r>
    </w:p>
    <w:p w14:paraId="25EFC34C" w14:textId="77777777" w:rsidR="00826BAE" w:rsidRPr="004C6D5D" w:rsidRDefault="00826BAE" w:rsidP="004C6D5D"/>
    <w:p w14:paraId="031FA33C" w14:textId="4DF93B95" w:rsidR="00787C2F" w:rsidRPr="00787C2F" w:rsidRDefault="00787C2F" w:rsidP="00787C2F">
      <w:pPr>
        <w:rPr>
          <w:szCs w:val="24"/>
        </w:rPr>
      </w:pPr>
      <w:r w:rsidRPr="00787C2F">
        <w:rPr>
          <w:szCs w:val="24"/>
        </w:rPr>
        <w:t xml:space="preserve">This section provides that items 10905 to 10929 in the Determination are professional attendances, </w:t>
      </w:r>
      <w:r w:rsidR="00C41D4B">
        <w:rPr>
          <w:szCs w:val="24"/>
        </w:rPr>
        <w:t>under</w:t>
      </w:r>
      <w:r w:rsidRPr="00787C2F">
        <w:rPr>
          <w:szCs w:val="24"/>
        </w:rPr>
        <w:t xml:space="preserve"> 1.2.</w:t>
      </w:r>
      <w:r w:rsidR="00DE2F91">
        <w:rPr>
          <w:szCs w:val="24"/>
        </w:rPr>
        <w:t>5</w:t>
      </w:r>
      <w:r w:rsidRPr="00787C2F">
        <w:rPr>
          <w:szCs w:val="24"/>
        </w:rPr>
        <w:t xml:space="preserve"> of the general medical services table. Items 10905 to 10948 in the Determination should not be provided with non-</w:t>
      </w:r>
      <w:proofErr w:type="spellStart"/>
      <w:r w:rsidRPr="00787C2F">
        <w:rPr>
          <w:szCs w:val="24"/>
        </w:rPr>
        <w:t>medicare</w:t>
      </w:r>
      <w:proofErr w:type="spellEnd"/>
      <w:r w:rsidRPr="00787C2F">
        <w:rPr>
          <w:szCs w:val="24"/>
        </w:rPr>
        <w:t xml:space="preserve"> services </w:t>
      </w:r>
      <w:r w:rsidR="00C41D4B">
        <w:rPr>
          <w:szCs w:val="24"/>
        </w:rPr>
        <w:t>under</w:t>
      </w:r>
      <w:r w:rsidRPr="00787C2F">
        <w:rPr>
          <w:szCs w:val="24"/>
        </w:rPr>
        <w:t xml:space="preserve"> </w:t>
      </w:r>
      <w:r w:rsidR="00FF6E8E">
        <w:rPr>
          <w:szCs w:val="24"/>
        </w:rPr>
        <w:t xml:space="preserve">clause </w:t>
      </w:r>
      <w:r w:rsidRPr="00787C2F">
        <w:rPr>
          <w:szCs w:val="24"/>
        </w:rPr>
        <w:t>1.2.</w:t>
      </w:r>
      <w:r w:rsidR="00DE2F91">
        <w:rPr>
          <w:szCs w:val="24"/>
        </w:rPr>
        <w:t>8</w:t>
      </w:r>
      <w:r w:rsidRPr="00787C2F">
        <w:rPr>
          <w:szCs w:val="24"/>
        </w:rPr>
        <w:t xml:space="preserve"> and 1.2.</w:t>
      </w:r>
      <w:r w:rsidR="00DE2F91">
        <w:rPr>
          <w:szCs w:val="24"/>
        </w:rPr>
        <w:t>9</w:t>
      </w:r>
      <w:r w:rsidRPr="00787C2F">
        <w:rPr>
          <w:szCs w:val="24"/>
        </w:rPr>
        <w:t xml:space="preserve"> of </w:t>
      </w:r>
      <w:r w:rsidRPr="00FF6E8E">
        <w:rPr>
          <w:szCs w:val="24"/>
        </w:rPr>
        <w:t xml:space="preserve">the </w:t>
      </w:r>
      <w:r w:rsidR="00FF6E8E" w:rsidRPr="00FF6E8E">
        <w:rPr>
          <w:szCs w:val="24"/>
        </w:rPr>
        <w:t>General Medical Services Table</w:t>
      </w:r>
      <w:r w:rsidRPr="00FF6E8E">
        <w:rPr>
          <w:szCs w:val="24"/>
        </w:rPr>
        <w:t>.</w:t>
      </w:r>
    </w:p>
    <w:p w14:paraId="717D5915" w14:textId="10448727" w:rsidR="00E84B69" w:rsidRPr="00D52B25" w:rsidRDefault="00E84B69" w:rsidP="007F21C2">
      <w:pPr>
        <w:pStyle w:val="BodyText"/>
        <w:rPr>
          <w:b w:val="0"/>
          <w:szCs w:val="24"/>
        </w:rPr>
      </w:pPr>
    </w:p>
    <w:p w14:paraId="27F44A2B" w14:textId="0053CD1D" w:rsidR="007F21C2" w:rsidRPr="00E84B69" w:rsidRDefault="007F21C2" w:rsidP="007F21C2">
      <w:pPr>
        <w:pStyle w:val="Header"/>
        <w:tabs>
          <w:tab w:val="num" w:pos="1080"/>
        </w:tabs>
        <w:rPr>
          <w:b/>
          <w:szCs w:val="24"/>
        </w:rPr>
      </w:pPr>
      <w:r w:rsidRPr="00E84B69">
        <w:rPr>
          <w:b/>
          <w:szCs w:val="24"/>
        </w:rPr>
        <w:t xml:space="preserve">Schedule – </w:t>
      </w:r>
      <w:r w:rsidR="007F3B5C">
        <w:rPr>
          <w:b/>
          <w:szCs w:val="24"/>
        </w:rPr>
        <w:t>Relevant Services</w:t>
      </w:r>
    </w:p>
    <w:p w14:paraId="006C5662" w14:textId="77777777" w:rsidR="004307D4" w:rsidRDefault="00C41D4B" w:rsidP="007F21C2">
      <w:pPr>
        <w:pStyle w:val="Header"/>
        <w:tabs>
          <w:tab w:val="num" w:pos="1080"/>
        </w:tabs>
        <w:rPr>
          <w:i/>
        </w:rPr>
      </w:pPr>
      <w:r>
        <w:rPr>
          <w:szCs w:val="24"/>
        </w:rPr>
        <w:t>This schedule lists</w:t>
      </w:r>
      <w:r w:rsidR="005228B6" w:rsidRPr="005228B6">
        <w:rPr>
          <w:szCs w:val="24"/>
        </w:rPr>
        <w:t xml:space="preserve"> 32 item</w:t>
      </w:r>
      <w:r w:rsidR="005228B6">
        <w:rPr>
          <w:szCs w:val="24"/>
        </w:rPr>
        <w:t xml:space="preserve"> numbers, descriptions of services and fees under </w:t>
      </w:r>
      <w:r w:rsidR="005228B6" w:rsidRPr="00826BAE">
        <w:rPr>
          <w:i/>
          <w:szCs w:val="24"/>
        </w:rPr>
        <w:t>Group A10 – Optometric services provided by optometrist</w:t>
      </w:r>
      <w:r w:rsidR="004307D4" w:rsidRPr="004307D4">
        <w:t>:</w:t>
      </w:r>
    </w:p>
    <w:p w14:paraId="27CD8E0C" w14:textId="1B654B8D" w:rsidR="004307D4" w:rsidRDefault="005228B6" w:rsidP="004307D4">
      <w:pPr>
        <w:pStyle w:val="Header"/>
        <w:numPr>
          <w:ilvl w:val="0"/>
          <w:numId w:val="42"/>
        </w:numPr>
        <w:rPr>
          <w:szCs w:val="24"/>
        </w:rPr>
      </w:pPr>
      <w:r w:rsidRPr="004307D4">
        <w:rPr>
          <w:i/>
          <w:szCs w:val="24"/>
        </w:rPr>
        <w:t>Subgroup 1 –</w:t>
      </w:r>
      <w:r w:rsidR="004307D4" w:rsidRPr="004307D4">
        <w:rPr>
          <w:i/>
          <w:szCs w:val="24"/>
        </w:rPr>
        <w:t xml:space="preserve"> </w:t>
      </w:r>
      <w:r w:rsidRPr="004307D4">
        <w:rPr>
          <w:i/>
          <w:szCs w:val="24"/>
        </w:rPr>
        <w:t>General</w:t>
      </w:r>
      <w:r>
        <w:rPr>
          <w:szCs w:val="24"/>
        </w:rPr>
        <w:t xml:space="preserve"> provides </w:t>
      </w:r>
      <w:r w:rsidR="00F10238">
        <w:rPr>
          <w:szCs w:val="24"/>
        </w:rPr>
        <w:t xml:space="preserve">items 10905 to 10918 </w:t>
      </w:r>
      <w:r>
        <w:rPr>
          <w:szCs w:val="24"/>
        </w:rPr>
        <w:t>for various attendances</w:t>
      </w:r>
      <w:r w:rsidR="00F10238">
        <w:rPr>
          <w:szCs w:val="24"/>
        </w:rPr>
        <w:t xml:space="preserve"> and 10921 to 10944 for specific treatments.  </w:t>
      </w:r>
    </w:p>
    <w:p w14:paraId="61CE097E" w14:textId="19431656" w:rsidR="007F21C2" w:rsidRPr="005228B6" w:rsidRDefault="00F10238" w:rsidP="004307D4">
      <w:pPr>
        <w:pStyle w:val="Header"/>
        <w:numPr>
          <w:ilvl w:val="0"/>
          <w:numId w:val="42"/>
        </w:numPr>
        <w:rPr>
          <w:szCs w:val="24"/>
        </w:rPr>
      </w:pPr>
      <w:r w:rsidRPr="004307D4">
        <w:rPr>
          <w:i/>
        </w:rPr>
        <w:t>Subgroup 2</w:t>
      </w:r>
      <w:r w:rsidR="004307D4" w:rsidRPr="004307D4">
        <w:rPr>
          <w:i/>
        </w:rPr>
        <w:t xml:space="preserve"> </w:t>
      </w:r>
      <w:r w:rsidR="004307D4" w:rsidRPr="004307D4">
        <w:rPr>
          <w:i/>
          <w:szCs w:val="24"/>
        </w:rPr>
        <w:t xml:space="preserve">– </w:t>
      </w:r>
      <w:r w:rsidRPr="004307D4">
        <w:rPr>
          <w:i/>
        </w:rPr>
        <w:t>Telehealth attendance</w:t>
      </w:r>
      <w:r w:rsidR="004307D4">
        <w:rPr>
          <w:szCs w:val="24"/>
        </w:rPr>
        <w:t xml:space="preserve"> includes </w:t>
      </w:r>
      <w:r>
        <w:rPr>
          <w:szCs w:val="24"/>
        </w:rPr>
        <w:t>items 10945, 10946, 10947 and 10948</w:t>
      </w:r>
    </w:p>
    <w:p w14:paraId="73A64369" w14:textId="77777777" w:rsidR="002E65CD" w:rsidRPr="007F3B5C" w:rsidRDefault="002E65CD" w:rsidP="007B6505">
      <w:pPr>
        <w:pStyle w:val="Header"/>
        <w:tabs>
          <w:tab w:val="num" w:pos="1080"/>
        </w:tabs>
        <w:rPr>
          <w:szCs w:val="24"/>
        </w:rPr>
      </w:pPr>
    </w:p>
    <w:p w14:paraId="243CD5C9" w14:textId="5D369BC0" w:rsidR="007B6505" w:rsidRPr="007F3B5C" w:rsidRDefault="007B6505" w:rsidP="007B6505">
      <w:pPr>
        <w:pStyle w:val="Header"/>
        <w:tabs>
          <w:tab w:val="num" w:pos="1080"/>
        </w:tabs>
        <w:rPr>
          <w:szCs w:val="24"/>
        </w:rPr>
      </w:pPr>
    </w:p>
    <w:p w14:paraId="130207FE" w14:textId="77777777" w:rsidR="007B6505" w:rsidRPr="0092180D" w:rsidRDefault="007B6505" w:rsidP="007B6505">
      <w:pPr>
        <w:pStyle w:val="Header"/>
        <w:tabs>
          <w:tab w:val="num" w:pos="1080"/>
        </w:tabs>
        <w:rPr>
          <w:szCs w:val="24"/>
        </w:rPr>
      </w:pPr>
    </w:p>
    <w:p w14:paraId="0CD864D1" w14:textId="1DE818F4" w:rsidR="00AE7239" w:rsidRDefault="00AE7239" w:rsidP="00AE7239">
      <w:pPr>
        <w:shd w:val="clear" w:color="auto" w:fill="FFFFFF"/>
        <w:contextualSpacing/>
        <w:rPr>
          <w:szCs w:val="24"/>
        </w:rPr>
        <w:sectPr w:rsidR="00AE7239" w:rsidSect="00B41A5A">
          <w:headerReference w:type="even" r:id="rId14"/>
          <w:headerReference w:type="default" r:id="rId15"/>
          <w:footerReference w:type="default" r:id="rId16"/>
          <w:headerReference w:type="first" r:id="rId17"/>
          <w:footerReference w:type="first" r:id="rId18"/>
          <w:pgSz w:w="11906" w:h="16838"/>
          <w:pgMar w:top="1276" w:right="1133" w:bottom="1440" w:left="1440" w:header="720" w:footer="720" w:gutter="0"/>
          <w:paperSrc w:first="7" w:other="7"/>
          <w:cols w:space="720"/>
          <w:titlePg/>
          <w:docGrid w:linePitch="326"/>
        </w:sectPr>
      </w:pPr>
    </w:p>
    <w:p w14:paraId="359DE4BE" w14:textId="2BC6163D" w:rsidR="00AE7239" w:rsidRPr="00B86A9F" w:rsidRDefault="00AE7239" w:rsidP="00AE7239">
      <w:pPr>
        <w:spacing w:before="360" w:after="120"/>
        <w:jc w:val="center"/>
        <w:rPr>
          <w:b/>
          <w:sz w:val="28"/>
          <w:szCs w:val="28"/>
        </w:rPr>
      </w:pPr>
      <w:r w:rsidRPr="00B86A9F">
        <w:rPr>
          <w:b/>
          <w:sz w:val="28"/>
          <w:szCs w:val="28"/>
        </w:rPr>
        <w:lastRenderedPageBreak/>
        <w:t>Statement of Compatibility with Human Rights</w:t>
      </w:r>
    </w:p>
    <w:p w14:paraId="055D1CE7" w14:textId="77777777" w:rsidR="00AE7239" w:rsidRPr="00B86A9F" w:rsidRDefault="00AE7239" w:rsidP="00AE7239">
      <w:pPr>
        <w:spacing w:before="120" w:after="120"/>
        <w:jc w:val="center"/>
        <w:rPr>
          <w:szCs w:val="24"/>
        </w:rPr>
      </w:pPr>
      <w:r w:rsidRPr="00B86A9F">
        <w:rPr>
          <w:i/>
          <w:szCs w:val="24"/>
        </w:rPr>
        <w:t>Prepared in accordance with Part 3 of the Human Rights (Parliamentary Scrutiny) Act 2011</w:t>
      </w:r>
    </w:p>
    <w:p w14:paraId="602A6F28" w14:textId="77777777" w:rsidR="00AE7239" w:rsidRPr="00B86A9F" w:rsidRDefault="00AE7239" w:rsidP="00AE7239">
      <w:pPr>
        <w:spacing w:before="120" w:after="120"/>
        <w:jc w:val="center"/>
        <w:rPr>
          <w:szCs w:val="24"/>
        </w:rPr>
      </w:pPr>
    </w:p>
    <w:p w14:paraId="56F735EF" w14:textId="2FE93F8B" w:rsidR="00AE7239" w:rsidRDefault="001B7F67" w:rsidP="00AE7239">
      <w:pPr>
        <w:jc w:val="center"/>
        <w:rPr>
          <w:b/>
          <w:i/>
          <w:szCs w:val="24"/>
        </w:rPr>
      </w:pPr>
      <w:r w:rsidRPr="001B7F67">
        <w:rPr>
          <w:b/>
          <w:i/>
          <w:iCs/>
        </w:rPr>
        <w:t>Health Insurance</w:t>
      </w:r>
      <w:r w:rsidR="002E65CD">
        <w:rPr>
          <w:b/>
          <w:i/>
          <w:iCs/>
        </w:rPr>
        <w:t xml:space="preserve"> (Section 3C </w:t>
      </w:r>
      <w:r w:rsidR="005D1A89">
        <w:rPr>
          <w:b/>
          <w:i/>
          <w:iCs/>
        </w:rPr>
        <w:t xml:space="preserve">General Medical Services - </w:t>
      </w:r>
      <w:r w:rsidR="007F3B5C">
        <w:rPr>
          <w:b/>
          <w:i/>
          <w:iCs/>
        </w:rPr>
        <w:t>Optometric Services</w:t>
      </w:r>
      <w:r w:rsidR="007B6505">
        <w:rPr>
          <w:b/>
          <w:i/>
          <w:iCs/>
        </w:rPr>
        <w:t>) Determination 2020</w:t>
      </w:r>
      <w:r w:rsidRPr="001B7F67">
        <w:rPr>
          <w:b/>
          <w:i/>
          <w:iCs/>
        </w:rPr>
        <w:t xml:space="preserve"> </w:t>
      </w:r>
    </w:p>
    <w:p w14:paraId="39CA80B4" w14:textId="77777777" w:rsidR="007B6505" w:rsidRPr="00FD602D" w:rsidRDefault="007B6505" w:rsidP="00AE7239">
      <w:pPr>
        <w:jc w:val="center"/>
        <w:rPr>
          <w:b/>
          <w:i/>
          <w:szCs w:val="24"/>
        </w:rPr>
      </w:pPr>
    </w:p>
    <w:p w14:paraId="64DCFAF2" w14:textId="77777777" w:rsidR="00AE7239" w:rsidRPr="00B86A9F" w:rsidRDefault="00AE7239" w:rsidP="00AE7239">
      <w:pPr>
        <w:jc w:val="center"/>
        <w:rPr>
          <w:szCs w:val="24"/>
        </w:rPr>
      </w:pPr>
      <w:r w:rsidRPr="00B86A9F">
        <w:rPr>
          <w:szCs w:val="24"/>
        </w:rPr>
        <w:t xml:space="preserve">This </w:t>
      </w:r>
      <w:r>
        <w:rPr>
          <w:szCs w:val="24"/>
        </w:rPr>
        <w:t>instrument</w:t>
      </w:r>
      <w:r w:rsidRPr="00B86A9F">
        <w:rPr>
          <w:szCs w:val="24"/>
        </w:rPr>
        <w:t xml:space="preserve"> is compatible with the human rights and freedoms recognised or declared in the international instruments listed in section 3 of the </w:t>
      </w:r>
      <w:r w:rsidRPr="00B86A9F">
        <w:rPr>
          <w:i/>
          <w:szCs w:val="24"/>
        </w:rPr>
        <w:t>Human Rights (Parliamentary Scrutiny) Act 2011</w:t>
      </w:r>
      <w:r w:rsidRPr="00B86A9F">
        <w:rPr>
          <w:szCs w:val="24"/>
        </w:rPr>
        <w:t>.</w:t>
      </w:r>
    </w:p>
    <w:p w14:paraId="0C94100D" w14:textId="77777777" w:rsidR="00AE7239" w:rsidRPr="00EB601D" w:rsidRDefault="00AE7239" w:rsidP="00AE7239">
      <w:pPr>
        <w:jc w:val="center"/>
        <w:rPr>
          <w:szCs w:val="24"/>
          <w:highlight w:val="yellow"/>
        </w:rPr>
      </w:pPr>
    </w:p>
    <w:p w14:paraId="2738790C" w14:textId="77777777" w:rsidR="00AE7239" w:rsidRPr="00B86A9F" w:rsidRDefault="00AE7239" w:rsidP="00AE7239">
      <w:pPr>
        <w:spacing w:before="120" w:after="120"/>
        <w:rPr>
          <w:b/>
          <w:szCs w:val="24"/>
        </w:rPr>
      </w:pPr>
      <w:r w:rsidRPr="00B86A9F">
        <w:rPr>
          <w:b/>
          <w:szCs w:val="24"/>
        </w:rPr>
        <w:t>Overview of the Determination</w:t>
      </w:r>
    </w:p>
    <w:p w14:paraId="5B9B4AA6" w14:textId="77777777" w:rsidR="006A3214" w:rsidRDefault="006A3214" w:rsidP="006A3214">
      <w:pPr>
        <w:rPr>
          <w:szCs w:val="24"/>
          <w:lang w:val="en-US" w:eastAsia="en-US"/>
        </w:rPr>
      </w:pPr>
      <w:r w:rsidRPr="00127B00">
        <w:rPr>
          <w:szCs w:val="24"/>
          <w:lang w:val="en-US" w:eastAsia="en-US"/>
        </w:rPr>
        <w:t xml:space="preserve">The purpose of the </w:t>
      </w:r>
      <w:r w:rsidRPr="00127B00">
        <w:rPr>
          <w:i/>
          <w:szCs w:val="24"/>
          <w:lang w:val="en-US" w:eastAsia="en-US"/>
        </w:rPr>
        <w:t xml:space="preserve">Health Insurance (Section 3C </w:t>
      </w:r>
      <w:r>
        <w:rPr>
          <w:i/>
          <w:szCs w:val="24"/>
          <w:lang w:val="en-US" w:eastAsia="en-US"/>
        </w:rPr>
        <w:t xml:space="preserve">General Medical services - </w:t>
      </w:r>
      <w:r w:rsidRPr="00127B00">
        <w:rPr>
          <w:i/>
          <w:szCs w:val="24"/>
          <w:lang w:val="en-US" w:eastAsia="en-US"/>
        </w:rPr>
        <w:t>Optometric Services) Determination 2020</w:t>
      </w:r>
      <w:r>
        <w:rPr>
          <w:szCs w:val="24"/>
          <w:lang w:val="en-US" w:eastAsia="en-US"/>
        </w:rPr>
        <w:t xml:space="preserve"> (the Determination) </w:t>
      </w:r>
      <w:r w:rsidRPr="00127B00">
        <w:rPr>
          <w:szCs w:val="24"/>
          <w:lang w:val="en-US" w:eastAsia="en-US"/>
        </w:rPr>
        <w:t xml:space="preserve">is to repeal </w:t>
      </w:r>
      <w:r>
        <w:rPr>
          <w:szCs w:val="24"/>
          <w:lang w:val="en-US" w:eastAsia="en-US"/>
        </w:rPr>
        <w:t xml:space="preserve">and remake </w:t>
      </w:r>
      <w:r w:rsidRPr="00127B00">
        <w:rPr>
          <w:szCs w:val="24"/>
          <w:lang w:val="en-US" w:eastAsia="en-US"/>
        </w:rPr>
        <w:t xml:space="preserve">the </w:t>
      </w:r>
      <w:r w:rsidRPr="00573B2B">
        <w:rPr>
          <w:i/>
          <w:szCs w:val="24"/>
          <w:lang w:val="en-US" w:eastAsia="en-US"/>
        </w:rPr>
        <w:t>Health Insurance (</w:t>
      </w:r>
      <w:r>
        <w:rPr>
          <w:i/>
          <w:szCs w:val="24"/>
          <w:lang w:val="en-US" w:eastAsia="en-US"/>
        </w:rPr>
        <w:t>Optometric services</w:t>
      </w:r>
      <w:r w:rsidRPr="00573B2B">
        <w:rPr>
          <w:i/>
          <w:szCs w:val="24"/>
          <w:lang w:val="en-US" w:eastAsia="en-US"/>
        </w:rPr>
        <w:t>) Determination</w:t>
      </w:r>
      <w:r>
        <w:rPr>
          <w:i/>
          <w:szCs w:val="24"/>
          <w:lang w:val="en-US" w:eastAsia="en-US"/>
        </w:rPr>
        <w:t xml:space="preserve"> 2016 </w:t>
      </w:r>
      <w:r>
        <w:rPr>
          <w:szCs w:val="24"/>
          <w:lang w:val="en-US" w:eastAsia="en-US"/>
        </w:rPr>
        <w:t>(the previous Determination)</w:t>
      </w:r>
      <w:r w:rsidRPr="00573B2B">
        <w:rPr>
          <w:i/>
          <w:szCs w:val="24"/>
          <w:lang w:val="en-US" w:eastAsia="en-US"/>
        </w:rPr>
        <w:t xml:space="preserve"> </w:t>
      </w:r>
      <w:r w:rsidRPr="00127B00">
        <w:rPr>
          <w:szCs w:val="24"/>
          <w:lang w:val="en-US" w:eastAsia="en-US"/>
        </w:rPr>
        <w:t xml:space="preserve">and prescribe a new table of </w:t>
      </w:r>
      <w:r>
        <w:rPr>
          <w:szCs w:val="24"/>
          <w:lang w:val="en-US" w:eastAsia="en-US"/>
        </w:rPr>
        <w:t>optometric services from 1 July 2020</w:t>
      </w:r>
      <w:r w:rsidRPr="00127B00">
        <w:rPr>
          <w:szCs w:val="24"/>
          <w:lang w:val="en-US" w:eastAsia="en-US"/>
        </w:rPr>
        <w:t xml:space="preserve">. This will ensure that Medicare benefits continue to be payable for </w:t>
      </w:r>
      <w:r>
        <w:rPr>
          <w:szCs w:val="24"/>
          <w:lang w:val="en-US" w:eastAsia="en-US"/>
        </w:rPr>
        <w:t>optometric services</w:t>
      </w:r>
      <w:r w:rsidRPr="00127B00">
        <w:rPr>
          <w:szCs w:val="24"/>
          <w:lang w:val="en-US" w:eastAsia="en-US"/>
        </w:rPr>
        <w:t xml:space="preserve"> performed by </w:t>
      </w:r>
      <w:r>
        <w:rPr>
          <w:szCs w:val="24"/>
          <w:lang w:val="en-US" w:eastAsia="en-US"/>
        </w:rPr>
        <w:t>optometrists.</w:t>
      </w:r>
    </w:p>
    <w:p w14:paraId="6F8B9D0A" w14:textId="77777777" w:rsidR="006A3214" w:rsidRDefault="006A3214" w:rsidP="006A3214">
      <w:pPr>
        <w:rPr>
          <w:szCs w:val="24"/>
          <w:lang w:val="en-US" w:eastAsia="en-US"/>
        </w:rPr>
      </w:pPr>
    </w:p>
    <w:p w14:paraId="5A14878F" w14:textId="77777777" w:rsidR="006A3214" w:rsidRDefault="006A3214" w:rsidP="006A3214">
      <w:pPr>
        <w:rPr>
          <w:szCs w:val="24"/>
          <w:lang w:val="en-US" w:eastAsia="en-US"/>
        </w:rPr>
      </w:pPr>
      <w:r w:rsidRPr="00AB147D">
        <w:rPr>
          <w:szCs w:val="24"/>
          <w:lang w:val="en-US" w:eastAsia="en-US"/>
        </w:rPr>
        <w:t xml:space="preserve">This Determination will </w:t>
      </w:r>
      <w:r>
        <w:rPr>
          <w:szCs w:val="24"/>
          <w:lang w:val="en-US" w:eastAsia="en-US"/>
        </w:rPr>
        <w:t xml:space="preserve">also apply indexation for optometric services by replacing the fees in the previous Determination with fees indexed by 1.5%. This is part of the Government’s policy regarding Medicare indexation </w:t>
      </w:r>
      <w:r>
        <w:t>and means that patients will receive a higher Medicare benefit for these services from 1 July 2020.</w:t>
      </w:r>
      <w:r>
        <w:rPr>
          <w:szCs w:val="24"/>
          <w:lang w:val="en-US" w:eastAsia="en-US"/>
        </w:rPr>
        <w:t xml:space="preserve"> </w:t>
      </w:r>
    </w:p>
    <w:p w14:paraId="00BB4B5C" w14:textId="77777777" w:rsidR="00AE7239" w:rsidRPr="00B86A9F" w:rsidRDefault="00AE7239" w:rsidP="00AE7239">
      <w:pPr>
        <w:spacing w:before="120" w:after="120"/>
        <w:rPr>
          <w:b/>
          <w:szCs w:val="24"/>
        </w:rPr>
      </w:pPr>
      <w:r w:rsidRPr="00B86A9F">
        <w:rPr>
          <w:b/>
          <w:szCs w:val="24"/>
        </w:rPr>
        <w:t>Human rights implications</w:t>
      </w:r>
    </w:p>
    <w:p w14:paraId="2C46C4AA" w14:textId="77777777" w:rsidR="00AE7239" w:rsidRPr="00B86A9F" w:rsidRDefault="00AE7239" w:rsidP="00AE7239">
      <w:pPr>
        <w:spacing w:before="120" w:after="120"/>
        <w:rPr>
          <w:szCs w:val="24"/>
        </w:rPr>
      </w:pPr>
      <w:r w:rsidRPr="00B86A9F">
        <w:rPr>
          <w:szCs w:val="24"/>
        </w:rPr>
        <w:t>Th</w:t>
      </w:r>
      <w:r>
        <w:rPr>
          <w:szCs w:val="24"/>
        </w:rPr>
        <w:t>is</w:t>
      </w:r>
      <w:r w:rsidRPr="00B86A9F">
        <w:rPr>
          <w:szCs w:val="24"/>
        </w:rPr>
        <w:t xml:space="preserve"> </w:t>
      </w:r>
      <w:r>
        <w:rPr>
          <w:szCs w:val="24"/>
        </w:rPr>
        <w:t>instrument</w:t>
      </w:r>
      <w:r w:rsidRPr="00B86A9F">
        <w:rPr>
          <w:szCs w:val="24"/>
        </w:rPr>
        <w:t xml:space="preserve"> engages Articles 9 and 12 of the International Covenant on Economic Social and Cultural Rights (ICESCR), specifically the rights to health and social security. </w:t>
      </w:r>
    </w:p>
    <w:p w14:paraId="31F38919" w14:textId="77777777" w:rsidR="00AE7239" w:rsidRPr="00B86A9F" w:rsidRDefault="00AE7239" w:rsidP="00AE7239">
      <w:pPr>
        <w:spacing w:before="120" w:after="120"/>
        <w:rPr>
          <w:i/>
          <w:szCs w:val="24"/>
        </w:rPr>
      </w:pPr>
      <w:r w:rsidRPr="00B86A9F">
        <w:rPr>
          <w:i/>
          <w:szCs w:val="24"/>
        </w:rPr>
        <w:t>The Right to Health</w:t>
      </w:r>
    </w:p>
    <w:p w14:paraId="66DF532B" w14:textId="77777777" w:rsidR="00AE7239" w:rsidRPr="00B86A9F" w:rsidRDefault="00AE7239" w:rsidP="00AE7239">
      <w:pPr>
        <w:spacing w:before="120" w:after="120"/>
        <w:rPr>
          <w:szCs w:val="24"/>
        </w:rPr>
      </w:pPr>
      <w:r w:rsidRPr="00B86A9F">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0867AF7" w14:textId="30016D25" w:rsidR="00AE7239" w:rsidRPr="00B86A9F" w:rsidRDefault="00AE7239" w:rsidP="00AE7239">
      <w:pPr>
        <w:spacing w:before="120" w:after="120"/>
        <w:rPr>
          <w:szCs w:val="24"/>
        </w:rPr>
      </w:pPr>
      <w:r w:rsidRPr="00B86A9F">
        <w:rPr>
          <w:szCs w:val="24"/>
        </w:rPr>
        <w:t xml:space="preserve">The Committee reports that the </w:t>
      </w:r>
      <w:r w:rsidRPr="00B86A9F">
        <w:rPr>
          <w:i/>
          <w:szCs w:val="24"/>
        </w:rPr>
        <w:t>‘highest attainable standard of health’</w:t>
      </w:r>
      <w:r w:rsidRPr="00B86A9F">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62282BE5" w14:textId="309D75DE" w:rsidR="00AE7239" w:rsidRPr="00B86A9F" w:rsidRDefault="00AE7239" w:rsidP="00AE7239">
      <w:pPr>
        <w:spacing w:before="120" w:after="120"/>
        <w:rPr>
          <w:i/>
          <w:szCs w:val="24"/>
        </w:rPr>
      </w:pPr>
      <w:r w:rsidRPr="00B86A9F">
        <w:rPr>
          <w:i/>
          <w:szCs w:val="24"/>
        </w:rPr>
        <w:t xml:space="preserve">The Right to Social Security </w:t>
      </w:r>
    </w:p>
    <w:p w14:paraId="3A28EC0C" w14:textId="77777777" w:rsidR="00AE7239" w:rsidRPr="00B86A9F" w:rsidRDefault="00AE7239" w:rsidP="00AE7239">
      <w:pPr>
        <w:spacing w:before="120" w:after="120"/>
        <w:rPr>
          <w:szCs w:val="24"/>
        </w:rPr>
      </w:pPr>
      <w:r w:rsidRPr="00B86A9F">
        <w:rPr>
          <w:szCs w:val="24"/>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4EF46BDD" w14:textId="77777777" w:rsidR="00AE7239" w:rsidRPr="00B86A9F" w:rsidRDefault="00AE7239" w:rsidP="00AE7239">
      <w:pPr>
        <w:spacing w:before="120" w:after="120"/>
        <w:rPr>
          <w:szCs w:val="24"/>
        </w:rPr>
      </w:pPr>
      <w:r w:rsidRPr="00B86A9F">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w:t>
      </w:r>
      <w:r w:rsidRPr="00B86A9F">
        <w:rPr>
          <w:szCs w:val="24"/>
        </w:rPr>
        <w:lastRenderedPageBreak/>
        <w:t>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11DADF85" w14:textId="77777777" w:rsidR="00AE7239" w:rsidRPr="00B86A9F" w:rsidRDefault="00AE7239" w:rsidP="00AE7239">
      <w:pPr>
        <w:spacing w:before="120" w:after="120"/>
        <w:rPr>
          <w:szCs w:val="24"/>
          <w:u w:val="single"/>
        </w:rPr>
      </w:pPr>
      <w:r w:rsidRPr="00B86A9F">
        <w:rPr>
          <w:szCs w:val="24"/>
          <w:u w:val="single"/>
        </w:rPr>
        <w:t xml:space="preserve">Analysis </w:t>
      </w:r>
    </w:p>
    <w:p w14:paraId="11143F45" w14:textId="5558BCB8" w:rsidR="006A3214" w:rsidRPr="00E610B9" w:rsidRDefault="006A3214" w:rsidP="006A3214">
      <w:pPr>
        <w:rPr>
          <w:szCs w:val="24"/>
        </w:rPr>
      </w:pPr>
      <w:r w:rsidRPr="00E610B9">
        <w:rPr>
          <w:szCs w:val="24"/>
        </w:rPr>
        <w:t xml:space="preserve">This instrument </w:t>
      </w:r>
      <w:r>
        <w:rPr>
          <w:szCs w:val="24"/>
        </w:rPr>
        <w:t xml:space="preserve">furthers the right to health and the right to </w:t>
      </w:r>
      <w:r w:rsidRPr="00E610B9">
        <w:rPr>
          <w:szCs w:val="24"/>
        </w:rPr>
        <w:t xml:space="preserve">social security because it will increase the </w:t>
      </w:r>
      <w:r w:rsidRPr="00E610B9">
        <w:t xml:space="preserve">Medicare benefit for patients accessing </w:t>
      </w:r>
      <w:r w:rsidR="00231A35">
        <w:t xml:space="preserve">the prescribed </w:t>
      </w:r>
      <w:r>
        <w:t>health services</w:t>
      </w:r>
      <w:r w:rsidRPr="00E610B9">
        <w:t>. This will assist patients to continue accessing clinically relevant health services, consistent with the rights to health and social security.</w:t>
      </w:r>
    </w:p>
    <w:p w14:paraId="4B2868C1" w14:textId="77777777" w:rsidR="00AE7239" w:rsidRPr="00B86A9F" w:rsidRDefault="00AE7239" w:rsidP="00AE7239">
      <w:pPr>
        <w:spacing w:before="120" w:after="120" w:line="276" w:lineRule="auto"/>
        <w:rPr>
          <w:rFonts w:eastAsia="Calibri"/>
          <w:b/>
          <w:szCs w:val="24"/>
          <w:lang w:eastAsia="en-US"/>
        </w:rPr>
      </w:pPr>
      <w:r w:rsidRPr="00B86A9F">
        <w:rPr>
          <w:rFonts w:eastAsia="Calibri"/>
          <w:b/>
          <w:szCs w:val="24"/>
          <w:lang w:eastAsia="en-US"/>
        </w:rPr>
        <w:t xml:space="preserve">Conclusion </w:t>
      </w:r>
    </w:p>
    <w:p w14:paraId="29B4B780" w14:textId="77777777" w:rsidR="006A3214" w:rsidRPr="00E610B9" w:rsidRDefault="006A3214" w:rsidP="006A3214">
      <w:pPr>
        <w:rPr>
          <w:szCs w:val="24"/>
        </w:rPr>
      </w:pPr>
      <w:r w:rsidRPr="00E610B9">
        <w:rPr>
          <w:szCs w:val="24"/>
        </w:rPr>
        <w:t xml:space="preserve">This instrument is compatible with human rights. </w:t>
      </w:r>
    </w:p>
    <w:p w14:paraId="1AEA0927" w14:textId="77777777" w:rsidR="00AE7239" w:rsidRPr="00B86A9F" w:rsidRDefault="00AE7239" w:rsidP="00AE7239">
      <w:pPr>
        <w:rPr>
          <w:rFonts w:eastAsia="Calibri"/>
          <w:szCs w:val="24"/>
          <w:lang w:eastAsia="en-US"/>
        </w:rPr>
      </w:pPr>
    </w:p>
    <w:p w14:paraId="789B66F0" w14:textId="77777777" w:rsidR="006A3214" w:rsidRPr="006A3214" w:rsidRDefault="006A3214" w:rsidP="006A3214">
      <w:pPr>
        <w:jc w:val="center"/>
        <w:rPr>
          <w:b/>
        </w:rPr>
      </w:pPr>
      <w:r w:rsidRPr="006A3214">
        <w:rPr>
          <w:b/>
        </w:rPr>
        <w:t>Paul McBride</w:t>
      </w:r>
    </w:p>
    <w:p w14:paraId="7CC90097" w14:textId="77777777" w:rsidR="006A3214" w:rsidRPr="006A3214" w:rsidRDefault="006A3214" w:rsidP="006A3214">
      <w:pPr>
        <w:jc w:val="center"/>
        <w:rPr>
          <w:b/>
        </w:rPr>
      </w:pPr>
      <w:r w:rsidRPr="006A3214">
        <w:rPr>
          <w:b/>
        </w:rPr>
        <w:t>First Assistant Secretary</w:t>
      </w:r>
    </w:p>
    <w:p w14:paraId="4628A75A" w14:textId="77777777" w:rsidR="006A3214" w:rsidRPr="006A3214" w:rsidRDefault="006A3214" w:rsidP="006A3214">
      <w:pPr>
        <w:jc w:val="center"/>
        <w:rPr>
          <w:b/>
        </w:rPr>
      </w:pPr>
      <w:r w:rsidRPr="006A3214">
        <w:rPr>
          <w:b/>
        </w:rPr>
        <w:t>Medical Benefits Division</w:t>
      </w:r>
    </w:p>
    <w:p w14:paraId="20A90356" w14:textId="77777777" w:rsidR="006A3214" w:rsidRPr="006A3214" w:rsidRDefault="006A3214" w:rsidP="006A3214">
      <w:pPr>
        <w:jc w:val="center"/>
        <w:rPr>
          <w:b/>
        </w:rPr>
      </w:pPr>
      <w:r w:rsidRPr="006A3214">
        <w:rPr>
          <w:b/>
        </w:rPr>
        <w:t>Health Financing Group</w:t>
      </w:r>
    </w:p>
    <w:p w14:paraId="6624FBC8" w14:textId="0EF1B357" w:rsidR="00AE7239" w:rsidRPr="00AE7239" w:rsidRDefault="006A3214" w:rsidP="006A3214">
      <w:pPr>
        <w:jc w:val="center"/>
        <w:rPr>
          <w:rFonts w:eastAsia="Calibri"/>
          <w:szCs w:val="24"/>
          <w:lang w:eastAsia="en-US"/>
        </w:rPr>
      </w:pPr>
      <w:r w:rsidRPr="006A3214">
        <w:rPr>
          <w:b/>
        </w:rPr>
        <w:t>Department of Health</w:t>
      </w:r>
    </w:p>
    <w:sectPr w:rsidR="00AE7239" w:rsidRPr="00AE7239" w:rsidSect="00B41A5A">
      <w:pgSz w:w="11906" w:h="16838"/>
      <w:pgMar w:top="1276"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67FB1" w14:textId="77777777" w:rsidR="004C6D5D" w:rsidRDefault="004C6D5D">
      <w:r>
        <w:separator/>
      </w:r>
    </w:p>
  </w:endnote>
  <w:endnote w:type="continuationSeparator" w:id="0">
    <w:p w14:paraId="5E3F05BB" w14:textId="77777777" w:rsidR="004C6D5D" w:rsidRDefault="004C6D5D">
      <w:r>
        <w:continuationSeparator/>
      </w:r>
    </w:p>
  </w:endnote>
  <w:endnote w:type="continuationNotice" w:id="1">
    <w:p w14:paraId="70FBE69E" w14:textId="77777777" w:rsidR="004C6D5D" w:rsidRDefault="004C6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0E45F" w14:textId="77777777" w:rsidR="006A3214" w:rsidRDefault="006A3214">
    <w:pPr>
      <w:pStyle w:val="Footer"/>
    </w:pPr>
  </w:p>
  <w:p w14:paraId="4865F9B6" w14:textId="77777777" w:rsidR="006A3214" w:rsidRPr="000F03AA" w:rsidRDefault="006A3214" w:rsidP="000F03AA">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6CB1F" w14:textId="77777777" w:rsidR="006A3214" w:rsidRDefault="006A3214">
    <w:pPr>
      <w:pStyle w:val="Footer"/>
    </w:pPr>
  </w:p>
  <w:p w14:paraId="638B58EC" w14:textId="77777777" w:rsidR="006A3214" w:rsidRPr="000F03AA" w:rsidRDefault="006A3214" w:rsidP="000F03AA">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BBC0" w14:textId="4F47D965" w:rsidR="00013561" w:rsidRDefault="00013561" w:rsidP="006A3214">
    <w:pPr>
      <w:pStyle w:val="Footer"/>
    </w:pPr>
  </w:p>
  <w:p w14:paraId="6285C3B5" w14:textId="77777777" w:rsidR="00677FBB" w:rsidRDefault="00677F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F4E43" w14:textId="3C89512B" w:rsidR="00191DD3" w:rsidRDefault="00191DD3" w:rsidP="006A3214">
    <w:pPr>
      <w:pStyle w:val="Footer"/>
    </w:pPr>
  </w:p>
  <w:p w14:paraId="04733CAA" w14:textId="77777777" w:rsidR="00677FBB" w:rsidRDefault="00677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2D848" w14:textId="77777777" w:rsidR="004C6D5D" w:rsidRDefault="004C6D5D">
      <w:r>
        <w:separator/>
      </w:r>
    </w:p>
  </w:footnote>
  <w:footnote w:type="continuationSeparator" w:id="0">
    <w:p w14:paraId="68215A02" w14:textId="77777777" w:rsidR="004C6D5D" w:rsidRDefault="004C6D5D">
      <w:r>
        <w:continuationSeparator/>
      </w:r>
    </w:p>
  </w:footnote>
  <w:footnote w:type="continuationNotice" w:id="1">
    <w:p w14:paraId="529DEB01" w14:textId="77777777" w:rsidR="004C6D5D" w:rsidRDefault="004C6D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6E7DA" w14:textId="6641AB11" w:rsidR="006A3214" w:rsidRDefault="006A3214" w:rsidP="00BD6F5F">
    <w:pPr>
      <w:pStyle w:val="Header"/>
      <w:jc w:val="center"/>
    </w:pPr>
    <w:r>
      <w:fldChar w:fldCharType="begin"/>
    </w:r>
    <w:r>
      <w:instrText xml:space="preserve"> PAGE  \* Arabic  \* MERGEFORMAT </w:instrText>
    </w:r>
    <w:r>
      <w:fldChar w:fldCharType="separate"/>
    </w:r>
    <w:r w:rsidR="00754B5E">
      <w:rPr>
        <w:noProof/>
      </w:rPr>
      <w:t>2</w:t>
    </w:r>
    <w:r>
      <w:fldChar w:fldCharType="end"/>
    </w:r>
  </w:p>
  <w:p w14:paraId="7CF96C5C" w14:textId="77777777" w:rsidR="006A3214" w:rsidRDefault="006A3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677FBB" w:rsidRDefault="00677FBB"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677FBB" w:rsidRDefault="00677F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905885"/>
      <w:docPartObj>
        <w:docPartGallery w:val="Page Numbers (Top of Page)"/>
        <w:docPartUnique/>
      </w:docPartObj>
    </w:sdtPr>
    <w:sdtEndPr>
      <w:rPr>
        <w:noProof/>
      </w:rPr>
    </w:sdtEndPr>
    <w:sdtContent>
      <w:p w14:paraId="65C14B20" w14:textId="7CB4F8D5" w:rsidR="006A3214" w:rsidRDefault="006A3214">
        <w:pPr>
          <w:pStyle w:val="Header"/>
          <w:jc w:val="center"/>
        </w:pPr>
        <w:r>
          <w:fldChar w:fldCharType="begin"/>
        </w:r>
        <w:r>
          <w:instrText xml:space="preserve"> PAGE   \* MERGEFORMAT </w:instrText>
        </w:r>
        <w:r>
          <w:fldChar w:fldCharType="separate"/>
        </w:r>
        <w:r w:rsidR="00754B5E">
          <w:rPr>
            <w:noProof/>
          </w:rPr>
          <w:t>6</w:t>
        </w:r>
        <w:r>
          <w:rPr>
            <w:noProof/>
          </w:rPr>
          <w:fldChar w:fldCharType="end"/>
        </w:r>
      </w:p>
    </w:sdtContent>
  </w:sdt>
  <w:p w14:paraId="2412D17B" w14:textId="77777777" w:rsidR="00677FBB" w:rsidRDefault="00677FBB"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570623"/>
      <w:docPartObj>
        <w:docPartGallery w:val="Page Numbers (Top of Page)"/>
        <w:docPartUnique/>
      </w:docPartObj>
    </w:sdtPr>
    <w:sdtEndPr>
      <w:rPr>
        <w:noProof/>
      </w:rPr>
    </w:sdtEndPr>
    <w:sdtContent>
      <w:p w14:paraId="4095C2FA" w14:textId="7CD067AF" w:rsidR="006A3214" w:rsidRDefault="006A3214">
        <w:pPr>
          <w:pStyle w:val="Header"/>
          <w:jc w:val="center"/>
        </w:pPr>
        <w:r>
          <w:fldChar w:fldCharType="begin"/>
        </w:r>
        <w:r>
          <w:instrText xml:space="preserve"> PAGE   \* MERGEFORMAT </w:instrText>
        </w:r>
        <w:r>
          <w:fldChar w:fldCharType="separate"/>
        </w:r>
        <w:r w:rsidR="00754B5E">
          <w:rPr>
            <w:noProof/>
          </w:rPr>
          <w:t>5</w:t>
        </w:r>
        <w:r>
          <w:rPr>
            <w:noProof/>
          </w:rPr>
          <w:fldChar w:fldCharType="end"/>
        </w:r>
      </w:p>
    </w:sdtContent>
  </w:sdt>
  <w:p w14:paraId="2412D17D" w14:textId="77777777" w:rsidR="00677FBB" w:rsidRDefault="00677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28E2DFF"/>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53ECE"/>
    <w:multiLevelType w:val="hybridMultilevel"/>
    <w:tmpl w:val="07AA7790"/>
    <w:lvl w:ilvl="0" w:tplc="0C090017">
      <w:start w:val="1"/>
      <w:numFmt w:val="lowerLetter"/>
      <w:lvlText w:val="%1)"/>
      <w:lvlJc w:val="left"/>
      <w:pPr>
        <w:ind w:left="1440" w:hanging="360"/>
      </w:pPr>
    </w:lvl>
    <w:lvl w:ilvl="1" w:tplc="6672855A">
      <w:start w:val="1"/>
      <w:numFmt w:val="lowerRoman"/>
      <w:lvlText w:val="(%2)"/>
      <w:lvlJc w:val="left"/>
      <w:pPr>
        <w:ind w:left="1800" w:firstLine="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3D92B4E"/>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03290F"/>
    <w:multiLevelType w:val="hybridMultilevel"/>
    <w:tmpl w:val="DA7A3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B4316CF"/>
    <w:multiLevelType w:val="hybridMultilevel"/>
    <w:tmpl w:val="689E1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2F6314"/>
    <w:multiLevelType w:val="hybridMultilevel"/>
    <w:tmpl w:val="A1585048"/>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644046"/>
    <w:multiLevelType w:val="hybridMultilevel"/>
    <w:tmpl w:val="161A2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262938"/>
    <w:multiLevelType w:val="hybridMultilevel"/>
    <w:tmpl w:val="62466F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7B1CF1"/>
    <w:multiLevelType w:val="hybridMultilevel"/>
    <w:tmpl w:val="2E3409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4"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F75BD4"/>
    <w:multiLevelType w:val="hybridMultilevel"/>
    <w:tmpl w:val="217CD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B875CA"/>
    <w:multiLevelType w:val="hybridMultilevel"/>
    <w:tmpl w:val="448AEA9E"/>
    <w:lvl w:ilvl="0" w:tplc="0CCC3EE2">
      <w:start w:val="1"/>
      <w:numFmt w:val="lowerRoman"/>
      <w:lvlText w:val="(%1)"/>
      <w:lvlJc w:val="left"/>
      <w:pPr>
        <w:ind w:left="2038" w:hanging="360"/>
      </w:pPr>
    </w:lvl>
    <w:lvl w:ilvl="1" w:tplc="0C090019">
      <w:start w:val="1"/>
      <w:numFmt w:val="lowerLetter"/>
      <w:lvlText w:val="%2."/>
      <w:lvlJc w:val="left"/>
      <w:pPr>
        <w:ind w:left="2758" w:hanging="360"/>
      </w:pPr>
    </w:lvl>
    <w:lvl w:ilvl="2" w:tplc="0C09001B" w:tentative="1">
      <w:start w:val="1"/>
      <w:numFmt w:val="lowerRoman"/>
      <w:lvlText w:val="%3."/>
      <w:lvlJc w:val="right"/>
      <w:pPr>
        <w:ind w:left="3478" w:hanging="180"/>
      </w:pPr>
    </w:lvl>
    <w:lvl w:ilvl="3" w:tplc="0C09000F" w:tentative="1">
      <w:start w:val="1"/>
      <w:numFmt w:val="decimal"/>
      <w:lvlText w:val="%4."/>
      <w:lvlJc w:val="left"/>
      <w:pPr>
        <w:ind w:left="4198" w:hanging="360"/>
      </w:pPr>
    </w:lvl>
    <w:lvl w:ilvl="4" w:tplc="0C090019" w:tentative="1">
      <w:start w:val="1"/>
      <w:numFmt w:val="lowerLetter"/>
      <w:lvlText w:val="%5."/>
      <w:lvlJc w:val="left"/>
      <w:pPr>
        <w:ind w:left="4918" w:hanging="360"/>
      </w:pPr>
    </w:lvl>
    <w:lvl w:ilvl="5" w:tplc="0C09001B" w:tentative="1">
      <w:start w:val="1"/>
      <w:numFmt w:val="lowerRoman"/>
      <w:lvlText w:val="%6."/>
      <w:lvlJc w:val="right"/>
      <w:pPr>
        <w:ind w:left="5638" w:hanging="180"/>
      </w:pPr>
    </w:lvl>
    <w:lvl w:ilvl="6" w:tplc="0C09000F" w:tentative="1">
      <w:start w:val="1"/>
      <w:numFmt w:val="decimal"/>
      <w:lvlText w:val="%7."/>
      <w:lvlJc w:val="left"/>
      <w:pPr>
        <w:ind w:left="6358" w:hanging="360"/>
      </w:pPr>
    </w:lvl>
    <w:lvl w:ilvl="7" w:tplc="0C090019" w:tentative="1">
      <w:start w:val="1"/>
      <w:numFmt w:val="lowerLetter"/>
      <w:lvlText w:val="%8."/>
      <w:lvlJc w:val="left"/>
      <w:pPr>
        <w:ind w:left="7078" w:hanging="360"/>
      </w:pPr>
    </w:lvl>
    <w:lvl w:ilvl="8" w:tplc="0C09001B" w:tentative="1">
      <w:start w:val="1"/>
      <w:numFmt w:val="lowerRoman"/>
      <w:lvlText w:val="%9."/>
      <w:lvlJc w:val="right"/>
      <w:pPr>
        <w:ind w:left="7798" w:hanging="180"/>
      </w:pPr>
    </w:lvl>
  </w:abstractNum>
  <w:abstractNum w:abstractNumId="30" w15:restartNumberingAfterBreak="0">
    <w:nsid w:val="5F5A5678"/>
    <w:multiLevelType w:val="hybridMultilevel"/>
    <w:tmpl w:val="00C62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8F3CF6"/>
    <w:multiLevelType w:val="hybridMultilevel"/>
    <w:tmpl w:val="D33EB2C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62116167"/>
    <w:multiLevelType w:val="hybridMultilevel"/>
    <w:tmpl w:val="D5E06CF8"/>
    <w:lvl w:ilvl="0" w:tplc="0CC2E6FC">
      <w:start w:val="1"/>
      <w:numFmt w:val="lowerLetter"/>
      <w:lvlText w:val="(%1)"/>
      <w:lvlJc w:val="left"/>
      <w:pPr>
        <w:ind w:left="720" w:firstLine="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5" w15:restartNumberingAfterBreak="0">
    <w:nsid w:val="6CA70DF3"/>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E4B0E29"/>
    <w:multiLevelType w:val="hybridMultilevel"/>
    <w:tmpl w:val="FA564F2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866EE2"/>
    <w:multiLevelType w:val="hybridMultilevel"/>
    <w:tmpl w:val="442E1CE0"/>
    <w:lvl w:ilvl="0" w:tplc="0CCC3EE2">
      <w:start w:val="1"/>
      <w:numFmt w:val="lowerRoman"/>
      <w:lvlText w:val="(%1)"/>
      <w:lvlJc w:val="left"/>
      <w:pPr>
        <w:ind w:left="2038" w:hanging="360"/>
      </w:pPr>
    </w:lvl>
    <w:lvl w:ilvl="1" w:tplc="0CCC3EE2">
      <w:start w:val="1"/>
      <w:numFmt w:val="lowerRoman"/>
      <w:lvlText w:val="(%2)"/>
      <w:lvlJc w:val="left"/>
      <w:pPr>
        <w:ind w:left="2758" w:hanging="360"/>
      </w:pPr>
    </w:lvl>
    <w:lvl w:ilvl="2" w:tplc="0C09001B" w:tentative="1">
      <w:start w:val="1"/>
      <w:numFmt w:val="lowerRoman"/>
      <w:lvlText w:val="%3."/>
      <w:lvlJc w:val="right"/>
      <w:pPr>
        <w:ind w:left="3478" w:hanging="180"/>
      </w:pPr>
    </w:lvl>
    <w:lvl w:ilvl="3" w:tplc="0C09000F" w:tentative="1">
      <w:start w:val="1"/>
      <w:numFmt w:val="decimal"/>
      <w:lvlText w:val="%4."/>
      <w:lvlJc w:val="left"/>
      <w:pPr>
        <w:ind w:left="4198" w:hanging="360"/>
      </w:pPr>
    </w:lvl>
    <w:lvl w:ilvl="4" w:tplc="0C090019" w:tentative="1">
      <w:start w:val="1"/>
      <w:numFmt w:val="lowerLetter"/>
      <w:lvlText w:val="%5."/>
      <w:lvlJc w:val="left"/>
      <w:pPr>
        <w:ind w:left="4918" w:hanging="360"/>
      </w:pPr>
    </w:lvl>
    <w:lvl w:ilvl="5" w:tplc="0C09001B" w:tentative="1">
      <w:start w:val="1"/>
      <w:numFmt w:val="lowerRoman"/>
      <w:lvlText w:val="%6."/>
      <w:lvlJc w:val="right"/>
      <w:pPr>
        <w:ind w:left="5638" w:hanging="180"/>
      </w:pPr>
    </w:lvl>
    <w:lvl w:ilvl="6" w:tplc="0C09000F" w:tentative="1">
      <w:start w:val="1"/>
      <w:numFmt w:val="decimal"/>
      <w:lvlText w:val="%7."/>
      <w:lvlJc w:val="left"/>
      <w:pPr>
        <w:ind w:left="6358" w:hanging="360"/>
      </w:pPr>
    </w:lvl>
    <w:lvl w:ilvl="7" w:tplc="0C090019" w:tentative="1">
      <w:start w:val="1"/>
      <w:numFmt w:val="lowerLetter"/>
      <w:lvlText w:val="%8."/>
      <w:lvlJc w:val="left"/>
      <w:pPr>
        <w:ind w:left="7078" w:hanging="360"/>
      </w:pPr>
    </w:lvl>
    <w:lvl w:ilvl="8" w:tplc="0C09001B" w:tentative="1">
      <w:start w:val="1"/>
      <w:numFmt w:val="lowerRoman"/>
      <w:lvlText w:val="%9."/>
      <w:lvlJc w:val="right"/>
      <w:pPr>
        <w:ind w:left="7798" w:hanging="180"/>
      </w:pPr>
    </w:lvl>
  </w:abstractNum>
  <w:abstractNum w:abstractNumId="40" w15:restartNumberingAfterBreak="0">
    <w:nsid w:val="75797450"/>
    <w:multiLevelType w:val="hybridMultilevel"/>
    <w:tmpl w:val="CFBA8A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2"/>
  </w:num>
  <w:num w:numId="3">
    <w:abstractNumId w:val="4"/>
  </w:num>
  <w:num w:numId="4">
    <w:abstractNumId w:val="18"/>
  </w:num>
  <w:num w:numId="5">
    <w:abstractNumId w:val="22"/>
  </w:num>
  <w:num w:numId="6">
    <w:abstractNumId w:val="15"/>
  </w:num>
  <w:num w:numId="7">
    <w:abstractNumId w:val="38"/>
  </w:num>
  <w:num w:numId="8">
    <w:abstractNumId w:val="12"/>
  </w:num>
  <w:num w:numId="9">
    <w:abstractNumId w:val="8"/>
  </w:num>
  <w:num w:numId="10">
    <w:abstractNumId w:val="41"/>
  </w:num>
  <w:num w:numId="11">
    <w:abstractNumId w:val="37"/>
  </w:num>
  <w:num w:numId="12">
    <w:abstractNumId w:val="20"/>
  </w:num>
  <w:num w:numId="13">
    <w:abstractNumId w:val="21"/>
  </w:num>
  <w:num w:numId="14">
    <w:abstractNumId w:val="34"/>
  </w:num>
  <w:num w:numId="15">
    <w:abstractNumId w:val="13"/>
  </w:num>
  <w:num w:numId="16">
    <w:abstractNumId w:val="24"/>
  </w:num>
  <w:num w:numId="17">
    <w:abstractNumId w:val="27"/>
  </w:num>
  <w:num w:numId="18">
    <w:abstractNumId w:val="25"/>
  </w:num>
  <w:num w:numId="19">
    <w:abstractNumId w:val="6"/>
  </w:num>
  <w:num w:numId="20">
    <w:abstractNumId w:val="17"/>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6"/>
  </w:num>
  <w:num w:numId="25">
    <w:abstractNumId w:val="14"/>
  </w:num>
  <w:num w:numId="26">
    <w:abstractNumId w:val="1"/>
  </w:num>
  <w:num w:numId="27">
    <w:abstractNumId w:val="5"/>
  </w:num>
  <w:num w:numId="28">
    <w:abstractNumId w:val="10"/>
  </w:num>
  <w:num w:numId="29">
    <w:abstractNumId w:val="35"/>
  </w:num>
  <w:num w:numId="30">
    <w:abstractNumId w:val="3"/>
  </w:num>
  <w:num w:numId="31">
    <w:abstractNumId w:val="32"/>
  </w:num>
  <w:num w:numId="32">
    <w:abstractNumId w:val="29"/>
  </w:num>
  <w:num w:numId="33">
    <w:abstractNumId w:val="39"/>
  </w:num>
  <w:num w:numId="34">
    <w:abstractNumId w:val="9"/>
  </w:num>
  <w:num w:numId="35">
    <w:abstractNumId w:val="30"/>
  </w:num>
  <w:num w:numId="36">
    <w:abstractNumId w:val="16"/>
  </w:num>
  <w:num w:numId="37">
    <w:abstractNumId w:val="19"/>
  </w:num>
  <w:num w:numId="38">
    <w:abstractNumId w:val="31"/>
  </w:num>
  <w:num w:numId="39">
    <w:abstractNumId w:val="36"/>
  </w:num>
  <w:num w:numId="40">
    <w:abstractNumId w:val="40"/>
  </w:num>
  <w:num w:numId="41">
    <w:abstractNumId w:val="11"/>
  </w:num>
  <w:num w:numId="42">
    <w:abstractNumId w:val="7"/>
  </w:num>
  <w:num w:numId="43">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DEE"/>
    <w:rsid w:val="00001CCE"/>
    <w:rsid w:val="00003B66"/>
    <w:rsid w:val="00003D66"/>
    <w:rsid w:val="0000441D"/>
    <w:rsid w:val="00004E17"/>
    <w:rsid w:val="00005906"/>
    <w:rsid w:val="00007B65"/>
    <w:rsid w:val="000112B0"/>
    <w:rsid w:val="00013561"/>
    <w:rsid w:val="00014639"/>
    <w:rsid w:val="00014B38"/>
    <w:rsid w:val="00014E40"/>
    <w:rsid w:val="0001557D"/>
    <w:rsid w:val="00016774"/>
    <w:rsid w:val="000203B4"/>
    <w:rsid w:val="0002158F"/>
    <w:rsid w:val="00021EFA"/>
    <w:rsid w:val="00024158"/>
    <w:rsid w:val="00025169"/>
    <w:rsid w:val="00025F64"/>
    <w:rsid w:val="0002704E"/>
    <w:rsid w:val="0002728B"/>
    <w:rsid w:val="00027830"/>
    <w:rsid w:val="000319EF"/>
    <w:rsid w:val="00033034"/>
    <w:rsid w:val="000337CB"/>
    <w:rsid w:val="00034E86"/>
    <w:rsid w:val="0003591F"/>
    <w:rsid w:val="00035D27"/>
    <w:rsid w:val="00041849"/>
    <w:rsid w:val="0004426E"/>
    <w:rsid w:val="00044A2A"/>
    <w:rsid w:val="000509BA"/>
    <w:rsid w:val="00051648"/>
    <w:rsid w:val="0005224B"/>
    <w:rsid w:val="0005533C"/>
    <w:rsid w:val="00063242"/>
    <w:rsid w:val="000640CF"/>
    <w:rsid w:val="00064BA4"/>
    <w:rsid w:val="00067F59"/>
    <w:rsid w:val="000710DD"/>
    <w:rsid w:val="0007187A"/>
    <w:rsid w:val="000727E0"/>
    <w:rsid w:val="00073983"/>
    <w:rsid w:val="00073BC9"/>
    <w:rsid w:val="00076C34"/>
    <w:rsid w:val="00076FE3"/>
    <w:rsid w:val="00080116"/>
    <w:rsid w:val="00081188"/>
    <w:rsid w:val="00081C37"/>
    <w:rsid w:val="0009514A"/>
    <w:rsid w:val="000969EF"/>
    <w:rsid w:val="000A199B"/>
    <w:rsid w:val="000A31F2"/>
    <w:rsid w:val="000A424E"/>
    <w:rsid w:val="000A45BE"/>
    <w:rsid w:val="000A467F"/>
    <w:rsid w:val="000A6D18"/>
    <w:rsid w:val="000A6FB3"/>
    <w:rsid w:val="000A7B9B"/>
    <w:rsid w:val="000B0C6E"/>
    <w:rsid w:val="000B25E0"/>
    <w:rsid w:val="000B3452"/>
    <w:rsid w:val="000B36DF"/>
    <w:rsid w:val="000B500D"/>
    <w:rsid w:val="000B696F"/>
    <w:rsid w:val="000C04B2"/>
    <w:rsid w:val="000C1226"/>
    <w:rsid w:val="000C12EE"/>
    <w:rsid w:val="000C20EF"/>
    <w:rsid w:val="000C3D8A"/>
    <w:rsid w:val="000C46E6"/>
    <w:rsid w:val="000C4B3D"/>
    <w:rsid w:val="000C5BA2"/>
    <w:rsid w:val="000C6797"/>
    <w:rsid w:val="000C6FF8"/>
    <w:rsid w:val="000C7FE1"/>
    <w:rsid w:val="000D1325"/>
    <w:rsid w:val="000D1A87"/>
    <w:rsid w:val="000D2300"/>
    <w:rsid w:val="000D3B79"/>
    <w:rsid w:val="000D7803"/>
    <w:rsid w:val="000D7863"/>
    <w:rsid w:val="000E0C87"/>
    <w:rsid w:val="000E0F43"/>
    <w:rsid w:val="000E1ACD"/>
    <w:rsid w:val="000E1EB3"/>
    <w:rsid w:val="000E3444"/>
    <w:rsid w:val="000E4AFA"/>
    <w:rsid w:val="000E534F"/>
    <w:rsid w:val="000E66FA"/>
    <w:rsid w:val="000E7163"/>
    <w:rsid w:val="000F14A0"/>
    <w:rsid w:val="000F1575"/>
    <w:rsid w:val="000F1714"/>
    <w:rsid w:val="000F249E"/>
    <w:rsid w:val="000F2AFC"/>
    <w:rsid w:val="000F37A0"/>
    <w:rsid w:val="000F5E76"/>
    <w:rsid w:val="000F6853"/>
    <w:rsid w:val="001000CE"/>
    <w:rsid w:val="00100934"/>
    <w:rsid w:val="00104751"/>
    <w:rsid w:val="0010617D"/>
    <w:rsid w:val="00106763"/>
    <w:rsid w:val="001068B6"/>
    <w:rsid w:val="00107F36"/>
    <w:rsid w:val="0011066E"/>
    <w:rsid w:val="00113B2E"/>
    <w:rsid w:val="00120766"/>
    <w:rsid w:val="00121189"/>
    <w:rsid w:val="00121A66"/>
    <w:rsid w:val="00130BF2"/>
    <w:rsid w:val="001310D8"/>
    <w:rsid w:val="00132087"/>
    <w:rsid w:val="00134B27"/>
    <w:rsid w:val="00135D0D"/>
    <w:rsid w:val="001400C4"/>
    <w:rsid w:val="00141323"/>
    <w:rsid w:val="00141E8C"/>
    <w:rsid w:val="00143943"/>
    <w:rsid w:val="00145918"/>
    <w:rsid w:val="00145D25"/>
    <w:rsid w:val="00145DED"/>
    <w:rsid w:val="001519E4"/>
    <w:rsid w:val="00152304"/>
    <w:rsid w:val="00153D99"/>
    <w:rsid w:val="00154FC4"/>
    <w:rsid w:val="0015521F"/>
    <w:rsid w:val="00161063"/>
    <w:rsid w:val="001641C0"/>
    <w:rsid w:val="0016646C"/>
    <w:rsid w:val="00167DA1"/>
    <w:rsid w:val="00167EC6"/>
    <w:rsid w:val="0017187F"/>
    <w:rsid w:val="001734C9"/>
    <w:rsid w:val="00174E96"/>
    <w:rsid w:val="001770D9"/>
    <w:rsid w:val="0017759F"/>
    <w:rsid w:val="0018012F"/>
    <w:rsid w:val="00180742"/>
    <w:rsid w:val="00180F6C"/>
    <w:rsid w:val="00181B3E"/>
    <w:rsid w:val="00181F74"/>
    <w:rsid w:val="00182F72"/>
    <w:rsid w:val="00183C10"/>
    <w:rsid w:val="0018422D"/>
    <w:rsid w:val="0018451D"/>
    <w:rsid w:val="001865F8"/>
    <w:rsid w:val="001867EA"/>
    <w:rsid w:val="00187EE5"/>
    <w:rsid w:val="00190FC9"/>
    <w:rsid w:val="00191DD3"/>
    <w:rsid w:val="0019289B"/>
    <w:rsid w:val="001929C3"/>
    <w:rsid w:val="0019464A"/>
    <w:rsid w:val="00195A6A"/>
    <w:rsid w:val="001964FE"/>
    <w:rsid w:val="001965DA"/>
    <w:rsid w:val="0019711F"/>
    <w:rsid w:val="001978CE"/>
    <w:rsid w:val="001A4BE2"/>
    <w:rsid w:val="001A5BC0"/>
    <w:rsid w:val="001A7249"/>
    <w:rsid w:val="001A7EF8"/>
    <w:rsid w:val="001B0111"/>
    <w:rsid w:val="001B3714"/>
    <w:rsid w:val="001B5ED9"/>
    <w:rsid w:val="001B602D"/>
    <w:rsid w:val="001B66AF"/>
    <w:rsid w:val="001B7092"/>
    <w:rsid w:val="001B7F67"/>
    <w:rsid w:val="001C1B86"/>
    <w:rsid w:val="001C261D"/>
    <w:rsid w:val="001C35BC"/>
    <w:rsid w:val="001C5FC1"/>
    <w:rsid w:val="001C6713"/>
    <w:rsid w:val="001D1417"/>
    <w:rsid w:val="001D6B46"/>
    <w:rsid w:val="001D778A"/>
    <w:rsid w:val="001D7D62"/>
    <w:rsid w:val="001E014D"/>
    <w:rsid w:val="001E10DC"/>
    <w:rsid w:val="001E2D6D"/>
    <w:rsid w:val="001E3B02"/>
    <w:rsid w:val="001E498A"/>
    <w:rsid w:val="001E5391"/>
    <w:rsid w:val="001E5787"/>
    <w:rsid w:val="001E579F"/>
    <w:rsid w:val="001E57BC"/>
    <w:rsid w:val="001E5DE7"/>
    <w:rsid w:val="001E63F3"/>
    <w:rsid w:val="001E7C25"/>
    <w:rsid w:val="001F0923"/>
    <w:rsid w:val="001F108B"/>
    <w:rsid w:val="001F1F27"/>
    <w:rsid w:val="001F75F3"/>
    <w:rsid w:val="00200145"/>
    <w:rsid w:val="002003CA"/>
    <w:rsid w:val="002003F7"/>
    <w:rsid w:val="00200971"/>
    <w:rsid w:val="0020245D"/>
    <w:rsid w:val="00203952"/>
    <w:rsid w:val="00203F23"/>
    <w:rsid w:val="00204413"/>
    <w:rsid w:val="00210EE7"/>
    <w:rsid w:val="002111BB"/>
    <w:rsid w:val="00213177"/>
    <w:rsid w:val="00215191"/>
    <w:rsid w:val="00216C44"/>
    <w:rsid w:val="00217EBF"/>
    <w:rsid w:val="00220EE3"/>
    <w:rsid w:val="00221C4B"/>
    <w:rsid w:val="002227DF"/>
    <w:rsid w:val="0022342C"/>
    <w:rsid w:val="0022384B"/>
    <w:rsid w:val="00225179"/>
    <w:rsid w:val="00225B50"/>
    <w:rsid w:val="00225D8E"/>
    <w:rsid w:val="002264F4"/>
    <w:rsid w:val="00231A35"/>
    <w:rsid w:val="002322A8"/>
    <w:rsid w:val="0023311C"/>
    <w:rsid w:val="00233348"/>
    <w:rsid w:val="0023337A"/>
    <w:rsid w:val="00233BEB"/>
    <w:rsid w:val="00236DF2"/>
    <w:rsid w:val="0024152E"/>
    <w:rsid w:val="00242974"/>
    <w:rsid w:val="00244D84"/>
    <w:rsid w:val="00247818"/>
    <w:rsid w:val="00250061"/>
    <w:rsid w:val="00250414"/>
    <w:rsid w:val="00250642"/>
    <w:rsid w:val="00251E4A"/>
    <w:rsid w:val="00251F50"/>
    <w:rsid w:val="00253E30"/>
    <w:rsid w:val="0025493F"/>
    <w:rsid w:val="00254E5D"/>
    <w:rsid w:val="00257E4D"/>
    <w:rsid w:val="00262865"/>
    <w:rsid w:val="00263279"/>
    <w:rsid w:val="002643FC"/>
    <w:rsid w:val="002671DA"/>
    <w:rsid w:val="00270055"/>
    <w:rsid w:val="00273BB7"/>
    <w:rsid w:val="00274073"/>
    <w:rsid w:val="0027545F"/>
    <w:rsid w:val="0027610D"/>
    <w:rsid w:val="00280131"/>
    <w:rsid w:val="00281918"/>
    <w:rsid w:val="00282B79"/>
    <w:rsid w:val="00282C2A"/>
    <w:rsid w:val="00284483"/>
    <w:rsid w:val="00285256"/>
    <w:rsid w:val="00287AEF"/>
    <w:rsid w:val="00287B08"/>
    <w:rsid w:val="00290B37"/>
    <w:rsid w:val="00290B98"/>
    <w:rsid w:val="00293C47"/>
    <w:rsid w:val="002944D4"/>
    <w:rsid w:val="00296763"/>
    <w:rsid w:val="00296E1C"/>
    <w:rsid w:val="0029737E"/>
    <w:rsid w:val="00297AD0"/>
    <w:rsid w:val="002A0CC8"/>
    <w:rsid w:val="002A3243"/>
    <w:rsid w:val="002A5CDF"/>
    <w:rsid w:val="002A68B3"/>
    <w:rsid w:val="002A6B78"/>
    <w:rsid w:val="002B0A52"/>
    <w:rsid w:val="002B2AC5"/>
    <w:rsid w:val="002B2E78"/>
    <w:rsid w:val="002B49DE"/>
    <w:rsid w:val="002B4E4D"/>
    <w:rsid w:val="002B5085"/>
    <w:rsid w:val="002B53D3"/>
    <w:rsid w:val="002B6D15"/>
    <w:rsid w:val="002B7177"/>
    <w:rsid w:val="002C4F5B"/>
    <w:rsid w:val="002C54A1"/>
    <w:rsid w:val="002C59F8"/>
    <w:rsid w:val="002C5DCD"/>
    <w:rsid w:val="002D03AB"/>
    <w:rsid w:val="002D2A4E"/>
    <w:rsid w:val="002D5294"/>
    <w:rsid w:val="002D5DFC"/>
    <w:rsid w:val="002D5E92"/>
    <w:rsid w:val="002D6269"/>
    <w:rsid w:val="002D629A"/>
    <w:rsid w:val="002E0751"/>
    <w:rsid w:val="002E12C3"/>
    <w:rsid w:val="002E13E2"/>
    <w:rsid w:val="002E3493"/>
    <w:rsid w:val="002E35BF"/>
    <w:rsid w:val="002E5F5C"/>
    <w:rsid w:val="002E65CD"/>
    <w:rsid w:val="002E6FCF"/>
    <w:rsid w:val="002E6FD5"/>
    <w:rsid w:val="002E7D88"/>
    <w:rsid w:val="002F0434"/>
    <w:rsid w:val="002F1707"/>
    <w:rsid w:val="002F2F33"/>
    <w:rsid w:val="002F3A26"/>
    <w:rsid w:val="002F3C7E"/>
    <w:rsid w:val="002F449C"/>
    <w:rsid w:val="002F4CD2"/>
    <w:rsid w:val="002F6069"/>
    <w:rsid w:val="002F7549"/>
    <w:rsid w:val="00300EFB"/>
    <w:rsid w:val="00301D49"/>
    <w:rsid w:val="00302114"/>
    <w:rsid w:val="003025C7"/>
    <w:rsid w:val="00302F5C"/>
    <w:rsid w:val="00304080"/>
    <w:rsid w:val="0031124D"/>
    <w:rsid w:val="00312ED1"/>
    <w:rsid w:val="00313554"/>
    <w:rsid w:val="00317B55"/>
    <w:rsid w:val="0032155B"/>
    <w:rsid w:val="003239D0"/>
    <w:rsid w:val="00324908"/>
    <w:rsid w:val="0033493D"/>
    <w:rsid w:val="00335AE6"/>
    <w:rsid w:val="00337DE1"/>
    <w:rsid w:val="00340BDB"/>
    <w:rsid w:val="00340E39"/>
    <w:rsid w:val="00341145"/>
    <w:rsid w:val="003412CB"/>
    <w:rsid w:val="0035214B"/>
    <w:rsid w:val="003527D6"/>
    <w:rsid w:val="00352BEB"/>
    <w:rsid w:val="00353351"/>
    <w:rsid w:val="00353622"/>
    <w:rsid w:val="00356345"/>
    <w:rsid w:val="00357CD8"/>
    <w:rsid w:val="0036105C"/>
    <w:rsid w:val="00361ADE"/>
    <w:rsid w:val="00363306"/>
    <w:rsid w:val="0036495A"/>
    <w:rsid w:val="00366C2C"/>
    <w:rsid w:val="00367440"/>
    <w:rsid w:val="00370BE6"/>
    <w:rsid w:val="00371F67"/>
    <w:rsid w:val="00375E39"/>
    <w:rsid w:val="003760ED"/>
    <w:rsid w:val="003775D7"/>
    <w:rsid w:val="00380CBA"/>
    <w:rsid w:val="00381278"/>
    <w:rsid w:val="0038127E"/>
    <w:rsid w:val="00384080"/>
    <w:rsid w:val="003840C0"/>
    <w:rsid w:val="00386C22"/>
    <w:rsid w:val="003876E6"/>
    <w:rsid w:val="00391AFA"/>
    <w:rsid w:val="00392BAF"/>
    <w:rsid w:val="003937EF"/>
    <w:rsid w:val="00393E9B"/>
    <w:rsid w:val="00395942"/>
    <w:rsid w:val="00397A97"/>
    <w:rsid w:val="00397DFA"/>
    <w:rsid w:val="003A280D"/>
    <w:rsid w:val="003A5A70"/>
    <w:rsid w:val="003A6230"/>
    <w:rsid w:val="003A6299"/>
    <w:rsid w:val="003B1976"/>
    <w:rsid w:val="003B27BA"/>
    <w:rsid w:val="003B366C"/>
    <w:rsid w:val="003B38C1"/>
    <w:rsid w:val="003B59A9"/>
    <w:rsid w:val="003B6B63"/>
    <w:rsid w:val="003B7C31"/>
    <w:rsid w:val="003C02D4"/>
    <w:rsid w:val="003C37E3"/>
    <w:rsid w:val="003C4CBD"/>
    <w:rsid w:val="003C546B"/>
    <w:rsid w:val="003C7719"/>
    <w:rsid w:val="003D08EF"/>
    <w:rsid w:val="003D0FBD"/>
    <w:rsid w:val="003D2A6D"/>
    <w:rsid w:val="003E005B"/>
    <w:rsid w:val="003E04DA"/>
    <w:rsid w:val="003E1249"/>
    <w:rsid w:val="003E1D75"/>
    <w:rsid w:val="003E3544"/>
    <w:rsid w:val="003E35A8"/>
    <w:rsid w:val="003E77CB"/>
    <w:rsid w:val="003F06E3"/>
    <w:rsid w:val="003F47FD"/>
    <w:rsid w:val="003F4B52"/>
    <w:rsid w:val="003F718C"/>
    <w:rsid w:val="003F73BA"/>
    <w:rsid w:val="003F73F0"/>
    <w:rsid w:val="00401423"/>
    <w:rsid w:val="00403105"/>
    <w:rsid w:val="00404F11"/>
    <w:rsid w:val="004052E8"/>
    <w:rsid w:val="00405890"/>
    <w:rsid w:val="00405EF4"/>
    <w:rsid w:val="0041028C"/>
    <w:rsid w:val="00411365"/>
    <w:rsid w:val="0041237F"/>
    <w:rsid w:val="00412B6C"/>
    <w:rsid w:val="0041439E"/>
    <w:rsid w:val="00414613"/>
    <w:rsid w:val="00415B19"/>
    <w:rsid w:val="0041767B"/>
    <w:rsid w:val="00420205"/>
    <w:rsid w:val="00421D5F"/>
    <w:rsid w:val="00422831"/>
    <w:rsid w:val="00424197"/>
    <w:rsid w:val="00425F40"/>
    <w:rsid w:val="004265AA"/>
    <w:rsid w:val="00426A8D"/>
    <w:rsid w:val="004307D4"/>
    <w:rsid w:val="00430861"/>
    <w:rsid w:val="00432D4D"/>
    <w:rsid w:val="00433DCE"/>
    <w:rsid w:val="0043405A"/>
    <w:rsid w:val="004378BD"/>
    <w:rsid w:val="00437B1B"/>
    <w:rsid w:val="004405B8"/>
    <w:rsid w:val="00441339"/>
    <w:rsid w:val="004417A2"/>
    <w:rsid w:val="00442F9D"/>
    <w:rsid w:val="00444EDF"/>
    <w:rsid w:val="004456A4"/>
    <w:rsid w:val="00445A6D"/>
    <w:rsid w:val="00446A6B"/>
    <w:rsid w:val="0045189C"/>
    <w:rsid w:val="004636B4"/>
    <w:rsid w:val="00464099"/>
    <w:rsid w:val="004641DC"/>
    <w:rsid w:val="00464AC7"/>
    <w:rsid w:val="004669A4"/>
    <w:rsid w:val="00466A5B"/>
    <w:rsid w:val="0046799A"/>
    <w:rsid w:val="004723D2"/>
    <w:rsid w:val="0047494B"/>
    <w:rsid w:val="00475A85"/>
    <w:rsid w:val="00476F13"/>
    <w:rsid w:val="00480561"/>
    <w:rsid w:val="004806B3"/>
    <w:rsid w:val="00481E5E"/>
    <w:rsid w:val="004828A9"/>
    <w:rsid w:val="004849DE"/>
    <w:rsid w:val="00484A65"/>
    <w:rsid w:val="00484E4F"/>
    <w:rsid w:val="0048759F"/>
    <w:rsid w:val="004876DF"/>
    <w:rsid w:val="00490840"/>
    <w:rsid w:val="00492341"/>
    <w:rsid w:val="00492DBE"/>
    <w:rsid w:val="004962CC"/>
    <w:rsid w:val="00497023"/>
    <w:rsid w:val="00497EC1"/>
    <w:rsid w:val="004A0313"/>
    <w:rsid w:val="004A0A89"/>
    <w:rsid w:val="004A0BE6"/>
    <w:rsid w:val="004A2249"/>
    <w:rsid w:val="004A26E0"/>
    <w:rsid w:val="004A4689"/>
    <w:rsid w:val="004A4A2C"/>
    <w:rsid w:val="004A524A"/>
    <w:rsid w:val="004A56D3"/>
    <w:rsid w:val="004A6B0F"/>
    <w:rsid w:val="004B1ECE"/>
    <w:rsid w:val="004B27F3"/>
    <w:rsid w:val="004B38C8"/>
    <w:rsid w:val="004B3C12"/>
    <w:rsid w:val="004B5C2E"/>
    <w:rsid w:val="004B7CB9"/>
    <w:rsid w:val="004C10BA"/>
    <w:rsid w:val="004C1122"/>
    <w:rsid w:val="004C27EB"/>
    <w:rsid w:val="004C357A"/>
    <w:rsid w:val="004C37D3"/>
    <w:rsid w:val="004C405B"/>
    <w:rsid w:val="004C5B35"/>
    <w:rsid w:val="004C68D1"/>
    <w:rsid w:val="004C6AE7"/>
    <w:rsid w:val="004C6D5D"/>
    <w:rsid w:val="004C72E8"/>
    <w:rsid w:val="004C75DE"/>
    <w:rsid w:val="004D03E3"/>
    <w:rsid w:val="004D04DF"/>
    <w:rsid w:val="004D1BF4"/>
    <w:rsid w:val="004D2ECB"/>
    <w:rsid w:val="004D480B"/>
    <w:rsid w:val="004D6074"/>
    <w:rsid w:val="004D7821"/>
    <w:rsid w:val="004E10C5"/>
    <w:rsid w:val="004E22A7"/>
    <w:rsid w:val="004E39E6"/>
    <w:rsid w:val="004E5799"/>
    <w:rsid w:val="004E71DC"/>
    <w:rsid w:val="004E7F97"/>
    <w:rsid w:val="004F1563"/>
    <w:rsid w:val="004F20B0"/>
    <w:rsid w:val="004F60F0"/>
    <w:rsid w:val="004F7682"/>
    <w:rsid w:val="005012BC"/>
    <w:rsid w:val="00502156"/>
    <w:rsid w:val="00502277"/>
    <w:rsid w:val="005042B5"/>
    <w:rsid w:val="00505C67"/>
    <w:rsid w:val="00510A4F"/>
    <w:rsid w:val="005119E9"/>
    <w:rsid w:val="00512A65"/>
    <w:rsid w:val="005130BE"/>
    <w:rsid w:val="005140F2"/>
    <w:rsid w:val="00516787"/>
    <w:rsid w:val="0051709B"/>
    <w:rsid w:val="0052165A"/>
    <w:rsid w:val="00521802"/>
    <w:rsid w:val="005228B6"/>
    <w:rsid w:val="0052430B"/>
    <w:rsid w:val="00525D51"/>
    <w:rsid w:val="00532CD3"/>
    <w:rsid w:val="00533867"/>
    <w:rsid w:val="005345A9"/>
    <w:rsid w:val="00534D8A"/>
    <w:rsid w:val="00535742"/>
    <w:rsid w:val="00536AC6"/>
    <w:rsid w:val="00537502"/>
    <w:rsid w:val="0054004F"/>
    <w:rsid w:val="00542913"/>
    <w:rsid w:val="00542ABE"/>
    <w:rsid w:val="005440E4"/>
    <w:rsid w:val="005444FD"/>
    <w:rsid w:val="005452CD"/>
    <w:rsid w:val="00545434"/>
    <w:rsid w:val="00546DB4"/>
    <w:rsid w:val="005474A5"/>
    <w:rsid w:val="00547D82"/>
    <w:rsid w:val="005504B4"/>
    <w:rsid w:val="00550DAB"/>
    <w:rsid w:val="00552105"/>
    <w:rsid w:val="0055354D"/>
    <w:rsid w:val="00554543"/>
    <w:rsid w:val="005555B8"/>
    <w:rsid w:val="00556DB7"/>
    <w:rsid w:val="00563642"/>
    <w:rsid w:val="005642D9"/>
    <w:rsid w:val="00564C2B"/>
    <w:rsid w:val="00564C37"/>
    <w:rsid w:val="00564D84"/>
    <w:rsid w:val="00570F2B"/>
    <w:rsid w:val="0057258C"/>
    <w:rsid w:val="00573651"/>
    <w:rsid w:val="00573B2B"/>
    <w:rsid w:val="00573C5B"/>
    <w:rsid w:val="00574E71"/>
    <w:rsid w:val="00580AA6"/>
    <w:rsid w:val="005811D8"/>
    <w:rsid w:val="00581904"/>
    <w:rsid w:val="00582B3F"/>
    <w:rsid w:val="00583643"/>
    <w:rsid w:val="00585309"/>
    <w:rsid w:val="005857E8"/>
    <w:rsid w:val="005858CB"/>
    <w:rsid w:val="00585B1F"/>
    <w:rsid w:val="0058699E"/>
    <w:rsid w:val="00586CE9"/>
    <w:rsid w:val="00590B04"/>
    <w:rsid w:val="00592F78"/>
    <w:rsid w:val="00594EB6"/>
    <w:rsid w:val="005960D0"/>
    <w:rsid w:val="0059798F"/>
    <w:rsid w:val="00597EC9"/>
    <w:rsid w:val="005A0300"/>
    <w:rsid w:val="005A0557"/>
    <w:rsid w:val="005A163F"/>
    <w:rsid w:val="005A3D73"/>
    <w:rsid w:val="005A3D8D"/>
    <w:rsid w:val="005A445D"/>
    <w:rsid w:val="005B00DC"/>
    <w:rsid w:val="005B0EA3"/>
    <w:rsid w:val="005B1B0A"/>
    <w:rsid w:val="005B453E"/>
    <w:rsid w:val="005B5062"/>
    <w:rsid w:val="005B5F95"/>
    <w:rsid w:val="005B6234"/>
    <w:rsid w:val="005B7596"/>
    <w:rsid w:val="005C21EA"/>
    <w:rsid w:val="005C2A0E"/>
    <w:rsid w:val="005C4A91"/>
    <w:rsid w:val="005C5824"/>
    <w:rsid w:val="005C6118"/>
    <w:rsid w:val="005D1A89"/>
    <w:rsid w:val="005D3575"/>
    <w:rsid w:val="005D3CED"/>
    <w:rsid w:val="005D4954"/>
    <w:rsid w:val="005D538F"/>
    <w:rsid w:val="005D63D9"/>
    <w:rsid w:val="005D68D1"/>
    <w:rsid w:val="005E293A"/>
    <w:rsid w:val="005E49E7"/>
    <w:rsid w:val="005E56FE"/>
    <w:rsid w:val="005E62D6"/>
    <w:rsid w:val="005E6A82"/>
    <w:rsid w:val="005E7398"/>
    <w:rsid w:val="005F04DC"/>
    <w:rsid w:val="005F07FF"/>
    <w:rsid w:val="005F0F6C"/>
    <w:rsid w:val="005F1A7F"/>
    <w:rsid w:val="005F1F44"/>
    <w:rsid w:val="00601165"/>
    <w:rsid w:val="00607971"/>
    <w:rsid w:val="00611A4E"/>
    <w:rsid w:val="006122C0"/>
    <w:rsid w:val="0061281D"/>
    <w:rsid w:val="00613C46"/>
    <w:rsid w:val="00616889"/>
    <w:rsid w:val="00617F77"/>
    <w:rsid w:val="0062186B"/>
    <w:rsid w:val="00622FC8"/>
    <w:rsid w:val="00623004"/>
    <w:rsid w:val="00624EB9"/>
    <w:rsid w:val="00626246"/>
    <w:rsid w:val="00627C91"/>
    <w:rsid w:val="00635031"/>
    <w:rsid w:val="006369D4"/>
    <w:rsid w:val="00636C51"/>
    <w:rsid w:val="006407FA"/>
    <w:rsid w:val="006427B2"/>
    <w:rsid w:val="00642BEB"/>
    <w:rsid w:val="00647426"/>
    <w:rsid w:val="00647590"/>
    <w:rsid w:val="006479C8"/>
    <w:rsid w:val="006526F5"/>
    <w:rsid w:val="00653659"/>
    <w:rsid w:val="0065701A"/>
    <w:rsid w:val="00657702"/>
    <w:rsid w:val="0066078F"/>
    <w:rsid w:val="006619F5"/>
    <w:rsid w:val="00661A76"/>
    <w:rsid w:val="006629F9"/>
    <w:rsid w:val="006639F0"/>
    <w:rsid w:val="0066562D"/>
    <w:rsid w:val="00670998"/>
    <w:rsid w:val="00672050"/>
    <w:rsid w:val="00673872"/>
    <w:rsid w:val="00674A34"/>
    <w:rsid w:val="00677FBB"/>
    <w:rsid w:val="006854CC"/>
    <w:rsid w:val="00685515"/>
    <w:rsid w:val="0068642A"/>
    <w:rsid w:val="00694C76"/>
    <w:rsid w:val="00694F4A"/>
    <w:rsid w:val="00695DBD"/>
    <w:rsid w:val="006A029B"/>
    <w:rsid w:val="006A17A1"/>
    <w:rsid w:val="006A3214"/>
    <w:rsid w:val="006A34FB"/>
    <w:rsid w:val="006A61C5"/>
    <w:rsid w:val="006B0F31"/>
    <w:rsid w:val="006B13BC"/>
    <w:rsid w:val="006B26FC"/>
    <w:rsid w:val="006B32FE"/>
    <w:rsid w:val="006B3959"/>
    <w:rsid w:val="006B4B58"/>
    <w:rsid w:val="006B5E7C"/>
    <w:rsid w:val="006B6925"/>
    <w:rsid w:val="006C026A"/>
    <w:rsid w:val="006C138D"/>
    <w:rsid w:val="006C3807"/>
    <w:rsid w:val="006C7491"/>
    <w:rsid w:val="006C761B"/>
    <w:rsid w:val="006C76B5"/>
    <w:rsid w:val="006D03ED"/>
    <w:rsid w:val="006D1C87"/>
    <w:rsid w:val="006D2B37"/>
    <w:rsid w:val="006D3D81"/>
    <w:rsid w:val="006D46A1"/>
    <w:rsid w:val="006D4AA4"/>
    <w:rsid w:val="006D54FB"/>
    <w:rsid w:val="006D5816"/>
    <w:rsid w:val="006D627E"/>
    <w:rsid w:val="006D62D4"/>
    <w:rsid w:val="006E1A62"/>
    <w:rsid w:val="006E1B63"/>
    <w:rsid w:val="006E320C"/>
    <w:rsid w:val="006E3649"/>
    <w:rsid w:val="006E3D84"/>
    <w:rsid w:val="006E527B"/>
    <w:rsid w:val="006E5C6B"/>
    <w:rsid w:val="006E6377"/>
    <w:rsid w:val="006E6640"/>
    <w:rsid w:val="006E6BBF"/>
    <w:rsid w:val="006E7529"/>
    <w:rsid w:val="006F25D6"/>
    <w:rsid w:val="006F2E4F"/>
    <w:rsid w:val="006F4CA1"/>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2047"/>
    <w:rsid w:val="0072331C"/>
    <w:rsid w:val="00725F6C"/>
    <w:rsid w:val="00726CFA"/>
    <w:rsid w:val="0072758A"/>
    <w:rsid w:val="007304D5"/>
    <w:rsid w:val="00730965"/>
    <w:rsid w:val="00731FE9"/>
    <w:rsid w:val="00733599"/>
    <w:rsid w:val="00735753"/>
    <w:rsid w:val="00735CCC"/>
    <w:rsid w:val="007367CD"/>
    <w:rsid w:val="007368DC"/>
    <w:rsid w:val="00736AC9"/>
    <w:rsid w:val="00741948"/>
    <w:rsid w:val="00741A4E"/>
    <w:rsid w:val="00742E97"/>
    <w:rsid w:val="007452E0"/>
    <w:rsid w:val="00745BD4"/>
    <w:rsid w:val="007467E6"/>
    <w:rsid w:val="00746970"/>
    <w:rsid w:val="00750378"/>
    <w:rsid w:val="007505FB"/>
    <w:rsid w:val="007524B0"/>
    <w:rsid w:val="00752997"/>
    <w:rsid w:val="007533EC"/>
    <w:rsid w:val="00754B5E"/>
    <w:rsid w:val="00755723"/>
    <w:rsid w:val="0075625A"/>
    <w:rsid w:val="00757618"/>
    <w:rsid w:val="00762606"/>
    <w:rsid w:val="00762B45"/>
    <w:rsid w:val="0076544A"/>
    <w:rsid w:val="00767402"/>
    <w:rsid w:val="0077044D"/>
    <w:rsid w:val="0077194F"/>
    <w:rsid w:val="00774454"/>
    <w:rsid w:val="00774ABF"/>
    <w:rsid w:val="00776E17"/>
    <w:rsid w:val="00780DD4"/>
    <w:rsid w:val="00782D07"/>
    <w:rsid w:val="007859F8"/>
    <w:rsid w:val="00785A13"/>
    <w:rsid w:val="007861CF"/>
    <w:rsid w:val="00787C2F"/>
    <w:rsid w:val="00791384"/>
    <w:rsid w:val="0079191B"/>
    <w:rsid w:val="00791C27"/>
    <w:rsid w:val="0079239C"/>
    <w:rsid w:val="007934F3"/>
    <w:rsid w:val="00795A80"/>
    <w:rsid w:val="00796464"/>
    <w:rsid w:val="00796F15"/>
    <w:rsid w:val="007A0403"/>
    <w:rsid w:val="007A1248"/>
    <w:rsid w:val="007A12F5"/>
    <w:rsid w:val="007A4089"/>
    <w:rsid w:val="007A4CE4"/>
    <w:rsid w:val="007A5936"/>
    <w:rsid w:val="007A5B55"/>
    <w:rsid w:val="007A5F41"/>
    <w:rsid w:val="007A5FEC"/>
    <w:rsid w:val="007B08D1"/>
    <w:rsid w:val="007B161A"/>
    <w:rsid w:val="007B18A9"/>
    <w:rsid w:val="007B29C6"/>
    <w:rsid w:val="007B37E0"/>
    <w:rsid w:val="007B4EAA"/>
    <w:rsid w:val="007B6505"/>
    <w:rsid w:val="007B790F"/>
    <w:rsid w:val="007C0532"/>
    <w:rsid w:val="007C20FA"/>
    <w:rsid w:val="007C27D3"/>
    <w:rsid w:val="007C2C95"/>
    <w:rsid w:val="007C30F6"/>
    <w:rsid w:val="007C767F"/>
    <w:rsid w:val="007C79FB"/>
    <w:rsid w:val="007D3891"/>
    <w:rsid w:val="007D4584"/>
    <w:rsid w:val="007D4A14"/>
    <w:rsid w:val="007D5365"/>
    <w:rsid w:val="007E0017"/>
    <w:rsid w:val="007E0D9D"/>
    <w:rsid w:val="007E1F01"/>
    <w:rsid w:val="007E4B14"/>
    <w:rsid w:val="007E4B4C"/>
    <w:rsid w:val="007E7ABF"/>
    <w:rsid w:val="007F0907"/>
    <w:rsid w:val="007F0D24"/>
    <w:rsid w:val="007F10B5"/>
    <w:rsid w:val="007F1C81"/>
    <w:rsid w:val="007F21C2"/>
    <w:rsid w:val="007F3B5C"/>
    <w:rsid w:val="007F6ABA"/>
    <w:rsid w:val="00800DD3"/>
    <w:rsid w:val="0080144C"/>
    <w:rsid w:val="00804A98"/>
    <w:rsid w:val="00805995"/>
    <w:rsid w:val="00805C3A"/>
    <w:rsid w:val="008061B8"/>
    <w:rsid w:val="00806B13"/>
    <w:rsid w:val="008129B1"/>
    <w:rsid w:val="00814F69"/>
    <w:rsid w:val="00817A12"/>
    <w:rsid w:val="00822092"/>
    <w:rsid w:val="0082437E"/>
    <w:rsid w:val="008259FD"/>
    <w:rsid w:val="00825B2C"/>
    <w:rsid w:val="00825D67"/>
    <w:rsid w:val="00826BAE"/>
    <w:rsid w:val="00826C1C"/>
    <w:rsid w:val="0083200D"/>
    <w:rsid w:val="00832902"/>
    <w:rsid w:val="00832E86"/>
    <w:rsid w:val="00833BAB"/>
    <w:rsid w:val="00833FCC"/>
    <w:rsid w:val="008356E6"/>
    <w:rsid w:val="008360AA"/>
    <w:rsid w:val="00836856"/>
    <w:rsid w:val="00837412"/>
    <w:rsid w:val="00840877"/>
    <w:rsid w:val="0084180A"/>
    <w:rsid w:val="0084197A"/>
    <w:rsid w:val="00841EDA"/>
    <w:rsid w:val="00843425"/>
    <w:rsid w:val="008443D0"/>
    <w:rsid w:val="00845708"/>
    <w:rsid w:val="00846239"/>
    <w:rsid w:val="00846484"/>
    <w:rsid w:val="008470DE"/>
    <w:rsid w:val="008478EE"/>
    <w:rsid w:val="00852FB1"/>
    <w:rsid w:val="0085475F"/>
    <w:rsid w:val="00855470"/>
    <w:rsid w:val="00855C39"/>
    <w:rsid w:val="00856225"/>
    <w:rsid w:val="0085681C"/>
    <w:rsid w:val="008578DC"/>
    <w:rsid w:val="008604B1"/>
    <w:rsid w:val="008609B1"/>
    <w:rsid w:val="008645C4"/>
    <w:rsid w:val="00867884"/>
    <w:rsid w:val="00867AC8"/>
    <w:rsid w:val="008734F5"/>
    <w:rsid w:val="00875104"/>
    <w:rsid w:val="008774D2"/>
    <w:rsid w:val="00880E40"/>
    <w:rsid w:val="00880F49"/>
    <w:rsid w:val="008817E5"/>
    <w:rsid w:val="00883771"/>
    <w:rsid w:val="00883C9D"/>
    <w:rsid w:val="00883EFE"/>
    <w:rsid w:val="008869CA"/>
    <w:rsid w:val="008905BA"/>
    <w:rsid w:val="00891CD2"/>
    <w:rsid w:val="0089513F"/>
    <w:rsid w:val="00895699"/>
    <w:rsid w:val="008977A0"/>
    <w:rsid w:val="008A153F"/>
    <w:rsid w:val="008A2B90"/>
    <w:rsid w:val="008A54A9"/>
    <w:rsid w:val="008A6188"/>
    <w:rsid w:val="008A7735"/>
    <w:rsid w:val="008A79C6"/>
    <w:rsid w:val="008B28F2"/>
    <w:rsid w:val="008B3A89"/>
    <w:rsid w:val="008B444F"/>
    <w:rsid w:val="008B5103"/>
    <w:rsid w:val="008B683E"/>
    <w:rsid w:val="008C0EF7"/>
    <w:rsid w:val="008C11A2"/>
    <w:rsid w:val="008C20F7"/>
    <w:rsid w:val="008C5F1C"/>
    <w:rsid w:val="008D06D8"/>
    <w:rsid w:val="008D1B01"/>
    <w:rsid w:val="008D25D7"/>
    <w:rsid w:val="008D2A83"/>
    <w:rsid w:val="008D2B52"/>
    <w:rsid w:val="008D2D7B"/>
    <w:rsid w:val="008D2D98"/>
    <w:rsid w:val="008D44EB"/>
    <w:rsid w:val="008D4FDB"/>
    <w:rsid w:val="008D6F0F"/>
    <w:rsid w:val="008E3E1A"/>
    <w:rsid w:val="008E4039"/>
    <w:rsid w:val="008F1AA9"/>
    <w:rsid w:val="008F7C5B"/>
    <w:rsid w:val="009049C0"/>
    <w:rsid w:val="00906257"/>
    <w:rsid w:val="009069D6"/>
    <w:rsid w:val="00910EF6"/>
    <w:rsid w:val="00912380"/>
    <w:rsid w:val="009124F6"/>
    <w:rsid w:val="00912BC1"/>
    <w:rsid w:val="00913A6B"/>
    <w:rsid w:val="00913B67"/>
    <w:rsid w:val="00915B08"/>
    <w:rsid w:val="00916953"/>
    <w:rsid w:val="0092164E"/>
    <w:rsid w:val="00921856"/>
    <w:rsid w:val="00921DD1"/>
    <w:rsid w:val="009225FE"/>
    <w:rsid w:val="00923D31"/>
    <w:rsid w:val="00923F94"/>
    <w:rsid w:val="009253B1"/>
    <w:rsid w:val="00926DD3"/>
    <w:rsid w:val="0092705D"/>
    <w:rsid w:val="00931ADA"/>
    <w:rsid w:val="00932C51"/>
    <w:rsid w:val="00934106"/>
    <w:rsid w:val="00935308"/>
    <w:rsid w:val="009361FD"/>
    <w:rsid w:val="009406D2"/>
    <w:rsid w:val="00940F17"/>
    <w:rsid w:val="009414C5"/>
    <w:rsid w:val="009427F2"/>
    <w:rsid w:val="00944F64"/>
    <w:rsid w:val="00945CE1"/>
    <w:rsid w:val="009462C7"/>
    <w:rsid w:val="009467A8"/>
    <w:rsid w:val="00951A0B"/>
    <w:rsid w:val="00953383"/>
    <w:rsid w:val="00955683"/>
    <w:rsid w:val="009574A8"/>
    <w:rsid w:val="009648F3"/>
    <w:rsid w:val="00964D68"/>
    <w:rsid w:val="00965025"/>
    <w:rsid w:val="009654C8"/>
    <w:rsid w:val="00967E51"/>
    <w:rsid w:val="00971039"/>
    <w:rsid w:val="00971B7B"/>
    <w:rsid w:val="00971D3B"/>
    <w:rsid w:val="009722EF"/>
    <w:rsid w:val="00972D48"/>
    <w:rsid w:val="00975E68"/>
    <w:rsid w:val="00977A95"/>
    <w:rsid w:val="009812FA"/>
    <w:rsid w:val="00982385"/>
    <w:rsid w:val="00982585"/>
    <w:rsid w:val="009857AA"/>
    <w:rsid w:val="00985DC9"/>
    <w:rsid w:val="00985FA9"/>
    <w:rsid w:val="00987A99"/>
    <w:rsid w:val="009902F7"/>
    <w:rsid w:val="0099448D"/>
    <w:rsid w:val="00994966"/>
    <w:rsid w:val="00995A06"/>
    <w:rsid w:val="00995C33"/>
    <w:rsid w:val="009A222A"/>
    <w:rsid w:val="009A26CA"/>
    <w:rsid w:val="009A6FE7"/>
    <w:rsid w:val="009B0285"/>
    <w:rsid w:val="009B1FD2"/>
    <w:rsid w:val="009B3AEB"/>
    <w:rsid w:val="009B7AE2"/>
    <w:rsid w:val="009C0610"/>
    <w:rsid w:val="009C20ED"/>
    <w:rsid w:val="009C210D"/>
    <w:rsid w:val="009C2D83"/>
    <w:rsid w:val="009C3EB5"/>
    <w:rsid w:val="009C42BD"/>
    <w:rsid w:val="009C444B"/>
    <w:rsid w:val="009D299D"/>
    <w:rsid w:val="009D3773"/>
    <w:rsid w:val="009D499D"/>
    <w:rsid w:val="009D5C03"/>
    <w:rsid w:val="009D6EF4"/>
    <w:rsid w:val="009D6F9C"/>
    <w:rsid w:val="009D72AA"/>
    <w:rsid w:val="009D7484"/>
    <w:rsid w:val="009E2AEA"/>
    <w:rsid w:val="009E3183"/>
    <w:rsid w:val="009E36E1"/>
    <w:rsid w:val="009E3783"/>
    <w:rsid w:val="009E3EA3"/>
    <w:rsid w:val="009E3ED4"/>
    <w:rsid w:val="009F0715"/>
    <w:rsid w:val="009F1615"/>
    <w:rsid w:val="009F45FE"/>
    <w:rsid w:val="009F5489"/>
    <w:rsid w:val="009F5B74"/>
    <w:rsid w:val="009F6717"/>
    <w:rsid w:val="00A01F6A"/>
    <w:rsid w:val="00A0321B"/>
    <w:rsid w:val="00A045CA"/>
    <w:rsid w:val="00A04DC3"/>
    <w:rsid w:val="00A0597B"/>
    <w:rsid w:val="00A05DAD"/>
    <w:rsid w:val="00A06FB4"/>
    <w:rsid w:val="00A0745A"/>
    <w:rsid w:val="00A14878"/>
    <w:rsid w:val="00A166DD"/>
    <w:rsid w:val="00A1707B"/>
    <w:rsid w:val="00A1739A"/>
    <w:rsid w:val="00A17694"/>
    <w:rsid w:val="00A17F2C"/>
    <w:rsid w:val="00A232B9"/>
    <w:rsid w:val="00A327DD"/>
    <w:rsid w:val="00A33893"/>
    <w:rsid w:val="00A34C9A"/>
    <w:rsid w:val="00A34D89"/>
    <w:rsid w:val="00A41364"/>
    <w:rsid w:val="00A41F72"/>
    <w:rsid w:val="00A42C74"/>
    <w:rsid w:val="00A44708"/>
    <w:rsid w:val="00A44A25"/>
    <w:rsid w:val="00A52456"/>
    <w:rsid w:val="00A54891"/>
    <w:rsid w:val="00A54CA1"/>
    <w:rsid w:val="00A56516"/>
    <w:rsid w:val="00A62031"/>
    <w:rsid w:val="00A65D80"/>
    <w:rsid w:val="00A672A7"/>
    <w:rsid w:val="00A714DD"/>
    <w:rsid w:val="00A73044"/>
    <w:rsid w:val="00A7379C"/>
    <w:rsid w:val="00A73CF1"/>
    <w:rsid w:val="00A75C9A"/>
    <w:rsid w:val="00A76AC8"/>
    <w:rsid w:val="00A835D4"/>
    <w:rsid w:val="00A853D1"/>
    <w:rsid w:val="00A85AA3"/>
    <w:rsid w:val="00A86302"/>
    <w:rsid w:val="00A90EE0"/>
    <w:rsid w:val="00A9123D"/>
    <w:rsid w:val="00A918D2"/>
    <w:rsid w:val="00A91DC0"/>
    <w:rsid w:val="00A91EEC"/>
    <w:rsid w:val="00A923D8"/>
    <w:rsid w:val="00A92534"/>
    <w:rsid w:val="00A927C4"/>
    <w:rsid w:val="00A92BCA"/>
    <w:rsid w:val="00A93B9E"/>
    <w:rsid w:val="00AA0F9E"/>
    <w:rsid w:val="00AA2734"/>
    <w:rsid w:val="00AA3015"/>
    <w:rsid w:val="00AA3E46"/>
    <w:rsid w:val="00AA401A"/>
    <w:rsid w:val="00AA4399"/>
    <w:rsid w:val="00AA4D97"/>
    <w:rsid w:val="00AA59AF"/>
    <w:rsid w:val="00AB04F6"/>
    <w:rsid w:val="00AB05D5"/>
    <w:rsid w:val="00AB0E8F"/>
    <w:rsid w:val="00AB2611"/>
    <w:rsid w:val="00AB35DC"/>
    <w:rsid w:val="00AB419D"/>
    <w:rsid w:val="00AB52D0"/>
    <w:rsid w:val="00AC046B"/>
    <w:rsid w:val="00AC1E16"/>
    <w:rsid w:val="00AC1EDB"/>
    <w:rsid w:val="00AC2E11"/>
    <w:rsid w:val="00AC3A0C"/>
    <w:rsid w:val="00AC3EEC"/>
    <w:rsid w:val="00AC50EE"/>
    <w:rsid w:val="00AC54F8"/>
    <w:rsid w:val="00AC57A5"/>
    <w:rsid w:val="00AC5D4C"/>
    <w:rsid w:val="00AC681D"/>
    <w:rsid w:val="00AC6FF1"/>
    <w:rsid w:val="00AD0F67"/>
    <w:rsid w:val="00AD1A30"/>
    <w:rsid w:val="00AD3565"/>
    <w:rsid w:val="00AD700A"/>
    <w:rsid w:val="00AD7E8E"/>
    <w:rsid w:val="00AE0F81"/>
    <w:rsid w:val="00AE136A"/>
    <w:rsid w:val="00AE330D"/>
    <w:rsid w:val="00AE7239"/>
    <w:rsid w:val="00AF134A"/>
    <w:rsid w:val="00AF3563"/>
    <w:rsid w:val="00AF3BCE"/>
    <w:rsid w:val="00AF421C"/>
    <w:rsid w:val="00AF5C05"/>
    <w:rsid w:val="00AF7622"/>
    <w:rsid w:val="00B00238"/>
    <w:rsid w:val="00B019A9"/>
    <w:rsid w:val="00B03218"/>
    <w:rsid w:val="00B03273"/>
    <w:rsid w:val="00B039EC"/>
    <w:rsid w:val="00B07EFF"/>
    <w:rsid w:val="00B10984"/>
    <w:rsid w:val="00B110B5"/>
    <w:rsid w:val="00B11FF9"/>
    <w:rsid w:val="00B14C3A"/>
    <w:rsid w:val="00B167A2"/>
    <w:rsid w:val="00B174E3"/>
    <w:rsid w:val="00B24599"/>
    <w:rsid w:val="00B2772E"/>
    <w:rsid w:val="00B27A5B"/>
    <w:rsid w:val="00B316E7"/>
    <w:rsid w:val="00B32A4E"/>
    <w:rsid w:val="00B3398C"/>
    <w:rsid w:val="00B3435C"/>
    <w:rsid w:val="00B34BDE"/>
    <w:rsid w:val="00B34EF9"/>
    <w:rsid w:val="00B3578F"/>
    <w:rsid w:val="00B35DAD"/>
    <w:rsid w:val="00B36D34"/>
    <w:rsid w:val="00B36EB3"/>
    <w:rsid w:val="00B41A5A"/>
    <w:rsid w:val="00B41AE8"/>
    <w:rsid w:val="00B445D0"/>
    <w:rsid w:val="00B45C4D"/>
    <w:rsid w:val="00B51C33"/>
    <w:rsid w:val="00B53FF2"/>
    <w:rsid w:val="00B54620"/>
    <w:rsid w:val="00B5466C"/>
    <w:rsid w:val="00B55CDD"/>
    <w:rsid w:val="00B56E4F"/>
    <w:rsid w:val="00B63345"/>
    <w:rsid w:val="00B63A7A"/>
    <w:rsid w:val="00B652B0"/>
    <w:rsid w:val="00B70AA9"/>
    <w:rsid w:val="00B70D13"/>
    <w:rsid w:val="00B7119B"/>
    <w:rsid w:val="00B71CF1"/>
    <w:rsid w:val="00B71DDD"/>
    <w:rsid w:val="00B72847"/>
    <w:rsid w:val="00B72AEC"/>
    <w:rsid w:val="00B73A3D"/>
    <w:rsid w:val="00B74168"/>
    <w:rsid w:val="00B746F1"/>
    <w:rsid w:val="00B748AE"/>
    <w:rsid w:val="00B75D53"/>
    <w:rsid w:val="00B75DB2"/>
    <w:rsid w:val="00B7681E"/>
    <w:rsid w:val="00B81EB1"/>
    <w:rsid w:val="00B832A3"/>
    <w:rsid w:val="00B83AFF"/>
    <w:rsid w:val="00B84886"/>
    <w:rsid w:val="00B84958"/>
    <w:rsid w:val="00B84D4F"/>
    <w:rsid w:val="00B85F0D"/>
    <w:rsid w:val="00B86A9F"/>
    <w:rsid w:val="00B910E8"/>
    <w:rsid w:val="00B91F83"/>
    <w:rsid w:val="00B93137"/>
    <w:rsid w:val="00B9328C"/>
    <w:rsid w:val="00B94CD8"/>
    <w:rsid w:val="00B9595D"/>
    <w:rsid w:val="00B96F16"/>
    <w:rsid w:val="00B97A54"/>
    <w:rsid w:val="00BA0974"/>
    <w:rsid w:val="00BA3D73"/>
    <w:rsid w:val="00BA58AC"/>
    <w:rsid w:val="00BA5D5A"/>
    <w:rsid w:val="00BA67DC"/>
    <w:rsid w:val="00BA69CB"/>
    <w:rsid w:val="00BA7C49"/>
    <w:rsid w:val="00BB00BA"/>
    <w:rsid w:val="00BB112B"/>
    <w:rsid w:val="00BB14DD"/>
    <w:rsid w:val="00BB1B81"/>
    <w:rsid w:val="00BB1CDA"/>
    <w:rsid w:val="00BB25B1"/>
    <w:rsid w:val="00BB2CD8"/>
    <w:rsid w:val="00BB4114"/>
    <w:rsid w:val="00BB4527"/>
    <w:rsid w:val="00BB49CB"/>
    <w:rsid w:val="00BB5D4D"/>
    <w:rsid w:val="00BB6375"/>
    <w:rsid w:val="00BC09D8"/>
    <w:rsid w:val="00BC459E"/>
    <w:rsid w:val="00BC4AAE"/>
    <w:rsid w:val="00BC5DCD"/>
    <w:rsid w:val="00BC626B"/>
    <w:rsid w:val="00BC7397"/>
    <w:rsid w:val="00BD0628"/>
    <w:rsid w:val="00BD304A"/>
    <w:rsid w:val="00BD7FD9"/>
    <w:rsid w:val="00BE1022"/>
    <w:rsid w:val="00BE283F"/>
    <w:rsid w:val="00BE2ECA"/>
    <w:rsid w:val="00BE2EFA"/>
    <w:rsid w:val="00BE3768"/>
    <w:rsid w:val="00BE5947"/>
    <w:rsid w:val="00BE597C"/>
    <w:rsid w:val="00BE6870"/>
    <w:rsid w:val="00BE71FD"/>
    <w:rsid w:val="00BE7B19"/>
    <w:rsid w:val="00BF23A6"/>
    <w:rsid w:val="00BF3B3D"/>
    <w:rsid w:val="00BF564D"/>
    <w:rsid w:val="00BF591D"/>
    <w:rsid w:val="00BF5A87"/>
    <w:rsid w:val="00BF6341"/>
    <w:rsid w:val="00BF65F3"/>
    <w:rsid w:val="00C0045E"/>
    <w:rsid w:val="00C00FC7"/>
    <w:rsid w:val="00C00FD8"/>
    <w:rsid w:val="00C05E84"/>
    <w:rsid w:val="00C073E4"/>
    <w:rsid w:val="00C07C34"/>
    <w:rsid w:val="00C13962"/>
    <w:rsid w:val="00C154E6"/>
    <w:rsid w:val="00C158B5"/>
    <w:rsid w:val="00C16A92"/>
    <w:rsid w:val="00C16E23"/>
    <w:rsid w:val="00C2082B"/>
    <w:rsid w:val="00C20DBA"/>
    <w:rsid w:val="00C21605"/>
    <w:rsid w:val="00C22547"/>
    <w:rsid w:val="00C2670D"/>
    <w:rsid w:val="00C27213"/>
    <w:rsid w:val="00C30ED2"/>
    <w:rsid w:val="00C32EFA"/>
    <w:rsid w:val="00C33771"/>
    <w:rsid w:val="00C3394C"/>
    <w:rsid w:val="00C3411B"/>
    <w:rsid w:val="00C34230"/>
    <w:rsid w:val="00C3661B"/>
    <w:rsid w:val="00C41D4B"/>
    <w:rsid w:val="00C42112"/>
    <w:rsid w:val="00C435EB"/>
    <w:rsid w:val="00C44B76"/>
    <w:rsid w:val="00C44D13"/>
    <w:rsid w:val="00C45768"/>
    <w:rsid w:val="00C4692B"/>
    <w:rsid w:val="00C46A0C"/>
    <w:rsid w:val="00C473F7"/>
    <w:rsid w:val="00C501E5"/>
    <w:rsid w:val="00C5100A"/>
    <w:rsid w:val="00C51884"/>
    <w:rsid w:val="00C548C7"/>
    <w:rsid w:val="00C549BC"/>
    <w:rsid w:val="00C54B1B"/>
    <w:rsid w:val="00C56251"/>
    <w:rsid w:val="00C5667B"/>
    <w:rsid w:val="00C56A65"/>
    <w:rsid w:val="00C56FE0"/>
    <w:rsid w:val="00C6072B"/>
    <w:rsid w:val="00C6094D"/>
    <w:rsid w:val="00C61B33"/>
    <w:rsid w:val="00C62733"/>
    <w:rsid w:val="00C62FDC"/>
    <w:rsid w:val="00C67460"/>
    <w:rsid w:val="00C724F5"/>
    <w:rsid w:val="00C73066"/>
    <w:rsid w:val="00C73399"/>
    <w:rsid w:val="00C743D2"/>
    <w:rsid w:val="00C77A1F"/>
    <w:rsid w:val="00C80647"/>
    <w:rsid w:val="00C80836"/>
    <w:rsid w:val="00C8277B"/>
    <w:rsid w:val="00C83772"/>
    <w:rsid w:val="00C84DDE"/>
    <w:rsid w:val="00C85162"/>
    <w:rsid w:val="00C870F0"/>
    <w:rsid w:val="00C874E5"/>
    <w:rsid w:val="00C87864"/>
    <w:rsid w:val="00C90EAC"/>
    <w:rsid w:val="00C917FD"/>
    <w:rsid w:val="00C93D01"/>
    <w:rsid w:val="00C958FA"/>
    <w:rsid w:val="00C96958"/>
    <w:rsid w:val="00C96A6B"/>
    <w:rsid w:val="00CA1F34"/>
    <w:rsid w:val="00CA62C0"/>
    <w:rsid w:val="00CA73CB"/>
    <w:rsid w:val="00CA7980"/>
    <w:rsid w:val="00CA79BB"/>
    <w:rsid w:val="00CB2CCD"/>
    <w:rsid w:val="00CB4161"/>
    <w:rsid w:val="00CB43A2"/>
    <w:rsid w:val="00CB6DE1"/>
    <w:rsid w:val="00CB759F"/>
    <w:rsid w:val="00CB7730"/>
    <w:rsid w:val="00CC12A0"/>
    <w:rsid w:val="00CC26A8"/>
    <w:rsid w:val="00CC2D16"/>
    <w:rsid w:val="00CC3E30"/>
    <w:rsid w:val="00CC4CED"/>
    <w:rsid w:val="00CC6EBB"/>
    <w:rsid w:val="00CD3416"/>
    <w:rsid w:val="00CD4A21"/>
    <w:rsid w:val="00CE1A40"/>
    <w:rsid w:val="00CE3A6F"/>
    <w:rsid w:val="00CE63F9"/>
    <w:rsid w:val="00CF0A31"/>
    <w:rsid w:val="00CF1E87"/>
    <w:rsid w:val="00CF240F"/>
    <w:rsid w:val="00CF34FA"/>
    <w:rsid w:val="00CF4B5F"/>
    <w:rsid w:val="00CF4FAD"/>
    <w:rsid w:val="00CF5C15"/>
    <w:rsid w:val="00CF6201"/>
    <w:rsid w:val="00CF6B2F"/>
    <w:rsid w:val="00D05CAA"/>
    <w:rsid w:val="00D06129"/>
    <w:rsid w:val="00D114E6"/>
    <w:rsid w:val="00D1198D"/>
    <w:rsid w:val="00D14302"/>
    <w:rsid w:val="00D14D35"/>
    <w:rsid w:val="00D15F17"/>
    <w:rsid w:val="00D161BE"/>
    <w:rsid w:val="00D162D9"/>
    <w:rsid w:val="00D259FD"/>
    <w:rsid w:val="00D273FE"/>
    <w:rsid w:val="00D30F03"/>
    <w:rsid w:val="00D33180"/>
    <w:rsid w:val="00D34E5E"/>
    <w:rsid w:val="00D35495"/>
    <w:rsid w:val="00D37B87"/>
    <w:rsid w:val="00D4044B"/>
    <w:rsid w:val="00D4046C"/>
    <w:rsid w:val="00D41D2D"/>
    <w:rsid w:val="00D42638"/>
    <w:rsid w:val="00D44316"/>
    <w:rsid w:val="00D448E6"/>
    <w:rsid w:val="00D44EB2"/>
    <w:rsid w:val="00D4743F"/>
    <w:rsid w:val="00D5065B"/>
    <w:rsid w:val="00D50FD0"/>
    <w:rsid w:val="00D51CBC"/>
    <w:rsid w:val="00D5274F"/>
    <w:rsid w:val="00D52B25"/>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71E2"/>
    <w:rsid w:val="00D67E0A"/>
    <w:rsid w:val="00D70862"/>
    <w:rsid w:val="00D7566A"/>
    <w:rsid w:val="00D85008"/>
    <w:rsid w:val="00D869A8"/>
    <w:rsid w:val="00D87426"/>
    <w:rsid w:val="00D8754D"/>
    <w:rsid w:val="00D909CB"/>
    <w:rsid w:val="00D92717"/>
    <w:rsid w:val="00D9347A"/>
    <w:rsid w:val="00D93E05"/>
    <w:rsid w:val="00D9515D"/>
    <w:rsid w:val="00DA1252"/>
    <w:rsid w:val="00DA3A08"/>
    <w:rsid w:val="00DA4715"/>
    <w:rsid w:val="00DA62DF"/>
    <w:rsid w:val="00DA7301"/>
    <w:rsid w:val="00DA7439"/>
    <w:rsid w:val="00DB0DA9"/>
    <w:rsid w:val="00DB108A"/>
    <w:rsid w:val="00DC1776"/>
    <w:rsid w:val="00DC33A5"/>
    <w:rsid w:val="00DC4340"/>
    <w:rsid w:val="00DC6F5E"/>
    <w:rsid w:val="00DC7898"/>
    <w:rsid w:val="00DD19F8"/>
    <w:rsid w:val="00DD1C70"/>
    <w:rsid w:val="00DD3239"/>
    <w:rsid w:val="00DE07E4"/>
    <w:rsid w:val="00DE0877"/>
    <w:rsid w:val="00DE0FF8"/>
    <w:rsid w:val="00DE2F91"/>
    <w:rsid w:val="00DE3EBF"/>
    <w:rsid w:val="00DE6D39"/>
    <w:rsid w:val="00DE7345"/>
    <w:rsid w:val="00DF51CA"/>
    <w:rsid w:val="00DF5581"/>
    <w:rsid w:val="00DF7501"/>
    <w:rsid w:val="00DF7622"/>
    <w:rsid w:val="00DF7936"/>
    <w:rsid w:val="00E0156C"/>
    <w:rsid w:val="00E04B6F"/>
    <w:rsid w:val="00E13833"/>
    <w:rsid w:val="00E17001"/>
    <w:rsid w:val="00E17406"/>
    <w:rsid w:val="00E20AE5"/>
    <w:rsid w:val="00E20F00"/>
    <w:rsid w:val="00E21297"/>
    <w:rsid w:val="00E23519"/>
    <w:rsid w:val="00E23A38"/>
    <w:rsid w:val="00E23B6B"/>
    <w:rsid w:val="00E265A0"/>
    <w:rsid w:val="00E266DE"/>
    <w:rsid w:val="00E311F5"/>
    <w:rsid w:val="00E31262"/>
    <w:rsid w:val="00E34BF8"/>
    <w:rsid w:val="00E35B1E"/>
    <w:rsid w:val="00E40C5A"/>
    <w:rsid w:val="00E4250F"/>
    <w:rsid w:val="00E4316A"/>
    <w:rsid w:val="00E44A7E"/>
    <w:rsid w:val="00E46A7E"/>
    <w:rsid w:val="00E46CE8"/>
    <w:rsid w:val="00E51559"/>
    <w:rsid w:val="00E548DB"/>
    <w:rsid w:val="00E552BD"/>
    <w:rsid w:val="00E55649"/>
    <w:rsid w:val="00E56A50"/>
    <w:rsid w:val="00E5798A"/>
    <w:rsid w:val="00E57A3E"/>
    <w:rsid w:val="00E605A2"/>
    <w:rsid w:val="00E6098B"/>
    <w:rsid w:val="00E628D9"/>
    <w:rsid w:val="00E63ADA"/>
    <w:rsid w:val="00E640E0"/>
    <w:rsid w:val="00E645F6"/>
    <w:rsid w:val="00E64C5F"/>
    <w:rsid w:val="00E664F4"/>
    <w:rsid w:val="00E70355"/>
    <w:rsid w:val="00E72037"/>
    <w:rsid w:val="00E72855"/>
    <w:rsid w:val="00E73636"/>
    <w:rsid w:val="00E7377F"/>
    <w:rsid w:val="00E738C6"/>
    <w:rsid w:val="00E74710"/>
    <w:rsid w:val="00E74C1D"/>
    <w:rsid w:val="00E80439"/>
    <w:rsid w:val="00E81B2F"/>
    <w:rsid w:val="00E840A7"/>
    <w:rsid w:val="00E844ED"/>
    <w:rsid w:val="00E84B69"/>
    <w:rsid w:val="00E85810"/>
    <w:rsid w:val="00E85B0A"/>
    <w:rsid w:val="00E85F9D"/>
    <w:rsid w:val="00E90558"/>
    <w:rsid w:val="00E909CD"/>
    <w:rsid w:val="00E92248"/>
    <w:rsid w:val="00E92BD1"/>
    <w:rsid w:val="00E935A1"/>
    <w:rsid w:val="00E93FB6"/>
    <w:rsid w:val="00E94FAA"/>
    <w:rsid w:val="00E95832"/>
    <w:rsid w:val="00EA1715"/>
    <w:rsid w:val="00EA31FD"/>
    <w:rsid w:val="00EA4349"/>
    <w:rsid w:val="00EA4EE4"/>
    <w:rsid w:val="00EA5A32"/>
    <w:rsid w:val="00EB2F51"/>
    <w:rsid w:val="00EB3BF0"/>
    <w:rsid w:val="00EB601D"/>
    <w:rsid w:val="00EB6CCD"/>
    <w:rsid w:val="00EC0273"/>
    <w:rsid w:val="00EC25BA"/>
    <w:rsid w:val="00EC35E3"/>
    <w:rsid w:val="00EC362E"/>
    <w:rsid w:val="00ED0AD5"/>
    <w:rsid w:val="00ED1DE2"/>
    <w:rsid w:val="00ED1F31"/>
    <w:rsid w:val="00ED3630"/>
    <w:rsid w:val="00ED42ED"/>
    <w:rsid w:val="00ED7140"/>
    <w:rsid w:val="00ED77E5"/>
    <w:rsid w:val="00ED78F5"/>
    <w:rsid w:val="00ED7BC8"/>
    <w:rsid w:val="00EE026E"/>
    <w:rsid w:val="00EE3C59"/>
    <w:rsid w:val="00EE5B70"/>
    <w:rsid w:val="00EE66B6"/>
    <w:rsid w:val="00EE7B48"/>
    <w:rsid w:val="00EF06FD"/>
    <w:rsid w:val="00EF0AFA"/>
    <w:rsid w:val="00EF38E5"/>
    <w:rsid w:val="00EF5C33"/>
    <w:rsid w:val="00EF629C"/>
    <w:rsid w:val="00EF6AB8"/>
    <w:rsid w:val="00EF7C6E"/>
    <w:rsid w:val="00F012F4"/>
    <w:rsid w:val="00F015EA"/>
    <w:rsid w:val="00F015FF"/>
    <w:rsid w:val="00F01632"/>
    <w:rsid w:val="00F0546E"/>
    <w:rsid w:val="00F0625D"/>
    <w:rsid w:val="00F0672D"/>
    <w:rsid w:val="00F072E1"/>
    <w:rsid w:val="00F10238"/>
    <w:rsid w:val="00F11185"/>
    <w:rsid w:val="00F11DDA"/>
    <w:rsid w:val="00F12E98"/>
    <w:rsid w:val="00F14DDA"/>
    <w:rsid w:val="00F15284"/>
    <w:rsid w:val="00F169CB"/>
    <w:rsid w:val="00F207AB"/>
    <w:rsid w:val="00F21095"/>
    <w:rsid w:val="00F2161A"/>
    <w:rsid w:val="00F21724"/>
    <w:rsid w:val="00F2198A"/>
    <w:rsid w:val="00F21A81"/>
    <w:rsid w:val="00F21CC1"/>
    <w:rsid w:val="00F22C58"/>
    <w:rsid w:val="00F22D61"/>
    <w:rsid w:val="00F2324D"/>
    <w:rsid w:val="00F2428F"/>
    <w:rsid w:val="00F25075"/>
    <w:rsid w:val="00F27444"/>
    <w:rsid w:val="00F30BC8"/>
    <w:rsid w:val="00F317CA"/>
    <w:rsid w:val="00F319F3"/>
    <w:rsid w:val="00F31BFB"/>
    <w:rsid w:val="00F323E7"/>
    <w:rsid w:val="00F324D2"/>
    <w:rsid w:val="00F32A56"/>
    <w:rsid w:val="00F335E4"/>
    <w:rsid w:val="00F35361"/>
    <w:rsid w:val="00F35509"/>
    <w:rsid w:val="00F358C3"/>
    <w:rsid w:val="00F3781E"/>
    <w:rsid w:val="00F37A4C"/>
    <w:rsid w:val="00F413D8"/>
    <w:rsid w:val="00F42100"/>
    <w:rsid w:val="00F42A9B"/>
    <w:rsid w:val="00F45470"/>
    <w:rsid w:val="00F464FE"/>
    <w:rsid w:val="00F465F9"/>
    <w:rsid w:val="00F47621"/>
    <w:rsid w:val="00F52CF2"/>
    <w:rsid w:val="00F570AB"/>
    <w:rsid w:val="00F57A71"/>
    <w:rsid w:val="00F60A1A"/>
    <w:rsid w:val="00F61C28"/>
    <w:rsid w:val="00F61E69"/>
    <w:rsid w:val="00F633B7"/>
    <w:rsid w:val="00F645F1"/>
    <w:rsid w:val="00F6591A"/>
    <w:rsid w:val="00F65C51"/>
    <w:rsid w:val="00F70D35"/>
    <w:rsid w:val="00F71BF0"/>
    <w:rsid w:val="00F7546C"/>
    <w:rsid w:val="00F76EC7"/>
    <w:rsid w:val="00F77B00"/>
    <w:rsid w:val="00F80C9D"/>
    <w:rsid w:val="00F83B6F"/>
    <w:rsid w:val="00F84470"/>
    <w:rsid w:val="00F857BC"/>
    <w:rsid w:val="00F90273"/>
    <w:rsid w:val="00F90BD0"/>
    <w:rsid w:val="00F92F25"/>
    <w:rsid w:val="00F93ACB"/>
    <w:rsid w:val="00F93C4F"/>
    <w:rsid w:val="00F94231"/>
    <w:rsid w:val="00F95994"/>
    <w:rsid w:val="00F973ED"/>
    <w:rsid w:val="00FA03C0"/>
    <w:rsid w:val="00FA49C5"/>
    <w:rsid w:val="00FA5BD2"/>
    <w:rsid w:val="00FA6175"/>
    <w:rsid w:val="00FA6784"/>
    <w:rsid w:val="00FA7E00"/>
    <w:rsid w:val="00FB1780"/>
    <w:rsid w:val="00FB35C6"/>
    <w:rsid w:val="00FB4C5A"/>
    <w:rsid w:val="00FB56A1"/>
    <w:rsid w:val="00FB5BFA"/>
    <w:rsid w:val="00FB6F79"/>
    <w:rsid w:val="00FC10F6"/>
    <w:rsid w:val="00FC4892"/>
    <w:rsid w:val="00FC61D1"/>
    <w:rsid w:val="00FC7C25"/>
    <w:rsid w:val="00FD0C2F"/>
    <w:rsid w:val="00FD1C2E"/>
    <w:rsid w:val="00FD3574"/>
    <w:rsid w:val="00FD602D"/>
    <w:rsid w:val="00FD60D2"/>
    <w:rsid w:val="00FD6A7D"/>
    <w:rsid w:val="00FD6FC9"/>
    <w:rsid w:val="00FE02C2"/>
    <w:rsid w:val="00FE0D74"/>
    <w:rsid w:val="00FE2D34"/>
    <w:rsid w:val="00FE3222"/>
    <w:rsid w:val="00FF1262"/>
    <w:rsid w:val="00FF26F6"/>
    <w:rsid w:val="00FF35E2"/>
    <w:rsid w:val="00FF3F34"/>
    <w:rsid w:val="00FF6E8E"/>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412D11F"/>
  <w15:docId w15:val="{B25E55DB-B4B7-4C3B-8E84-A7741C3B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122"/>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paragraph">
    <w:name w:val="paragraph"/>
    <w:basedOn w:val="Normal"/>
    <w:rsid w:val="003D08EF"/>
    <w:pPr>
      <w:spacing w:before="100" w:beforeAutospacing="1" w:after="100" w:afterAutospacing="1"/>
    </w:pPr>
    <w:rPr>
      <w:szCs w:val="24"/>
    </w:rPr>
  </w:style>
  <w:style w:type="paragraph" w:customStyle="1" w:styleId="paragraphsub">
    <w:name w:val="paragraphsub"/>
    <w:basedOn w:val="Normal"/>
    <w:rsid w:val="003D08EF"/>
    <w:pPr>
      <w:spacing w:before="100" w:beforeAutospacing="1" w:after="100" w:afterAutospacing="1"/>
    </w:pPr>
    <w:rPr>
      <w:szCs w:val="24"/>
    </w:rPr>
  </w:style>
  <w:style w:type="paragraph" w:customStyle="1" w:styleId="rc">
    <w:name w:val="rc"/>
    <w:basedOn w:val="Normal"/>
    <w:rsid w:val="002E65CD"/>
    <w:pPr>
      <w:spacing w:before="100" w:beforeAutospacing="1" w:after="100" w:afterAutospacing="1"/>
    </w:pPr>
    <w:rPr>
      <w:szCs w:val="24"/>
      <w:lang w:val="en-US" w:eastAsia="en-US"/>
    </w:rPr>
  </w:style>
  <w:style w:type="paragraph" w:customStyle="1" w:styleId="R10">
    <w:name w:val="R1"/>
    <w:aliases w:val="1. or 1.(1)"/>
    <w:basedOn w:val="Normal"/>
    <w:next w:val="Normal"/>
    <w:rsid w:val="00FF3F34"/>
    <w:pPr>
      <w:keepLines/>
      <w:tabs>
        <w:tab w:val="right" w:pos="794"/>
      </w:tabs>
      <w:spacing w:before="120" w:line="260" w:lineRule="exact"/>
      <w:ind w:left="964" w:hanging="964"/>
      <w:jc w:val="both"/>
    </w:pPr>
    <w:rPr>
      <w:szCs w:val="24"/>
      <w:lang w:eastAsia="en-US"/>
    </w:rPr>
  </w:style>
  <w:style w:type="paragraph" w:customStyle="1" w:styleId="pfparanumlevel1">
    <w:name w:val="pfparanumlevel1"/>
    <w:basedOn w:val="Normal"/>
    <w:rsid w:val="00787C2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70">
      <w:bodyDiv w:val="1"/>
      <w:marLeft w:val="0"/>
      <w:marRight w:val="0"/>
      <w:marTop w:val="0"/>
      <w:marBottom w:val="0"/>
      <w:divBdr>
        <w:top w:val="none" w:sz="0" w:space="0" w:color="auto"/>
        <w:left w:val="none" w:sz="0" w:space="0" w:color="auto"/>
        <w:bottom w:val="none" w:sz="0" w:space="0" w:color="auto"/>
        <w:right w:val="none" w:sz="0" w:space="0" w:color="auto"/>
      </w:divBdr>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254755373">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124329">
      <w:bodyDiv w:val="1"/>
      <w:marLeft w:val="0"/>
      <w:marRight w:val="0"/>
      <w:marTop w:val="0"/>
      <w:marBottom w:val="0"/>
      <w:divBdr>
        <w:top w:val="none" w:sz="0" w:space="0" w:color="auto"/>
        <w:left w:val="none" w:sz="0" w:space="0" w:color="auto"/>
        <w:bottom w:val="none" w:sz="0" w:space="0" w:color="auto"/>
        <w:right w:val="none" w:sz="0" w:space="0" w:color="auto"/>
      </w:divBdr>
    </w:div>
    <w:div w:id="1003782128">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129740770">
      <w:bodyDiv w:val="1"/>
      <w:marLeft w:val="0"/>
      <w:marRight w:val="0"/>
      <w:marTop w:val="0"/>
      <w:marBottom w:val="0"/>
      <w:divBdr>
        <w:top w:val="none" w:sz="0" w:space="0" w:color="auto"/>
        <w:left w:val="none" w:sz="0" w:space="0" w:color="auto"/>
        <w:bottom w:val="none" w:sz="0" w:space="0" w:color="auto"/>
        <w:right w:val="none" w:sz="0" w:space="0" w:color="auto"/>
      </w:divBdr>
    </w:div>
    <w:div w:id="1289704003">
      <w:bodyDiv w:val="1"/>
      <w:marLeft w:val="0"/>
      <w:marRight w:val="0"/>
      <w:marTop w:val="0"/>
      <w:marBottom w:val="0"/>
      <w:divBdr>
        <w:top w:val="none" w:sz="0" w:space="0" w:color="auto"/>
        <w:left w:val="none" w:sz="0" w:space="0" w:color="auto"/>
        <w:bottom w:val="none" w:sz="0" w:space="0" w:color="auto"/>
        <w:right w:val="none" w:sz="0" w:space="0" w:color="auto"/>
      </w:divBdr>
      <w:divsChild>
        <w:div w:id="481972505">
          <w:marLeft w:val="0"/>
          <w:marRight w:val="0"/>
          <w:marTop w:val="0"/>
          <w:marBottom w:val="0"/>
          <w:divBdr>
            <w:top w:val="none" w:sz="0" w:space="0" w:color="auto"/>
            <w:left w:val="none" w:sz="0" w:space="0" w:color="auto"/>
            <w:bottom w:val="none" w:sz="0" w:space="0" w:color="auto"/>
            <w:right w:val="none" w:sz="0" w:space="0" w:color="auto"/>
          </w:divBdr>
          <w:divsChild>
            <w:div w:id="531118094">
              <w:marLeft w:val="0"/>
              <w:marRight w:val="0"/>
              <w:marTop w:val="0"/>
              <w:marBottom w:val="0"/>
              <w:divBdr>
                <w:top w:val="none" w:sz="0" w:space="0" w:color="auto"/>
                <w:left w:val="none" w:sz="0" w:space="0" w:color="auto"/>
                <w:bottom w:val="none" w:sz="0" w:space="0" w:color="auto"/>
                <w:right w:val="none" w:sz="0" w:space="0" w:color="auto"/>
              </w:divBdr>
              <w:divsChild>
                <w:div w:id="1990481086">
                  <w:marLeft w:val="0"/>
                  <w:marRight w:val="0"/>
                  <w:marTop w:val="0"/>
                  <w:marBottom w:val="0"/>
                  <w:divBdr>
                    <w:top w:val="none" w:sz="0" w:space="0" w:color="auto"/>
                    <w:left w:val="none" w:sz="0" w:space="0" w:color="auto"/>
                    <w:bottom w:val="none" w:sz="0" w:space="0" w:color="auto"/>
                    <w:right w:val="none" w:sz="0" w:space="0" w:color="auto"/>
                  </w:divBdr>
                  <w:divsChild>
                    <w:div w:id="967660076">
                      <w:marLeft w:val="0"/>
                      <w:marRight w:val="0"/>
                      <w:marTop w:val="0"/>
                      <w:marBottom w:val="0"/>
                      <w:divBdr>
                        <w:top w:val="none" w:sz="0" w:space="0" w:color="auto"/>
                        <w:left w:val="none" w:sz="0" w:space="0" w:color="auto"/>
                        <w:bottom w:val="none" w:sz="0" w:space="0" w:color="auto"/>
                        <w:right w:val="none" w:sz="0" w:space="0" w:color="auto"/>
                      </w:divBdr>
                      <w:divsChild>
                        <w:div w:id="500970431">
                          <w:marLeft w:val="0"/>
                          <w:marRight w:val="0"/>
                          <w:marTop w:val="0"/>
                          <w:marBottom w:val="0"/>
                          <w:divBdr>
                            <w:top w:val="none" w:sz="0" w:space="0" w:color="auto"/>
                            <w:left w:val="none" w:sz="0" w:space="0" w:color="auto"/>
                            <w:bottom w:val="none" w:sz="0" w:space="0" w:color="auto"/>
                            <w:right w:val="none" w:sz="0" w:space="0" w:color="auto"/>
                          </w:divBdr>
                          <w:divsChild>
                            <w:div w:id="339967926">
                              <w:marLeft w:val="0"/>
                              <w:marRight w:val="0"/>
                              <w:marTop w:val="0"/>
                              <w:marBottom w:val="0"/>
                              <w:divBdr>
                                <w:top w:val="none" w:sz="0" w:space="0" w:color="auto"/>
                                <w:left w:val="none" w:sz="0" w:space="0" w:color="auto"/>
                                <w:bottom w:val="none" w:sz="0" w:space="0" w:color="auto"/>
                                <w:right w:val="none" w:sz="0" w:space="0" w:color="auto"/>
                              </w:divBdr>
                              <w:divsChild>
                                <w:div w:id="1759523464">
                                  <w:marLeft w:val="0"/>
                                  <w:marRight w:val="0"/>
                                  <w:marTop w:val="0"/>
                                  <w:marBottom w:val="0"/>
                                  <w:divBdr>
                                    <w:top w:val="none" w:sz="0" w:space="0" w:color="auto"/>
                                    <w:left w:val="none" w:sz="0" w:space="0" w:color="auto"/>
                                    <w:bottom w:val="none" w:sz="0" w:space="0" w:color="auto"/>
                                    <w:right w:val="none" w:sz="0" w:space="0" w:color="auto"/>
                                  </w:divBdr>
                                  <w:divsChild>
                                    <w:div w:id="1475566231">
                                      <w:marLeft w:val="0"/>
                                      <w:marRight w:val="0"/>
                                      <w:marTop w:val="0"/>
                                      <w:marBottom w:val="0"/>
                                      <w:divBdr>
                                        <w:top w:val="none" w:sz="0" w:space="0" w:color="auto"/>
                                        <w:left w:val="none" w:sz="0" w:space="0" w:color="auto"/>
                                        <w:bottom w:val="none" w:sz="0" w:space="0" w:color="auto"/>
                                        <w:right w:val="none" w:sz="0" w:space="0" w:color="auto"/>
                                      </w:divBdr>
                                      <w:divsChild>
                                        <w:div w:id="663319352">
                                          <w:marLeft w:val="0"/>
                                          <w:marRight w:val="0"/>
                                          <w:marTop w:val="0"/>
                                          <w:marBottom w:val="0"/>
                                          <w:divBdr>
                                            <w:top w:val="none" w:sz="0" w:space="0" w:color="auto"/>
                                            <w:left w:val="none" w:sz="0" w:space="0" w:color="auto"/>
                                            <w:bottom w:val="none" w:sz="0" w:space="0" w:color="auto"/>
                                            <w:right w:val="none" w:sz="0" w:space="0" w:color="auto"/>
                                          </w:divBdr>
                                          <w:divsChild>
                                            <w:div w:id="721683430">
                                              <w:marLeft w:val="0"/>
                                              <w:marRight w:val="0"/>
                                              <w:marTop w:val="0"/>
                                              <w:marBottom w:val="0"/>
                                              <w:divBdr>
                                                <w:top w:val="none" w:sz="0" w:space="0" w:color="auto"/>
                                                <w:left w:val="none" w:sz="0" w:space="0" w:color="auto"/>
                                                <w:bottom w:val="none" w:sz="0" w:space="0" w:color="auto"/>
                                                <w:right w:val="none" w:sz="0" w:space="0" w:color="auto"/>
                                              </w:divBdr>
                                              <w:divsChild>
                                                <w:div w:id="824509691">
                                                  <w:marLeft w:val="0"/>
                                                  <w:marRight w:val="0"/>
                                                  <w:marTop w:val="0"/>
                                                  <w:marBottom w:val="0"/>
                                                  <w:divBdr>
                                                    <w:top w:val="none" w:sz="0" w:space="0" w:color="auto"/>
                                                    <w:left w:val="none" w:sz="0" w:space="0" w:color="auto"/>
                                                    <w:bottom w:val="none" w:sz="0" w:space="0" w:color="auto"/>
                                                    <w:right w:val="none" w:sz="0" w:space="0" w:color="auto"/>
                                                  </w:divBdr>
                                                  <w:divsChild>
                                                    <w:div w:id="910384079">
                                                      <w:marLeft w:val="0"/>
                                                      <w:marRight w:val="0"/>
                                                      <w:marTop w:val="0"/>
                                                      <w:marBottom w:val="0"/>
                                                      <w:divBdr>
                                                        <w:top w:val="none" w:sz="0" w:space="0" w:color="auto"/>
                                                        <w:left w:val="none" w:sz="0" w:space="0" w:color="auto"/>
                                                        <w:bottom w:val="none" w:sz="0" w:space="0" w:color="auto"/>
                                                        <w:right w:val="none" w:sz="0" w:space="0" w:color="auto"/>
                                                      </w:divBdr>
                                                      <w:divsChild>
                                                        <w:div w:id="2927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799378890">
      <w:bodyDiv w:val="1"/>
      <w:marLeft w:val="0"/>
      <w:marRight w:val="0"/>
      <w:marTop w:val="0"/>
      <w:marBottom w:val="0"/>
      <w:divBdr>
        <w:top w:val="none" w:sz="0" w:space="0" w:color="auto"/>
        <w:left w:val="none" w:sz="0" w:space="0" w:color="auto"/>
        <w:bottom w:val="none" w:sz="0" w:space="0" w:color="auto"/>
        <w:right w:val="none" w:sz="0" w:space="0" w:color="auto"/>
      </w:divBdr>
    </w:div>
    <w:div w:id="1943104139">
      <w:bodyDiv w:val="1"/>
      <w:marLeft w:val="0"/>
      <w:marRight w:val="0"/>
      <w:marTop w:val="0"/>
      <w:marBottom w:val="0"/>
      <w:divBdr>
        <w:top w:val="none" w:sz="0" w:space="0" w:color="auto"/>
        <w:left w:val="none" w:sz="0" w:space="0" w:color="auto"/>
        <w:bottom w:val="none" w:sz="0" w:space="0" w:color="auto"/>
        <w:right w:val="none" w:sz="0" w:space="0" w:color="auto"/>
      </w:divBdr>
      <w:divsChild>
        <w:div w:id="1092504414">
          <w:marLeft w:val="0"/>
          <w:marRight w:val="0"/>
          <w:marTop w:val="0"/>
          <w:marBottom w:val="0"/>
          <w:divBdr>
            <w:top w:val="none" w:sz="0" w:space="0" w:color="auto"/>
            <w:left w:val="none" w:sz="0" w:space="0" w:color="auto"/>
            <w:bottom w:val="none" w:sz="0" w:space="0" w:color="auto"/>
            <w:right w:val="none" w:sz="0" w:space="0" w:color="auto"/>
          </w:divBdr>
          <w:divsChild>
            <w:div w:id="680817620">
              <w:marLeft w:val="0"/>
              <w:marRight w:val="0"/>
              <w:marTop w:val="0"/>
              <w:marBottom w:val="0"/>
              <w:divBdr>
                <w:top w:val="none" w:sz="0" w:space="0" w:color="auto"/>
                <w:left w:val="none" w:sz="0" w:space="0" w:color="auto"/>
                <w:bottom w:val="none" w:sz="0" w:space="0" w:color="auto"/>
                <w:right w:val="none" w:sz="0" w:space="0" w:color="auto"/>
              </w:divBdr>
              <w:divsChild>
                <w:div w:id="27728285">
                  <w:marLeft w:val="0"/>
                  <w:marRight w:val="0"/>
                  <w:marTop w:val="0"/>
                  <w:marBottom w:val="0"/>
                  <w:divBdr>
                    <w:top w:val="none" w:sz="0" w:space="0" w:color="auto"/>
                    <w:left w:val="none" w:sz="0" w:space="0" w:color="auto"/>
                    <w:bottom w:val="none" w:sz="0" w:space="0" w:color="auto"/>
                    <w:right w:val="none" w:sz="0" w:space="0" w:color="auto"/>
                  </w:divBdr>
                  <w:divsChild>
                    <w:div w:id="1616910741">
                      <w:marLeft w:val="0"/>
                      <w:marRight w:val="0"/>
                      <w:marTop w:val="0"/>
                      <w:marBottom w:val="0"/>
                      <w:divBdr>
                        <w:top w:val="none" w:sz="0" w:space="0" w:color="auto"/>
                        <w:left w:val="none" w:sz="0" w:space="0" w:color="auto"/>
                        <w:bottom w:val="none" w:sz="0" w:space="0" w:color="auto"/>
                        <w:right w:val="none" w:sz="0" w:space="0" w:color="auto"/>
                      </w:divBdr>
                      <w:divsChild>
                        <w:div w:id="1992057375">
                          <w:marLeft w:val="0"/>
                          <w:marRight w:val="0"/>
                          <w:marTop w:val="0"/>
                          <w:marBottom w:val="0"/>
                          <w:divBdr>
                            <w:top w:val="none" w:sz="0" w:space="0" w:color="auto"/>
                            <w:left w:val="none" w:sz="0" w:space="0" w:color="auto"/>
                            <w:bottom w:val="none" w:sz="0" w:space="0" w:color="auto"/>
                            <w:right w:val="none" w:sz="0" w:space="0" w:color="auto"/>
                          </w:divBdr>
                          <w:divsChild>
                            <w:div w:id="1401558324">
                              <w:marLeft w:val="0"/>
                              <w:marRight w:val="0"/>
                              <w:marTop w:val="0"/>
                              <w:marBottom w:val="0"/>
                              <w:divBdr>
                                <w:top w:val="none" w:sz="0" w:space="0" w:color="auto"/>
                                <w:left w:val="none" w:sz="0" w:space="0" w:color="auto"/>
                                <w:bottom w:val="none" w:sz="0" w:space="0" w:color="auto"/>
                                <w:right w:val="none" w:sz="0" w:space="0" w:color="auto"/>
                              </w:divBdr>
                              <w:divsChild>
                                <w:div w:id="1280337522">
                                  <w:marLeft w:val="0"/>
                                  <w:marRight w:val="0"/>
                                  <w:marTop w:val="0"/>
                                  <w:marBottom w:val="0"/>
                                  <w:divBdr>
                                    <w:top w:val="none" w:sz="0" w:space="0" w:color="auto"/>
                                    <w:left w:val="none" w:sz="0" w:space="0" w:color="auto"/>
                                    <w:bottom w:val="none" w:sz="0" w:space="0" w:color="auto"/>
                                    <w:right w:val="none" w:sz="0" w:space="0" w:color="auto"/>
                                  </w:divBdr>
                                  <w:divsChild>
                                    <w:div w:id="70736300">
                                      <w:marLeft w:val="0"/>
                                      <w:marRight w:val="0"/>
                                      <w:marTop w:val="0"/>
                                      <w:marBottom w:val="0"/>
                                      <w:divBdr>
                                        <w:top w:val="none" w:sz="0" w:space="0" w:color="auto"/>
                                        <w:left w:val="none" w:sz="0" w:space="0" w:color="auto"/>
                                        <w:bottom w:val="none" w:sz="0" w:space="0" w:color="auto"/>
                                        <w:right w:val="none" w:sz="0" w:space="0" w:color="auto"/>
                                      </w:divBdr>
                                      <w:divsChild>
                                        <w:div w:id="1310398506">
                                          <w:marLeft w:val="0"/>
                                          <w:marRight w:val="0"/>
                                          <w:marTop w:val="0"/>
                                          <w:marBottom w:val="0"/>
                                          <w:divBdr>
                                            <w:top w:val="none" w:sz="0" w:space="0" w:color="auto"/>
                                            <w:left w:val="none" w:sz="0" w:space="0" w:color="auto"/>
                                            <w:bottom w:val="none" w:sz="0" w:space="0" w:color="auto"/>
                                            <w:right w:val="none" w:sz="0" w:space="0" w:color="auto"/>
                                          </w:divBdr>
                                          <w:divsChild>
                                            <w:div w:id="1021518419">
                                              <w:marLeft w:val="0"/>
                                              <w:marRight w:val="0"/>
                                              <w:marTop w:val="0"/>
                                              <w:marBottom w:val="0"/>
                                              <w:divBdr>
                                                <w:top w:val="none" w:sz="0" w:space="0" w:color="auto"/>
                                                <w:left w:val="none" w:sz="0" w:space="0" w:color="auto"/>
                                                <w:bottom w:val="none" w:sz="0" w:space="0" w:color="auto"/>
                                                <w:right w:val="none" w:sz="0" w:space="0" w:color="auto"/>
                                              </w:divBdr>
                                              <w:divsChild>
                                                <w:div w:id="793788659">
                                                  <w:marLeft w:val="0"/>
                                                  <w:marRight w:val="0"/>
                                                  <w:marTop w:val="0"/>
                                                  <w:marBottom w:val="0"/>
                                                  <w:divBdr>
                                                    <w:top w:val="none" w:sz="0" w:space="0" w:color="auto"/>
                                                    <w:left w:val="none" w:sz="0" w:space="0" w:color="auto"/>
                                                    <w:bottom w:val="none" w:sz="0" w:space="0" w:color="auto"/>
                                                    <w:right w:val="none" w:sz="0" w:space="0" w:color="auto"/>
                                                  </w:divBdr>
                                                  <w:divsChild>
                                                    <w:div w:id="282926573">
                                                      <w:marLeft w:val="0"/>
                                                      <w:marRight w:val="0"/>
                                                      <w:marTop w:val="0"/>
                                                      <w:marBottom w:val="0"/>
                                                      <w:divBdr>
                                                        <w:top w:val="none" w:sz="0" w:space="0" w:color="auto"/>
                                                        <w:left w:val="none" w:sz="0" w:space="0" w:color="auto"/>
                                                        <w:bottom w:val="none" w:sz="0" w:space="0" w:color="auto"/>
                                                        <w:right w:val="none" w:sz="0" w:space="0" w:color="auto"/>
                                                      </w:divBdr>
                                                      <w:divsChild>
                                                        <w:div w:id="9604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003207">
      <w:bodyDiv w:val="1"/>
      <w:marLeft w:val="0"/>
      <w:marRight w:val="0"/>
      <w:marTop w:val="0"/>
      <w:marBottom w:val="0"/>
      <w:divBdr>
        <w:top w:val="none" w:sz="0" w:space="0" w:color="auto"/>
        <w:left w:val="none" w:sz="0" w:space="0" w:color="auto"/>
        <w:bottom w:val="none" w:sz="0" w:space="0" w:color="auto"/>
        <w:right w:val="none" w:sz="0" w:space="0" w:color="auto"/>
      </w:divBdr>
    </w:div>
    <w:div w:id="2104762908">
      <w:bodyDiv w:val="1"/>
      <w:marLeft w:val="0"/>
      <w:marRight w:val="0"/>
      <w:marTop w:val="0"/>
      <w:marBottom w:val="0"/>
      <w:divBdr>
        <w:top w:val="none" w:sz="0" w:space="0" w:color="auto"/>
        <w:left w:val="none" w:sz="0" w:space="0" w:color="auto"/>
        <w:bottom w:val="none" w:sz="0" w:space="0" w:color="auto"/>
        <w:right w:val="none" w:sz="0" w:space="0" w:color="auto"/>
      </w:divBdr>
    </w:div>
    <w:div w:id="2125037317">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purl.org/dc/terms/"/>
    <ds:schemaRef ds:uri="http://schemas.openxmlformats.org/package/2006/metadata/core-properties"/>
    <ds:schemaRef ds:uri="8bd9498f-fa43-4ae2-8bb2-4c55a71680ad"/>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02A50F3C-A251-46A8-91A8-5246A2CB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Grech, Krystle</cp:lastModifiedBy>
  <cp:revision>21</cp:revision>
  <cp:lastPrinted>2020-02-05T05:11:00Z</cp:lastPrinted>
  <dcterms:created xsi:type="dcterms:W3CDTF">2020-02-11T03:48:00Z</dcterms:created>
  <dcterms:modified xsi:type="dcterms:W3CDTF">2020-06-02T23:38:00Z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