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DCAF" w14:textId="77777777" w:rsidR="00914AEC" w:rsidRPr="00F20998" w:rsidRDefault="00914AEC" w:rsidP="00914AEC">
      <w:pPr>
        <w:jc w:val="center"/>
        <w:rPr>
          <w:rFonts w:ascii="Arial" w:hAnsi="Arial" w:cs="Arial"/>
          <w:b/>
        </w:rPr>
      </w:pPr>
      <w:r w:rsidRPr="00F20998">
        <w:rPr>
          <w:rFonts w:ascii="Arial" w:hAnsi="Arial" w:cs="Arial"/>
          <w:b/>
        </w:rPr>
        <w:t>EXPLANATORY STATEMENT</w:t>
      </w:r>
    </w:p>
    <w:p w14:paraId="5C3FF273" w14:textId="77777777" w:rsidR="00914AEC" w:rsidRPr="00F20998" w:rsidRDefault="00914AEC" w:rsidP="00914AEC">
      <w:pPr>
        <w:jc w:val="center"/>
        <w:rPr>
          <w:rFonts w:ascii="Arial" w:hAnsi="Arial" w:cs="Arial"/>
          <w:b/>
        </w:rPr>
      </w:pPr>
    </w:p>
    <w:p w14:paraId="1C450D8E" w14:textId="77777777" w:rsidR="00F20998" w:rsidRPr="00F20998" w:rsidRDefault="00F20998" w:rsidP="00F20998">
      <w:pPr>
        <w:jc w:val="center"/>
        <w:rPr>
          <w:rFonts w:ascii="Arial" w:hAnsi="Arial" w:cs="Arial"/>
        </w:rPr>
      </w:pPr>
      <w:r w:rsidRPr="00F20998">
        <w:rPr>
          <w:rFonts w:ascii="Arial" w:hAnsi="Arial" w:cs="Arial"/>
        </w:rPr>
        <w:t>Issued by the Authority of the Minister for Education</w:t>
      </w:r>
    </w:p>
    <w:p w14:paraId="2025CA05" w14:textId="77777777" w:rsidR="00F20998" w:rsidRPr="00F20998" w:rsidRDefault="00F20998" w:rsidP="00F20998">
      <w:pPr>
        <w:jc w:val="center"/>
        <w:rPr>
          <w:rFonts w:ascii="Arial" w:hAnsi="Arial" w:cs="Arial"/>
          <w:b/>
        </w:rPr>
      </w:pPr>
    </w:p>
    <w:p w14:paraId="64C3D597" w14:textId="77777777" w:rsidR="00F20998" w:rsidRPr="00F20998" w:rsidRDefault="00F20998" w:rsidP="00F20998">
      <w:pPr>
        <w:jc w:val="center"/>
        <w:rPr>
          <w:rFonts w:ascii="Arial" w:hAnsi="Arial" w:cs="Arial"/>
          <w:b/>
          <w:i/>
        </w:rPr>
      </w:pPr>
      <w:r w:rsidRPr="00F20998">
        <w:rPr>
          <w:rFonts w:ascii="Arial" w:hAnsi="Arial" w:cs="Arial"/>
          <w:b/>
          <w:i/>
        </w:rPr>
        <w:t>Higher Education Support Act 2003</w:t>
      </w:r>
    </w:p>
    <w:p w14:paraId="47E5EF67" w14:textId="77777777" w:rsidR="009C5237" w:rsidRPr="00F20998" w:rsidRDefault="009C5237" w:rsidP="009C5237">
      <w:pPr>
        <w:jc w:val="center"/>
        <w:rPr>
          <w:rFonts w:ascii="Arial" w:hAnsi="Arial" w:cs="Arial"/>
          <w:b/>
        </w:rPr>
      </w:pPr>
    </w:p>
    <w:p w14:paraId="5B1E0B52" w14:textId="6FBA1843" w:rsidR="001006BE" w:rsidRPr="00F20998" w:rsidRDefault="00FE3918" w:rsidP="009C5237">
      <w:pPr>
        <w:jc w:val="center"/>
        <w:rPr>
          <w:rFonts w:ascii="Arial" w:hAnsi="Arial" w:cs="Arial"/>
          <w:b/>
        </w:rPr>
      </w:pPr>
      <w:r>
        <w:rPr>
          <w:rFonts w:ascii="Arial" w:hAnsi="Arial" w:cs="Arial"/>
          <w:b/>
        </w:rPr>
        <w:t>Higher Education Provider Amendment (AAT Review) Guidelines 2020</w:t>
      </w:r>
    </w:p>
    <w:p w14:paraId="2AA53EE1" w14:textId="77777777" w:rsidR="00476E83" w:rsidRDefault="00476E83">
      <w:pPr>
        <w:spacing w:after="200" w:line="276" w:lineRule="auto"/>
        <w:rPr>
          <w:rFonts w:ascii="Arial" w:hAnsi="Arial" w:cs="Arial"/>
          <w:b/>
          <w:sz w:val="28"/>
          <w:szCs w:val="28"/>
        </w:rPr>
      </w:pPr>
    </w:p>
    <w:p w14:paraId="2069FB68" w14:textId="132358AD" w:rsidR="001006BE" w:rsidRPr="00F20998" w:rsidRDefault="00914AEC" w:rsidP="005A69B8">
      <w:pPr>
        <w:keepNext/>
        <w:rPr>
          <w:rFonts w:ascii="Arial" w:hAnsi="Arial" w:cs="Arial"/>
          <w:b/>
        </w:rPr>
      </w:pPr>
      <w:r w:rsidRPr="00F20998">
        <w:rPr>
          <w:rFonts w:ascii="Arial" w:hAnsi="Arial" w:cs="Arial"/>
          <w:b/>
        </w:rPr>
        <w:t>P</w:t>
      </w:r>
      <w:r w:rsidR="00F20998" w:rsidRPr="00F20998">
        <w:rPr>
          <w:rFonts w:ascii="Arial" w:hAnsi="Arial" w:cs="Arial"/>
          <w:b/>
        </w:rPr>
        <w:t>urpose</w:t>
      </w:r>
      <w:r w:rsidR="006F2780">
        <w:rPr>
          <w:rFonts w:ascii="Arial" w:hAnsi="Arial" w:cs="Arial"/>
          <w:b/>
        </w:rPr>
        <w:t xml:space="preserve"> and authority </w:t>
      </w:r>
    </w:p>
    <w:p w14:paraId="1CDE8B11" w14:textId="77777777" w:rsidR="00914AEC" w:rsidRDefault="00914AEC" w:rsidP="005A69B8">
      <w:pPr>
        <w:keepNext/>
        <w:rPr>
          <w:rFonts w:ascii="Arial" w:hAnsi="Arial" w:cs="Arial"/>
          <w:szCs w:val="22"/>
        </w:rPr>
      </w:pPr>
    </w:p>
    <w:p w14:paraId="2089CD31" w14:textId="39A6437A" w:rsidR="0073633E" w:rsidRDefault="00914AEC" w:rsidP="00C353DD">
      <w:pPr>
        <w:rPr>
          <w:rFonts w:ascii="Arial" w:hAnsi="Arial" w:cs="Arial"/>
          <w:szCs w:val="22"/>
        </w:rPr>
      </w:pPr>
      <w:r>
        <w:rPr>
          <w:rFonts w:ascii="Arial" w:hAnsi="Arial" w:cs="Arial"/>
          <w:szCs w:val="22"/>
        </w:rPr>
        <w:t xml:space="preserve">The purpose of </w:t>
      </w:r>
      <w:r w:rsidR="00520144">
        <w:rPr>
          <w:rFonts w:ascii="Arial" w:hAnsi="Arial" w:cs="Arial"/>
          <w:szCs w:val="22"/>
        </w:rPr>
        <w:t xml:space="preserve">the </w:t>
      </w:r>
      <w:r w:rsidR="00FE3918">
        <w:rPr>
          <w:rFonts w:ascii="Arial" w:hAnsi="Arial" w:cs="Arial"/>
          <w:i/>
          <w:szCs w:val="22"/>
        </w:rPr>
        <w:t>Higher Education Provider Amendment (AAT Review) Guidelines 2020</w:t>
      </w:r>
      <w:r w:rsidR="00520144">
        <w:rPr>
          <w:rFonts w:ascii="Arial" w:hAnsi="Arial" w:cs="Arial"/>
          <w:szCs w:val="22"/>
        </w:rPr>
        <w:t xml:space="preserve"> (the </w:t>
      </w:r>
      <w:r w:rsidR="00D125BE" w:rsidRPr="00D125BE">
        <w:rPr>
          <w:rFonts w:ascii="Arial" w:hAnsi="Arial" w:cs="Arial"/>
          <w:b/>
          <w:szCs w:val="22"/>
        </w:rPr>
        <w:t xml:space="preserve">Amendment </w:t>
      </w:r>
      <w:r w:rsidR="00520144" w:rsidRPr="008B3A5F">
        <w:rPr>
          <w:rFonts w:ascii="Arial" w:hAnsi="Arial" w:cs="Arial"/>
          <w:b/>
          <w:szCs w:val="22"/>
        </w:rPr>
        <w:t>Instrument</w:t>
      </w:r>
      <w:r w:rsidR="00520144">
        <w:rPr>
          <w:rFonts w:ascii="Arial" w:hAnsi="Arial" w:cs="Arial"/>
          <w:szCs w:val="22"/>
        </w:rPr>
        <w:t xml:space="preserve">) </w:t>
      </w:r>
      <w:r>
        <w:rPr>
          <w:rFonts w:ascii="Arial" w:hAnsi="Arial" w:cs="Arial"/>
          <w:szCs w:val="22"/>
        </w:rPr>
        <w:t xml:space="preserve">is to </w:t>
      </w:r>
      <w:r w:rsidR="00B61A19">
        <w:rPr>
          <w:rFonts w:ascii="Arial" w:hAnsi="Arial" w:cs="Arial"/>
          <w:szCs w:val="22"/>
        </w:rPr>
        <w:t>amend</w:t>
      </w:r>
      <w:r w:rsidR="007C74A5">
        <w:rPr>
          <w:rFonts w:ascii="Arial" w:hAnsi="Arial" w:cs="Arial"/>
          <w:szCs w:val="22"/>
        </w:rPr>
        <w:t xml:space="preserve"> the </w:t>
      </w:r>
      <w:r w:rsidR="00FE3918">
        <w:rPr>
          <w:rFonts w:ascii="Arial" w:hAnsi="Arial" w:cs="Arial"/>
          <w:i/>
          <w:szCs w:val="22"/>
        </w:rPr>
        <w:t>Higher Education Provider Guidelines 2012</w:t>
      </w:r>
      <w:r w:rsidR="00B61A19">
        <w:rPr>
          <w:rFonts w:ascii="Arial" w:hAnsi="Arial" w:cs="Arial"/>
          <w:szCs w:val="22"/>
        </w:rPr>
        <w:t xml:space="preserve"> </w:t>
      </w:r>
      <w:r w:rsidR="00A73EAE" w:rsidRPr="007C74A5">
        <w:rPr>
          <w:rFonts w:ascii="Arial" w:hAnsi="Arial" w:cs="Arial"/>
          <w:szCs w:val="22"/>
        </w:rPr>
        <w:t>(</w:t>
      </w:r>
      <w:r w:rsidR="00A73EAE" w:rsidRPr="006F2780">
        <w:rPr>
          <w:rFonts w:ascii="Arial" w:hAnsi="Arial" w:cs="Arial"/>
          <w:szCs w:val="22"/>
        </w:rPr>
        <w:t xml:space="preserve">the </w:t>
      </w:r>
      <w:r w:rsidR="00A73EAE" w:rsidRPr="00D125BE">
        <w:rPr>
          <w:rFonts w:ascii="Arial" w:hAnsi="Arial" w:cs="Arial"/>
          <w:b/>
          <w:szCs w:val="22"/>
        </w:rPr>
        <w:t>Guidelines</w:t>
      </w:r>
      <w:r w:rsidR="00A73EAE" w:rsidRPr="007C74A5">
        <w:rPr>
          <w:rFonts w:ascii="Arial" w:hAnsi="Arial" w:cs="Arial"/>
          <w:szCs w:val="22"/>
        </w:rPr>
        <w:t xml:space="preserve">) </w:t>
      </w:r>
      <w:r w:rsidR="00B61A19" w:rsidRPr="003130C6">
        <w:rPr>
          <w:rFonts w:ascii="Arial" w:hAnsi="Arial" w:cs="Arial"/>
          <w:szCs w:val="22"/>
        </w:rPr>
        <w:t xml:space="preserve">to </w:t>
      </w:r>
      <w:bookmarkStart w:id="0" w:name="_GoBack"/>
      <w:bookmarkEnd w:id="0"/>
      <w:r w:rsidR="00FE3918">
        <w:rPr>
          <w:rFonts w:ascii="Arial" w:hAnsi="Arial" w:cs="Arial"/>
          <w:szCs w:val="22"/>
        </w:rPr>
        <w:t xml:space="preserve">provide for the availability of independent merits review </w:t>
      </w:r>
      <w:r w:rsidR="00044240">
        <w:rPr>
          <w:rFonts w:ascii="Arial" w:hAnsi="Arial" w:cs="Arial"/>
          <w:szCs w:val="22"/>
        </w:rPr>
        <w:t xml:space="preserve">by </w:t>
      </w:r>
      <w:r w:rsidR="00FE3918">
        <w:rPr>
          <w:rFonts w:ascii="Arial" w:hAnsi="Arial" w:cs="Arial"/>
          <w:szCs w:val="22"/>
        </w:rPr>
        <w:t xml:space="preserve">the Administrative Appeals Tribunal </w:t>
      </w:r>
      <w:r w:rsidR="007550EA">
        <w:rPr>
          <w:rFonts w:ascii="Arial" w:hAnsi="Arial" w:cs="Arial"/>
          <w:szCs w:val="22"/>
        </w:rPr>
        <w:t>(</w:t>
      </w:r>
      <w:r w:rsidR="007550EA" w:rsidRPr="007550EA">
        <w:rPr>
          <w:rFonts w:ascii="Arial" w:hAnsi="Arial" w:cs="Arial"/>
          <w:b/>
          <w:szCs w:val="22"/>
        </w:rPr>
        <w:t>AAT</w:t>
      </w:r>
      <w:r w:rsidR="007550EA">
        <w:rPr>
          <w:rFonts w:ascii="Arial" w:hAnsi="Arial" w:cs="Arial"/>
          <w:szCs w:val="22"/>
        </w:rPr>
        <w:t xml:space="preserve">) </w:t>
      </w:r>
      <w:r w:rsidR="00044240">
        <w:rPr>
          <w:rFonts w:ascii="Arial" w:hAnsi="Arial" w:cs="Arial"/>
          <w:szCs w:val="22"/>
        </w:rPr>
        <w:t xml:space="preserve">of </w:t>
      </w:r>
      <w:r w:rsidR="00FE3918">
        <w:rPr>
          <w:rFonts w:ascii="Arial" w:hAnsi="Arial" w:cs="Arial"/>
          <w:szCs w:val="22"/>
        </w:rPr>
        <w:t>a review decision made by the HELP Tuition Protection Director in relation to the HELP tuition protection levy</w:t>
      </w:r>
      <w:r w:rsidR="00092032">
        <w:rPr>
          <w:rFonts w:ascii="Arial" w:hAnsi="Arial" w:cs="Arial"/>
          <w:szCs w:val="22"/>
        </w:rPr>
        <w:t xml:space="preserve"> (</w:t>
      </w:r>
      <w:r w:rsidR="00092032">
        <w:rPr>
          <w:rFonts w:ascii="Arial" w:hAnsi="Arial" w:cs="Arial"/>
          <w:b/>
          <w:szCs w:val="22"/>
        </w:rPr>
        <w:t>levy</w:t>
      </w:r>
      <w:r w:rsidR="00092032">
        <w:rPr>
          <w:rFonts w:ascii="Arial" w:hAnsi="Arial" w:cs="Arial"/>
          <w:szCs w:val="22"/>
        </w:rPr>
        <w:t>)</w:t>
      </w:r>
      <w:r w:rsidR="00FE3918">
        <w:rPr>
          <w:rFonts w:ascii="Arial" w:hAnsi="Arial" w:cs="Arial"/>
          <w:szCs w:val="22"/>
        </w:rPr>
        <w:t xml:space="preserve">. </w:t>
      </w:r>
    </w:p>
    <w:p w14:paraId="25D02E33" w14:textId="65B96A03" w:rsidR="006F2780" w:rsidRDefault="006F2780" w:rsidP="00C353DD">
      <w:pPr>
        <w:rPr>
          <w:rFonts w:ascii="Arial" w:hAnsi="Arial" w:cs="Arial"/>
          <w:szCs w:val="22"/>
        </w:rPr>
      </w:pPr>
    </w:p>
    <w:p w14:paraId="1524E57C" w14:textId="682E1B27" w:rsidR="006F2780" w:rsidRPr="006F2780" w:rsidRDefault="006F2780" w:rsidP="00C353DD">
      <w:pPr>
        <w:rPr>
          <w:rFonts w:ascii="Arial" w:hAnsi="Arial" w:cs="Arial"/>
          <w:szCs w:val="22"/>
        </w:rPr>
      </w:pPr>
      <w:r>
        <w:rPr>
          <w:rFonts w:ascii="Arial" w:hAnsi="Arial" w:cs="Arial"/>
          <w:szCs w:val="22"/>
        </w:rPr>
        <w:t xml:space="preserve">The Amendment Instrument is made under section 238-10 of the </w:t>
      </w:r>
      <w:r>
        <w:rPr>
          <w:rFonts w:ascii="Arial" w:hAnsi="Arial" w:cs="Arial"/>
          <w:i/>
          <w:szCs w:val="22"/>
        </w:rPr>
        <w:t xml:space="preserve">Higher Education Support Act 2003 </w:t>
      </w:r>
      <w:r>
        <w:rPr>
          <w:rFonts w:ascii="Arial" w:hAnsi="Arial" w:cs="Arial"/>
          <w:szCs w:val="22"/>
        </w:rPr>
        <w:t>(</w:t>
      </w:r>
      <w:r w:rsidRPr="006F2780">
        <w:rPr>
          <w:rFonts w:ascii="Arial" w:hAnsi="Arial" w:cs="Arial"/>
          <w:szCs w:val="22"/>
        </w:rPr>
        <w:t>the</w:t>
      </w:r>
      <w:r w:rsidRPr="006F2780">
        <w:rPr>
          <w:rFonts w:ascii="Arial" w:hAnsi="Arial" w:cs="Arial"/>
          <w:b/>
          <w:szCs w:val="22"/>
        </w:rPr>
        <w:t xml:space="preserve"> Act</w:t>
      </w:r>
      <w:r>
        <w:rPr>
          <w:rFonts w:ascii="Arial" w:hAnsi="Arial" w:cs="Arial"/>
          <w:szCs w:val="22"/>
        </w:rPr>
        <w:t>). The Amendment Instrument amend</w:t>
      </w:r>
      <w:r w:rsidR="00663149">
        <w:rPr>
          <w:rFonts w:ascii="Arial" w:hAnsi="Arial" w:cs="Arial"/>
          <w:szCs w:val="22"/>
        </w:rPr>
        <w:t>s</w:t>
      </w:r>
      <w:r>
        <w:rPr>
          <w:rFonts w:ascii="Arial" w:hAnsi="Arial" w:cs="Arial"/>
          <w:szCs w:val="22"/>
        </w:rPr>
        <w:t xml:space="preserve"> the Guidelines </w:t>
      </w:r>
      <w:r w:rsidR="00663149">
        <w:rPr>
          <w:rFonts w:ascii="Arial" w:hAnsi="Arial" w:cs="Arial"/>
          <w:szCs w:val="22"/>
        </w:rPr>
        <w:t xml:space="preserve">for </w:t>
      </w:r>
      <w:r>
        <w:rPr>
          <w:rFonts w:ascii="Arial" w:hAnsi="Arial" w:cs="Arial"/>
          <w:szCs w:val="22"/>
        </w:rPr>
        <w:t xml:space="preserve">the purposes of Part 2-1 of the Act. </w:t>
      </w:r>
    </w:p>
    <w:p w14:paraId="61918540" w14:textId="77777777" w:rsidR="00B61A19" w:rsidRPr="007C74A5" w:rsidRDefault="00B61A19" w:rsidP="00914AEC">
      <w:pPr>
        <w:rPr>
          <w:rFonts w:ascii="Arial" w:hAnsi="Arial" w:cs="Arial"/>
          <w:szCs w:val="22"/>
          <w:highlight w:val="lightGray"/>
        </w:rPr>
      </w:pPr>
    </w:p>
    <w:p w14:paraId="26B1C7C9" w14:textId="77777777" w:rsidR="00B61A19" w:rsidRPr="00BA19AE" w:rsidRDefault="00B61A19" w:rsidP="005A69B8">
      <w:pPr>
        <w:keepNext/>
        <w:rPr>
          <w:rFonts w:ascii="Arial" w:hAnsi="Arial" w:cs="Arial"/>
          <w:b/>
          <w:szCs w:val="22"/>
        </w:rPr>
      </w:pPr>
      <w:r w:rsidRPr="00BA19AE">
        <w:rPr>
          <w:rFonts w:ascii="Arial" w:hAnsi="Arial" w:cs="Arial"/>
          <w:b/>
          <w:szCs w:val="22"/>
        </w:rPr>
        <w:t>B</w:t>
      </w:r>
      <w:r w:rsidR="005816FA">
        <w:rPr>
          <w:rFonts w:ascii="Arial" w:hAnsi="Arial" w:cs="Arial"/>
          <w:b/>
          <w:szCs w:val="22"/>
        </w:rPr>
        <w:t>ackground</w:t>
      </w:r>
    </w:p>
    <w:p w14:paraId="0D4A3434" w14:textId="77777777" w:rsidR="00B23DFE" w:rsidRPr="007C74A5" w:rsidRDefault="00B23DFE" w:rsidP="005A69B8">
      <w:pPr>
        <w:keepNext/>
        <w:rPr>
          <w:rFonts w:ascii="Arial" w:hAnsi="Arial" w:cs="Arial"/>
          <w:szCs w:val="22"/>
          <w:highlight w:val="lightGray"/>
        </w:rPr>
      </w:pPr>
    </w:p>
    <w:p w14:paraId="7EE4CD75" w14:textId="30F729B7" w:rsidR="006A4AF5" w:rsidRDefault="00FE3918" w:rsidP="00B61A19">
      <w:pPr>
        <w:rPr>
          <w:rFonts w:ascii="Arial" w:hAnsi="Arial" w:cs="Arial"/>
          <w:szCs w:val="22"/>
        </w:rPr>
      </w:pPr>
      <w:r>
        <w:rPr>
          <w:rFonts w:ascii="Arial" w:hAnsi="Arial" w:cs="Arial"/>
          <w:szCs w:val="22"/>
        </w:rPr>
        <w:t xml:space="preserve">The </w:t>
      </w:r>
      <w:r>
        <w:rPr>
          <w:rFonts w:ascii="Arial" w:hAnsi="Arial" w:cs="Arial"/>
          <w:i/>
          <w:szCs w:val="22"/>
        </w:rPr>
        <w:t xml:space="preserve">Education Legislation Amendment (Tuition Protection and Other Measures) Act 2019 </w:t>
      </w:r>
      <w:r w:rsidR="00663149">
        <w:rPr>
          <w:rFonts w:ascii="Arial" w:hAnsi="Arial" w:cs="Arial"/>
          <w:szCs w:val="22"/>
        </w:rPr>
        <w:t>amended the Act to introduce</w:t>
      </w:r>
      <w:r>
        <w:rPr>
          <w:rFonts w:ascii="Arial" w:hAnsi="Arial" w:cs="Arial"/>
          <w:szCs w:val="22"/>
        </w:rPr>
        <w:t xml:space="preserve"> new tuition protection arrangements, commencing on </w:t>
      </w:r>
      <w:r w:rsidR="00663149">
        <w:rPr>
          <w:rFonts w:ascii="Arial" w:hAnsi="Arial" w:cs="Arial"/>
          <w:szCs w:val="22"/>
        </w:rPr>
        <w:t>1 January 2020</w:t>
      </w:r>
      <w:r>
        <w:rPr>
          <w:rFonts w:ascii="Arial" w:hAnsi="Arial" w:cs="Arial"/>
          <w:szCs w:val="22"/>
        </w:rPr>
        <w:t xml:space="preserve">. The tuition protection arrangements are funded by providers through a levy model set out in the </w:t>
      </w:r>
      <w:r>
        <w:rPr>
          <w:rFonts w:ascii="Arial" w:hAnsi="Arial" w:cs="Arial"/>
          <w:i/>
          <w:szCs w:val="22"/>
        </w:rPr>
        <w:t xml:space="preserve">Higher Education Support (HELP Tuition Protection Levy) Act 2020. </w:t>
      </w:r>
    </w:p>
    <w:p w14:paraId="791F3CEE" w14:textId="0D933915" w:rsidR="00FE3918" w:rsidRDefault="00FE3918" w:rsidP="00B61A19">
      <w:pPr>
        <w:rPr>
          <w:rFonts w:ascii="Arial" w:hAnsi="Arial" w:cs="Arial"/>
          <w:szCs w:val="22"/>
        </w:rPr>
      </w:pPr>
    </w:p>
    <w:p w14:paraId="7DA2D0E1" w14:textId="2EC17A71" w:rsidR="00FE3918" w:rsidRDefault="00FE3918" w:rsidP="00B61A19">
      <w:pPr>
        <w:rPr>
          <w:rFonts w:ascii="Arial" w:hAnsi="Arial" w:cs="Arial"/>
          <w:szCs w:val="22"/>
        </w:rPr>
      </w:pPr>
      <w:r>
        <w:rPr>
          <w:rFonts w:ascii="Arial" w:hAnsi="Arial" w:cs="Arial"/>
          <w:szCs w:val="22"/>
        </w:rPr>
        <w:t xml:space="preserve">The </w:t>
      </w:r>
      <w:r w:rsidR="00E50390" w:rsidRPr="00E50390">
        <w:rPr>
          <w:rFonts w:ascii="Arial" w:hAnsi="Arial" w:cs="Arial"/>
          <w:i/>
          <w:szCs w:val="22"/>
        </w:rPr>
        <w:t>Higher Education Provider Amendment (Tuition Protection and Other Measures) Guidelines 2019</w:t>
      </w:r>
      <w:r w:rsidR="00E50390">
        <w:rPr>
          <w:rFonts w:ascii="Arial" w:hAnsi="Arial" w:cs="Arial"/>
          <w:szCs w:val="22"/>
        </w:rPr>
        <w:t xml:space="preserve"> recently amended the Guidelines</w:t>
      </w:r>
      <w:r w:rsidR="006F2780">
        <w:rPr>
          <w:rFonts w:ascii="Arial" w:hAnsi="Arial" w:cs="Arial"/>
          <w:i/>
          <w:szCs w:val="22"/>
        </w:rPr>
        <w:t xml:space="preserve"> </w:t>
      </w:r>
      <w:r w:rsidR="006F2780">
        <w:rPr>
          <w:rFonts w:ascii="Arial" w:hAnsi="Arial" w:cs="Arial"/>
          <w:szCs w:val="22"/>
        </w:rPr>
        <w:t>(</w:t>
      </w:r>
      <w:r w:rsidR="006F2780" w:rsidRPr="006F2780">
        <w:rPr>
          <w:rFonts w:ascii="Arial" w:hAnsi="Arial" w:cs="Arial"/>
          <w:b/>
          <w:szCs w:val="22"/>
        </w:rPr>
        <w:t xml:space="preserve">2019 </w:t>
      </w:r>
      <w:r w:rsidR="006F2780">
        <w:rPr>
          <w:rFonts w:ascii="Arial" w:hAnsi="Arial" w:cs="Arial"/>
          <w:b/>
          <w:szCs w:val="22"/>
        </w:rPr>
        <w:t>Instrument</w:t>
      </w:r>
      <w:r w:rsidR="006F2780">
        <w:rPr>
          <w:rFonts w:ascii="Arial" w:hAnsi="Arial" w:cs="Arial"/>
          <w:szCs w:val="22"/>
        </w:rPr>
        <w:t>)</w:t>
      </w:r>
      <w:r w:rsidR="006F2780">
        <w:rPr>
          <w:rFonts w:ascii="Arial" w:hAnsi="Arial" w:cs="Arial"/>
          <w:i/>
          <w:szCs w:val="22"/>
        </w:rPr>
        <w:t xml:space="preserve">. </w:t>
      </w:r>
      <w:r w:rsidR="006F2780">
        <w:rPr>
          <w:rFonts w:ascii="Arial" w:hAnsi="Arial" w:cs="Arial"/>
          <w:szCs w:val="22"/>
        </w:rPr>
        <w:t>The 2019 Instrument inserted Chapter 2 in th</w:t>
      </w:r>
      <w:r w:rsidR="00963646">
        <w:rPr>
          <w:rFonts w:ascii="Arial" w:hAnsi="Arial" w:cs="Arial"/>
          <w:szCs w:val="22"/>
        </w:rPr>
        <w:t>e Guidelines, which</w:t>
      </w:r>
      <w:r w:rsidR="00E50390">
        <w:rPr>
          <w:rFonts w:ascii="Arial" w:hAnsi="Arial" w:cs="Arial"/>
          <w:szCs w:val="22"/>
        </w:rPr>
        <w:t xml:space="preserve"> outlines </w:t>
      </w:r>
      <w:r w:rsidR="006F2780">
        <w:rPr>
          <w:rFonts w:ascii="Arial" w:hAnsi="Arial" w:cs="Arial"/>
          <w:szCs w:val="22"/>
        </w:rPr>
        <w:t xml:space="preserve">requirements </w:t>
      </w:r>
      <w:r w:rsidR="00E50390">
        <w:rPr>
          <w:rFonts w:ascii="Arial" w:hAnsi="Arial" w:cs="Arial"/>
          <w:szCs w:val="22"/>
        </w:rPr>
        <w:t xml:space="preserve">for </w:t>
      </w:r>
      <w:r w:rsidR="006F2780">
        <w:rPr>
          <w:rFonts w:ascii="Arial" w:hAnsi="Arial" w:cs="Arial"/>
          <w:szCs w:val="22"/>
        </w:rPr>
        <w:t xml:space="preserve">the new tuition protection arrangements. Relevantly, the 2019 Instrument introduced new requirements for the determination and collection of levies at section 2.10 of the Guidelines. </w:t>
      </w:r>
    </w:p>
    <w:p w14:paraId="672E2674" w14:textId="1EA00520" w:rsidR="003E1FD8" w:rsidRDefault="003E1FD8" w:rsidP="00B61A19">
      <w:pPr>
        <w:rPr>
          <w:rFonts w:ascii="Arial" w:hAnsi="Arial" w:cs="Arial"/>
          <w:szCs w:val="22"/>
        </w:rPr>
      </w:pPr>
    </w:p>
    <w:p w14:paraId="7BF1702B" w14:textId="7F71FFE3" w:rsidR="003E1FD8" w:rsidRDefault="003E1FD8" w:rsidP="00B61A19">
      <w:pPr>
        <w:rPr>
          <w:rFonts w:ascii="Arial" w:hAnsi="Arial" w:cs="Arial"/>
          <w:szCs w:val="22"/>
        </w:rPr>
      </w:pPr>
      <w:r>
        <w:rPr>
          <w:rFonts w:ascii="Arial" w:hAnsi="Arial" w:cs="Arial"/>
          <w:szCs w:val="22"/>
        </w:rPr>
        <w:t>Paragraph 19-66A(3)(g) of the Act provides that the Guidelines may make provision for, or in relation to</w:t>
      </w:r>
      <w:r w:rsidR="002532F8">
        <w:rPr>
          <w:rFonts w:ascii="Arial" w:hAnsi="Arial" w:cs="Arial"/>
          <w:szCs w:val="22"/>
        </w:rPr>
        <w:t>,</w:t>
      </w:r>
      <w:r>
        <w:rPr>
          <w:rFonts w:ascii="Arial" w:hAnsi="Arial" w:cs="Arial"/>
          <w:szCs w:val="22"/>
        </w:rPr>
        <w:t xml:space="preserve"> the review of decisions made under the Guidelines in relation to the collection or recovery of the levy. Sections 2.10.25 to 2.10.35 of the Guidelines (as inserted by the 2019 Instrument) set out the circumstances in which a leviable provider may request a</w:t>
      </w:r>
      <w:r w:rsidR="00CA2876">
        <w:rPr>
          <w:rFonts w:ascii="Arial" w:hAnsi="Arial" w:cs="Arial"/>
          <w:szCs w:val="22"/>
        </w:rPr>
        <w:t>n internal</w:t>
      </w:r>
      <w:r>
        <w:rPr>
          <w:rFonts w:ascii="Arial" w:hAnsi="Arial" w:cs="Arial"/>
          <w:szCs w:val="22"/>
        </w:rPr>
        <w:t xml:space="preserve"> review of a levy determination by the HELP Tuition Protection Director, the </w:t>
      </w:r>
      <w:r w:rsidR="00044240">
        <w:rPr>
          <w:rFonts w:ascii="Arial" w:hAnsi="Arial" w:cs="Arial"/>
          <w:szCs w:val="22"/>
        </w:rPr>
        <w:t>process for reviewing the decision</w:t>
      </w:r>
      <w:r>
        <w:rPr>
          <w:rFonts w:ascii="Arial" w:hAnsi="Arial" w:cs="Arial"/>
          <w:szCs w:val="22"/>
        </w:rPr>
        <w:t xml:space="preserve"> and the notice requirements attachi</w:t>
      </w:r>
      <w:r w:rsidR="00CA2876">
        <w:rPr>
          <w:rFonts w:ascii="Arial" w:hAnsi="Arial" w:cs="Arial"/>
          <w:szCs w:val="22"/>
        </w:rPr>
        <w:t>ng to the review decision. The Guidelines</w:t>
      </w:r>
      <w:r>
        <w:rPr>
          <w:rFonts w:ascii="Arial" w:hAnsi="Arial" w:cs="Arial"/>
          <w:szCs w:val="22"/>
        </w:rPr>
        <w:t xml:space="preserve"> provide for internal review</w:t>
      </w:r>
      <w:r w:rsidR="00CA2876">
        <w:rPr>
          <w:rFonts w:ascii="Arial" w:hAnsi="Arial" w:cs="Arial"/>
          <w:szCs w:val="22"/>
        </w:rPr>
        <w:t xml:space="preserve"> of the levy determination</w:t>
      </w:r>
      <w:r w:rsidR="0040582C">
        <w:rPr>
          <w:rFonts w:ascii="Arial" w:hAnsi="Arial" w:cs="Arial"/>
          <w:szCs w:val="22"/>
        </w:rPr>
        <w:t>; however, do</w:t>
      </w:r>
      <w:r>
        <w:rPr>
          <w:rFonts w:ascii="Arial" w:hAnsi="Arial" w:cs="Arial"/>
          <w:szCs w:val="22"/>
        </w:rPr>
        <w:t xml:space="preserve"> not provide for i</w:t>
      </w:r>
      <w:r w:rsidR="00CA2876">
        <w:rPr>
          <w:rFonts w:ascii="Arial" w:hAnsi="Arial" w:cs="Arial"/>
          <w:szCs w:val="22"/>
        </w:rPr>
        <w:t>ndependent merits review of the</w:t>
      </w:r>
      <w:r w:rsidR="00001B75">
        <w:rPr>
          <w:rFonts w:ascii="Arial" w:hAnsi="Arial" w:cs="Arial"/>
          <w:szCs w:val="22"/>
        </w:rPr>
        <w:t xml:space="preserve"> internal</w:t>
      </w:r>
      <w:r w:rsidR="00CA2876">
        <w:rPr>
          <w:rFonts w:ascii="Arial" w:hAnsi="Arial" w:cs="Arial"/>
          <w:szCs w:val="22"/>
        </w:rPr>
        <w:t xml:space="preserve"> review decision</w:t>
      </w:r>
      <w:r>
        <w:rPr>
          <w:rFonts w:ascii="Arial" w:hAnsi="Arial" w:cs="Arial"/>
          <w:szCs w:val="22"/>
        </w:rPr>
        <w:t xml:space="preserve">. </w:t>
      </w:r>
    </w:p>
    <w:p w14:paraId="6BF47B74" w14:textId="3BFA527F" w:rsidR="003E1FD8" w:rsidRDefault="003E1FD8" w:rsidP="00B61A19">
      <w:pPr>
        <w:rPr>
          <w:rFonts w:ascii="Arial" w:hAnsi="Arial" w:cs="Arial"/>
          <w:szCs w:val="22"/>
        </w:rPr>
      </w:pPr>
    </w:p>
    <w:p w14:paraId="0D3BB0ED" w14:textId="677C47D9" w:rsidR="003E1FD8" w:rsidRPr="003E1FD8" w:rsidRDefault="003E1FD8" w:rsidP="00B61A19">
      <w:pPr>
        <w:rPr>
          <w:rFonts w:ascii="Arial" w:hAnsi="Arial" w:cs="Arial"/>
          <w:i/>
          <w:szCs w:val="22"/>
        </w:rPr>
      </w:pPr>
      <w:r>
        <w:rPr>
          <w:rFonts w:ascii="Arial" w:hAnsi="Arial" w:cs="Arial"/>
          <w:szCs w:val="22"/>
        </w:rPr>
        <w:t xml:space="preserve">The Senate Standing Committee for the Scrutiny of Delegated Legislation (the </w:t>
      </w:r>
      <w:r>
        <w:rPr>
          <w:rFonts w:ascii="Arial" w:hAnsi="Arial" w:cs="Arial"/>
          <w:b/>
          <w:szCs w:val="22"/>
        </w:rPr>
        <w:t>Committee</w:t>
      </w:r>
      <w:r>
        <w:rPr>
          <w:rFonts w:ascii="Arial" w:hAnsi="Arial" w:cs="Arial"/>
          <w:szCs w:val="22"/>
        </w:rPr>
        <w:t xml:space="preserve">) </w:t>
      </w:r>
      <w:r w:rsidR="00044240">
        <w:rPr>
          <w:rFonts w:ascii="Arial" w:hAnsi="Arial" w:cs="Arial"/>
          <w:szCs w:val="22"/>
        </w:rPr>
        <w:t>recommended</w:t>
      </w:r>
      <w:r>
        <w:rPr>
          <w:rFonts w:ascii="Arial" w:hAnsi="Arial" w:cs="Arial"/>
          <w:szCs w:val="22"/>
        </w:rPr>
        <w:t xml:space="preserve"> that the 2019 </w:t>
      </w:r>
      <w:r w:rsidR="00001B75">
        <w:rPr>
          <w:rFonts w:ascii="Arial" w:hAnsi="Arial" w:cs="Arial"/>
          <w:szCs w:val="22"/>
        </w:rPr>
        <w:t>Instrument</w:t>
      </w:r>
      <w:r>
        <w:rPr>
          <w:rFonts w:ascii="Arial" w:hAnsi="Arial" w:cs="Arial"/>
          <w:szCs w:val="22"/>
        </w:rPr>
        <w:t xml:space="preserve"> be amended to provide for independent merits review of decisions made under new sections 2.10.25 to 2.10.35 </w:t>
      </w:r>
      <w:r>
        <w:rPr>
          <w:rFonts w:ascii="Arial" w:hAnsi="Arial" w:cs="Arial"/>
          <w:szCs w:val="22"/>
        </w:rPr>
        <w:lastRenderedPageBreak/>
        <w:t xml:space="preserve">of the Guidelines </w:t>
      </w:r>
      <w:r w:rsidR="00001B75">
        <w:rPr>
          <w:rFonts w:ascii="Arial" w:hAnsi="Arial" w:cs="Arial"/>
          <w:szCs w:val="22"/>
        </w:rPr>
        <w:t>in accordance with</w:t>
      </w:r>
      <w:r>
        <w:rPr>
          <w:rFonts w:ascii="Arial" w:hAnsi="Arial" w:cs="Arial"/>
          <w:szCs w:val="22"/>
        </w:rPr>
        <w:t xml:space="preserve"> the Administrative Review Council’s guidance document, </w:t>
      </w:r>
      <w:r>
        <w:rPr>
          <w:rFonts w:ascii="Arial" w:hAnsi="Arial" w:cs="Arial"/>
          <w:i/>
          <w:szCs w:val="22"/>
        </w:rPr>
        <w:t xml:space="preserve">What decisions should be subject to merits review?. </w:t>
      </w:r>
    </w:p>
    <w:p w14:paraId="19829D9D" w14:textId="77777777" w:rsidR="00FE3918" w:rsidRPr="00FE3918" w:rsidRDefault="00FE3918" w:rsidP="00B61A19">
      <w:pPr>
        <w:rPr>
          <w:rFonts w:ascii="Arial" w:hAnsi="Arial" w:cs="Arial"/>
          <w:i/>
          <w:szCs w:val="22"/>
        </w:rPr>
      </w:pPr>
    </w:p>
    <w:p w14:paraId="1500981B" w14:textId="32606877" w:rsidR="005B392E" w:rsidRPr="00A7160B" w:rsidRDefault="00D125BE" w:rsidP="00F948EE">
      <w:pPr>
        <w:rPr>
          <w:rFonts w:ascii="Arial" w:hAnsi="Arial" w:cs="Arial"/>
          <w:szCs w:val="22"/>
        </w:rPr>
      </w:pPr>
      <w:r>
        <w:rPr>
          <w:rFonts w:ascii="Arial" w:hAnsi="Arial" w:cs="Arial"/>
          <w:szCs w:val="22"/>
        </w:rPr>
        <w:t xml:space="preserve">The purpose of the Amendment Instrument is to </w:t>
      </w:r>
      <w:r w:rsidR="003E1FD8">
        <w:rPr>
          <w:rFonts w:ascii="Arial" w:hAnsi="Arial" w:cs="Arial"/>
          <w:szCs w:val="22"/>
        </w:rPr>
        <w:t>include the availability of independen</w:t>
      </w:r>
      <w:r w:rsidR="00001B75">
        <w:rPr>
          <w:rFonts w:ascii="Arial" w:hAnsi="Arial" w:cs="Arial"/>
          <w:szCs w:val="22"/>
        </w:rPr>
        <w:t xml:space="preserve">t merits review </w:t>
      </w:r>
      <w:r w:rsidR="00044240">
        <w:rPr>
          <w:rFonts w:ascii="Arial" w:hAnsi="Arial" w:cs="Arial"/>
          <w:szCs w:val="22"/>
        </w:rPr>
        <w:t xml:space="preserve">by </w:t>
      </w:r>
      <w:r w:rsidR="00001B75">
        <w:rPr>
          <w:rFonts w:ascii="Arial" w:hAnsi="Arial" w:cs="Arial"/>
          <w:szCs w:val="22"/>
        </w:rPr>
        <w:t xml:space="preserve">the AAT </w:t>
      </w:r>
      <w:r w:rsidR="00044240">
        <w:rPr>
          <w:rFonts w:ascii="Arial" w:hAnsi="Arial" w:cs="Arial"/>
          <w:szCs w:val="22"/>
        </w:rPr>
        <w:t>of internal review</w:t>
      </w:r>
      <w:r w:rsidR="00001B75">
        <w:rPr>
          <w:rFonts w:ascii="Arial" w:hAnsi="Arial" w:cs="Arial"/>
          <w:szCs w:val="22"/>
        </w:rPr>
        <w:t xml:space="preserve"> </w:t>
      </w:r>
      <w:r w:rsidR="003E1FD8">
        <w:rPr>
          <w:rFonts w:ascii="Arial" w:hAnsi="Arial" w:cs="Arial"/>
          <w:szCs w:val="22"/>
        </w:rPr>
        <w:t xml:space="preserve">decisions made by the HELP Tuition Protection Director under section 2.10.30 </w:t>
      </w:r>
      <w:r w:rsidR="00001B75">
        <w:rPr>
          <w:rFonts w:ascii="Arial" w:hAnsi="Arial" w:cs="Arial"/>
          <w:szCs w:val="22"/>
        </w:rPr>
        <w:t xml:space="preserve">of the Guidelines </w:t>
      </w:r>
      <w:r w:rsidR="003E1FD8">
        <w:rPr>
          <w:rFonts w:ascii="Arial" w:hAnsi="Arial" w:cs="Arial"/>
          <w:szCs w:val="22"/>
        </w:rPr>
        <w:t xml:space="preserve">in relation to the determination of the </w:t>
      </w:r>
      <w:r w:rsidR="00001B75">
        <w:rPr>
          <w:rFonts w:ascii="Arial" w:hAnsi="Arial" w:cs="Arial"/>
          <w:szCs w:val="22"/>
        </w:rPr>
        <w:t xml:space="preserve">levy. </w:t>
      </w:r>
    </w:p>
    <w:p w14:paraId="52D7F27D" w14:textId="77777777" w:rsidR="002E0796" w:rsidRPr="007C74A5" w:rsidRDefault="002E0796" w:rsidP="00F948EE">
      <w:pPr>
        <w:rPr>
          <w:rFonts w:ascii="Arial" w:hAnsi="Arial" w:cs="Arial"/>
          <w:szCs w:val="22"/>
          <w:highlight w:val="lightGray"/>
        </w:rPr>
      </w:pPr>
    </w:p>
    <w:p w14:paraId="417E8578" w14:textId="77777777" w:rsidR="00AC0DA5" w:rsidRPr="00BA19AE" w:rsidRDefault="00F20998" w:rsidP="005A69B8">
      <w:pPr>
        <w:keepNext/>
        <w:rPr>
          <w:rFonts w:ascii="Arial" w:hAnsi="Arial" w:cs="Arial"/>
          <w:b/>
          <w:szCs w:val="22"/>
        </w:rPr>
      </w:pPr>
      <w:r w:rsidRPr="00BA19AE">
        <w:rPr>
          <w:rFonts w:ascii="Arial" w:hAnsi="Arial" w:cs="Arial"/>
          <w:b/>
          <w:szCs w:val="22"/>
        </w:rPr>
        <w:t>Consultation</w:t>
      </w:r>
    </w:p>
    <w:p w14:paraId="2DD32130" w14:textId="77777777" w:rsidR="00F20998" w:rsidRPr="007C74A5" w:rsidRDefault="00F20998" w:rsidP="005A69B8">
      <w:pPr>
        <w:keepNext/>
        <w:rPr>
          <w:rFonts w:ascii="Arial" w:hAnsi="Arial" w:cs="Arial"/>
          <w:highlight w:val="lightGray"/>
        </w:rPr>
      </w:pPr>
    </w:p>
    <w:p w14:paraId="1DD92A29" w14:textId="1487AA46" w:rsidR="00B00461" w:rsidRDefault="00643C79" w:rsidP="00995EA0">
      <w:pPr>
        <w:rPr>
          <w:rFonts w:ascii="Arial" w:hAnsi="Arial" w:cs="Arial"/>
          <w:szCs w:val="22"/>
        </w:rPr>
      </w:pPr>
      <w:r>
        <w:rPr>
          <w:rFonts w:ascii="Arial" w:hAnsi="Arial" w:cs="Arial"/>
          <w:szCs w:val="22"/>
        </w:rPr>
        <w:t xml:space="preserve">Consultation with the </w:t>
      </w:r>
      <w:r w:rsidR="00B00461">
        <w:rPr>
          <w:rFonts w:ascii="Arial" w:hAnsi="Arial" w:cs="Arial"/>
          <w:szCs w:val="22"/>
        </w:rPr>
        <w:t xml:space="preserve">higher education </w:t>
      </w:r>
      <w:r>
        <w:rPr>
          <w:rFonts w:ascii="Arial" w:hAnsi="Arial" w:cs="Arial"/>
          <w:szCs w:val="22"/>
        </w:rPr>
        <w:t xml:space="preserve">sector was not deemed necessary given the operational and minor amendments made </w:t>
      </w:r>
      <w:r w:rsidR="00044240">
        <w:rPr>
          <w:rFonts w:ascii="Arial" w:hAnsi="Arial" w:cs="Arial"/>
          <w:szCs w:val="22"/>
        </w:rPr>
        <w:t xml:space="preserve">by </w:t>
      </w:r>
      <w:r>
        <w:rPr>
          <w:rFonts w:ascii="Arial" w:hAnsi="Arial" w:cs="Arial"/>
          <w:szCs w:val="22"/>
        </w:rPr>
        <w:t xml:space="preserve">the Amendment Instrument. </w:t>
      </w:r>
      <w:r w:rsidR="00E75970">
        <w:rPr>
          <w:rFonts w:ascii="Arial" w:hAnsi="Arial" w:cs="Arial"/>
          <w:szCs w:val="22"/>
        </w:rPr>
        <w:t xml:space="preserve">Specifically, the amendment </w:t>
      </w:r>
      <w:r w:rsidR="00044240">
        <w:rPr>
          <w:rFonts w:ascii="Arial" w:hAnsi="Arial" w:cs="Arial"/>
          <w:szCs w:val="22"/>
        </w:rPr>
        <w:t>to provide for</w:t>
      </w:r>
      <w:r w:rsidR="00C307C1">
        <w:rPr>
          <w:rFonts w:ascii="Arial" w:hAnsi="Arial" w:cs="Arial"/>
          <w:szCs w:val="22"/>
        </w:rPr>
        <w:t xml:space="preserve"> independent merits review at the AAT for decisions made by the HELP Tuition Protection Director under section 2.10.30 of the Guidelines</w:t>
      </w:r>
      <w:r w:rsidR="00E75970">
        <w:rPr>
          <w:rFonts w:ascii="Arial" w:hAnsi="Arial" w:cs="Arial"/>
          <w:szCs w:val="22"/>
        </w:rPr>
        <w:t xml:space="preserve">, is </w:t>
      </w:r>
      <w:r w:rsidR="00995EA0">
        <w:rPr>
          <w:rFonts w:ascii="Arial" w:hAnsi="Arial" w:cs="Arial"/>
          <w:szCs w:val="22"/>
        </w:rPr>
        <w:t xml:space="preserve">a procedural detail to </w:t>
      </w:r>
      <w:r w:rsidR="005E2330">
        <w:rPr>
          <w:rFonts w:ascii="Arial" w:hAnsi="Arial" w:cs="Arial"/>
          <w:szCs w:val="22"/>
        </w:rPr>
        <w:t xml:space="preserve">further </w:t>
      </w:r>
      <w:r w:rsidR="00995EA0">
        <w:rPr>
          <w:rFonts w:ascii="Arial" w:hAnsi="Arial" w:cs="Arial"/>
          <w:szCs w:val="22"/>
        </w:rPr>
        <w:t xml:space="preserve">support </w:t>
      </w:r>
      <w:r w:rsidR="00E75970">
        <w:rPr>
          <w:rFonts w:ascii="Arial" w:hAnsi="Arial" w:cs="Arial"/>
          <w:szCs w:val="22"/>
        </w:rPr>
        <w:t>and underpin the operation of the existing HELP tuition protection arrangement</w:t>
      </w:r>
      <w:r w:rsidR="00B00461">
        <w:rPr>
          <w:rFonts w:ascii="Arial" w:hAnsi="Arial" w:cs="Arial"/>
          <w:szCs w:val="22"/>
        </w:rPr>
        <w:t xml:space="preserve">s set out in </w:t>
      </w:r>
      <w:r w:rsidR="00AD5FC8">
        <w:rPr>
          <w:rFonts w:ascii="Arial" w:hAnsi="Arial" w:cs="Arial"/>
          <w:szCs w:val="22"/>
        </w:rPr>
        <w:t>the Act</w:t>
      </w:r>
      <w:r w:rsidR="00E75970">
        <w:rPr>
          <w:rFonts w:ascii="Arial" w:hAnsi="Arial" w:cs="Arial"/>
          <w:szCs w:val="22"/>
        </w:rPr>
        <w:t>, and the</w:t>
      </w:r>
      <w:r w:rsidR="00995EA0">
        <w:rPr>
          <w:rFonts w:ascii="Arial" w:hAnsi="Arial" w:cs="Arial"/>
          <w:szCs w:val="22"/>
        </w:rPr>
        <w:t xml:space="preserve"> </w:t>
      </w:r>
      <w:r w:rsidR="00995EA0" w:rsidRPr="00F84B34">
        <w:rPr>
          <w:rFonts w:ascii="Arial" w:hAnsi="Arial" w:cs="Arial"/>
          <w:i/>
          <w:szCs w:val="22"/>
        </w:rPr>
        <w:t>Higher Education Support (HELP Tuition Protection Levy) Act 2020</w:t>
      </w:r>
      <w:r w:rsidR="00995EA0">
        <w:rPr>
          <w:rFonts w:ascii="Arial" w:hAnsi="Arial" w:cs="Arial"/>
          <w:szCs w:val="22"/>
        </w:rPr>
        <w:t>.</w:t>
      </w:r>
      <w:r w:rsidR="003D02F3">
        <w:rPr>
          <w:rFonts w:ascii="Arial" w:hAnsi="Arial" w:cs="Arial"/>
          <w:szCs w:val="22"/>
        </w:rPr>
        <w:t xml:space="preserve"> </w:t>
      </w:r>
      <w:r w:rsidR="00B00461">
        <w:rPr>
          <w:rFonts w:ascii="Arial" w:hAnsi="Arial" w:cs="Arial"/>
          <w:szCs w:val="22"/>
        </w:rPr>
        <w:t>Higher education providers and peak industry bodies have already been consulted in relation to the enabling legislation for the existing HELP tuition protection arrangements</w:t>
      </w:r>
      <w:r w:rsidR="00886BB3">
        <w:rPr>
          <w:rFonts w:ascii="Arial" w:hAnsi="Arial" w:cs="Arial"/>
          <w:szCs w:val="22"/>
        </w:rPr>
        <w:t xml:space="preserve">, </w:t>
      </w:r>
      <w:r w:rsidR="002E0E4C">
        <w:rPr>
          <w:rFonts w:ascii="Arial" w:hAnsi="Arial" w:cs="Arial"/>
          <w:szCs w:val="22"/>
        </w:rPr>
        <w:t xml:space="preserve">to which this Amendment </w:t>
      </w:r>
      <w:r w:rsidR="00044240">
        <w:rPr>
          <w:rFonts w:ascii="Arial" w:hAnsi="Arial" w:cs="Arial"/>
          <w:szCs w:val="22"/>
        </w:rPr>
        <w:t>I</w:t>
      </w:r>
      <w:r w:rsidR="002E0E4C">
        <w:rPr>
          <w:rFonts w:ascii="Arial" w:hAnsi="Arial" w:cs="Arial"/>
          <w:szCs w:val="22"/>
        </w:rPr>
        <w:t xml:space="preserve">nstrument relates. </w:t>
      </w:r>
    </w:p>
    <w:p w14:paraId="5B4E37CA" w14:textId="76200D15" w:rsidR="001A61DF" w:rsidRDefault="001A61DF" w:rsidP="00995EA0">
      <w:pPr>
        <w:rPr>
          <w:rFonts w:ascii="Arial" w:hAnsi="Arial" w:cs="Arial"/>
          <w:szCs w:val="22"/>
        </w:rPr>
      </w:pPr>
    </w:p>
    <w:p w14:paraId="2DBD6915" w14:textId="4A47474A" w:rsidR="00643C79" w:rsidRDefault="007550EA" w:rsidP="00995EA0">
      <w:pPr>
        <w:rPr>
          <w:rFonts w:ascii="Arial" w:hAnsi="Arial" w:cs="Arial"/>
          <w:szCs w:val="22"/>
        </w:rPr>
      </w:pPr>
      <w:r>
        <w:rPr>
          <w:rFonts w:ascii="Arial" w:hAnsi="Arial" w:cs="Arial"/>
          <w:szCs w:val="22"/>
        </w:rPr>
        <w:t xml:space="preserve">However, the Department of Education, Skills and Employment has </w:t>
      </w:r>
      <w:r w:rsidR="002500F4">
        <w:rPr>
          <w:rFonts w:ascii="Arial" w:hAnsi="Arial" w:cs="Arial"/>
          <w:szCs w:val="22"/>
        </w:rPr>
        <w:t xml:space="preserve">received comprehensive advice from the </w:t>
      </w:r>
      <w:r>
        <w:rPr>
          <w:rFonts w:ascii="Arial" w:hAnsi="Arial" w:cs="Arial"/>
          <w:szCs w:val="22"/>
        </w:rPr>
        <w:t>Committee about the availability of independent merits review in the Guidelines and</w:t>
      </w:r>
      <w:r w:rsidR="00C6471C">
        <w:rPr>
          <w:rFonts w:ascii="Arial" w:hAnsi="Arial" w:cs="Arial"/>
          <w:szCs w:val="22"/>
        </w:rPr>
        <w:t xml:space="preserve"> has consulted</w:t>
      </w:r>
      <w:r>
        <w:rPr>
          <w:rFonts w:ascii="Arial" w:hAnsi="Arial" w:cs="Arial"/>
          <w:szCs w:val="22"/>
        </w:rPr>
        <w:t xml:space="preserve"> the Attorney-General</w:t>
      </w:r>
      <w:r w:rsidR="000C65A8">
        <w:rPr>
          <w:rFonts w:ascii="Arial" w:hAnsi="Arial" w:cs="Arial"/>
          <w:szCs w:val="22"/>
        </w:rPr>
        <w:t>’s</w:t>
      </w:r>
      <w:r>
        <w:rPr>
          <w:rFonts w:ascii="Arial" w:hAnsi="Arial" w:cs="Arial"/>
          <w:szCs w:val="22"/>
        </w:rPr>
        <w:t xml:space="preserve"> Department </w:t>
      </w:r>
      <w:r w:rsidR="00C6471C">
        <w:rPr>
          <w:rFonts w:ascii="Arial" w:hAnsi="Arial" w:cs="Arial"/>
          <w:szCs w:val="22"/>
        </w:rPr>
        <w:t xml:space="preserve">regarding </w:t>
      </w:r>
      <w:r>
        <w:rPr>
          <w:rFonts w:ascii="Arial" w:hAnsi="Arial" w:cs="Arial"/>
          <w:szCs w:val="22"/>
        </w:rPr>
        <w:t>the introduction of AAT review</w:t>
      </w:r>
      <w:r w:rsidR="002C4A3A">
        <w:rPr>
          <w:rFonts w:ascii="Arial" w:hAnsi="Arial" w:cs="Arial"/>
          <w:szCs w:val="22"/>
        </w:rPr>
        <w:t xml:space="preserve"> for this category of decisions</w:t>
      </w:r>
      <w:r>
        <w:rPr>
          <w:rFonts w:ascii="Arial" w:hAnsi="Arial" w:cs="Arial"/>
          <w:szCs w:val="22"/>
        </w:rPr>
        <w:t xml:space="preserve">. </w:t>
      </w:r>
    </w:p>
    <w:p w14:paraId="5F4CBAAC" w14:textId="77777777" w:rsidR="00643C79" w:rsidRPr="005B258B" w:rsidRDefault="00643C79" w:rsidP="005B258B">
      <w:pPr>
        <w:rPr>
          <w:rFonts w:ascii="Arial" w:hAnsi="Arial" w:cs="Arial"/>
          <w:szCs w:val="22"/>
        </w:rPr>
      </w:pPr>
    </w:p>
    <w:p w14:paraId="2BF2C593" w14:textId="77777777" w:rsidR="00F20998" w:rsidRPr="002006DC" w:rsidRDefault="00F20998" w:rsidP="005A69B8">
      <w:pPr>
        <w:keepNext/>
        <w:rPr>
          <w:rFonts w:ascii="Arial" w:eastAsiaTheme="minorHAnsi" w:hAnsi="Arial" w:cs="Arial"/>
          <w:b/>
          <w:bCs/>
          <w:color w:val="000000"/>
          <w:lang w:eastAsia="en-US"/>
        </w:rPr>
      </w:pPr>
      <w:r w:rsidRPr="002006DC">
        <w:rPr>
          <w:rFonts w:ascii="Arial" w:eastAsiaTheme="minorHAnsi" w:hAnsi="Arial" w:cs="Arial"/>
          <w:b/>
          <w:bCs/>
          <w:color w:val="000000"/>
          <w:lang w:eastAsia="en-US"/>
        </w:rPr>
        <w:t>Regulatory Impact Statement</w:t>
      </w:r>
    </w:p>
    <w:p w14:paraId="1B92747E" w14:textId="77777777" w:rsidR="00F20998" w:rsidRPr="007C74A5" w:rsidRDefault="00F20998" w:rsidP="005A69B8">
      <w:pPr>
        <w:keepNext/>
        <w:rPr>
          <w:rFonts w:ascii="Arial" w:eastAsiaTheme="minorHAnsi" w:hAnsi="Arial" w:cs="Arial"/>
          <w:b/>
          <w:bCs/>
          <w:color w:val="000000"/>
          <w:highlight w:val="lightGray"/>
          <w:lang w:eastAsia="en-US"/>
        </w:rPr>
      </w:pPr>
    </w:p>
    <w:p w14:paraId="5C8BC250" w14:textId="7B1A72DE" w:rsidR="00F20998" w:rsidRPr="005A69B8" w:rsidRDefault="0039197E" w:rsidP="00A05BA0">
      <w:pPr>
        <w:rPr>
          <w:rFonts w:ascii="Arial" w:hAnsi="Arial" w:cs="Arial"/>
          <w:szCs w:val="22"/>
        </w:rPr>
      </w:pPr>
      <w:r w:rsidRPr="003D58EA">
        <w:rPr>
          <w:rFonts w:ascii="Arial" w:hAnsi="Arial" w:cs="Arial"/>
          <w:szCs w:val="22"/>
        </w:rPr>
        <w:t>The Office of Best Practice Regulation (</w:t>
      </w:r>
      <w:r w:rsidRPr="007550EA">
        <w:rPr>
          <w:rFonts w:ascii="Arial" w:hAnsi="Arial" w:cs="Arial"/>
          <w:b/>
          <w:szCs w:val="22"/>
        </w:rPr>
        <w:t>OBPR</w:t>
      </w:r>
      <w:r w:rsidRPr="003D58EA">
        <w:rPr>
          <w:rFonts w:ascii="Arial" w:hAnsi="Arial" w:cs="Arial"/>
          <w:szCs w:val="22"/>
        </w:rPr>
        <w:t xml:space="preserve">) </w:t>
      </w:r>
      <w:r w:rsidR="007550EA">
        <w:rPr>
          <w:rFonts w:ascii="Arial" w:hAnsi="Arial" w:cs="Arial"/>
          <w:szCs w:val="22"/>
        </w:rPr>
        <w:t xml:space="preserve">was </w:t>
      </w:r>
      <w:r w:rsidRPr="003D58EA">
        <w:rPr>
          <w:rFonts w:ascii="Arial" w:hAnsi="Arial" w:cs="Arial"/>
          <w:szCs w:val="22"/>
        </w:rPr>
        <w:t>consulted</w:t>
      </w:r>
      <w:r w:rsidR="00B8739D" w:rsidRPr="00DC12B2">
        <w:rPr>
          <w:rFonts w:ascii="Arial" w:hAnsi="Arial" w:cs="Arial"/>
          <w:szCs w:val="22"/>
        </w:rPr>
        <w:t xml:space="preserve"> in relation to the 2019 Instrument</w:t>
      </w:r>
      <w:r w:rsidR="00370F90" w:rsidRPr="00627057">
        <w:rPr>
          <w:rFonts w:ascii="Arial" w:hAnsi="Arial" w:cs="Arial"/>
          <w:szCs w:val="22"/>
        </w:rPr>
        <w:t>.</w:t>
      </w:r>
      <w:r w:rsidR="009B2395" w:rsidRPr="00627057">
        <w:rPr>
          <w:rFonts w:ascii="Arial" w:hAnsi="Arial" w:cs="Arial"/>
          <w:szCs w:val="22"/>
        </w:rPr>
        <w:t xml:space="preserve"> </w:t>
      </w:r>
      <w:r w:rsidR="00CC5372" w:rsidRPr="00B9452B">
        <w:rPr>
          <w:rFonts w:ascii="Arial" w:hAnsi="Arial" w:cs="Arial"/>
          <w:szCs w:val="22"/>
        </w:rPr>
        <w:t xml:space="preserve">Based on </w:t>
      </w:r>
      <w:r w:rsidR="00B650B5">
        <w:rPr>
          <w:rFonts w:ascii="Arial" w:hAnsi="Arial" w:cs="Arial"/>
          <w:szCs w:val="22"/>
        </w:rPr>
        <w:t>its</w:t>
      </w:r>
      <w:r w:rsidR="00B650B5" w:rsidRPr="00B9452B">
        <w:rPr>
          <w:rFonts w:ascii="Arial" w:hAnsi="Arial" w:cs="Arial"/>
          <w:szCs w:val="22"/>
        </w:rPr>
        <w:t xml:space="preserve"> </w:t>
      </w:r>
      <w:r w:rsidR="00CC5372" w:rsidRPr="00B9452B">
        <w:rPr>
          <w:rFonts w:ascii="Arial" w:hAnsi="Arial" w:cs="Arial"/>
          <w:szCs w:val="22"/>
        </w:rPr>
        <w:t xml:space="preserve">advice </w:t>
      </w:r>
      <w:r w:rsidR="006E2F46" w:rsidRPr="00B9452B">
        <w:rPr>
          <w:rFonts w:ascii="Arial" w:hAnsi="Arial" w:cs="Arial"/>
          <w:szCs w:val="22"/>
        </w:rPr>
        <w:t xml:space="preserve">that the proposal </w:t>
      </w:r>
      <w:r w:rsidR="00B650B5">
        <w:rPr>
          <w:rFonts w:ascii="Arial" w:hAnsi="Arial" w:cs="Arial"/>
          <w:szCs w:val="22"/>
        </w:rPr>
        <w:t>a</w:t>
      </w:r>
      <w:r w:rsidR="00B8739D" w:rsidRPr="00B9452B">
        <w:rPr>
          <w:rFonts w:ascii="Arial" w:hAnsi="Arial" w:cs="Arial"/>
          <w:szCs w:val="22"/>
        </w:rPr>
        <w:t xml:space="preserve">ffected by the 2019 Instrument </w:t>
      </w:r>
      <w:r w:rsidR="00643C79">
        <w:rPr>
          <w:rFonts w:ascii="Arial" w:hAnsi="Arial" w:cs="Arial"/>
          <w:szCs w:val="22"/>
        </w:rPr>
        <w:t>has minor regulatory impact, OBPR advised that a Regulatory Impact Statement (</w:t>
      </w:r>
      <w:r w:rsidR="00643C79" w:rsidRPr="007550EA">
        <w:rPr>
          <w:rFonts w:ascii="Arial" w:hAnsi="Arial" w:cs="Arial"/>
          <w:b/>
          <w:szCs w:val="22"/>
        </w:rPr>
        <w:t>RIS</w:t>
      </w:r>
      <w:r w:rsidR="00643C79">
        <w:rPr>
          <w:rFonts w:ascii="Arial" w:hAnsi="Arial" w:cs="Arial"/>
          <w:szCs w:val="22"/>
        </w:rPr>
        <w:t>) was not required (OBPR ID. No. 23228).</w:t>
      </w:r>
      <w:r w:rsidR="00B8739D" w:rsidRPr="00296706">
        <w:rPr>
          <w:rFonts w:ascii="Arial" w:hAnsi="Arial" w:cs="Arial"/>
          <w:szCs w:val="22"/>
        </w:rPr>
        <w:t xml:space="preserve"> The Amendment Instrument </w:t>
      </w:r>
      <w:r w:rsidR="00643C79">
        <w:rPr>
          <w:rFonts w:ascii="Arial" w:hAnsi="Arial" w:cs="Arial"/>
          <w:szCs w:val="22"/>
        </w:rPr>
        <w:t xml:space="preserve">makes </w:t>
      </w:r>
      <w:r w:rsidR="00185532">
        <w:rPr>
          <w:rFonts w:ascii="Arial" w:hAnsi="Arial" w:cs="Arial"/>
          <w:szCs w:val="22"/>
        </w:rPr>
        <w:t xml:space="preserve">minor </w:t>
      </w:r>
      <w:r w:rsidR="00643C79">
        <w:rPr>
          <w:rFonts w:ascii="Arial" w:hAnsi="Arial" w:cs="Arial"/>
          <w:szCs w:val="22"/>
        </w:rPr>
        <w:t>amendments</w:t>
      </w:r>
      <w:r w:rsidR="00185532">
        <w:rPr>
          <w:rFonts w:ascii="Arial" w:hAnsi="Arial" w:cs="Arial"/>
          <w:szCs w:val="22"/>
        </w:rPr>
        <w:t xml:space="preserve"> </w:t>
      </w:r>
      <w:r w:rsidR="00B8739D" w:rsidRPr="00296706">
        <w:rPr>
          <w:rFonts w:ascii="Arial" w:hAnsi="Arial" w:cs="Arial"/>
          <w:szCs w:val="22"/>
        </w:rPr>
        <w:t xml:space="preserve">to the original proposal </w:t>
      </w:r>
      <w:r w:rsidR="00643C79">
        <w:rPr>
          <w:rFonts w:ascii="Arial" w:hAnsi="Arial" w:cs="Arial"/>
          <w:szCs w:val="22"/>
        </w:rPr>
        <w:t xml:space="preserve">in the 2019 Instrument and therefore no </w:t>
      </w:r>
      <w:r w:rsidR="00B8739D" w:rsidRPr="00296706">
        <w:rPr>
          <w:rFonts w:ascii="Arial" w:hAnsi="Arial" w:cs="Arial"/>
          <w:szCs w:val="22"/>
        </w:rPr>
        <w:t>RIS was prepared</w:t>
      </w:r>
      <w:r w:rsidR="00B8739D" w:rsidRPr="003D58EA">
        <w:rPr>
          <w:rFonts w:ascii="Arial" w:hAnsi="Arial" w:cs="Arial"/>
          <w:szCs w:val="22"/>
        </w:rPr>
        <w:t>.</w:t>
      </w:r>
    </w:p>
    <w:p w14:paraId="78AA6E45" w14:textId="77777777" w:rsidR="00AB31E8" w:rsidRPr="00BD1A5F" w:rsidRDefault="006735F6" w:rsidP="005A69B8">
      <w:pPr>
        <w:pageBreakBefore/>
        <w:jc w:val="center"/>
        <w:rPr>
          <w:rFonts w:ascii="Arial" w:hAnsi="Arial" w:cs="Arial"/>
          <w:b/>
          <w:sz w:val="28"/>
          <w:szCs w:val="28"/>
        </w:rPr>
      </w:pPr>
      <w:r>
        <w:rPr>
          <w:rFonts w:ascii="Arial" w:hAnsi="Arial" w:cs="Arial"/>
          <w:b/>
          <w:sz w:val="28"/>
          <w:szCs w:val="28"/>
        </w:rPr>
        <w:t>EXPLANATION</w:t>
      </w:r>
      <w:r w:rsidR="00F20998">
        <w:rPr>
          <w:rFonts w:ascii="Arial" w:hAnsi="Arial" w:cs="Arial"/>
          <w:b/>
          <w:sz w:val="28"/>
          <w:szCs w:val="28"/>
        </w:rPr>
        <w:t xml:space="preserve"> OF PROVISIONS</w:t>
      </w:r>
    </w:p>
    <w:p w14:paraId="3D554CE5" w14:textId="77777777" w:rsidR="00AB31E8" w:rsidRPr="00BD1A5F" w:rsidRDefault="00AB31E8" w:rsidP="00AB31E8">
      <w:pPr>
        <w:rPr>
          <w:rFonts w:ascii="Arial" w:hAnsi="Arial" w:cs="Arial"/>
        </w:rPr>
      </w:pPr>
    </w:p>
    <w:p w14:paraId="0C73C28A" w14:textId="77777777" w:rsidR="008B3A5F" w:rsidRDefault="00ED000C" w:rsidP="00CF66CC">
      <w:pPr>
        <w:rPr>
          <w:rFonts w:ascii="Arial" w:hAnsi="Arial" w:cs="Arial"/>
          <w:szCs w:val="22"/>
        </w:rPr>
      </w:pPr>
      <w:r w:rsidRPr="008B3A5F">
        <w:rPr>
          <w:rFonts w:ascii="Arial" w:hAnsi="Arial" w:cs="Arial"/>
          <w:b/>
          <w:szCs w:val="22"/>
        </w:rPr>
        <w:t>Section</w:t>
      </w:r>
      <w:r w:rsidR="008B3A5F" w:rsidRPr="008B3A5F">
        <w:rPr>
          <w:rFonts w:ascii="Arial" w:hAnsi="Arial" w:cs="Arial"/>
          <w:b/>
          <w:szCs w:val="22"/>
        </w:rPr>
        <w:t>s</w:t>
      </w:r>
      <w:r w:rsidRPr="008B3A5F">
        <w:rPr>
          <w:rFonts w:ascii="Arial" w:hAnsi="Arial" w:cs="Arial"/>
          <w:b/>
          <w:szCs w:val="22"/>
        </w:rPr>
        <w:t xml:space="preserve"> </w:t>
      </w:r>
      <w:r w:rsidR="00B55444" w:rsidRPr="008B3A5F">
        <w:rPr>
          <w:rFonts w:ascii="Arial" w:hAnsi="Arial" w:cs="Arial"/>
          <w:b/>
          <w:szCs w:val="22"/>
        </w:rPr>
        <w:t>1</w:t>
      </w:r>
      <w:r w:rsidR="008B3A5F" w:rsidRPr="008B3A5F">
        <w:rPr>
          <w:rFonts w:ascii="Arial" w:hAnsi="Arial" w:cs="Arial"/>
          <w:b/>
          <w:szCs w:val="22"/>
        </w:rPr>
        <w:t>, 2 and 3</w:t>
      </w:r>
      <w:r w:rsidR="00B55444" w:rsidRPr="002006DC">
        <w:rPr>
          <w:rFonts w:ascii="Arial" w:hAnsi="Arial" w:cs="Arial"/>
          <w:szCs w:val="22"/>
        </w:rPr>
        <w:t xml:space="preserve"> of the </w:t>
      </w:r>
      <w:r w:rsidR="00AC608D">
        <w:rPr>
          <w:rFonts w:ascii="Arial" w:hAnsi="Arial" w:cs="Arial"/>
          <w:szCs w:val="22"/>
        </w:rPr>
        <w:t xml:space="preserve">Amendment </w:t>
      </w:r>
      <w:r w:rsidR="008B3A5F">
        <w:rPr>
          <w:rFonts w:ascii="Arial" w:hAnsi="Arial" w:cs="Arial"/>
          <w:szCs w:val="22"/>
        </w:rPr>
        <w:t>Instrument</w:t>
      </w:r>
      <w:r w:rsidR="00B55444" w:rsidRPr="002006DC">
        <w:rPr>
          <w:rFonts w:ascii="Arial" w:hAnsi="Arial" w:cs="Arial"/>
          <w:szCs w:val="22"/>
        </w:rPr>
        <w:t xml:space="preserve"> </w:t>
      </w:r>
      <w:r w:rsidR="008B3A5F">
        <w:rPr>
          <w:rFonts w:ascii="Arial" w:hAnsi="Arial" w:cs="Arial"/>
          <w:szCs w:val="22"/>
        </w:rPr>
        <w:t>are technical provisions that set out the name, commencement, and authority for the Instrument.</w:t>
      </w:r>
    </w:p>
    <w:p w14:paraId="6322EEE8" w14:textId="6A1DB567" w:rsidR="00EB1556" w:rsidRDefault="00EB1556" w:rsidP="00EB1556">
      <w:pPr>
        <w:rPr>
          <w:rFonts w:ascii="Arial" w:hAnsi="Arial" w:cs="Arial"/>
          <w:szCs w:val="22"/>
        </w:rPr>
      </w:pPr>
    </w:p>
    <w:p w14:paraId="7F9604F3" w14:textId="4F5FA9A9" w:rsidR="00092032" w:rsidRDefault="00776A73" w:rsidP="00365D4E">
      <w:pPr>
        <w:rPr>
          <w:rFonts w:ascii="Arial" w:hAnsi="Arial" w:cs="Arial"/>
          <w:szCs w:val="22"/>
        </w:rPr>
      </w:pPr>
      <w:r>
        <w:rPr>
          <w:rFonts w:ascii="Arial" w:hAnsi="Arial" w:cs="Arial"/>
          <w:szCs w:val="22"/>
        </w:rPr>
        <w:t>T</w:t>
      </w:r>
      <w:r w:rsidR="00E23AF6">
        <w:rPr>
          <w:rFonts w:ascii="Arial" w:hAnsi="Arial" w:cs="Arial"/>
          <w:szCs w:val="22"/>
        </w:rPr>
        <w:t>he Amendment I</w:t>
      </w:r>
      <w:r w:rsidR="00EB1556">
        <w:rPr>
          <w:rFonts w:ascii="Arial" w:hAnsi="Arial" w:cs="Arial"/>
          <w:szCs w:val="22"/>
        </w:rPr>
        <w:t xml:space="preserve">nstrument commences </w:t>
      </w:r>
      <w:r w:rsidR="000C65A8">
        <w:rPr>
          <w:rFonts w:ascii="Arial" w:hAnsi="Arial" w:cs="Arial"/>
          <w:szCs w:val="22"/>
        </w:rPr>
        <w:t xml:space="preserve">on the day after the instrument is registered on the Federal Register of Legislation. </w:t>
      </w:r>
      <w:r w:rsidR="00EB1556">
        <w:rPr>
          <w:rFonts w:ascii="Arial" w:hAnsi="Arial" w:cs="Arial"/>
          <w:szCs w:val="22"/>
        </w:rPr>
        <w:t xml:space="preserve"> </w:t>
      </w:r>
    </w:p>
    <w:p w14:paraId="3B3FF777" w14:textId="6463BA7C" w:rsidR="00D125BE" w:rsidRDefault="00D125BE" w:rsidP="00CF66CC">
      <w:pPr>
        <w:rPr>
          <w:rFonts w:ascii="Arial" w:hAnsi="Arial" w:cs="Arial"/>
          <w:szCs w:val="22"/>
        </w:rPr>
      </w:pPr>
    </w:p>
    <w:p w14:paraId="2005577D" w14:textId="73D7533F" w:rsidR="008B3A5F" w:rsidRDefault="008B3A5F" w:rsidP="00CF66CC">
      <w:pPr>
        <w:rPr>
          <w:rFonts w:ascii="Arial" w:hAnsi="Arial" w:cs="Arial"/>
          <w:szCs w:val="22"/>
        </w:rPr>
      </w:pPr>
      <w:r>
        <w:rPr>
          <w:rFonts w:ascii="Arial" w:hAnsi="Arial" w:cs="Arial"/>
          <w:szCs w:val="22"/>
        </w:rPr>
        <w:t xml:space="preserve">The </w:t>
      </w:r>
      <w:r w:rsidR="00DC12B2">
        <w:rPr>
          <w:rFonts w:ascii="Arial" w:hAnsi="Arial" w:cs="Arial"/>
          <w:szCs w:val="22"/>
        </w:rPr>
        <w:t xml:space="preserve">Amendment </w:t>
      </w:r>
      <w:r>
        <w:rPr>
          <w:rFonts w:ascii="Arial" w:hAnsi="Arial" w:cs="Arial"/>
          <w:szCs w:val="22"/>
        </w:rPr>
        <w:t xml:space="preserve">Instrument is made by the Minister for Education under section 238-10 of </w:t>
      </w:r>
      <w:r w:rsidR="00AA16A3">
        <w:rPr>
          <w:rFonts w:ascii="Arial" w:hAnsi="Arial" w:cs="Arial"/>
          <w:szCs w:val="22"/>
        </w:rPr>
        <w:t>the Act</w:t>
      </w:r>
      <w:r w:rsidR="00545A1B">
        <w:rPr>
          <w:rFonts w:ascii="Arial" w:hAnsi="Arial" w:cs="Arial"/>
          <w:szCs w:val="22"/>
        </w:rPr>
        <w:t>. The Amendment Instrument</w:t>
      </w:r>
      <w:r w:rsidR="00AA16A3">
        <w:rPr>
          <w:rFonts w:ascii="Arial" w:hAnsi="Arial" w:cs="Arial"/>
          <w:szCs w:val="22"/>
        </w:rPr>
        <w:t xml:space="preserve"> amends the Guidelines for the purposes of Part 2-1 of the Act.</w:t>
      </w:r>
    </w:p>
    <w:p w14:paraId="07FA264A" w14:textId="77777777" w:rsidR="008B3A5F" w:rsidRDefault="008B3A5F" w:rsidP="00CF66CC">
      <w:pPr>
        <w:rPr>
          <w:rFonts w:ascii="Arial" w:hAnsi="Arial" w:cs="Arial"/>
          <w:szCs w:val="22"/>
        </w:rPr>
      </w:pPr>
    </w:p>
    <w:p w14:paraId="229B8A20" w14:textId="77777777" w:rsidR="006872E1" w:rsidRPr="006872E1" w:rsidRDefault="00FC0EC1" w:rsidP="00CF66CC">
      <w:pPr>
        <w:rPr>
          <w:rFonts w:ascii="Arial" w:hAnsi="Arial" w:cs="Arial"/>
          <w:szCs w:val="22"/>
        </w:rPr>
      </w:pPr>
      <w:r w:rsidRPr="008B3A5F">
        <w:rPr>
          <w:rFonts w:ascii="Arial" w:hAnsi="Arial" w:cs="Arial"/>
          <w:b/>
          <w:szCs w:val="22"/>
        </w:rPr>
        <w:t xml:space="preserve">Section </w:t>
      </w:r>
      <w:r w:rsidR="00B55444" w:rsidRPr="008B3A5F">
        <w:rPr>
          <w:rFonts w:ascii="Arial" w:hAnsi="Arial" w:cs="Arial"/>
          <w:b/>
          <w:szCs w:val="22"/>
        </w:rPr>
        <w:t>4</w:t>
      </w:r>
      <w:r w:rsidR="00B55444" w:rsidRPr="00520144">
        <w:rPr>
          <w:rFonts w:ascii="Arial" w:hAnsi="Arial" w:cs="Arial"/>
          <w:szCs w:val="22"/>
        </w:rPr>
        <w:t xml:space="preserve"> </w:t>
      </w:r>
      <w:r w:rsidR="008B3A5F">
        <w:rPr>
          <w:rFonts w:ascii="Arial" w:hAnsi="Arial" w:cs="Arial"/>
          <w:szCs w:val="22"/>
        </w:rPr>
        <w:t xml:space="preserve">of the </w:t>
      </w:r>
      <w:r w:rsidR="00DC12B2">
        <w:rPr>
          <w:rFonts w:ascii="Arial" w:hAnsi="Arial" w:cs="Arial"/>
          <w:szCs w:val="22"/>
        </w:rPr>
        <w:t xml:space="preserve">Amendment </w:t>
      </w:r>
      <w:r w:rsidR="008B3A5F">
        <w:rPr>
          <w:rFonts w:ascii="Arial" w:hAnsi="Arial" w:cs="Arial"/>
          <w:szCs w:val="22"/>
        </w:rPr>
        <w:t xml:space="preserve">Instrument </w:t>
      </w:r>
      <w:r w:rsidR="006872E1" w:rsidRPr="00520144">
        <w:rPr>
          <w:rFonts w:ascii="Arial" w:hAnsi="Arial" w:cs="Arial"/>
          <w:szCs w:val="22"/>
        </w:rPr>
        <w:t xml:space="preserve">provides that </w:t>
      </w:r>
      <w:r w:rsidR="006872E1" w:rsidRPr="00520144">
        <w:rPr>
          <w:rFonts w:ascii="Arial" w:hAnsi="Arial" w:cs="Arial"/>
        </w:rPr>
        <w:t xml:space="preserve">each instrument that is specified in a Schedule to the </w:t>
      </w:r>
      <w:r w:rsidR="002E7448" w:rsidRPr="00520144">
        <w:rPr>
          <w:rFonts w:ascii="Arial" w:hAnsi="Arial" w:cs="Arial"/>
        </w:rPr>
        <w:t xml:space="preserve">legislative instrument </w:t>
      </w:r>
      <w:r w:rsidR="006872E1" w:rsidRPr="00520144">
        <w:rPr>
          <w:rFonts w:ascii="Arial" w:hAnsi="Arial" w:cs="Arial"/>
        </w:rPr>
        <w:t>is amended or repealed as set out in the applicable items in the Schedule concerned, and any other item in a Schedule to the</w:t>
      </w:r>
      <w:r w:rsidR="002E7448" w:rsidRPr="00520144">
        <w:rPr>
          <w:rFonts w:ascii="Arial" w:hAnsi="Arial" w:cs="Arial"/>
        </w:rPr>
        <w:t xml:space="preserve"> legislative instrument </w:t>
      </w:r>
      <w:r w:rsidR="006872E1" w:rsidRPr="00520144">
        <w:rPr>
          <w:rFonts w:ascii="Arial" w:hAnsi="Arial" w:cs="Arial"/>
        </w:rPr>
        <w:t>has effect according to its terms.</w:t>
      </w:r>
    </w:p>
    <w:p w14:paraId="440EABAA" w14:textId="77777777" w:rsidR="00EE4E98" w:rsidRDefault="00EE4E98" w:rsidP="00CF66CC">
      <w:pPr>
        <w:rPr>
          <w:rFonts w:ascii="Arial" w:hAnsi="Arial" w:cs="Arial"/>
          <w:szCs w:val="22"/>
        </w:rPr>
      </w:pPr>
    </w:p>
    <w:p w14:paraId="01DC81E3" w14:textId="77777777" w:rsidR="00B55444" w:rsidRDefault="00B55444" w:rsidP="00B55444">
      <w:pPr>
        <w:rPr>
          <w:rFonts w:ascii="Arial" w:hAnsi="Arial" w:cs="Arial"/>
          <w:szCs w:val="22"/>
        </w:rPr>
      </w:pPr>
      <w:r>
        <w:rPr>
          <w:rFonts w:ascii="Arial" w:hAnsi="Arial" w:cs="Arial"/>
          <w:b/>
          <w:szCs w:val="22"/>
        </w:rPr>
        <w:t>Schedule 1 – Amendments</w:t>
      </w:r>
    </w:p>
    <w:p w14:paraId="036F8EE0" w14:textId="77777777" w:rsidR="00BB433D" w:rsidRDefault="00BB433D" w:rsidP="00B55444">
      <w:pPr>
        <w:rPr>
          <w:rFonts w:ascii="Arial" w:hAnsi="Arial" w:cs="Arial"/>
          <w:szCs w:val="22"/>
        </w:rPr>
      </w:pPr>
    </w:p>
    <w:p w14:paraId="69C8DDB3" w14:textId="77777777" w:rsidR="008B3A5F" w:rsidRDefault="008B3A5F" w:rsidP="00B55444">
      <w:pPr>
        <w:rPr>
          <w:rFonts w:ascii="Arial" w:hAnsi="Arial" w:cs="Arial"/>
          <w:szCs w:val="22"/>
        </w:rPr>
      </w:pPr>
      <w:r>
        <w:rPr>
          <w:rFonts w:ascii="Arial" w:hAnsi="Arial" w:cs="Arial"/>
          <w:szCs w:val="22"/>
        </w:rPr>
        <w:t xml:space="preserve">Schedule 1 amends the </w:t>
      </w:r>
      <w:r w:rsidRPr="006E375C">
        <w:rPr>
          <w:rFonts w:ascii="Arial" w:hAnsi="Arial" w:cs="Arial"/>
          <w:szCs w:val="22"/>
        </w:rPr>
        <w:t>Guidelines</w:t>
      </w:r>
      <w:r>
        <w:rPr>
          <w:rFonts w:ascii="Arial" w:hAnsi="Arial" w:cs="Arial"/>
          <w:szCs w:val="22"/>
        </w:rPr>
        <w:t>.</w:t>
      </w:r>
    </w:p>
    <w:p w14:paraId="59EE00F2" w14:textId="77777777" w:rsidR="008B3A5F" w:rsidRPr="008B3A5F" w:rsidRDefault="008B3A5F" w:rsidP="00B55444">
      <w:pPr>
        <w:rPr>
          <w:rFonts w:ascii="Arial" w:hAnsi="Arial" w:cs="Arial"/>
          <w:szCs w:val="22"/>
        </w:rPr>
      </w:pPr>
    </w:p>
    <w:p w14:paraId="46809413" w14:textId="544A868D" w:rsidR="00545A1B" w:rsidRDefault="00BB433D" w:rsidP="007C74A5">
      <w:pPr>
        <w:rPr>
          <w:rFonts w:ascii="Arial" w:hAnsi="Arial" w:cs="Arial"/>
          <w:szCs w:val="22"/>
        </w:rPr>
      </w:pPr>
      <w:r w:rsidRPr="008B3A5F">
        <w:rPr>
          <w:rFonts w:ascii="Arial" w:hAnsi="Arial" w:cs="Arial"/>
          <w:b/>
          <w:szCs w:val="22"/>
        </w:rPr>
        <w:t>Item 1</w:t>
      </w:r>
      <w:r>
        <w:rPr>
          <w:rFonts w:ascii="Arial" w:hAnsi="Arial" w:cs="Arial"/>
          <w:szCs w:val="22"/>
        </w:rPr>
        <w:t xml:space="preserve"> </w:t>
      </w:r>
      <w:r w:rsidR="00545A1B">
        <w:rPr>
          <w:rFonts w:ascii="Arial" w:hAnsi="Arial" w:cs="Arial"/>
          <w:szCs w:val="22"/>
        </w:rPr>
        <w:t xml:space="preserve">inserts new section 2.10.40 after section 2.10.35 which provides that an application may be made to the AAT for the review of a decision that has been affirmed, varied or set aside under section 2.10.30 of the Guidelines. </w:t>
      </w:r>
    </w:p>
    <w:p w14:paraId="37D4EB1A" w14:textId="77777777" w:rsidR="00545A1B" w:rsidRDefault="00545A1B" w:rsidP="007C74A5">
      <w:pPr>
        <w:rPr>
          <w:rFonts w:ascii="Arial" w:hAnsi="Arial" w:cs="Arial"/>
          <w:szCs w:val="22"/>
        </w:rPr>
      </w:pPr>
    </w:p>
    <w:p w14:paraId="1AA7282C" w14:textId="00BCC037" w:rsidR="001574C0" w:rsidRDefault="00545A1B" w:rsidP="007C74A5">
      <w:pPr>
        <w:rPr>
          <w:rFonts w:ascii="Arial" w:hAnsi="Arial" w:cs="Arial"/>
          <w:szCs w:val="22"/>
        </w:rPr>
      </w:pPr>
      <w:r>
        <w:rPr>
          <w:rFonts w:ascii="Arial" w:hAnsi="Arial" w:cs="Arial"/>
          <w:szCs w:val="22"/>
        </w:rPr>
        <w:t>If a leviable provider makes a request for a review of the levy determination under section 2.10.25, the HELP Tuition Protection Director must review the decision and may affirm, vary or set aside the levy determined in the levy notice in accordance with section 2.10.30 of the Guidelines. The HELP Tuition Protection Director must give notice of the review decision in accordance with section 2.10.35. New section 2.10.40 allows a leviable provider to apply for an independent</w:t>
      </w:r>
      <w:r w:rsidR="00B77446">
        <w:rPr>
          <w:rFonts w:ascii="Arial" w:hAnsi="Arial" w:cs="Arial"/>
          <w:szCs w:val="22"/>
        </w:rPr>
        <w:t xml:space="preserve"> merits</w:t>
      </w:r>
      <w:r>
        <w:rPr>
          <w:rFonts w:ascii="Arial" w:hAnsi="Arial" w:cs="Arial"/>
          <w:szCs w:val="22"/>
        </w:rPr>
        <w:t xml:space="preserve"> review </w:t>
      </w:r>
      <w:r w:rsidR="002C4A3A">
        <w:rPr>
          <w:rFonts w:ascii="Arial" w:hAnsi="Arial" w:cs="Arial"/>
          <w:szCs w:val="22"/>
        </w:rPr>
        <w:t>by</w:t>
      </w:r>
      <w:r>
        <w:rPr>
          <w:rFonts w:ascii="Arial" w:hAnsi="Arial" w:cs="Arial"/>
          <w:szCs w:val="22"/>
        </w:rPr>
        <w:t xml:space="preserve"> the </w:t>
      </w:r>
      <w:r w:rsidR="002C4A3A">
        <w:rPr>
          <w:rFonts w:ascii="Arial" w:hAnsi="Arial" w:cs="Arial"/>
          <w:szCs w:val="22"/>
        </w:rPr>
        <w:t xml:space="preserve">AAT of a </w:t>
      </w:r>
      <w:r w:rsidR="000C65A8">
        <w:rPr>
          <w:rFonts w:ascii="Arial" w:hAnsi="Arial" w:cs="Arial"/>
          <w:szCs w:val="22"/>
        </w:rPr>
        <w:t xml:space="preserve">decision made under section 2.10.30 </w:t>
      </w:r>
      <w:r w:rsidR="002C4A3A">
        <w:rPr>
          <w:rFonts w:ascii="Arial" w:hAnsi="Arial" w:cs="Arial"/>
          <w:szCs w:val="22"/>
        </w:rPr>
        <w:t>of the Guidelines</w:t>
      </w:r>
      <w:r w:rsidR="000C65A8">
        <w:rPr>
          <w:rFonts w:ascii="Arial" w:hAnsi="Arial" w:cs="Arial"/>
          <w:szCs w:val="22"/>
        </w:rPr>
        <w:t>.</w:t>
      </w:r>
      <w:r>
        <w:rPr>
          <w:rFonts w:ascii="Arial" w:hAnsi="Arial" w:cs="Arial"/>
          <w:szCs w:val="22"/>
        </w:rPr>
        <w:t xml:space="preserve"> </w:t>
      </w:r>
    </w:p>
    <w:p w14:paraId="19BCD4D0" w14:textId="77777777" w:rsidR="001574C0" w:rsidRDefault="001574C0" w:rsidP="007C74A5">
      <w:pPr>
        <w:rPr>
          <w:rFonts w:ascii="Arial" w:hAnsi="Arial" w:cs="Arial"/>
          <w:szCs w:val="22"/>
        </w:rPr>
      </w:pPr>
    </w:p>
    <w:p w14:paraId="2A69F012" w14:textId="0097A2C6" w:rsidR="006E375C" w:rsidRDefault="006E375C" w:rsidP="00AA16A3">
      <w:pPr>
        <w:rPr>
          <w:rFonts w:ascii="Arial" w:hAnsi="Arial" w:cs="Arial"/>
          <w:szCs w:val="22"/>
        </w:rPr>
      </w:pPr>
      <w:r>
        <w:rPr>
          <w:rFonts w:ascii="Arial" w:hAnsi="Arial" w:cs="Arial"/>
          <w:b/>
          <w:szCs w:val="22"/>
        </w:rPr>
        <w:t xml:space="preserve">Item </w:t>
      </w:r>
      <w:r w:rsidRPr="006E375C">
        <w:rPr>
          <w:rFonts w:ascii="Arial" w:hAnsi="Arial" w:cs="Arial"/>
          <w:b/>
          <w:szCs w:val="22"/>
        </w:rPr>
        <w:t>2</w:t>
      </w:r>
      <w:r>
        <w:rPr>
          <w:rFonts w:ascii="Arial" w:hAnsi="Arial" w:cs="Arial"/>
          <w:szCs w:val="22"/>
        </w:rPr>
        <w:t xml:space="preserve"> </w:t>
      </w:r>
      <w:r w:rsidR="00545A1B">
        <w:rPr>
          <w:rFonts w:ascii="Arial" w:hAnsi="Arial" w:cs="Arial"/>
          <w:szCs w:val="22"/>
        </w:rPr>
        <w:t>makes a tech</w:t>
      </w:r>
      <w:r w:rsidR="00B77446">
        <w:rPr>
          <w:rFonts w:ascii="Arial" w:hAnsi="Arial" w:cs="Arial"/>
          <w:szCs w:val="22"/>
        </w:rPr>
        <w:t>nical amendment as a result of I</w:t>
      </w:r>
      <w:r w:rsidR="00545A1B">
        <w:rPr>
          <w:rFonts w:ascii="Arial" w:hAnsi="Arial" w:cs="Arial"/>
          <w:szCs w:val="22"/>
        </w:rPr>
        <w:t xml:space="preserve">tem 1. </w:t>
      </w:r>
    </w:p>
    <w:p w14:paraId="7889BDE7" w14:textId="561800E3" w:rsidR="006F2F7A" w:rsidRDefault="006F2F7A" w:rsidP="00AA16A3">
      <w:pPr>
        <w:rPr>
          <w:rFonts w:ascii="Arial" w:hAnsi="Arial" w:cs="Arial"/>
          <w:szCs w:val="22"/>
        </w:rPr>
      </w:pPr>
    </w:p>
    <w:p w14:paraId="71E6D72F" w14:textId="366640EE" w:rsidR="006F2F7A" w:rsidRPr="006F2F7A" w:rsidRDefault="006F2F7A" w:rsidP="00AA16A3">
      <w:pPr>
        <w:rPr>
          <w:rFonts w:ascii="Arial" w:hAnsi="Arial" w:cs="Arial"/>
        </w:rPr>
      </w:pPr>
      <w:r>
        <w:rPr>
          <w:rFonts w:ascii="Arial" w:hAnsi="Arial" w:cs="Arial"/>
          <w:b/>
          <w:szCs w:val="22"/>
        </w:rPr>
        <w:t xml:space="preserve">Item 3 </w:t>
      </w:r>
      <w:r>
        <w:rPr>
          <w:rFonts w:ascii="Arial" w:hAnsi="Arial" w:cs="Arial"/>
          <w:szCs w:val="22"/>
        </w:rPr>
        <w:t xml:space="preserve">makes a technical amendment to rectify an incorrect reference in section 2.15.1. </w:t>
      </w:r>
    </w:p>
    <w:p w14:paraId="3D2BBCE7" w14:textId="77777777" w:rsidR="008624CD" w:rsidRPr="009C5237" w:rsidRDefault="008624CD" w:rsidP="007D1600">
      <w:pPr>
        <w:pageBreakBefore/>
        <w:jc w:val="center"/>
        <w:rPr>
          <w:rFonts w:ascii="Arial" w:hAnsi="Arial" w:cs="Arial"/>
          <w:b/>
          <w:sz w:val="28"/>
          <w:szCs w:val="28"/>
        </w:rPr>
      </w:pPr>
      <w:r w:rsidRPr="009C5237">
        <w:rPr>
          <w:rFonts w:ascii="Arial" w:hAnsi="Arial" w:cs="Arial"/>
          <w:b/>
          <w:sz w:val="28"/>
          <w:szCs w:val="28"/>
        </w:rPr>
        <w:t>STATEMENT OF COMPATIBILITY WITH HUMAN RIGHTS</w:t>
      </w:r>
    </w:p>
    <w:p w14:paraId="51FAC601" w14:textId="77777777" w:rsidR="008624CD" w:rsidRPr="009C5237" w:rsidRDefault="008624CD" w:rsidP="008624CD">
      <w:pPr>
        <w:jc w:val="center"/>
        <w:rPr>
          <w:rFonts w:ascii="Arial" w:hAnsi="Arial" w:cs="Arial"/>
          <w:i/>
        </w:rPr>
      </w:pPr>
    </w:p>
    <w:p w14:paraId="1C8AF745" w14:textId="77777777" w:rsidR="008624CD" w:rsidRPr="009C5237" w:rsidRDefault="008624CD" w:rsidP="008624CD">
      <w:pPr>
        <w:jc w:val="center"/>
        <w:rPr>
          <w:rFonts w:ascii="Arial" w:hAnsi="Arial" w:cs="Arial"/>
          <w:i/>
        </w:rPr>
      </w:pPr>
      <w:r w:rsidRPr="009C5237">
        <w:rPr>
          <w:rFonts w:ascii="Arial" w:hAnsi="Arial" w:cs="Arial"/>
          <w:i/>
        </w:rPr>
        <w:t>Prepared in accordance with Part 3 of the Human Rights (Parliamentary Scrutiny) Act 2011</w:t>
      </w:r>
    </w:p>
    <w:p w14:paraId="1A3CE2EB" w14:textId="77777777" w:rsidR="008624CD" w:rsidRPr="009C5237" w:rsidRDefault="008624CD" w:rsidP="008624CD">
      <w:pPr>
        <w:jc w:val="center"/>
        <w:rPr>
          <w:rFonts w:ascii="Arial" w:hAnsi="Arial" w:cs="Arial"/>
          <w:i/>
          <w:color w:val="FF0000"/>
        </w:rPr>
      </w:pPr>
    </w:p>
    <w:p w14:paraId="5B6361E5" w14:textId="77777777" w:rsidR="00545A1B" w:rsidRPr="00F20998" w:rsidRDefault="00545A1B" w:rsidP="00545A1B">
      <w:pPr>
        <w:jc w:val="center"/>
        <w:rPr>
          <w:rFonts w:ascii="Arial" w:hAnsi="Arial" w:cs="Arial"/>
          <w:b/>
        </w:rPr>
      </w:pPr>
      <w:r>
        <w:rPr>
          <w:rFonts w:ascii="Arial" w:hAnsi="Arial" w:cs="Arial"/>
          <w:b/>
        </w:rPr>
        <w:t>Higher Education Provider Amendment (AAT Review) Guidelines 2020</w:t>
      </w:r>
    </w:p>
    <w:p w14:paraId="44CE62D8" w14:textId="77777777" w:rsidR="00545A1B" w:rsidRDefault="00545A1B" w:rsidP="00545A1B">
      <w:pPr>
        <w:spacing w:after="200" w:line="276" w:lineRule="auto"/>
        <w:rPr>
          <w:rFonts w:ascii="Arial" w:hAnsi="Arial" w:cs="Arial"/>
          <w:b/>
          <w:sz w:val="28"/>
          <w:szCs w:val="28"/>
        </w:rPr>
      </w:pPr>
    </w:p>
    <w:p w14:paraId="5551A4C8" w14:textId="77777777" w:rsidR="00001B75" w:rsidRPr="00F20998" w:rsidRDefault="00001B75" w:rsidP="00001B75">
      <w:pPr>
        <w:keepNext/>
        <w:rPr>
          <w:rFonts w:ascii="Arial" w:hAnsi="Arial" w:cs="Arial"/>
          <w:b/>
        </w:rPr>
      </w:pPr>
      <w:r w:rsidRPr="00F20998">
        <w:rPr>
          <w:rFonts w:ascii="Arial" w:hAnsi="Arial" w:cs="Arial"/>
          <w:b/>
        </w:rPr>
        <w:t>Purpose</w:t>
      </w:r>
      <w:r>
        <w:rPr>
          <w:rFonts w:ascii="Arial" w:hAnsi="Arial" w:cs="Arial"/>
          <w:b/>
        </w:rPr>
        <w:t xml:space="preserve"> and authority </w:t>
      </w:r>
    </w:p>
    <w:p w14:paraId="382B5FC1" w14:textId="77777777" w:rsidR="00001B75" w:rsidRDefault="00001B75" w:rsidP="00001B75">
      <w:pPr>
        <w:keepNext/>
        <w:rPr>
          <w:rFonts w:ascii="Arial" w:hAnsi="Arial" w:cs="Arial"/>
          <w:szCs w:val="22"/>
        </w:rPr>
      </w:pPr>
    </w:p>
    <w:p w14:paraId="73053372" w14:textId="051F52D6" w:rsidR="00001B75" w:rsidRDefault="00001B75" w:rsidP="00001B75">
      <w:pPr>
        <w:rPr>
          <w:rFonts w:ascii="Arial" w:hAnsi="Arial" w:cs="Arial"/>
          <w:szCs w:val="22"/>
        </w:rPr>
      </w:pPr>
      <w:r>
        <w:rPr>
          <w:rFonts w:ascii="Arial" w:hAnsi="Arial" w:cs="Arial"/>
          <w:szCs w:val="22"/>
        </w:rPr>
        <w:t xml:space="preserve">The purpose of the </w:t>
      </w:r>
      <w:r>
        <w:rPr>
          <w:rFonts w:ascii="Arial" w:hAnsi="Arial" w:cs="Arial"/>
          <w:i/>
          <w:szCs w:val="22"/>
        </w:rPr>
        <w:t>Higher Education Provider Amendment (AAT Review) Guidelines 2020</w:t>
      </w:r>
      <w:r>
        <w:rPr>
          <w:rFonts w:ascii="Arial" w:hAnsi="Arial" w:cs="Arial"/>
          <w:szCs w:val="22"/>
        </w:rPr>
        <w:t xml:space="preserve"> (the </w:t>
      </w:r>
      <w:r w:rsidRPr="00D125BE">
        <w:rPr>
          <w:rFonts w:ascii="Arial" w:hAnsi="Arial" w:cs="Arial"/>
          <w:b/>
          <w:szCs w:val="22"/>
        </w:rPr>
        <w:t xml:space="preserve">Amendment </w:t>
      </w:r>
      <w:r w:rsidRPr="008B3A5F">
        <w:rPr>
          <w:rFonts w:ascii="Arial" w:hAnsi="Arial" w:cs="Arial"/>
          <w:b/>
          <w:szCs w:val="22"/>
        </w:rPr>
        <w:t>Instrument</w:t>
      </w:r>
      <w:r>
        <w:rPr>
          <w:rFonts w:ascii="Arial" w:hAnsi="Arial" w:cs="Arial"/>
          <w:szCs w:val="22"/>
        </w:rPr>
        <w:t xml:space="preserve">) is to amend the </w:t>
      </w:r>
      <w:r>
        <w:rPr>
          <w:rFonts w:ascii="Arial" w:hAnsi="Arial" w:cs="Arial"/>
          <w:i/>
          <w:szCs w:val="22"/>
        </w:rPr>
        <w:t>Higher Education Provider Guidelines 2012</w:t>
      </w:r>
      <w:r>
        <w:rPr>
          <w:rFonts w:ascii="Arial" w:hAnsi="Arial" w:cs="Arial"/>
          <w:szCs w:val="22"/>
        </w:rPr>
        <w:t xml:space="preserve"> </w:t>
      </w:r>
      <w:r w:rsidRPr="007C74A5">
        <w:rPr>
          <w:rFonts w:ascii="Arial" w:hAnsi="Arial" w:cs="Arial"/>
          <w:szCs w:val="22"/>
        </w:rPr>
        <w:t>(</w:t>
      </w:r>
      <w:r w:rsidRPr="006F2780">
        <w:rPr>
          <w:rFonts w:ascii="Arial" w:hAnsi="Arial" w:cs="Arial"/>
          <w:szCs w:val="22"/>
        </w:rPr>
        <w:t xml:space="preserve">the </w:t>
      </w:r>
      <w:r w:rsidRPr="00D125BE">
        <w:rPr>
          <w:rFonts w:ascii="Arial" w:hAnsi="Arial" w:cs="Arial"/>
          <w:b/>
          <w:szCs w:val="22"/>
        </w:rPr>
        <w:t>Guidelines</w:t>
      </w:r>
      <w:r w:rsidRPr="007C74A5">
        <w:rPr>
          <w:rFonts w:ascii="Arial" w:hAnsi="Arial" w:cs="Arial"/>
          <w:szCs w:val="22"/>
        </w:rPr>
        <w:t xml:space="preserve">) </w:t>
      </w:r>
      <w:r w:rsidRPr="003130C6">
        <w:rPr>
          <w:rFonts w:ascii="Arial" w:hAnsi="Arial" w:cs="Arial"/>
          <w:szCs w:val="22"/>
        </w:rPr>
        <w:t xml:space="preserve">to </w:t>
      </w:r>
      <w:r>
        <w:rPr>
          <w:rFonts w:ascii="Arial" w:hAnsi="Arial" w:cs="Arial"/>
          <w:szCs w:val="22"/>
        </w:rPr>
        <w:t xml:space="preserve">provide for the availability of independent merits review </w:t>
      </w:r>
      <w:r w:rsidR="002C4A3A">
        <w:rPr>
          <w:rFonts w:ascii="Arial" w:hAnsi="Arial" w:cs="Arial"/>
          <w:szCs w:val="22"/>
        </w:rPr>
        <w:t xml:space="preserve">by </w:t>
      </w:r>
      <w:r>
        <w:rPr>
          <w:rFonts w:ascii="Arial" w:hAnsi="Arial" w:cs="Arial"/>
          <w:szCs w:val="22"/>
        </w:rPr>
        <w:t>the Administrative Appeals Tribunal (</w:t>
      </w:r>
      <w:r w:rsidRPr="007550EA">
        <w:rPr>
          <w:rFonts w:ascii="Arial" w:hAnsi="Arial" w:cs="Arial"/>
          <w:b/>
          <w:szCs w:val="22"/>
        </w:rPr>
        <w:t>AAT</w:t>
      </w:r>
      <w:r>
        <w:rPr>
          <w:rFonts w:ascii="Arial" w:hAnsi="Arial" w:cs="Arial"/>
          <w:szCs w:val="22"/>
        </w:rPr>
        <w:t xml:space="preserve">) </w:t>
      </w:r>
      <w:r w:rsidR="002C4A3A">
        <w:rPr>
          <w:rFonts w:ascii="Arial" w:hAnsi="Arial" w:cs="Arial"/>
          <w:szCs w:val="22"/>
        </w:rPr>
        <w:t xml:space="preserve">of </w:t>
      </w:r>
      <w:r>
        <w:rPr>
          <w:rFonts w:ascii="Arial" w:hAnsi="Arial" w:cs="Arial"/>
          <w:szCs w:val="22"/>
        </w:rPr>
        <w:t>a review decision made by the HELP Tuition Protection Director in relation to the HELP tuition protection levy (</w:t>
      </w:r>
      <w:r>
        <w:rPr>
          <w:rFonts w:ascii="Arial" w:hAnsi="Arial" w:cs="Arial"/>
          <w:b/>
          <w:szCs w:val="22"/>
        </w:rPr>
        <w:t>levy</w:t>
      </w:r>
      <w:r>
        <w:rPr>
          <w:rFonts w:ascii="Arial" w:hAnsi="Arial" w:cs="Arial"/>
          <w:szCs w:val="22"/>
        </w:rPr>
        <w:t xml:space="preserve">). </w:t>
      </w:r>
    </w:p>
    <w:p w14:paraId="29938F6E" w14:textId="77777777" w:rsidR="00001B75" w:rsidRDefault="00001B75" w:rsidP="00001B75">
      <w:pPr>
        <w:rPr>
          <w:rFonts w:ascii="Arial" w:hAnsi="Arial" w:cs="Arial"/>
          <w:szCs w:val="22"/>
        </w:rPr>
      </w:pPr>
    </w:p>
    <w:p w14:paraId="1CF241E9" w14:textId="77777777" w:rsidR="00001B75" w:rsidRPr="006F2780" w:rsidRDefault="00001B75" w:rsidP="00001B75">
      <w:pPr>
        <w:rPr>
          <w:rFonts w:ascii="Arial" w:hAnsi="Arial" w:cs="Arial"/>
          <w:szCs w:val="22"/>
        </w:rPr>
      </w:pPr>
      <w:r>
        <w:rPr>
          <w:rFonts w:ascii="Arial" w:hAnsi="Arial" w:cs="Arial"/>
          <w:szCs w:val="22"/>
        </w:rPr>
        <w:t xml:space="preserve">The Amendment Instrument is made under section 238-10 of the </w:t>
      </w:r>
      <w:r>
        <w:rPr>
          <w:rFonts w:ascii="Arial" w:hAnsi="Arial" w:cs="Arial"/>
          <w:i/>
          <w:szCs w:val="22"/>
        </w:rPr>
        <w:t xml:space="preserve">Higher Education Support Act 2003 </w:t>
      </w:r>
      <w:r>
        <w:rPr>
          <w:rFonts w:ascii="Arial" w:hAnsi="Arial" w:cs="Arial"/>
          <w:szCs w:val="22"/>
        </w:rPr>
        <w:t>(</w:t>
      </w:r>
      <w:r w:rsidRPr="006F2780">
        <w:rPr>
          <w:rFonts w:ascii="Arial" w:hAnsi="Arial" w:cs="Arial"/>
          <w:szCs w:val="22"/>
        </w:rPr>
        <w:t>the</w:t>
      </w:r>
      <w:r w:rsidRPr="006F2780">
        <w:rPr>
          <w:rFonts w:ascii="Arial" w:hAnsi="Arial" w:cs="Arial"/>
          <w:b/>
          <w:szCs w:val="22"/>
        </w:rPr>
        <w:t xml:space="preserve"> Act</w:t>
      </w:r>
      <w:r>
        <w:rPr>
          <w:rFonts w:ascii="Arial" w:hAnsi="Arial" w:cs="Arial"/>
          <w:szCs w:val="22"/>
        </w:rPr>
        <w:t xml:space="preserve">). The Amendment Instrument amends the Guidelines for the purposes of Part 2-1 of the Act. </w:t>
      </w:r>
    </w:p>
    <w:p w14:paraId="14D73E0C" w14:textId="77777777" w:rsidR="00001B75" w:rsidRPr="007C74A5" w:rsidRDefault="00001B75" w:rsidP="00001B75">
      <w:pPr>
        <w:rPr>
          <w:rFonts w:ascii="Arial" w:hAnsi="Arial" w:cs="Arial"/>
          <w:szCs w:val="22"/>
          <w:highlight w:val="lightGray"/>
        </w:rPr>
      </w:pPr>
    </w:p>
    <w:p w14:paraId="207400E4" w14:textId="77777777" w:rsidR="00001B75" w:rsidRPr="00BA19AE" w:rsidRDefault="00001B75" w:rsidP="00001B75">
      <w:pPr>
        <w:keepNext/>
        <w:rPr>
          <w:rFonts w:ascii="Arial" w:hAnsi="Arial" w:cs="Arial"/>
          <w:b/>
          <w:szCs w:val="22"/>
        </w:rPr>
      </w:pPr>
      <w:r w:rsidRPr="00BA19AE">
        <w:rPr>
          <w:rFonts w:ascii="Arial" w:hAnsi="Arial" w:cs="Arial"/>
          <w:b/>
          <w:szCs w:val="22"/>
        </w:rPr>
        <w:t>B</w:t>
      </w:r>
      <w:r>
        <w:rPr>
          <w:rFonts w:ascii="Arial" w:hAnsi="Arial" w:cs="Arial"/>
          <w:b/>
          <w:szCs w:val="22"/>
        </w:rPr>
        <w:t>ackground</w:t>
      </w:r>
    </w:p>
    <w:p w14:paraId="1D52FCF4" w14:textId="77777777" w:rsidR="00001B75" w:rsidRPr="007C74A5" w:rsidRDefault="00001B75" w:rsidP="00001B75">
      <w:pPr>
        <w:keepNext/>
        <w:rPr>
          <w:rFonts w:ascii="Arial" w:hAnsi="Arial" w:cs="Arial"/>
          <w:szCs w:val="22"/>
          <w:highlight w:val="lightGray"/>
        </w:rPr>
      </w:pPr>
    </w:p>
    <w:p w14:paraId="13BED31E" w14:textId="77777777" w:rsidR="00001B75" w:rsidRDefault="00001B75" w:rsidP="00001B75">
      <w:pPr>
        <w:rPr>
          <w:rFonts w:ascii="Arial" w:hAnsi="Arial" w:cs="Arial"/>
          <w:szCs w:val="22"/>
        </w:rPr>
      </w:pPr>
      <w:r>
        <w:rPr>
          <w:rFonts w:ascii="Arial" w:hAnsi="Arial" w:cs="Arial"/>
          <w:szCs w:val="22"/>
        </w:rPr>
        <w:t xml:space="preserve">The </w:t>
      </w:r>
      <w:r>
        <w:rPr>
          <w:rFonts w:ascii="Arial" w:hAnsi="Arial" w:cs="Arial"/>
          <w:i/>
          <w:szCs w:val="22"/>
        </w:rPr>
        <w:t xml:space="preserve">Education Legislation Amendment (Tuition Protection and Other Measures) Act 2019 </w:t>
      </w:r>
      <w:r>
        <w:rPr>
          <w:rFonts w:ascii="Arial" w:hAnsi="Arial" w:cs="Arial"/>
          <w:szCs w:val="22"/>
        </w:rPr>
        <w:t xml:space="preserve">amended the Act to introduce new tuition protection arrangements, commencing on 1 January 2020. The tuition protection arrangements are funded by providers through a levy model set out in the </w:t>
      </w:r>
      <w:r>
        <w:rPr>
          <w:rFonts w:ascii="Arial" w:hAnsi="Arial" w:cs="Arial"/>
          <w:i/>
          <w:szCs w:val="22"/>
        </w:rPr>
        <w:t xml:space="preserve">Higher Education Support (HELP Tuition Protection Levy) Act 2020. </w:t>
      </w:r>
    </w:p>
    <w:p w14:paraId="1AB5DB66" w14:textId="77777777" w:rsidR="00001B75" w:rsidRDefault="00001B75" w:rsidP="00001B75">
      <w:pPr>
        <w:rPr>
          <w:rFonts w:ascii="Arial" w:hAnsi="Arial" w:cs="Arial"/>
          <w:szCs w:val="22"/>
        </w:rPr>
      </w:pPr>
    </w:p>
    <w:p w14:paraId="4DAEA60E" w14:textId="77777777" w:rsidR="00001B75" w:rsidRDefault="00001B75" w:rsidP="00001B75">
      <w:pPr>
        <w:rPr>
          <w:rFonts w:ascii="Arial" w:hAnsi="Arial" w:cs="Arial"/>
          <w:szCs w:val="22"/>
        </w:rPr>
      </w:pPr>
      <w:r>
        <w:rPr>
          <w:rFonts w:ascii="Arial" w:hAnsi="Arial" w:cs="Arial"/>
          <w:szCs w:val="22"/>
        </w:rPr>
        <w:t xml:space="preserve">The </w:t>
      </w:r>
      <w:r w:rsidRPr="00E50390">
        <w:rPr>
          <w:rFonts w:ascii="Arial" w:hAnsi="Arial" w:cs="Arial"/>
          <w:i/>
          <w:szCs w:val="22"/>
        </w:rPr>
        <w:t>Higher Education Provider Amendment (Tuition Protection and Other Measures) Guidelines 2019</w:t>
      </w:r>
      <w:r>
        <w:rPr>
          <w:rFonts w:ascii="Arial" w:hAnsi="Arial" w:cs="Arial"/>
          <w:szCs w:val="22"/>
        </w:rPr>
        <w:t xml:space="preserve"> recently amended the Guidelines</w:t>
      </w:r>
      <w:r>
        <w:rPr>
          <w:rFonts w:ascii="Arial" w:hAnsi="Arial" w:cs="Arial"/>
          <w:i/>
          <w:szCs w:val="22"/>
        </w:rPr>
        <w:t xml:space="preserve"> </w:t>
      </w:r>
      <w:r>
        <w:rPr>
          <w:rFonts w:ascii="Arial" w:hAnsi="Arial" w:cs="Arial"/>
          <w:szCs w:val="22"/>
        </w:rPr>
        <w:t>(</w:t>
      </w:r>
      <w:r w:rsidRPr="006F2780">
        <w:rPr>
          <w:rFonts w:ascii="Arial" w:hAnsi="Arial" w:cs="Arial"/>
          <w:b/>
          <w:szCs w:val="22"/>
        </w:rPr>
        <w:t xml:space="preserve">2019 </w:t>
      </w:r>
      <w:r>
        <w:rPr>
          <w:rFonts w:ascii="Arial" w:hAnsi="Arial" w:cs="Arial"/>
          <w:b/>
          <w:szCs w:val="22"/>
        </w:rPr>
        <w:t>Instrument</w:t>
      </w:r>
      <w:r>
        <w:rPr>
          <w:rFonts w:ascii="Arial" w:hAnsi="Arial" w:cs="Arial"/>
          <w:szCs w:val="22"/>
        </w:rPr>
        <w:t>)</w:t>
      </w:r>
      <w:r>
        <w:rPr>
          <w:rFonts w:ascii="Arial" w:hAnsi="Arial" w:cs="Arial"/>
          <w:i/>
          <w:szCs w:val="22"/>
        </w:rPr>
        <w:t xml:space="preserve">. </w:t>
      </w:r>
      <w:r>
        <w:rPr>
          <w:rFonts w:ascii="Arial" w:hAnsi="Arial" w:cs="Arial"/>
          <w:szCs w:val="22"/>
        </w:rPr>
        <w:t xml:space="preserve">The 2019 Instrument inserted Chapter 2 in the Guidelines, which outlines requirements for the new tuition protection arrangements. Relevantly, the 2019 Instrument introduced new requirements for the determination and collection of levies at section 2.10 of the Guidelines. </w:t>
      </w:r>
    </w:p>
    <w:p w14:paraId="4025444C" w14:textId="77777777" w:rsidR="00001B75" w:rsidRDefault="00001B75" w:rsidP="00001B75">
      <w:pPr>
        <w:rPr>
          <w:rFonts w:ascii="Arial" w:hAnsi="Arial" w:cs="Arial"/>
          <w:szCs w:val="22"/>
        </w:rPr>
      </w:pPr>
    </w:p>
    <w:p w14:paraId="70B9EFF2" w14:textId="6FDE09DD" w:rsidR="00001B75" w:rsidRDefault="00001B75" w:rsidP="00001B75">
      <w:pPr>
        <w:rPr>
          <w:rFonts w:ascii="Arial" w:hAnsi="Arial" w:cs="Arial"/>
          <w:szCs w:val="22"/>
        </w:rPr>
      </w:pPr>
      <w:r>
        <w:rPr>
          <w:rFonts w:ascii="Arial" w:hAnsi="Arial" w:cs="Arial"/>
          <w:szCs w:val="22"/>
        </w:rPr>
        <w:t xml:space="preserve">Paragraph 19-66A(3)(g) of the Act provides that the Guidelines may make provision for, or in relation to the review of decisions made under the Guidelines in relation to the collection or recovery of the levy. Sections 2.10.25 to 2.10.35 of the Guidelines (as inserted by the 2019 Instrument) set out the circumstances in which a leviable provider may request an internal review of a levy determination by the HELP Tuition Protection Director, the </w:t>
      </w:r>
      <w:r w:rsidR="002C4A3A">
        <w:rPr>
          <w:rFonts w:ascii="Arial" w:hAnsi="Arial" w:cs="Arial"/>
          <w:szCs w:val="22"/>
        </w:rPr>
        <w:t>process for reviewing the decision</w:t>
      </w:r>
      <w:r w:rsidR="002C4A3A" w:rsidDel="002C4A3A">
        <w:rPr>
          <w:rFonts w:ascii="Arial" w:hAnsi="Arial" w:cs="Arial"/>
          <w:szCs w:val="22"/>
        </w:rPr>
        <w:t xml:space="preserve"> </w:t>
      </w:r>
      <w:r>
        <w:rPr>
          <w:rFonts w:ascii="Arial" w:hAnsi="Arial" w:cs="Arial"/>
          <w:szCs w:val="22"/>
        </w:rPr>
        <w:t xml:space="preserve">and the notice requirements attaching to the review decision. The Guidelines provide for internal review of the levy determination; however, do not provide for independent merits review of the internal review decision. </w:t>
      </w:r>
    </w:p>
    <w:p w14:paraId="28371D0A" w14:textId="77777777" w:rsidR="00001B75" w:rsidRDefault="00001B75" w:rsidP="00001B75">
      <w:pPr>
        <w:rPr>
          <w:rFonts w:ascii="Arial" w:hAnsi="Arial" w:cs="Arial"/>
          <w:szCs w:val="22"/>
        </w:rPr>
      </w:pPr>
    </w:p>
    <w:p w14:paraId="6561C180" w14:textId="48213444" w:rsidR="00001B75" w:rsidRPr="003E1FD8" w:rsidRDefault="00001B75" w:rsidP="00001B75">
      <w:pPr>
        <w:rPr>
          <w:rFonts w:ascii="Arial" w:hAnsi="Arial" w:cs="Arial"/>
          <w:i/>
          <w:szCs w:val="22"/>
        </w:rPr>
      </w:pPr>
      <w:r>
        <w:rPr>
          <w:rFonts w:ascii="Arial" w:hAnsi="Arial" w:cs="Arial"/>
          <w:szCs w:val="22"/>
        </w:rPr>
        <w:t xml:space="preserve">The Senate Standing Committee for the Scrutiny of Delegated Legislation (the </w:t>
      </w:r>
      <w:r>
        <w:rPr>
          <w:rFonts w:ascii="Arial" w:hAnsi="Arial" w:cs="Arial"/>
          <w:b/>
          <w:szCs w:val="22"/>
        </w:rPr>
        <w:t>Committee</w:t>
      </w:r>
      <w:r>
        <w:rPr>
          <w:rFonts w:ascii="Arial" w:hAnsi="Arial" w:cs="Arial"/>
          <w:szCs w:val="22"/>
        </w:rPr>
        <w:t xml:space="preserve">) </w:t>
      </w:r>
      <w:r w:rsidR="002C4A3A">
        <w:rPr>
          <w:rFonts w:ascii="Arial" w:hAnsi="Arial" w:cs="Arial"/>
          <w:szCs w:val="22"/>
        </w:rPr>
        <w:t>recommended</w:t>
      </w:r>
      <w:r>
        <w:rPr>
          <w:rFonts w:ascii="Arial" w:hAnsi="Arial" w:cs="Arial"/>
          <w:szCs w:val="22"/>
        </w:rPr>
        <w:t xml:space="preserve"> that the 2019 Instrument be amended to provide for independent merits review of decisions made under new sections 2.10.25 to 2.10.35 of the Guidelines in accordance with the Administrative Review Council’s guidance document, </w:t>
      </w:r>
      <w:r>
        <w:rPr>
          <w:rFonts w:ascii="Arial" w:hAnsi="Arial" w:cs="Arial"/>
          <w:i/>
          <w:szCs w:val="22"/>
        </w:rPr>
        <w:t xml:space="preserve">What decisions should be subject to merits review?. </w:t>
      </w:r>
    </w:p>
    <w:p w14:paraId="72494688" w14:textId="77777777" w:rsidR="00001B75" w:rsidRPr="00FE3918" w:rsidRDefault="00001B75" w:rsidP="00001B75">
      <w:pPr>
        <w:rPr>
          <w:rFonts w:ascii="Arial" w:hAnsi="Arial" w:cs="Arial"/>
          <w:i/>
          <w:szCs w:val="22"/>
        </w:rPr>
      </w:pPr>
    </w:p>
    <w:p w14:paraId="0023B2FD" w14:textId="441D2DAF" w:rsidR="00001B75" w:rsidRPr="00A7160B" w:rsidRDefault="00001B75" w:rsidP="00001B75">
      <w:pPr>
        <w:rPr>
          <w:rFonts w:ascii="Arial" w:hAnsi="Arial" w:cs="Arial"/>
          <w:szCs w:val="22"/>
        </w:rPr>
      </w:pPr>
      <w:r>
        <w:rPr>
          <w:rFonts w:ascii="Arial" w:hAnsi="Arial" w:cs="Arial"/>
          <w:szCs w:val="22"/>
        </w:rPr>
        <w:t xml:space="preserve">The purpose of the Amendment Instrument is to include the availability of independent merits review </w:t>
      </w:r>
      <w:r w:rsidR="002C4A3A">
        <w:rPr>
          <w:rFonts w:ascii="Arial" w:hAnsi="Arial" w:cs="Arial"/>
          <w:szCs w:val="22"/>
        </w:rPr>
        <w:t>by</w:t>
      </w:r>
      <w:r>
        <w:rPr>
          <w:rFonts w:ascii="Arial" w:hAnsi="Arial" w:cs="Arial"/>
          <w:szCs w:val="22"/>
        </w:rPr>
        <w:t xml:space="preserve"> the AAT </w:t>
      </w:r>
      <w:r w:rsidR="002C4A3A">
        <w:rPr>
          <w:rFonts w:ascii="Arial" w:hAnsi="Arial" w:cs="Arial"/>
          <w:szCs w:val="22"/>
        </w:rPr>
        <w:t xml:space="preserve">of internal reviews </w:t>
      </w:r>
      <w:r>
        <w:rPr>
          <w:rFonts w:ascii="Arial" w:hAnsi="Arial" w:cs="Arial"/>
          <w:szCs w:val="22"/>
        </w:rPr>
        <w:t xml:space="preserve">decisions made by the HELP Tuition Protection Director under section 2.10.30 of the Guidelines in relation to the determination of the levy. </w:t>
      </w:r>
    </w:p>
    <w:p w14:paraId="5FA47DC5" w14:textId="77777777" w:rsidR="00770372" w:rsidRPr="00770372" w:rsidRDefault="00770372" w:rsidP="00770372">
      <w:pPr>
        <w:rPr>
          <w:rFonts w:ascii="Arial" w:hAnsi="Arial" w:cs="Arial"/>
          <w:szCs w:val="22"/>
        </w:rPr>
      </w:pPr>
    </w:p>
    <w:p w14:paraId="11BBAB93" w14:textId="6757D0B5" w:rsidR="00E757EC" w:rsidRDefault="003114C2" w:rsidP="00E757EC">
      <w:pPr>
        <w:spacing w:after="240"/>
        <w:rPr>
          <w:rFonts w:ascii="Arial" w:hAnsi="Arial" w:cs="Arial"/>
          <w:b/>
        </w:rPr>
      </w:pPr>
      <w:r w:rsidRPr="00C12C82">
        <w:rPr>
          <w:rFonts w:ascii="Arial" w:hAnsi="Arial" w:cs="Arial"/>
          <w:b/>
        </w:rPr>
        <w:t>Human rights implications</w:t>
      </w:r>
    </w:p>
    <w:p w14:paraId="31A92AFF" w14:textId="7AB84647" w:rsidR="002C4A3A" w:rsidRDefault="002C4A3A" w:rsidP="00770372">
      <w:pPr>
        <w:spacing w:after="240"/>
        <w:rPr>
          <w:rFonts w:ascii="Arial" w:hAnsi="Arial" w:cs="Arial"/>
        </w:rPr>
      </w:pPr>
      <w:r>
        <w:rPr>
          <w:rFonts w:ascii="Arial" w:hAnsi="Arial" w:cs="Arial"/>
        </w:rPr>
        <w:t>The Amendment Instrument engages the following human rights:</w:t>
      </w:r>
    </w:p>
    <w:p w14:paraId="0A6D0FAD" w14:textId="12AEF8F4" w:rsidR="002C4A3A" w:rsidRPr="00A05BA0" w:rsidRDefault="002C4A3A" w:rsidP="00AD5FC8">
      <w:pPr>
        <w:pStyle w:val="ListParagraph"/>
        <w:numPr>
          <w:ilvl w:val="0"/>
          <w:numId w:val="42"/>
        </w:numPr>
        <w:spacing w:after="240"/>
        <w:rPr>
          <w:rFonts w:ascii="Arial" w:hAnsi="Arial" w:cs="Arial"/>
          <w:sz w:val="24"/>
          <w:szCs w:val="24"/>
        </w:rPr>
      </w:pPr>
      <w:r w:rsidRPr="00A05BA0">
        <w:rPr>
          <w:rFonts w:ascii="Arial" w:hAnsi="Arial" w:cs="Arial"/>
          <w:sz w:val="24"/>
          <w:szCs w:val="24"/>
        </w:rPr>
        <w:t>the right to a fair hearing in Article 14(1) of the International Covenant on Civil and Political Rights (</w:t>
      </w:r>
      <w:r w:rsidRPr="00A05BA0">
        <w:rPr>
          <w:rFonts w:ascii="Arial" w:hAnsi="Arial" w:cs="Arial"/>
          <w:b/>
          <w:sz w:val="24"/>
          <w:szCs w:val="24"/>
        </w:rPr>
        <w:t>ICCPR</w:t>
      </w:r>
      <w:r w:rsidRPr="00A05BA0">
        <w:rPr>
          <w:rFonts w:ascii="Arial" w:hAnsi="Arial" w:cs="Arial"/>
          <w:sz w:val="24"/>
          <w:szCs w:val="24"/>
        </w:rPr>
        <w:t xml:space="preserve">); </w:t>
      </w:r>
    </w:p>
    <w:p w14:paraId="5D916302" w14:textId="7F7EDB34" w:rsidR="002C4A3A" w:rsidRPr="00A05BA0" w:rsidRDefault="002C4A3A" w:rsidP="00AD5FC8">
      <w:pPr>
        <w:pStyle w:val="ListParagraph"/>
        <w:numPr>
          <w:ilvl w:val="0"/>
          <w:numId w:val="42"/>
        </w:numPr>
        <w:spacing w:after="240"/>
        <w:rPr>
          <w:rFonts w:ascii="Arial" w:hAnsi="Arial" w:cs="Arial"/>
          <w:sz w:val="24"/>
          <w:szCs w:val="24"/>
        </w:rPr>
      </w:pPr>
      <w:r w:rsidRPr="00A05BA0">
        <w:rPr>
          <w:rFonts w:ascii="Arial" w:hAnsi="Arial" w:cs="Arial"/>
          <w:sz w:val="24"/>
          <w:szCs w:val="24"/>
        </w:rPr>
        <w:t>the right to an accessible and effective remedy in Article 2(3) of the ICCPR;</w:t>
      </w:r>
      <w:r w:rsidR="005D6BE1" w:rsidRPr="00A05BA0">
        <w:rPr>
          <w:rFonts w:ascii="Arial" w:hAnsi="Arial" w:cs="Arial"/>
          <w:sz w:val="24"/>
          <w:szCs w:val="24"/>
        </w:rPr>
        <w:t xml:space="preserve"> and</w:t>
      </w:r>
    </w:p>
    <w:p w14:paraId="73289525" w14:textId="33EA7FE9" w:rsidR="002C4A3A" w:rsidRPr="00A05BA0" w:rsidRDefault="002C4A3A" w:rsidP="00A05BA0">
      <w:pPr>
        <w:pStyle w:val="ListParagraph"/>
        <w:numPr>
          <w:ilvl w:val="0"/>
          <w:numId w:val="42"/>
        </w:numPr>
        <w:spacing w:after="0"/>
        <w:ind w:left="714" w:hanging="357"/>
        <w:rPr>
          <w:rFonts w:ascii="Arial" w:hAnsi="Arial" w:cs="Arial"/>
          <w:sz w:val="24"/>
          <w:szCs w:val="24"/>
        </w:rPr>
      </w:pPr>
      <w:r w:rsidRPr="00A05BA0">
        <w:rPr>
          <w:rFonts w:ascii="Arial" w:hAnsi="Arial" w:cs="Arial"/>
          <w:sz w:val="24"/>
          <w:szCs w:val="24"/>
        </w:rPr>
        <w:t>the right to education in Article 13 of the International Covenant on Economic, Social and Cultural Rights (</w:t>
      </w:r>
      <w:r w:rsidRPr="00A05BA0">
        <w:rPr>
          <w:rFonts w:ascii="Arial" w:hAnsi="Arial" w:cs="Arial"/>
          <w:b/>
          <w:sz w:val="24"/>
          <w:szCs w:val="24"/>
        </w:rPr>
        <w:t>ICESCR</w:t>
      </w:r>
      <w:r w:rsidRPr="00A05BA0">
        <w:rPr>
          <w:rFonts w:ascii="Arial" w:hAnsi="Arial" w:cs="Arial"/>
          <w:sz w:val="24"/>
          <w:szCs w:val="24"/>
        </w:rPr>
        <w:t xml:space="preserve">). </w:t>
      </w:r>
    </w:p>
    <w:p w14:paraId="71A94D10" w14:textId="77777777" w:rsidR="00E757EC" w:rsidRDefault="00E757EC" w:rsidP="00A05BA0">
      <w:pPr>
        <w:rPr>
          <w:rFonts w:ascii="Arial" w:hAnsi="Arial" w:cs="Arial"/>
          <w:b/>
        </w:rPr>
      </w:pPr>
    </w:p>
    <w:p w14:paraId="4639CA1D" w14:textId="31AA69CB" w:rsidR="002C4A3A" w:rsidRPr="00AD5FC8" w:rsidRDefault="002C4A3A" w:rsidP="00E757EC">
      <w:pPr>
        <w:spacing w:after="240"/>
        <w:rPr>
          <w:rFonts w:ascii="Arial" w:hAnsi="Arial" w:cs="Arial"/>
          <w:b/>
        </w:rPr>
      </w:pPr>
      <w:r>
        <w:rPr>
          <w:rFonts w:ascii="Arial" w:hAnsi="Arial" w:cs="Arial"/>
          <w:b/>
        </w:rPr>
        <w:t xml:space="preserve">Right to a fair hearing and effective remedy </w:t>
      </w:r>
    </w:p>
    <w:p w14:paraId="587DBF02" w14:textId="280E8E2C" w:rsidR="00E64257" w:rsidRPr="00A05BA0" w:rsidRDefault="00E64257" w:rsidP="00AD5FC8">
      <w:pPr>
        <w:autoSpaceDE w:val="0"/>
        <w:autoSpaceDN w:val="0"/>
        <w:adjustRightInd w:val="0"/>
        <w:rPr>
          <w:rFonts w:ascii="Arial" w:eastAsiaTheme="minorHAnsi" w:hAnsi="Arial" w:cs="Arial"/>
          <w:lang w:eastAsia="en-US"/>
        </w:rPr>
      </w:pPr>
      <w:r w:rsidRPr="00937388">
        <w:rPr>
          <w:rFonts w:ascii="Arial" w:hAnsi="Arial" w:cs="Arial"/>
        </w:rPr>
        <w:t>T</w:t>
      </w:r>
      <w:r w:rsidR="00770372" w:rsidRPr="00937388">
        <w:rPr>
          <w:rFonts w:ascii="Arial" w:hAnsi="Arial" w:cs="Arial"/>
        </w:rPr>
        <w:t>he Amendment Instrument</w:t>
      </w:r>
      <w:r w:rsidRPr="00937388">
        <w:rPr>
          <w:rFonts w:ascii="Arial" w:hAnsi="Arial" w:cs="Arial"/>
        </w:rPr>
        <w:t xml:space="preserve"> engage</w:t>
      </w:r>
      <w:r w:rsidR="00770372" w:rsidRPr="00937388">
        <w:rPr>
          <w:rFonts w:ascii="Arial" w:hAnsi="Arial" w:cs="Arial"/>
        </w:rPr>
        <w:t>s</w:t>
      </w:r>
      <w:r w:rsidRPr="00937388">
        <w:rPr>
          <w:rFonts w:ascii="Arial" w:hAnsi="Arial" w:cs="Arial"/>
        </w:rPr>
        <w:t xml:space="preserve"> the right to a </w:t>
      </w:r>
      <w:r w:rsidR="00594F52" w:rsidRPr="00937388">
        <w:rPr>
          <w:rFonts w:ascii="Arial" w:hAnsi="Arial" w:cs="Arial"/>
        </w:rPr>
        <w:t>fair hearing</w:t>
      </w:r>
      <w:r w:rsidRPr="00937388">
        <w:rPr>
          <w:rFonts w:ascii="Arial" w:hAnsi="Arial" w:cs="Arial"/>
        </w:rPr>
        <w:t xml:space="preserve"> </w:t>
      </w:r>
      <w:r w:rsidR="00B77446" w:rsidRPr="00937388">
        <w:rPr>
          <w:rFonts w:ascii="Arial" w:hAnsi="Arial" w:cs="Arial"/>
        </w:rPr>
        <w:t>under A</w:t>
      </w:r>
      <w:r w:rsidR="00770372" w:rsidRPr="00937388">
        <w:rPr>
          <w:rFonts w:ascii="Arial" w:hAnsi="Arial" w:cs="Arial"/>
        </w:rPr>
        <w:t>rticle</w:t>
      </w:r>
      <w:r w:rsidRPr="00937388">
        <w:rPr>
          <w:rFonts w:ascii="Arial" w:hAnsi="Arial" w:cs="Arial"/>
        </w:rPr>
        <w:t xml:space="preserve"> 14(1) </w:t>
      </w:r>
      <w:r w:rsidR="00AD5FC8" w:rsidRPr="00937388">
        <w:rPr>
          <w:rFonts w:ascii="Arial" w:hAnsi="Arial" w:cs="Arial"/>
        </w:rPr>
        <w:t xml:space="preserve">and </w:t>
      </w:r>
      <w:r w:rsidR="005D6BE1" w:rsidRPr="00937388">
        <w:rPr>
          <w:rFonts w:ascii="Arial" w:hAnsi="Arial" w:cs="Arial"/>
        </w:rPr>
        <w:t xml:space="preserve">the </w:t>
      </w:r>
      <w:r w:rsidR="00AD5FC8" w:rsidRPr="00937388">
        <w:rPr>
          <w:rFonts w:ascii="Arial" w:hAnsi="Arial" w:cs="Arial"/>
        </w:rPr>
        <w:t xml:space="preserve">right to an accessible and effective remedy under Article 2(3) </w:t>
      </w:r>
      <w:r w:rsidRPr="00937388">
        <w:rPr>
          <w:rFonts w:ascii="Arial" w:hAnsi="Arial" w:cs="Arial"/>
        </w:rPr>
        <w:t>of the ICCPR.</w:t>
      </w:r>
      <w:r w:rsidR="00AD5FC8" w:rsidRPr="00937388">
        <w:rPr>
          <w:rFonts w:ascii="Arial" w:hAnsi="Arial" w:cs="Arial"/>
        </w:rPr>
        <w:t xml:space="preserve"> </w:t>
      </w:r>
      <w:r w:rsidR="00AD5FC8" w:rsidRPr="00A05BA0">
        <w:rPr>
          <w:rFonts w:ascii="Arial" w:eastAsiaTheme="minorHAnsi" w:hAnsi="Arial" w:cs="Arial"/>
          <w:lang w:eastAsia="en-US"/>
        </w:rPr>
        <w:t>The right to a fair hearing and the right to an effective remedy are complementary and mutually reinforcing — access to a fair hearing in an administrative or judicial forum facilitates the provision of an effective remedy.</w:t>
      </w:r>
    </w:p>
    <w:p w14:paraId="7E6782BE" w14:textId="7FA461AD" w:rsidR="00AD5FC8" w:rsidRPr="00A05BA0" w:rsidRDefault="00AD5FC8" w:rsidP="00AD5FC8">
      <w:pPr>
        <w:autoSpaceDE w:val="0"/>
        <w:autoSpaceDN w:val="0"/>
        <w:adjustRightInd w:val="0"/>
        <w:rPr>
          <w:rFonts w:ascii="Arial" w:eastAsiaTheme="minorHAnsi" w:hAnsi="Arial" w:cs="Arial"/>
          <w:lang w:eastAsia="en-US"/>
        </w:rPr>
      </w:pPr>
    </w:p>
    <w:p w14:paraId="604421A8" w14:textId="720D7D84" w:rsidR="005D6BE1" w:rsidRPr="00937388" w:rsidRDefault="005D6BE1" w:rsidP="00AD5FC8">
      <w:pPr>
        <w:autoSpaceDE w:val="0"/>
        <w:autoSpaceDN w:val="0"/>
        <w:adjustRightInd w:val="0"/>
        <w:rPr>
          <w:rFonts w:ascii="Arial" w:hAnsi="Arial" w:cs="Arial"/>
        </w:rPr>
      </w:pPr>
      <w:r w:rsidRPr="00937388">
        <w:rPr>
          <w:rFonts w:ascii="Arial" w:hAnsi="Arial" w:cs="Arial"/>
        </w:rPr>
        <w:t>The Amendment Instrument provides for the availability of independent merits review by the AAT for decisions made by the HELP Tuition Protection Director under section 2.10.30 of the Guidelines.</w:t>
      </w:r>
    </w:p>
    <w:p w14:paraId="0A9513DD" w14:textId="77777777" w:rsidR="005D6BE1" w:rsidRPr="00A05BA0" w:rsidRDefault="005D6BE1" w:rsidP="00AD5FC8">
      <w:pPr>
        <w:autoSpaceDE w:val="0"/>
        <w:autoSpaceDN w:val="0"/>
        <w:adjustRightInd w:val="0"/>
        <w:rPr>
          <w:rFonts w:ascii="Arial" w:eastAsiaTheme="minorHAnsi" w:hAnsi="Arial" w:cs="Arial"/>
          <w:lang w:eastAsia="en-US"/>
        </w:rPr>
      </w:pPr>
    </w:p>
    <w:p w14:paraId="24CFEB8F" w14:textId="27F7F670" w:rsidR="00AD5FC8" w:rsidRPr="00A05BA0" w:rsidRDefault="00AD5FC8" w:rsidP="00AD5FC8">
      <w:pPr>
        <w:autoSpaceDE w:val="0"/>
        <w:autoSpaceDN w:val="0"/>
        <w:adjustRightInd w:val="0"/>
        <w:rPr>
          <w:rFonts w:ascii="Arial" w:eastAsiaTheme="minorHAnsi" w:hAnsi="Arial" w:cs="Arial"/>
          <w:lang w:eastAsia="en-US"/>
        </w:rPr>
      </w:pPr>
      <w:r w:rsidRPr="00A05BA0">
        <w:rPr>
          <w:rFonts w:ascii="Arial" w:eastAsiaTheme="minorHAnsi" w:hAnsi="Arial" w:cs="Arial"/>
          <w:lang w:eastAsia="en-US"/>
        </w:rPr>
        <w:t>Article 2(3)(b) clearly contemplates the provision of remedies by ‘administrative authorities’, as a complement to judicial remedies. The United Nations Human Rights Council emphasises the importance of establishing both judicial and administrative mechanisms for addressing claims, and considers that administrative mechanisms are particularly required to give effect to the general obligation to investigate claims promptly, thoroughly and effectively through independent and impartial bodies. The AAT has the power to provide and enforce administrative redress by varying or setting aside the internal review decision of the HELP Tuition Protection Director.</w:t>
      </w:r>
    </w:p>
    <w:p w14:paraId="43714D4C" w14:textId="77777777" w:rsidR="00AD5FC8" w:rsidRPr="00A05BA0" w:rsidRDefault="00AD5FC8" w:rsidP="00AD5FC8">
      <w:pPr>
        <w:autoSpaceDE w:val="0"/>
        <w:autoSpaceDN w:val="0"/>
        <w:adjustRightInd w:val="0"/>
        <w:rPr>
          <w:rFonts w:ascii="Arial" w:eastAsiaTheme="minorHAnsi" w:hAnsi="Arial" w:cs="Arial"/>
          <w:lang w:eastAsia="en-US"/>
        </w:rPr>
      </w:pPr>
    </w:p>
    <w:p w14:paraId="29B625AD" w14:textId="516222FF" w:rsidR="00E64257" w:rsidRDefault="00AD5FC8" w:rsidP="00A05BA0">
      <w:pPr>
        <w:rPr>
          <w:rFonts w:ascii="Arial" w:hAnsi="Arial" w:cs="Arial"/>
        </w:rPr>
      </w:pPr>
      <w:r w:rsidRPr="00937388">
        <w:rPr>
          <w:rFonts w:ascii="Arial" w:hAnsi="Arial" w:cs="Arial"/>
        </w:rPr>
        <w:t>The availability of</w:t>
      </w:r>
      <w:r w:rsidR="00E64257" w:rsidRPr="00937388">
        <w:rPr>
          <w:rFonts w:ascii="Arial" w:hAnsi="Arial" w:cs="Arial"/>
        </w:rPr>
        <w:t xml:space="preserve"> </w:t>
      </w:r>
      <w:r w:rsidRPr="00937388">
        <w:rPr>
          <w:rFonts w:ascii="Arial" w:hAnsi="Arial" w:cs="Arial"/>
        </w:rPr>
        <w:t>m</w:t>
      </w:r>
      <w:r w:rsidR="00E64257" w:rsidRPr="00937388">
        <w:rPr>
          <w:rFonts w:ascii="Arial" w:hAnsi="Arial" w:cs="Arial"/>
        </w:rPr>
        <w:t xml:space="preserve">erits review </w:t>
      </w:r>
      <w:r w:rsidRPr="00937388">
        <w:rPr>
          <w:rFonts w:ascii="Arial" w:hAnsi="Arial" w:cs="Arial"/>
        </w:rPr>
        <w:t xml:space="preserve">by </w:t>
      </w:r>
      <w:r w:rsidR="00E64257" w:rsidRPr="00937388">
        <w:rPr>
          <w:rFonts w:ascii="Arial" w:hAnsi="Arial" w:cs="Arial"/>
        </w:rPr>
        <w:t>the AAT is an important element in realising an individual’s ri</w:t>
      </w:r>
      <w:r w:rsidR="00770372" w:rsidRPr="00937388">
        <w:rPr>
          <w:rFonts w:ascii="Arial" w:hAnsi="Arial" w:cs="Arial"/>
        </w:rPr>
        <w:t>ght to a fair hearing</w:t>
      </w:r>
      <w:r w:rsidR="00E64257" w:rsidRPr="00937388">
        <w:rPr>
          <w:rFonts w:ascii="Arial" w:hAnsi="Arial" w:cs="Arial"/>
        </w:rPr>
        <w:t xml:space="preserve"> </w:t>
      </w:r>
      <w:r w:rsidRPr="00937388">
        <w:rPr>
          <w:rFonts w:ascii="Arial" w:hAnsi="Arial" w:cs="Arial"/>
        </w:rPr>
        <w:t xml:space="preserve">and effective remedy </w:t>
      </w:r>
      <w:r w:rsidR="00E64257" w:rsidRPr="00937388">
        <w:rPr>
          <w:rFonts w:ascii="Arial" w:hAnsi="Arial" w:cs="Arial"/>
        </w:rPr>
        <w:t xml:space="preserve">under </w:t>
      </w:r>
      <w:r w:rsidR="00320B8B" w:rsidRPr="00937388">
        <w:rPr>
          <w:rFonts w:ascii="Arial" w:hAnsi="Arial" w:cs="Arial"/>
        </w:rPr>
        <w:t>the ICCPR</w:t>
      </w:r>
      <w:r w:rsidR="005D6BE1" w:rsidRPr="00937388">
        <w:rPr>
          <w:rFonts w:ascii="Arial" w:hAnsi="Arial" w:cs="Arial"/>
        </w:rPr>
        <w:t xml:space="preserve"> and</w:t>
      </w:r>
      <w:r w:rsidRPr="00A05BA0">
        <w:rPr>
          <w:rFonts w:ascii="Arial" w:eastAsiaTheme="minorHAnsi" w:hAnsi="Arial" w:cs="Arial"/>
          <w:lang w:eastAsia="en-US"/>
        </w:rPr>
        <w:t xml:space="preserve"> provides an</w:t>
      </w:r>
      <w:r w:rsidRPr="00937388">
        <w:rPr>
          <w:rFonts w:ascii="Arial" w:hAnsi="Arial" w:cs="Arial"/>
        </w:rPr>
        <w:t xml:space="preserve"> </w:t>
      </w:r>
      <w:r w:rsidRPr="00A05BA0">
        <w:rPr>
          <w:rFonts w:ascii="Arial" w:eastAsiaTheme="minorHAnsi" w:hAnsi="Arial" w:cs="Arial"/>
          <w:lang w:eastAsia="en-US"/>
        </w:rPr>
        <w:t>accessible and impartial form of administrative oversight within this area of administrative decision-making. Having this tier of independent merits review available to providers promotes public trust and confidence in decision making which is integral to a strong and accountable civil justice system.</w:t>
      </w:r>
      <w:r w:rsidR="00E64257" w:rsidRPr="00937388">
        <w:rPr>
          <w:rFonts w:ascii="Arial" w:hAnsi="Arial" w:cs="Arial"/>
        </w:rPr>
        <w:t xml:space="preserve"> </w:t>
      </w:r>
    </w:p>
    <w:p w14:paraId="3CE56DA0" w14:textId="77777777" w:rsidR="00E757EC" w:rsidRPr="00937388" w:rsidRDefault="00E757EC" w:rsidP="00A05BA0">
      <w:pPr>
        <w:rPr>
          <w:rFonts w:ascii="Arial" w:hAnsi="Arial" w:cs="Arial"/>
        </w:rPr>
      </w:pPr>
    </w:p>
    <w:p w14:paraId="607D4D7C" w14:textId="09FCFB81" w:rsidR="00545A1B" w:rsidRDefault="00770372" w:rsidP="00A05BA0">
      <w:pPr>
        <w:rPr>
          <w:rFonts w:ascii="Arial" w:hAnsi="Arial" w:cs="Arial"/>
        </w:rPr>
      </w:pPr>
      <w:r w:rsidRPr="00937388">
        <w:rPr>
          <w:rFonts w:ascii="Arial" w:hAnsi="Arial" w:cs="Arial"/>
        </w:rPr>
        <w:t xml:space="preserve">Therefore, the availability of </w:t>
      </w:r>
      <w:r w:rsidR="00594F52" w:rsidRPr="00937388">
        <w:rPr>
          <w:rFonts w:ascii="Arial" w:hAnsi="Arial" w:cs="Arial"/>
        </w:rPr>
        <w:t>AAT merits review promotes the right to a fair hearing</w:t>
      </w:r>
      <w:r w:rsidR="00AD5FC8" w:rsidRPr="00937388">
        <w:rPr>
          <w:rFonts w:ascii="Arial" w:hAnsi="Arial" w:cs="Arial"/>
        </w:rPr>
        <w:t xml:space="preserve"> and to an effective remedy</w:t>
      </w:r>
      <w:r w:rsidR="00594F52" w:rsidRPr="00937388">
        <w:rPr>
          <w:rFonts w:ascii="Arial" w:hAnsi="Arial" w:cs="Arial"/>
        </w:rPr>
        <w:t xml:space="preserve"> by providing </w:t>
      </w:r>
      <w:r w:rsidR="00B77446" w:rsidRPr="00937388">
        <w:rPr>
          <w:rFonts w:ascii="Arial" w:hAnsi="Arial" w:cs="Arial"/>
        </w:rPr>
        <w:t>the opportunity for a provider to seek independent</w:t>
      </w:r>
      <w:r w:rsidR="00594F52" w:rsidRPr="00937388">
        <w:rPr>
          <w:rFonts w:ascii="Arial" w:hAnsi="Arial" w:cs="Arial"/>
        </w:rPr>
        <w:t xml:space="preserve"> review of</w:t>
      </w:r>
      <w:r w:rsidRPr="00937388">
        <w:rPr>
          <w:rFonts w:ascii="Arial" w:hAnsi="Arial" w:cs="Arial"/>
        </w:rPr>
        <w:t xml:space="preserve"> a</w:t>
      </w:r>
      <w:r w:rsidR="00594F52" w:rsidRPr="00937388">
        <w:rPr>
          <w:rFonts w:ascii="Arial" w:hAnsi="Arial" w:cs="Arial"/>
        </w:rPr>
        <w:t xml:space="preserve"> </w:t>
      </w:r>
      <w:r w:rsidRPr="00937388">
        <w:rPr>
          <w:rFonts w:ascii="Arial" w:hAnsi="Arial" w:cs="Arial"/>
        </w:rPr>
        <w:t xml:space="preserve">government </w:t>
      </w:r>
      <w:r w:rsidR="00594F52" w:rsidRPr="00937388">
        <w:rPr>
          <w:rFonts w:ascii="Arial" w:hAnsi="Arial" w:cs="Arial"/>
        </w:rPr>
        <w:t>decision made under section 2.10.30 of the Guidelines</w:t>
      </w:r>
      <w:r w:rsidR="00B77446" w:rsidRPr="00937388">
        <w:rPr>
          <w:rFonts w:ascii="Arial" w:hAnsi="Arial" w:cs="Arial"/>
        </w:rPr>
        <w:t xml:space="preserve">. </w:t>
      </w:r>
      <w:r w:rsidR="00AD5FC8" w:rsidRPr="00A05BA0">
        <w:rPr>
          <w:rFonts w:ascii="Arial" w:eastAsiaTheme="minorHAnsi" w:hAnsi="Arial" w:cs="Arial"/>
          <w:lang w:eastAsia="en-US"/>
        </w:rPr>
        <w:t>The ability of the AAT to conduct contemporaneous merits review to reach the correct or preferable decision in these matters, and, in particular, to consider all the relevant facts afresh, is an integral rights-based safeguard for providers</w:t>
      </w:r>
      <w:r w:rsidR="00AD5FC8" w:rsidRPr="00937388">
        <w:rPr>
          <w:rFonts w:ascii="Arial" w:hAnsi="Arial" w:cs="Arial"/>
        </w:rPr>
        <w:t xml:space="preserve">. </w:t>
      </w:r>
      <w:r w:rsidR="00594F52" w:rsidRPr="00937388">
        <w:rPr>
          <w:rFonts w:ascii="Arial" w:hAnsi="Arial" w:cs="Arial"/>
        </w:rPr>
        <w:t xml:space="preserve"> </w:t>
      </w:r>
    </w:p>
    <w:p w14:paraId="49492AAD" w14:textId="77777777" w:rsidR="00E757EC" w:rsidRPr="00937388" w:rsidRDefault="00E757EC" w:rsidP="00A05BA0">
      <w:pPr>
        <w:rPr>
          <w:rFonts w:ascii="Arial" w:hAnsi="Arial" w:cs="Arial"/>
        </w:rPr>
      </w:pPr>
    </w:p>
    <w:p w14:paraId="2C046949" w14:textId="0117FBB2" w:rsidR="002C4A3A" w:rsidRPr="00AD5FC8" w:rsidRDefault="002C4A3A" w:rsidP="00A05BA0">
      <w:pPr>
        <w:spacing w:after="240"/>
        <w:rPr>
          <w:rFonts w:ascii="Arial" w:hAnsi="Arial" w:cs="Arial"/>
          <w:b/>
        </w:rPr>
      </w:pPr>
      <w:r>
        <w:rPr>
          <w:rFonts w:ascii="Arial" w:hAnsi="Arial" w:cs="Arial"/>
          <w:b/>
        </w:rPr>
        <w:t xml:space="preserve">Right to education </w:t>
      </w:r>
    </w:p>
    <w:p w14:paraId="536EFD40" w14:textId="74A288CF" w:rsidR="002E0E4C" w:rsidRDefault="002E0E4C" w:rsidP="00A05BA0">
      <w:pPr>
        <w:rPr>
          <w:rFonts w:ascii="Arial" w:hAnsi="Arial" w:cs="Arial"/>
        </w:rPr>
      </w:pPr>
      <w:r>
        <w:rPr>
          <w:rFonts w:ascii="Arial" w:hAnsi="Arial" w:cs="Arial"/>
        </w:rPr>
        <w:t xml:space="preserve">The Amendment Instrument also supports the right to education under Article 13 of </w:t>
      </w:r>
      <w:r w:rsidRPr="00AD5FC8">
        <w:rPr>
          <w:rFonts w:ascii="Arial" w:hAnsi="Arial" w:cs="Arial"/>
        </w:rPr>
        <w:t xml:space="preserve">the </w:t>
      </w:r>
      <w:r w:rsidR="001D6CE4" w:rsidRPr="00AD5FC8">
        <w:rPr>
          <w:rFonts w:ascii="Arial" w:hAnsi="Arial" w:cs="Arial"/>
          <w:szCs w:val="22"/>
        </w:rPr>
        <w:t>ICESCR</w:t>
      </w:r>
      <w:r w:rsidRPr="00AD5FC8">
        <w:rPr>
          <w:rFonts w:ascii="Arial" w:hAnsi="Arial" w:cs="Arial"/>
        </w:rPr>
        <w:t>.</w:t>
      </w:r>
      <w:r>
        <w:rPr>
          <w:rFonts w:ascii="Arial" w:hAnsi="Arial" w:cs="Arial"/>
        </w:rPr>
        <w:t xml:space="preserve"> </w:t>
      </w:r>
    </w:p>
    <w:p w14:paraId="1A676DA1" w14:textId="77777777" w:rsidR="00E757EC" w:rsidRDefault="00E757EC" w:rsidP="00A05BA0">
      <w:pPr>
        <w:rPr>
          <w:rFonts w:ascii="Arial" w:hAnsi="Arial" w:cs="Arial"/>
        </w:rPr>
      </w:pPr>
    </w:p>
    <w:p w14:paraId="121C1104" w14:textId="1ED1A31C" w:rsidR="00B30AE3" w:rsidRDefault="002E0E4C" w:rsidP="00A05BA0">
      <w:pPr>
        <w:rPr>
          <w:rFonts w:ascii="Arial" w:hAnsi="Arial" w:cs="Arial"/>
          <w:szCs w:val="22"/>
        </w:rPr>
      </w:pPr>
      <w:r>
        <w:rPr>
          <w:rFonts w:ascii="Arial" w:hAnsi="Arial" w:cs="Arial"/>
        </w:rPr>
        <w:t xml:space="preserve">The </w:t>
      </w:r>
      <w:r w:rsidR="00AD5FC8">
        <w:rPr>
          <w:rFonts w:ascii="Arial" w:hAnsi="Arial" w:cs="Arial"/>
        </w:rPr>
        <w:t>Amendment Instrument</w:t>
      </w:r>
      <w:r w:rsidR="00DC110C">
        <w:rPr>
          <w:rFonts w:ascii="Arial" w:hAnsi="Arial" w:cs="Arial"/>
          <w:szCs w:val="22"/>
        </w:rPr>
        <w:t xml:space="preserve"> is part of the </w:t>
      </w:r>
      <w:r w:rsidR="00B30AE3">
        <w:rPr>
          <w:rFonts w:ascii="Arial" w:hAnsi="Arial" w:cs="Arial"/>
          <w:szCs w:val="22"/>
        </w:rPr>
        <w:t>broader</w:t>
      </w:r>
      <w:r w:rsidR="00DC110C">
        <w:rPr>
          <w:rFonts w:ascii="Arial" w:hAnsi="Arial" w:cs="Arial"/>
          <w:szCs w:val="22"/>
        </w:rPr>
        <w:t xml:space="preserve"> HELP tuition protection scheme</w:t>
      </w:r>
      <w:r w:rsidR="001D6CE4">
        <w:rPr>
          <w:rFonts w:ascii="Arial" w:hAnsi="Arial" w:cs="Arial"/>
          <w:szCs w:val="22"/>
        </w:rPr>
        <w:t xml:space="preserve"> (the scheme) </w:t>
      </w:r>
      <w:r w:rsidR="00B30AE3">
        <w:rPr>
          <w:rFonts w:ascii="Arial" w:hAnsi="Arial" w:cs="Arial"/>
          <w:szCs w:val="22"/>
        </w:rPr>
        <w:t>set out in Part 5</w:t>
      </w:r>
      <w:r w:rsidR="001D6CE4">
        <w:rPr>
          <w:rFonts w:ascii="Arial" w:hAnsi="Arial" w:cs="Arial"/>
          <w:szCs w:val="22"/>
        </w:rPr>
        <w:t>-1</w:t>
      </w:r>
      <w:r w:rsidR="00B30AE3">
        <w:rPr>
          <w:rFonts w:ascii="Arial" w:hAnsi="Arial" w:cs="Arial"/>
          <w:szCs w:val="22"/>
        </w:rPr>
        <w:t>A and Part 5</w:t>
      </w:r>
      <w:r w:rsidR="001D6CE4">
        <w:rPr>
          <w:rFonts w:ascii="Arial" w:hAnsi="Arial" w:cs="Arial"/>
          <w:szCs w:val="22"/>
        </w:rPr>
        <w:t>-1</w:t>
      </w:r>
      <w:r w:rsidR="00B30AE3">
        <w:rPr>
          <w:rFonts w:ascii="Arial" w:hAnsi="Arial" w:cs="Arial"/>
          <w:szCs w:val="22"/>
        </w:rPr>
        <w:t>B of t</w:t>
      </w:r>
      <w:r w:rsidR="001D6CE4">
        <w:rPr>
          <w:rFonts w:ascii="Arial" w:hAnsi="Arial" w:cs="Arial"/>
          <w:szCs w:val="22"/>
        </w:rPr>
        <w:t xml:space="preserve">he </w:t>
      </w:r>
      <w:r w:rsidR="00AD5FC8">
        <w:rPr>
          <w:rFonts w:ascii="Arial" w:hAnsi="Arial" w:cs="Arial"/>
          <w:szCs w:val="22"/>
        </w:rPr>
        <w:t xml:space="preserve">Act </w:t>
      </w:r>
      <w:r w:rsidR="001D6CE4">
        <w:rPr>
          <w:rFonts w:ascii="Arial" w:hAnsi="Arial" w:cs="Arial"/>
          <w:szCs w:val="22"/>
        </w:rPr>
        <w:t xml:space="preserve">and in the </w:t>
      </w:r>
      <w:r w:rsidR="001D6CE4" w:rsidRPr="00A20AF4">
        <w:rPr>
          <w:rFonts w:ascii="Arial" w:hAnsi="Arial" w:cs="Arial"/>
          <w:i/>
          <w:szCs w:val="22"/>
        </w:rPr>
        <w:t>Higher Education Support (HELP Tuition Protection Levy) Act 2020</w:t>
      </w:r>
      <w:r w:rsidR="001D6CE4">
        <w:rPr>
          <w:rFonts w:ascii="Arial" w:hAnsi="Arial" w:cs="Arial"/>
          <w:szCs w:val="22"/>
        </w:rPr>
        <w:t>.</w:t>
      </w:r>
      <w:r w:rsidR="00AD5FC8">
        <w:rPr>
          <w:rFonts w:ascii="Arial" w:hAnsi="Arial" w:cs="Arial"/>
          <w:szCs w:val="22"/>
        </w:rPr>
        <w:t xml:space="preserve"> </w:t>
      </w:r>
      <w:r w:rsidR="00DC110C">
        <w:rPr>
          <w:rFonts w:ascii="Arial" w:hAnsi="Arial" w:cs="Arial"/>
          <w:szCs w:val="22"/>
        </w:rPr>
        <w:t xml:space="preserve">The scheme aims to ensure students entitled or accessing HELP </w:t>
      </w:r>
      <w:r w:rsidR="00763A8D">
        <w:rPr>
          <w:rFonts w:ascii="Arial" w:hAnsi="Arial" w:cs="Arial"/>
          <w:szCs w:val="22"/>
        </w:rPr>
        <w:t xml:space="preserve">under the Act </w:t>
      </w:r>
      <w:r w:rsidR="00DC110C">
        <w:rPr>
          <w:rFonts w:ascii="Arial" w:hAnsi="Arial" w:cs="Arial"/>
          <w:szCs w:val="22"/>
        </w:rPr>
        <w:t>are protected and supported in the event that the higher education provider</w:t>
      </w:r>
      <w:r w:rsidR="00C6471C">
        <w:rPr>
          <w:rFonts w:ascii="Arial" w:hAnsi="Arial" w:cs="Arial"/>
          <w:szCs w:val="22"/>
        </w:rPr>
        <w:t xml:space="preserve"> with whom</w:t>
      </w:r>
      <w:r w:rsidR="00DC110C">
        <w:rPr>
          <w:rFonts w:ascii="Arial" w:hAnsi="Arial" w:cs="Arial"/>
          <w:szCs w:val="22"/>
        </w:rPr>
        <w:t xml:space="preserve"> they are enrolled for their unit of study defaults</w:t>
      </w:r>
      <w:r w:rsidR="00F75DB3">
        <w:rPr>
          <w:rFonts w:ascii="Arial" w:hAnsi="Arial" w:cs="Arial"/>
          <w:szCs w:val="22"/>
        </w:rPr>
        <w:t xml:space="preserve"> by either providing a suitable replacement course or re-credit to their HELP balance</w:t>
      </w:r>
      <w:r w:rsidR="00DC110C">
        <w:rPr>
          <w:rFonts w:ascii="Arial" w:hAnsi="Arial" w:cs="Arial"/>
          <w:szCs w:val="22"/>
        </w:rPr>
        <w:t xml:space="preserve">. </w:t>
      </w:r>
      <w:r w:rsidR="00F75DB3">
        <w:rPr>
          <w:rFonts w:ascii="Arial" w:hAnsi="Arial" w:cs="Arial"/>
          <w:szCs w:val="22"/>
        </w:rPr>
        <w:t>Thereby</w:t>
      </w:r>
      <w:r w:rsidR="00DC110C">
        <w:rPr>
          <w:rFonts w:ascii="Arial" w:hAnsi="Arial" w:cs="Arial"/>
          <w:szCs w:val="22"/>
        </w:rPr>
        <w:t xml:space="preserve">, the scheme promotes </w:t>
      </w:r>
      <w:r w:rsidR="00F75DB3">
        <w:rPr>
          <w:rFonts w:ascii="Arial" w:hAnsi="Arial" w:cs="Arial"/>
          <w:szCs w:val="22"/>
        </w:rPr>
        <w:t xml:space="preserve">the right to education </w:t>
      </w:r>
      <w:r w:rsidR="001D6CE4">
        <w:rPr>
          <w:rFonts w:ascii="Arial" w:hAnsi="Arial" w:cs="Arial"/>
          <w:szCs w:val="22"/>
        </w:rPr>
        <w:t>under</w:t>
      </w:r>
      <w:r w:rsidR="00763A8D">
        <w:rPr>
          <w:rFonts w:ascii="Arial" w:hAnsi="Arial" w:cs="Arial"/>
          <w:szCs w:val="22"/>
        </w:rPr>
        <w:t xml:space="preserve"> the</w:t>
      </w:r>
      <w:r w:rsidR="001D6CE4">
        <w:rPr>
          <w:rFonts w:ascii="Arial" w:hAnsi="Arial" w:cs="Arial"/>
          <w:szCs w:val="22"/>
        </w:rPr>
        <w:t xml:space="preserve"> ICESCR </w:t>
      </w:r>
      <w:r w:rsidR="00F75DB3">
        <w:rPr>
          <w:rFonts w:ascii="Arial" w:hAnsi="Arial" w:cs="Arial"/>
          <w:szCs w:val="22"/>
        </w:rPr>
        <w:t xml:space="preserve">by </w:t>
      </w:r>
      <w:r w:rsidR="00B30AE3">
        <w:rPr>
          <w:rFonts w:ascii="Arial" w:hAnsi="Arial" w:cs="Arial"/>
          <w:szCs w:val="22"/>
        </w:rPr>
        <w:t>enabling</w:t>
      </w:r>
      <w:r w:rsidR="00F75DB3">
        <w:rPr>
          <w:rFonts w:ascii="Arial" w:hAnsi="Arial" w:cs="Arial"/>
          <w:szCs w:val="22"/>
        </w:rPr>
        <w:t xml:space="preserve"> students affected by provider default </w:t>
      </w:r>
      <w:r w:rsidR="00B30AE3">
        <w:rPr>
          <w:rFonts w:ascii="Arial" w:hAnsi="Arial" w:cs="Arial"/>
          <w:szCs w:val="22"/>
        </w:rPr>
        <w:t>to</w:t>
      </w:r>
      <w:r w:rsidR="00F75DB3">
        <w:rPr>
          <w:rFonts w:ascii="Arial" w:hAnsi="Arial" w:cs="Arial"/>
          <w:szCs w:val="22"/>
        </w:rPr>
        <w:t xml:space="preserve"> be assisted to continue </w:t>
      </w:r>
      <w:r w:rsidR="00B30AE3">
        <w:rPr>
          <w:rFonts w:ascii="Arial" w:hAnsi="Arial" w:cs="Arial"/>
          <w:szCs w:val="22"/>
        </w:rPr>
        <w:t>their</w:t>
      </w:r>
      <w:r w:rsidR="00F75DB3">
        <w:rPr>
          <w:rFonts w:ascii="Arial" w:hAnsi="Arial" w:cs="Arial"/>
          <w:szCs w:val="22"/>
        </w:rPr>
        <w:t xml:space="preserve"> studies. </w:t>
      </w:r>
    </w:p>
    <w:p w14:paraId="6B6B3DC3" w14:textId="77777777" w:rsidR="00E757EC" w:rsidRPr="00B30AE3" w:rsidRDefault="00E757EC" w:rsidP="00A05BA0">
      <w:pPr>
        <w:rPr>
          <w:rFonts w:ascii="Arial" w:hAnsi="Arial" w:cs="Arial"/>
          <w:szCs w:val="22"/>
        </w:rPr>
      </w:pPr>
    </w:p>
    <w:p w14:paraId="3D62D916" w14:textId="350D763A" w:rsidR="00D0465D" w:rsidRPr="00C12C82" w:rsidRDefault="00D0465D" w:rsidP="00A05BA0">
      <w:pPr>
        <w:spacing w:after="240"/>
        <w:rPr>
          <w:rFonts w:ascii="Arial" w:hAnsi="Arial" w:cs="Arial"/>
          <w:b/>
          <w:szCs w:val="28"/>
        </w:rPr>
      </w:pPr>
      <w:r w:rsidRPr="00C12C82">
        <w:rPr>
          <w:rFonts w:ascii="Arial" w:hAnsi="Arial" w:cs="Arial"/>
          <w:b/>
          <w:szCs w:val="28"/>
        </w:rPr>
        <w:t>Conclusion</w:t>
      </w:r>
    </w:p>
    <w:p w14:paraId="142EF5D0" w14:textId="7ED42374" w:rsidR="00BD1A5F" w:rsidRPr="00685B5B" w:rsidRDefault="00AC0DA5" w:rsidP="00770372">
      <w:pPr>
        <w:rPr>
          <w:rFonts w:ascii="Arial" w:hAnsi="Arial" w:cs="Arial"/>
        </w:rPr>
      </w:pPr>
      <w:r w:rsidRPr="00786FD9">
        <w:rPr>
          <w:rFonts w:ascii="Arial" w:hAnsi="Arial" w:cs="Arial"/>
        </w:rPr>
        <w:t>The</w:t>
      </w:r>
      <w:r w:rsidR="00327F5D" w:rsidRPr="00786FD9">
        <w:rPr>
          <w:rFonts w:ascii="Arial" w:hAnsi="Arial" w:cs="Arial"/>
        </w:rPr>
        <w:t xml:space="preserve"> </w:t>
      </w:r>
      <w:r w:rsidR="00AC608D">
        <w:rPr>
          <w:rFonts w:ascii="Arial" w:hAnsi="Arial" w:cs="Arial"/>
        </w:rPr>
        <w:t>Amendment I</w:t>
      </w:r>
      <w:r w:rsidR="00327F5D" w:rsidRPr="00786FD9">
        <w:rPr>
          <w:rFonts w:ascii="Arial" w:hAnsi="Arial" w:cs="Arial"/>
        </w:rPr>
        <w:t>nstrument is</w:t>
      </w:r>
      <w:r w:rsidR="00624552" w:rsidRPr="00786FD9">
        <w:rPr>
          <w:rFonts w:ascii="Arial" w:hAnsi="Arial" w:cs="Arial"/>
        </w:rPr>
        <w:t xml:space="preserve"> compatible with human rights</w:t>
      </w:r>
      <w:r w:rsidR="00786FD9" w:rsidRPr="00786FD9">
        <w:rPr>
          <w:rFonts w:ascii="Arial" w:hAnsi="Arial" w:cs="Arial"/>
        </w:rPr>
        <w:t xml:space="preserve"> because</w:t>
      </w:r>
      <w:r w:rsidR="003A4C8A" w:rsidRPr="003A4C8A">
        <w:rPr>
          <w:rFonts w:ascii="Arial" w:hAnsi="Arial" w:cs="Arial"/>
        </w:rPr>
        <w:t xml:space="preserve"> it promotes </w:t>
      </w:r>
      <w:r w:rsidR="0064671C">
        <w:rPr>
          <w:rFonts w:ascii="Arial" w:hAnsi="Arial" w:cs="Arial"/>
        </w:rPr>
        <w:t>the right to a fair hearing, right to</w:t>
      </w:r>
      <w:r w:rsidR="00763A8D">
        <w:rPr>
          <w:rFonts w:ascii="Arial" w:hAnsi="Arial" w:cs="Arial"/>
        </w:rPr>
        <w:t xml:space="preserve"> </w:t>
      </w:r>
      <w:r w:rsidR="0064671C">
        <w:rPr>
          <w:rFonts w:ascii="Arial" w:hAnsi="Arial" w:cs="Arial"/>
        </w:rPr>
        <w:t>an accessible and effective remedy and right to education.</w:t>
      </w:r>
    </w:p>
    <w:p w14:paraId="6898F7B7" w14:textId="77777777" w:rsidR="001F615D" w:rsidRDefault="001F615D">
      <w:pPr>
        <w:spacing w:after="200" w:line="276" w:lineRule="auto"/>
        <w:rPr>
          <w:rFonts w:ascii="Arial" w:hAnsi="Arial" w:cs="Arial"/>
        </w:rPr>
      </w:pPr>
    </w:p>
    <w:sectPr w:rsidR="001F615D" w:rsidSect="00D63A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9A07D" w14:textId="77777777" w:rsidR="00545A1B" w:rsidRDefault="00545A1B" w:rsidP="001006BE">
      <w:r>
        <w:separator/>
      </w:r>
    </w:p>
  </w:endnote>
  <w:endnote w:type="continuationSeparator" w:id="0">
    <w:p w14:paraId="40D126D1" w14:textId="77777777" w:rsidR="00545A1B" w:rsidRDefault="00545A1B" w:rsidP="001006BE">
      <w:r>
        <w:continuationSeparator/>
      </w:r>
    </w:p>
  </w:endnote>
  <w:endnote w:type="continuationNotice" w:id="1">
    <w:p w14:paraId="32384AB8" w14:textId="77777777" w:rsidR="00545A1B" w:rsidRDefault="0054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86492"/>
      <w:docPartObj>
        <w:docPartGallery w:val="Page Numbers (Bottom of Page)"/>
        <w:docPartUnique/>
      </w:docPartObj>
    </w:sdtPr>
    <w:sdtEndPr>
      <w:rPr>
        <w:noProof/>
      </w:rPr>
    </w:sdtEndPr>
    <w:sdtContent>
      <w:p w14:paraId="286B0703" w14:textId="4370013D" w:rsidR="00545A1B" w:rsidRDefault="00545A1B">
        <w:pPr>
          <w:pStyle w:val="Footer"/>
          <w:jc w:val="center"/>
        </w:pPr>
        <w:r>
          <w:fldChar w:fldCharType="begin"/>
        </w:r>
        <w:r>
          <w:instrText xml:space="preserve"> PAGE   \* MERGEFORMAT </w:instrText>
        </w:r>
        <w:r>
          <w:fldChar w:fldCharType="separate"/>
        </w:r>
        <w:r w:rsidR="00586D85">
          <w:rPr>
            <w:noProof/>
          </w:rPr>
          <w:t>1</w:t>
        </w:r>
        <w:r>
          <w:rPr>
            <w:noProof/>
          </w:rPr>
          <w:fldChar w:fldCharType="end"/>
        </w:r>
      </w:p>
    </w:sdtContent>
  </w:sdt>
  <w:p w14:paraId="2CF8BF34" w14:textId="77777777" w:rsidR="00545A1B" w:rsidRDefault="0054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8686C" w14:textId="77777777" w:rsidR="00545A1B" w:rsidRDefault="00545A1B" w:rsidP="001006BE">
      <w:r>
        <w:separator/>
      </w:r>
    </w:p>
  </w:footnote>
  <w:footnote w:type="continuationSeparator" w:id="0">
    <w:p w14:paraId="248D6C4F" w14:textId="77777777" w:rsidR="00545A1B" w:rsidRDefault="00545A1B" w:rsidP="001006BE">
      <w:r>
        <w:continuationSeparator/>
      </w:r>
    </w:p>
  </w:footnote>
  <w:footnote w:type="continuationNotice" w:id="1">
    <w:p w14:paraId="48E8EAE1" w14:textId="77777777" w:rsidR="00545A1B" w:rsidRDefault="00545A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D81"/>
    <w:multiLevelType w:val="hybridMultilevel"/>
    <w:tmpl w:val="27786A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D50D0"/>
    <w:multiLevelType w:val="hybridMultilevel"/>
    <w:tmpl w:val="56743B9C"/>
    <w:lvl w:ilvl="0" w:tplc="63F4DF90">
      <w:start w:val="1"/>
      <w:numFmt w:val="lowerLetter"/>
      <w:lvlText w:val="(%1)"/>
      <w:lvlJc w:val="left"/>
      <w:pPr>
        <w:ind w:left="1650" w:hanging="405"/>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 w15:restartNumberingAfterBreak="0">
    <w:nsid w:val="05E26E3B"/>
    <w:multiLevelType w:val="hybridMultilevel"/>
    <w:tmpl w:val="5786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158E4"/>
    <w:multiLevelType w:val="hybridMultilevel"/>
    <w:tmpl w:val="1A10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6DE8"/>
    <w:multiLevelType w:val="hybridMultilevel"/>
    <w:tmpl w:val="712E8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B4665"/>
    <w:multiLevelType w:val="hybridMultilevel"/>
    <w:tmpl w:val="90F6D5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4649D"/>
    <w:multiLevelType w:val="hybridMultilevel"/>
    <w:tmpl w:val="344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3722A3"/>
    <w:multiLevelType w:val="hybridMultilevel"/>
    <w:tmpl w:val="DC50A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3F2AD9"/>
    <w:multiLevelType w:val="hybridMultilevel"/>
    <w:tmpl w:val="FD52BB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A56A6"/>
    <w:multiLevelType w:val="hybridMultilevel"/>
    <w:tmpl w:val="F1E0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969C2"/>
    <w:multiLevelType w:val="hybridMultilevel"/>
    <w:tmpl w:val="0DD05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2303B9"/>
    <w:multiLevelType w:val="hybridMultilevel"/>
    <w:tmpl w:val="59C44F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F26E68"/>
    <w:multiLevelType w:val="hybridMultilevel"/>
    <w:tmpl w:val="DA9AF0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75200"/>
    <w:multiLevelType w:val="hybridMultilevel"/>
    <w:tmpl w:val="37D8CE6A"/>
    <w:lvl w:ilvl="0" w:tplc="0C090003">
      <w:start w:val="1"/>
      <w:numFmt w:val="bullet"/>
      <w:lvlText w:val="o"/>
      <w:lvlJc w:val="left"/>
      <w:pPr>
        <w:ind w:left="1944" w:hanging="360"/>
      </w:pPr>
      <w:rPr>
        <w:rFonts w:ascii="Courier New" w:hAnsi="Courier New" w:cs="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4" w15:restartNumberingAfterBreak="0">
    <w:nsid w:val="2AF40D51"/>
    <w:multiLevelType w:val="hybridMultilevel"/>
    <w:tmpl w:val="31CE3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0D5B03"/>
    <w:multiLevelType w:val="hybridMultilevel"/>
    <w:tmpl w:val="765AF2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14609C0"/>
    <w:multiLevelType w:val="hybridMultilevel"/>
    <w:tmpl w:val="E46A34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1A2219"/>
    <w:multiLevelType w:val="hybridMultilevel"/>
    <w:tmpl w:val="E1066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7E0CF9"/>
    <w:multiLevelType w:val="hybridMultilevel"/>
    <w:tmpl w:val="C2CCC1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B532E"/>
    <w:multiLevelType w:val="hybridMultilevel"/>
    <w:tmpl w:val="7B82A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4044D7"/>
    <w:multiLevelType w:val="hybridMultilevel"/>
    <w:tmpl w:val="81A4CF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D6782"/>
    <w:multiLevelType w:val="hybridMultilevel"/>
    <w:tmpl w:val="6EF051AE"/>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E4C263E"/>
    <w:multiLevelType w:val="hybridMultilevel"/>
    <w:tmpl w:val="1E0E48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6F4110"/>
    <w:multiLevelType w:val="hybridMultilevel"/>
    <w:tmpl w:val="87A40F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A5239"/>
    <w:multiLevelType w:val="hybridMultilevel"/>
    <w:tmpl w:val="7FB83A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F1B88"/>
    <w:multiLevelType w:val="hybridMultilevel"/>
    <w:tmpl w:val="C47C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112DE6"/>
    <w:multiLevelType w:val="hybridMultilevel"/>
    <w:tmpl w:val="392EE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A78E6"/>
    <w:multiLevelType w:val="hybridMultilevel"/>
    <w:tmpl w:val="B76A13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63D98"/>
    <w:multiLevelType w:val="hybridMultilevel"/>
    <w:tmpl w:val="085C2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452E8"/>
    <w:multiLevelType w:val="hybridMultilevel"/>
    <w:tmpl w:val="A8B24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183D00"/>
    <w:multiLevelType w:val="hybridMultilevel"/>
    <w:tmpl w:val="B90A2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703D2E"/>
    <w:multiLevelType w:val="hybridMultilevel"/>
    <w:tmpl w:val="9642C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104FCE"/>
    <w:multiLevelType w:val="hybridMultilevel"/>
    <w:tmpl w:val="294EF4F4"/>
    <w:lvl w:ilvl="0" w:tplc="84A6770A">
      <w:start w:val="1"/>
      <w:numFmt w:val="decimal"/>
      <w:pStyle w:val="MBPoint"/>
      <w:lvlText w:val="%1."/>
      <w:lvlJc w:val="left"/>
      <w:pPr>
        <w:ind w:left="-207" w:hanging="360"/>
      </w:pPr>
      <w:rPr>
        <w:rFonts w:hint="default"/>
      </w:rPr>
    </w:lvl>
    <w:lvl w:ilvl="1" w:tplc="32FEC92A">
      <w:start w:val="1"/>
      <w:numFmt w:val="bullet"/>
      <w:lvlText w:val=""/>
      <w:lvlJc w:val="left"/>
      <w:pPr>
        <w:ind w:left="513" w:hanging="360"/>
      </w:pPr>
      <w:rPr>
        <w:rFonts w:ascii="Symbol" w:hAnsi="Symbol" w:hint="default"/>
      </w:rPr>
    </w:lvl>
    <w:lvl w:ilvl="2" w:tplc="D8C23934">
      <w:start w:val="1"/>
      <w:numFmt w:val="bullet"/>
      <w:pStyle w:val="MBPointSub"/>
      <w:lvlText w:val="o"/>
      <w:lvlJc w:val="left"/>
      <w:pPr>
        <w:ind w:left="1233" w:hanging="180"/>
      </w:pPr>
      <w:rPr>
        <w:rFonts w:ascii="Courier New" w:hAnsi="Courier New" w:cs="Courier New" w:hint="default"/>
      </w:rPr>
    </w:lvl>
    <w:lvl w:ilvl="3" w:tplc="122ED854" w:tentative="1">
      <w:start w:val="1"/>
      <w:numFmt w:val="decimal"/>
      <w:lvlText w:val="%4."/>
      <w:lvlJc w:val="left"/>
      <w:pPr>
        <w:ind w:left="1953" w:hanging="360"/>
      </w:pPr>
    </w:lvl>
    <w:lvl w:ilvl="4" w:tplc="C7BCFFE0" w:tentative="1">
      <w:start w:val="1"/>
      <w:numFmt w:val="lowerLetter"/>
      <w:lvlText w:val="%5."/>
      <w:lvlJc w:val="left"/>
      <w:pPr>
        <w:ind w:left="2673" w:hanging="360"/>
      </w:pPr>
    </w:lvl>
    <w:lvl w:ilvl="5" w:tplc="C108FF74" w:tentative="1">
      <w:start w:val="1"/>
      <w:numFmt w:val="lowerRoman"/>
      <w:lvlText w:val="%6."/>
      <w:lvlJc w:val="right"/>
      <w:pPr>
        <w:ind w:left="3393" w:hanging="180"/>
      </w:pPr>
    </w:lvl>
    <w:lvl w:ilvl="6" w:tplc="AAC27E30" w:tentative="1">
      <w:start w:val="1"/>
      <w:numFmt w:val="decimal"/>
      <w:lvlText w:val="%7."/>
      <w:lvlJc w:val="left"/>
      <w:pPr>
        <w:ind w:left="4113" w:hanging="360"/>
      </w:pPr>
    </w:lvl>
    <w:lvl w:ilvl="7" w:tplc="696CAFB2" w:tentative="1">
      <w:start w:val="1"/>
      <w:numFmt w:val="lowerLetter"/>
      <w:lvlText w:val="%8."/>
      <w:lvlJc w:val="left"/>
      <w:pPr>
        <w:ind w:left="4833" w:hanging="360"/>
      </w:pPr>
    </w:lvl>
    <w:lvl w:ilvl="8" w:tplc="CD78053E" w:tentative="1">
      <w:start w:val="1"/>
      <w:numFmt w:val="lowerRoman"/>
      <w:lvlText w:val="%9."/>
      <w:lvlJc w:val="right"/>
      <w:pPr>
        <w:ind w:left="5553" w:hanging="180"/>
      </w:pPr>
    </w:lvl>
  </w:abstractNum>
  <w:abstractNum w:abstractNumId="33" w15:restartNumberingAfterBreak="0">
    <w:nsid w:val="5BE06696"/>
    <w:multiLevelType w:val="hybridMultilevel"/>
    <w:tmpl w:val="B5F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67C1C"/>
    <w:multiLevelType w:val="hybridMultilevel"/>
    <w:tmpl w:val="17D4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FB77FE"/>
    <w:multiLevelType w:val="hybridMultilevel"/>
    <w:tmpl w:val="56CEAB46"/>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E88190A"/>
    <w:multiLevelType w:val="hybridMultilevel"/>
    <w:tmpl w:val="ABB4CC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2A5F86"/>
    <w:multiLevelType w:val="hybridMultilevel"/>
    <w:tmpl w:val="DE4ED7CE"/>
    <w:lvl w:ilvl="0" w:tplc="B82030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824049"/>
    <w:multiLevelType w:val="hybridMultilevel"/>
    <w:tmpl w:val="E256A97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D7A11D6"/>
    <w:multiLevelType w:val="hybridMultilevel"/>
    <w:tmpl w:val="090C6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DC1C50"/>
    <w:multiLevelType w:val="hybridMultilevel"/>
    <w:tmpl w:val="DA78AEDA"/>
    <w:lvl w:ilvl="0" w:tplc="57D63FC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E744AE"/>
    <w:multiLevelType w:val="hybridMultilevel"/>
    <w:tmpl w:val="F230B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37"/>
  </w:num>
  <w:num w:numId="4">
    <w:abstractNumId w:val="21"/>
  </w:num>
  <w:num w:numId="5">
    <w:abstractNumId w:val="28"/>
  </w:num>
  <w:num w:numId="6">
    <w:abstractNumId w:val="35"/>
  </w:num>
  <w:num w:numId="7">
    <w:abstractNumId w:val="17"/>
  </w:num>
  <w:num w:numId="8">
    <w:abstractNumId w:val="15"/>
  </w:num>
  <w:num w:numId="9">
    <w:abstractNumId w:val="13"/>
  </w:num>
  <w:num w:numId="10">
    <w:abstractNumId w:val="1"/>
  </w:num>
  <w:num w:numId="11">
    <w:abstractNumId w:val="23"/>
  </w:num>
  <w:num w:numId="12">
    <w:abstractNumId w:val="19"/>
  </w:num>
  <w:num w:numId="13">
    <w:abstractNumId w:val="5"/>
  </w:num>
  <w:num w:numId="14">
    <w:abstractNumId w:val="16"/>
  </w:num>
  <w:num w:numId="15">
    <w:abstractNumId w:val="18"/>
  </w:num>
  <w:num w:numId="16">
    <w:abstractNumId w:val="12"/>
  </w:num>
  <w:num w:numId="17">
    <w:abstractNumId w:val="36"/>
  </w:num>
  <w:num w:numId="18">
    <w:abstractNumId w:val="0"/>
  </w:num>
  <w:num w:numId="19">
    <w:abstractNumId w:val="38"/>
  </w:num>
  <w:num w:numId="20">
    <w:abstractNumId w:val="26"/>
  </w:num>
  <w:num w:numId="21">
    <w:abstractNumId w:val="8"/>
  </w:num>
  <w:num w:numId="22">
    <w:abstractNumId w:val="20"/>
  </w:num>
  <w:num w:numId="23">
    <w:abstractNumId w:val="4"/>
  </w:num>
  <w:num w:numId="24">
    <w:abstractNumId w:val="29"/>
  </w:num>
  <w:num w:numId="25">
    <w:abstractNumId w:val="6"/>
  </w:num>
  <w:num w:numId="26">
    <w:abstractNumId w:val="2"/>
  </w:num>
  <w:num w:numId="27">
    <w:abstractNumId w:val="33"/>
  </w:num>
  <w:num w:numId="28">
    <w:abstractNumId w:val="41"/>
  </w:num>
  <w:num w:numId="29">
    <w:abstractNumId w:val="9"/>
  </w:num>
  <w:num w:numId="30">
    <w:abstractNumId w:val="24"/>
  </w:num>
  <w:num w:numId="31">
    <w:abstractNumId w:val="3"/>
  </w:num>
  <w:num w:numId="32">
    <w:abstractNumId w:val="11"/>
  </w:num>
  <w:num w:numId="33">
    <w:abstractNumId w:val="30"/>
  </w:num>
  <w:num w:numId="34">
    <w:abstractNumId w:val="10"/>
  </w:num>
  <w:num w:numId="35">
    <w:abstractNumId w:val="39"/>
  </w:num>
  <w:num w:numId="36">
    <w:abstractNumId w:val="40"/>
  </w:num>
  <w:num w:numId="37">
    <w:abstractNumId w:val="34"/>
  </w:num>
  <w:num w:numId="38">
    <w:abstractNumId w:val="32"/>
  </w:num>
  <w:num w:numId="39">
    <w:abstractNumId w:val="14"/>
  </w:num>
  <w:num w:numId="40">
    <w:abstractNumId w:val="31"/>
  </w:num>
  <w:num w:numId="41">
    <w:abstractNumId w:val="2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CD"/>
    <w:rsid w:val="000007FE"/>
    <w:rsid w:val="00001B75"/>
    <w:rsid w:val="0000237C"/>
    <w:rsid w:val="00002764"/>
    <w:rsid w:val="0001663B"/>
    <w:rsid w:val="00022EEA"/>
    <w:rsid w:val="00022FCC"/>
    <w:rsid w:val="00032367"/>
    <w:rsid w:val="0003517D"/>
    <w:rsid w:val="00036126"/>
    <w:rsid w:val="00040104"/>
    <w:rsid w:val="00040CDA"/>
    <w:rsid w:val="0004243F"/>
    <w:rsid w:val="00042E01"/>
    <w:rsid w:val="0004419D"/>
    <w:rsid w:val="00044240"/>
    <w:rsid w:val="0005015A"/>
    <w:rsid w:val="00052778"/>
    <w:rsid w:val="00053EB1"/>
    <w:rsid w:val="000557D9"/>
    <w:rsid w:val="000610B7"/>
    <w:rsid w:val="00062FA3"/>
    <w:rsid w:val="00065B41"/>
    <w:rsid w:val="00066688"/>
    <w:rsid w:val="00076B28"/>
    <w:rsid w:val="00076FFE"/>
    <w:rsid w:val="000773BF"/>
    <w:rsid w:val="0008498C"/>
    <w:rsid w:val="00084EF2"/>
    <w:rsid w:val="00085324"/>
    <w:rsid w:val="0009028B"/>
    <w:rsid w:val="00092032"/>
    <w:rsid w:val="00095406"/>
    <w:rsid w:val="00096619"/>
    <w:rsid w:val="000970A2"/>
    <w:rsid w:val="000A1769"/>
    <w:rsid w:val="000A29D9"/>
    <w:rsid w:val="000A320E"/>
    <w:rsid w:val="000A4DA8"/>
    <w:rsid w:val="000A5B16"/>
    <w:rsid w:val="000A6B1A"/>
    <w:rsid w:val="000A74C9"/>
    <w:rsid w:val="000A7C90"/>
    <w:rsid w:val="000B03FE"/>
    <w:rsid w:val="000B318D"/>
    <w:rsid w:val="000B7F47"/>
    <w:rsid w:val="000C146E"/>
    <w:rsid w:val="000C279D"/>
    <w:rsid w:val="000C2C8A"/>
    <w:rsid w:val="000C65A8"/>
    <w:rsid w:val="000C6BD9"/>
    <w:rsid w:val="000C6E5B"/>
    <w:rsid w:val="000D2612"/>
    <w:rsid w:val="000D2642"/>
    <w:rsid w:val="000D4937"/>
    <w:rsid w:val="000D5230"/>
    <w:rsid w:val="000D7648"/>
    <w:rsid w:val="000D7D97"/>
    <w:rsid w:val="000E0C9F"/>
    <w:rsid w:val="000E3182"/>
    <w:rsid w:val="000E6046"/>
    <w:rsid w:val="000E65B7"/>
    <w:rsid w:val="000E72E2"/>
    <w:rsid w:val="000E7333"/>
    <w:rsid w:val="000F0352"/>
    <w:rsid w:val="000F03E7"/>
    <w:rsid w:val="000F1AD1"/>
    <w:rsid w:val="000F1BCB"/>
    <w:rsid w:val="000F60F3"/>
    <w:rsid w:val="000F71C1"/>
    <w:rsid w:val="000F7C26"/>
    <w:rsid w:val="001006BE"/>
    <w:rsid w:val="0010432C"/>
    <w:rsid w:val="00104911"/>
    <w:rsid w:val="001118CF"/>
    <w:rsid w:val="001136EC"/>
    <w:rsid w:val="00115278"/>
    <w:rsid w:val="00115631"/>
    <w:rsid w:val="00115971"/>
    <w:rsid w:val="00121943"/>
    <w:rsid w:val="001265A0"/>
    <w:rsid w:val="001272A4"/>
    <w:rsid w:val="001277DA"/>
    <w:rsid w:val="00132C74"/>
    <w:rsid w:val="0013361E"/>
    <w:rsid w:val="0013418E"/>
    <w:rsid w:val="00135253"/>
    <w:rsid w:val="001372B6"/>
    <w:rsid w:val="0014358C"/>
    <w:rsid w:val="00144274"/>
    <w:rsid w:val="001453A0"/>
    <w:rsid w:val="001539CB"/>
    <w:rsid w:val="00153A03"/>
    <w:rsid w:val="00154AA3"/>
    <w:rsid w:val="001574C0"/>
    <w:rsid w:val="00165847"/>
    <w:rsid w:val="001678A9"/>
    <w:rsid w:val="00170458"/>
    <w:rsid w:val="00172824"/>
    <w:rsid w:val="00173A05"/>
    <w:rsid w:val="001815F0"/>
    <w:rsid w:val="001845C3"/>
    <w:rsid w:val="00185532"/>
    <w:rsid w:val="00186F50"/>
    <w:rsid w:val="00192272"/>
    <w:rsid w:val="00197C12"/>
    <w:rsid w:val="001A4570"/>
    <w:rsid w:val="001A47CC"/>
    <w:rsid w:val="001A61DF"/>
    <w:rsid w:val="001A66FA"/>
    <w:rsid w:val="001A7611"/>
    <w:rsid w:val="001A764E"/>
    <w:rsid w:val="001B1ECA"/>
    <w:rsid w:val="001B22B0"/>
    <w:rsid w:val="001B2B6A"/>
    <w:rsid w:val="001B7EA7"/>
    <w:rsid w:val="001C3C40"/>
    <w:rsid w:val="001C6D8B"/>
    <w:rsid w:val="001C6F59"/>
    <w:rsid w:val="001D28A0"/>
    <w:rsid w:val="001D4987"/>
    <w:rsid w:val="001D6CE4"/>
    <w:rsid w:val="001E7BB2"/>
    <w:rsid w:val="001E7C57"/>
    <w:rsid w:val="001F1D6C"/>
    <w:rsid w:val="001F21A9"/>
    <w:rsid w:val="001F3A45"/>
    <w:rsid w:val="001F3D5A"/>
    <w:rsid w:val="001F615D"/>
    <w:rsid w:val="002000C0"/>
    <w:rsid w:val="002006DC"/>
    <w:rsid w:val="002044F3"/>
    <w:rsid w:val="00205162"/>
    <w:rsid w:val="00206BC4"/>
    <w:rsid w:val="0020700D"/>
    <w:rsid w:val="0020713B"/>
    <w:rsid w:val="0021152D"/>
    <w:rsid w:val="00214B86"/>
    <w:rsid w:val="00215F6B"/>
    <w:rsid w:val="00220E6D"/>
    <w:rsid w:val="00221809"/>
    <w:rsid w:val="00221CD6"/>
    <w:rsid w:val="00222018"/>
    <w:rsid w:val="00227FF8"/>
    <w:rsid w:val="00230EFF"/>
    <w:rsid w:val="00233F07"/>
    <w:rsid w:val="00236ECD"/>
    <w:rsid w:val="00243CD7"/>
    <w:rsid w:val="0024661A"/>
    <w:rsid w:val="002500F4"/>
    <w:rsid w:val="002532F8"/>
    <w:rsid w:val="00257E2D"/>
    <w:rsid w:val="0026141E"/>
    <w:rsid w:val="0026554C"/>
    <w:rsid w:val="0027410A"/>
    <w:rsid w:val="00274490"/>
    <w:rsid w:val="0027498C"/>
    <w:rsid w:val="00275648"/>
    <w:rsid w:val="00275E75"/>
    <w:rsid w:val="00275EE7"/>
    <w:rsid w:val="00277549"/>
    <w:rsid w:val="00281571"/>
    <w:rsid w:val="00282595"/>
    <w:rsid w:val="002845A0"/>
    <w:rsid w:val="0028705B"/>
    <w:rsid w:val="002937DA"/>
    <w:rsid w:val="002951C6"/>
    <w:rsid w:val="00296706"/>
    <w:rsid w:val="00297A9F"/>
    <w:rsid w:val="002A1AF9"/>
    <w:rsid w:val="002A2C77"/>
    <w:rsid w:val="002A377C"/>
    <w:rsid w:val="002A395B"/>
    <w:rsid w:val="002A5B75"/>
    <w:rsid w:val="002A7A62"/>
    <w:rsid w:val="002B02C7"/>
    <w:rsid w:val="002B0ABF"/>
    <w:rsid w:val="002B1D06"/>
    <w:rsid w:val="002B2612"/>
    <w:rsid w:val="002B272A"/>
    <w:rsid w:val="002B3F3D"/>
    <w:rsid w:val="002B7339"/>
    <w:rsid w:val="002C25ED"/>
    <w:rsid w:val="002C4A3A"/>
    <w:rsid w:val="002D1104"/>
    <w:rsid w:val="002D4C79"/>
    <w:rsid w:val="002D4D3B"/>
    <w:rsid w:val="002D6ED0"/>
    <w:rsid w:val="002D7332"/>
    <w:rsid w:val="002E0796"/>
    <w:rsid w:val="002E0E4C"/>
    <w:rsid w:val="002E7448"/>
    <w:rsid w:val="002F4C7A"/>
    <w:rsid w:val="002F657C"/>
    <w:rsid w:val="00300D94"/>
    <w:rsid w:val="00303A10"/>
    <w:rsid w:val="003059C3"/>
    <w:rsid w:val="00306659"/>
    <w:rsid w:val="003114C2"/>
    <w:rsid w:val="003130C6"/>
    <w:rsid w:val="00316862"/>
    <w:rsid w:val="00320B8B"/>
    <w:rsid w:val="0032422B"/>
    <w:rsid w:val="00326459"/>
    <w:rsid w:val="00327F5D"/>
    <w:rsid w:val="00332F8E"/>
    <w:rsid w:val="00334DE8"/>
    <w:rsid w:val="003373AA"/>
    <w:rsid w:val="0034490E"/>
    <w:rsid w:val="00346877"/>
    <w:rsid w:val="00347D24"/>
    <w:rsid w:val="00351B2F"/>
    <w:rsid w:val="0035565A"/>
    <w:rsid w:val="003564A7"/>
    <w:rsid w:val="0035669E"/>
    <w:rsid w:val="003613C9"/>
    <w:rsid w:val="0036162B"/>
    <w:rsid w:val="00363DBF"/>
    <w:rsid w:val="00365D4E"/>
    <w:rsid w:val="00370F90"/>
    <w:rsid w:val="003755B4"/>
    <w:rsid w:val="00380FFF"/>
    <w:rsid w:val="0038426B"/>
    <w:rsid w:val="003844DD"/>
    <w:rsid w:val="00386B7F"/>
    <w:rsid w:val="0038784D"/>
    <w:rsid w:val="00390CCC"/>
    <w:rsid w:val="0039197E"/>
    <w:rsid w:val="00392000"/>
    <w:rsid w:val="00392939"/>
    <w:rsid w:val="00392B43"/>
    <w:rsid w:val="00397004"/>
    <w:rsid w:val="003971C7"/>
    <w:rsid w:val="003A04F9"/>
    <w:rsid w:val="003A0EB9"/>
    <w:rsid w:val="003A4C8A"/>
    <w:rsid w:val="003A67B6"/>
    <w:rsid w:val="003A712D"/>
    <w:rsid w:val="003B1034"/>
    <w:rsid w:val="003B38F9"/>
    <w:rsid w:val="003B52ED"/>
    <w:rsid w:val="003B7376"/>
    <w:rsid w:val="003C6253"/>
    <w:rsid w:val="003D02F3"/>
    <w:rsid w:val="003D5889"/>
    <w:rsid w:val="003D58EA"/>
    <w:rsid w:val="003D6D67"/>
    <w:rsid w:val="003D7AA5"/>
    <w:rsid w:val="003E05E8"/>
    <w:rsid w:val="003E1FD8"/>
    <w:rsid w:val="003F16FF"/>
    <w:rsid w:val="003F1EAD"/>
    <w:rsid w:val="003F3269"/>
    <w:rsid w:val="003F4A02"/>
    <w:rsid w:val="003F7A07"/>
    <w:rsid w:val="00400157"/>
    <w:rsid w:val="0040018E"/>
    <w:rsid w:val="004033CA"/>
    <w:rsid w:val="0040528A"/>
    <w:rsid w:val="0040582C"/>
    <w:rsid w:val="00405F68"/>
    <w:rsid w:val="0040635F"/>
    <w:rsid w:val="00415FDF"/>
    <w:rsid w:val="00416A08"/>
    <w:rsid w:val="00420441"/>
    <w:rsid w:val="00421A72"/>
    <w:rsid w:val="00421C8F"/>
    <w:rsid w:val="00433C4E"/>
    <w:rsid w:val="00434309"/>
    <w:rsid w:val="00434FDB"/>
    <w:rsid w:val="004404D2"/>
    <w:rsid w:val="00440879"/>
    <w:rsid w:val="00440F0A"/>
    <w:rsid w:val="004411B5"/>
    <w:rsid w:val="00441B6C"/>
    <w:rsid w:val="00444191"/>
    <w:rsid w:val="004456AC"/>
    <w:rsid w:val="00450A99"/>
    <w:rsid w:val="00452661"/>
    <w:rsid w:val="00453686"/>
    <w:rsid w:val="00453A43"/>
    <w:rsid w:val="00453AA1"/>
    <w:rsid w:val="00460644"/>
    <w:rsid w:val="004610E5"/>
    <w:rsid w:val="00464CB1"/>
    <w:rsid w:val="00467958"/>
    <w:rsid w:val="004706FC"/>
    <w:rsid w:val="00472F97"/>
    <w:rsid w:val="00476E83"/>
    <w:rsid w:val="00476FB4"/>
    <w:rsid w:val="00485057"/>
    <w:rsid w:val="004865E1"/>
    <w:rsid w:val="004921FD"/>
    <w:rsid w:val="00493821"/>
    <w:rsid w:val="004956E5"/>
    <w:rsid w:val="004975FF"/>
    <w:rsid w:val="00497959"/>
    <w:rsid w:val="004A3F5B"/>
    <w:rsid w:val="004A5C83"/>
    <w:rsid w:val="004A7076"/>
    <w:rsid w:val="004A77F6"/>
    <w:rsid w:val="004B0315"/>
    <w:rsid w:val="004B1EB6"/>
    <w:rsid w:val="004B27F7"/>
    <w:rsid w:val="004B3CEA"/>
    <w:rsid w:val="004B3DD9"/>
    <w:rsid w:val="004B55E1"/>
    <w:rsid w:val="004C08B0"/>
    <w:rsid w:val="004C1DF2"/>
    <w:rsid w:val="004C2A04"/>
    <w:rsid w:val="004C2D60"/>
    <w:rsid w:val="004C32E6"/>
    <w:rsid w:val="004C3D0A"/>
    <w:rsid w:val="004C449D"/>
    <w:rsid w:val="004D2B4A"/>
    <w:rsid w:val="004D4D48"/>
    <w:rsid w:val="004E18EC"/>
    <w:rsid w:val="004E1BE5"/>
    <w:rsid w:val="004E513C"/>
    <w:rsid w:val="004F027E"/>
    <w:rsid w:val="004F1AD7"/>
    <w:rsid w:val="004F4FD1"/>
    <w:rsid w:val="004F58AD"/>
    <w:rsid w:val="004F6207"/>
    <w:rsid w:val="004F6DEB"/>
    <w:rsid w:val="00500EA7"/>
    <w:rsid w:val="0050411B"/>
    <w:rsid w:val="00510185"/>
    <w:rsid w:val="00512B90"/>
    <w:rsid w:val="00517D9A"/>
    <w:rsid w:val="00520144"/>
    <w:rsid w:val="0052233B"/>
    <w:rsid w:val="00525ADC"/>
    <w:rsid w:val="0052793E"/>
    <w:rsid w:val="00531161"/>
    <w:rsid w:val="00532703"/>
    <w:rsid w:val="005335FD"/>
    <w:rsid w:val="00535611"/>
    <w:rsid w:val="00535C88"/>
    <w:rsid w:val="00536C5B"/>
    <w:rsid w:val="00540BEE"/>
    <w:rsid w:val="00541E82"/>
    <w:rsid w:val="00543005"/>
    <w:rsid w:val="00545A1B"/>
    <w:rsid w:val="00551217"/>
    <w:rsid w:val="00553CD3"/>
    <w:rsid w:val="00555568"/>
    <w:rsid w:val="00557914"/>
    <w:rsid w:val="00564385"/>
    <w:rsid w:val="00565606"/>
    <w:rsid w:val="00570B0B"/>
    <w:rsid w:val="00571027"/>
    <w:rsid w:val="0057124A"/>
    <w:rsid w:val="00572422"/>
    <w:rsid w:val="00573AC3"/>
    <w:rsid w:val="0057555C"/>
    <w:rsid w:val="00575D8A"/>
    <w:rsid w:val="00580552"/>
    <w:rsid w:val="0058059E"/>
    <w:rsid w:val="0058093D"/>
    <w:rsid w:val="005816FA"/>
    <w:rsid w:val="00582803"/>
    <w:rsid w:val="005860C6"/>
    <w:rsid w:val="00586D85"/>
    <w:rsid w:val="00587DE3"/>
    <w:rsid w:val="00592F7B"/>
    <w:rsid w:val="00593F2D"/>
    <w:rsid w:val="00594F52"/>
    <w:rsid w:val="00595716"/>
    <w:rsid w:val="005A059E"/>
    <w:rsid w:val="005A157D"/>
    <w:rsid w:val="005A174B"/>
    <w:rsid w:val="005A1BA4"/>
    <w:rsid w:val="005A341F"/>
    <w:rsid w:val="005A3FC1"/>
    <w:rsid w:val="005A4134"/>
    <w:rsid w:val="005A4A6F"/>
    <w:rsid w:val="005A62D7"/>
    <w:rsid w:val="005A69B8"/>
    <w:rsid w:val="005A7A86"/>
    <w:rsid w:val="005B258B"/>
    <w:rsid w:val="005B392E"/>
    <w:rsid w:val="005B5F2B"/>
    <w:rsid w:val="005C12C1"/>
    <w:rsid w:val="005C5291"/>
    <w:rsid w:val="005D0BF3"/>
    <w:rsid w:val="005D25CB"/>
    <w:rsid w:val="005D6BE1"/>
    <w:rsid w:val="005E041E"/>
    <w:rsid w:val="005E0F27"/>
    <w:rsid w:val="005E118A"/>
    <w:rsid w:val="005E2330"/>
    <w:rsid w:val="005E36F4"/>
    <w:rsid w:val="005E483F"/>
    <w:rsid w:val="005E7EC4"/>
    <w:rsid w:val="005F002B"/>
    <w:rsid w:val="005F198B"/>
    <w:rsid w:val="005F671E"/>
    <w:rsid w:val="005F734F"/>
    <w:rsid w:val="00602146"/>
    <w:rsid w:val="00606A18"/>
    <w:rsid w:val="00607607"/>
    <w:rsid w:val="00607D06"/>
    <w:rsid w:val="00613610"/>
    <w:rsid w:val="00614162"/>
    <w:rsid w:val="006142D3"/>
    <w:rsid w:val="00615AE8"/>
    <w:rsid w:val="00616B40"/>
    <w:rsid w:val="00621D47"/>
    <w:rsid w:val="0062347F"/>
    <w:rsid w:val="006244C5"/>
    <w:rsid w:val="00624552"/>
    <w:rsid w:val="0062566E"/>
    <w:rsid w:val="00626280"/>
    <w:rsid w:val="00626792"/>
    <w:rsid w:val="00627057"/>
    <w:rsid w:val="006352F1"/>
    <w:rsid w:val="006376EB"/>
    <w:rsid w:val="006379DB"/>
    <w:rsid w:val="00641DDF"/>
    <w:rsid w:val="006429FE"/>
    <w:rsid w:val="00643C79"/>
    <w:rsid w:val="0064671C"/>
    <w:rsid w:val="00650FBF"/>
    <w:rsid w:val="006510A7"/>
    <w:rsid w:val="00652F65"/>
    <w:rsid w:val="00656DBD"/>
    <w:rsid w:val="00662F8A"/>
    <w:rsid w:val="00663149"/>
    <w:rsid w:val="00663AF8"/>
    <w:rsid w:val="00663EAE"/>
    <w:rsid w:val="006650A4"/>
    <w:rsid w:val="006650F7"/>
    <w:rsid w:val="006654D9"/>
    <w:rsid w:val="00666951"/>
    <w:rsid w:val="00671486"/>
    <w:rsid w:val="006735F6"/>
    <w:rsid w:val="006762BC"/>
    <w:rsid w:val="00676586"/>
    <w:rsid w:val="006777D8"/>
    <w:rsid w:val="00681E41"/>
    <w:rsid w:val="006829CF"/>
    <w:rsid w:val="00685E89"/>
    <w:rsid w:val="00686966"/>
    <w:rsid w:val="006872E1"/>
    <w:rsid w:val="006879B5"/>
    <w:rsid w:val="006908E8"/>
    <w:rsid w:val="006941E2"/>
    <w:rsid w:val="0069728E"/>
    <w:rsid w:val="00697376"/>
    <w:rsid w:val="006A2932"/>
    <w:rsid w:val="006A4AF5"/>
    <w:rsid w:val="006A52DB"/>
    <w:rsid w:val="006A634B"/>
    <w:rsid w:val="006B0681"/>
    <w:rsid w:val="006B3729"/>
    <w:rsid w:val="006B3FCD"/>
    <w:rsid w:val="006B459D"/>
    <w:rsid w:val="006B58DC"/>
    <w:rsid w:val="006B63C3"/>
    <w:rsid w:val="006B7DB2"/>
    <w:rsid w:val="006C2BA8"/>
    <w:rsid w:val="006C2E6E"/>
    <w:rsid w:val="006C3084"/>
    <w:rsid w:val="006C41E1"/>
    <w:rsid w:val="006C4837"/>
    <w:rsid w:val="006C5B23"/>
    <w:rsid w:val="006C6530"/>
    <w:rsid w:val="006D44B5"/>
    <w:rsid w:val="006E171E"/>
    <w:rsid w:val="006E2BFE"/>
    <w:rsid w:val="006E2F46"/>
    <w:rsid w:val="006E375C"/>
    <w:rsid w:val="006E3C46"/>
    <w:rsid w:val="006E4DB4"/>
    <w:rsid w:val="006F2780"/>
    <w:rsid w:val="006F2F7A"/>
    <w:rsid w:val="006F47B1"/>
    <w:rsid w:val="006F59BF"/>
    <w:rsid w:val="006F700C"/>
    <w:rsid w:val="006F77CB"/>
    <w:rsid w:val="00704415"/>
    <w:rsid w:val="00704694"/>
    <w:rsid w:val="00712585"/>
    <w:rsid w:val="00716B5C"/>
    <w:rsid w:val="007179B0"/>
    <w:rsid w:val="0072219E"/>
    <w:rsid w:val="00724891"/>
    <w:rsid w:val="00727BD7"/>
    <w:rsid w:val="00735FAB"/>
    <w:rsid w:val="0073633E"/>
    <w:rsid w:val="00736D01"/>
    <w:rsid w:val="007428A2"/>
    <w:rsid w:val="0075014A"/>
    <w:rsid w:val="00751C8F"/>
    <w:rsid w:val="00751EE2"/>
    <w:rsid w:val="00754EC5"/>
    <w:rsid w:val="007550EA"/>
    <w:rsid w:val="007607BA"/>
    <w:rsid w:val="00763A8D"/>
    <w:rsid w:val="00767F82"/>
    <w:rsid w:val="00770372"/>
    <w:rsid w:val="00772133"/>
    <w:rsid w:val="00773789"/>
    <w:rsid w:val="00775DC4"/>
    <w:rsid w:val="007768FF"/>
    <w:rsid w:val="00776A73"/>
    <w:rsid w:val="00780534"/>
    <w:rsid w:val="007809FC"/>
    <w:rsid w:val="007854CF"/>
    <w:rsid w:val="00785C8F"/>
    <w:rsid w:val="00786564"/>
    <w:rsid w:val="00786859"/>
    <w:rsid w:val="00786FD9"/>
    <w:rsid w:val="007950C3"/>
    <w:rsid w:val="007A1DF9"/>
    <w:rsid w:val="007A7791"/>
    <w:rsid w:val="007B20C2"/>
    <w:rsid w:val="007B3DDC"/>
    <w:rsid w:val="007C1AC0"/>
    <w:rsid w:val="007C1B41"/>
    <w:rsid w:val="007C2617"/>
    <w:rsid w:val="007C5955"/>
    <w:rsid w:val="007C74A5"/>
    <w:rsid w:val="007D1600"/>
    <w:rsid w:val="007D60CA"/>
    <w:rsid w:val="007D72E9"/>
    <w:rsid w:val="007E1AF4"/>
    <w:rsid w:val="007E6D8D"/>
    <w:rsid w:val="007F2ADF"/>
    <w:rsid w:val="007F645B"/>
    <w:rsid w:val="00802E73"/>
    <w:rsid w:val="00805F44"/>
    <w:rsid w:val="0080764F"/>
    <w:rsid w:val="00810DA0"/>
    <w:rsid w:val="00811881"/>
    <w:rsid w:val="00813217"/>
    <w:rsid w:val="0081368C"/>
    <w:rsid w:val="00816480"/>
    <w:rsid w:val="0081700A"/>
    <w:rsid w:val="00821F6F"/>
    <w:rsid w:val="00821FD5"/>
    <w:rsid w:val="00822020"/>
    <w:rsid w:val="008234BF"/>
    <w:rsid w:val="00825DC9"/>
    <w:rsid w:val="008310FA"/>
    <w:rsid w:val="008315C0"/>
    <w:rsid w:val="00831CC8"/>
    <w:rsid w:val="00832993"/>
    <w:rsid w:val="0083734A"/>
    <w:rsid w:val="00846553"/>
    <w:rsid w:val="0084758D"/>
    <w:rsid w:val="008500B0"/>
    <w:rsid w:val="008528E6"/>
    <w:rsid w:val="008536BF"/>
    <w:rsid w:val="00854248"/>
    <w:rsid w:val="00854947"/>
    <w:rsid w:val="00854B2C"/>
    <w:rsid w:val="00855A15"/>
    <w:rsid w:val="00855C5E"/>
    <w:rsid w:val="008603FE"/>
    <w:rsid w:val="00861095"/>
    <w:rsid w:val="008624CD"/>
    <w:rsid w:val="0086713D"/>
    <w:rsid w:val="0087037D"/>
    <w:rsid w:val="00872B49"/>
    <w:rsid w:val="00872ECB"/>
    <w:rsid w:val="00880DB9"/>
    <w:rsid w:val="0088148D"/>
    <w:rsid w:val="008834E7"/>
    <w:rsid w:val="00884FF9"/>
    <w:rsid w:val="00886BB3"/>
    <w:rsid w:val="008903A0"/>
    <w:rsid w:val="00891901"/>
    <w:rsid w:val="008967FF"/>
    <w:rsid w:val="008968A8"/>
    <w:rsid w:val="00897046"/>
    <w:rsid w:val="0089746D"/>
    <w:rsid w:val="008976B7"/>
    <w:rsid w:val="008B01AB"/>
    <w:rsid w:val="008B0438"/>
    <w:rsid w:val="008B2114"/>
    <w:rsid w:val="008B2A7D"/>
    <w:rsid w:val="008B3A5F"/>
    <w:rsid w:val="008B49EB"/>
    <w:rsid w:val="008B557C"/>
    <w:rsid w:val="008C4DE9"/>
    <w:rsid w:val="008D0E20"/>
    <w:rsid w:val="008D5CD3"/>
    <w:rsid w:val="008E11FE"/>
    <w:rsid w:val="008E1DB8"/>
    <w:rsid w:val="008E5A7E"/>
    <w:rsid w:val="008F346C"/>
    <w:rsid w:val="0090139B"/>
    <w:rsid w:val="00901BFF"/>
    <w:rsid w:val="009031AF"/>
    <w:rsid w:val="009033EF"/>
    <w:rsid w:val="00903B26"/>
    <w:rsid w:val="00905478"/>
    <w:rsid w:val="00914AEC"/>
    <w:rsid w:val="009156D9"/>
    <w:rsid w:val="00915768"/>
    <w:rsid w:val="0092018E"/>
    <w:rsid w:val="00921EC7"/>
    <w:rsid w:val="009229CD"/>
    <w:rsid w:val="0092594D"/>
    <w:rsid w:val="009310DE"/>
    <w:rsid w:val="00933DD3"/>
    <w:rsid w:val="00935F24"/>
    <w:rsid w:val="00935FAF"/>
    <w:rsid w:val="00937388"/>
    <w:rsid w:val="00941208"/>
    <w:rsid w:val="0095049F"/>
    <w:rsid w:val="009509EA"/>
    <w:rsid w:val="00950E5C"/>
    <w:rsid w:val="0095485D"/>
    <w:rsid w:val="00955D6E"/>
    <w:rsid w:val="00956A53"/>
    <w:rsid w:val="00957E76"/>
    <w:rsid w:val="00963646"/>
    <w:rsid w:val="00964F45"/>
    <w:rsid w:val="0096536A"/>
    <w:rsid w:val="0096555D"/>
    <w:rsid w:val="00966091"/>
    <w:rsid w:val="009672E7"/>
    <w:rsid w:val="00982F75"/>
    <w:rsid w:val="009851A0"/>
    <w:rsid w:val="0098633C"/>
    <w:rsid w:val="00995EA0"/>
    <w:rsid w:val="009A067B"/>
    <w:rsid w:val="009A3C16"/>
    <w:rsid w:val="009A44AE"/>
    <w:rsid w:val="009B2395"/>
    <w:rsid w:val="009B444D"/>
    <w:rsid w:val="009C13DC"/>
    <w:rsid w:val="009C4CCA"/>
    <w:rsid w:val="009C5237"/>
    <w:rsid w:val="009C6A6C"/>
    <w:rsid w:val="009C6E1A"/>
    <w:rsid w:val="009C7D3E"/>
    <w:rsid w:val="009C7E9B"/>
    <w:rsid w:val="009D1E6D"/>
    <w:rsid w:val="009D6E3B"/>
    <w:rsid w:val="009D6F4D"/>
    <w:rsid w:val="009D70EE"/>
    <w:rsid w:val="009D7A31"/>
    <w:rsid w:val="009E27C0"/>
    <w:rsid w:val="009E2DE3"/>
    <w:rsid w:val="009F3D5C"/>
    <w:rsid w:val="009F50D3"/>
    <w:rsid w:val="009F609B"/>
    <w:rsid w:val="00A01478"/>
    <w:rsid w:val="00A021A4"/>
    <w:rsid w:val="00A023AC"/>
    <w:rsid w:val="00A05BA0"/>
    <w:rsid w:val="00A067D9"/>
    <w:rsid w:val="00A13D3C"/>
    <w:rsid w:val="00A164CC"/>
    <w:rsid w:val="00A21424"/>
    <w:rsid w:val="00A34CF7"/>
    <w:rsid w:val="00A37CF7"/>
    <w:rsid w:val="00A446C5"/>
    <w:rsid w:val="00A45E77"/>
    <w:rsid w:val="00A4675F"/>
    <w:rsid w:val="00A50D6C"/>
    <w:rsid w:val="00A517FE"/>
    <w:rsid w:val="00A56553"/>
    <w:rsid w:val="00A56AEF"/>
    <w:rsid w:val="00A62C18"/>
    <w:rsid w:val="00A663C2"/>
    <w:rsid w:val="00A668D4"/>
    <w:rsid w:val="00A7016E"/>
    <w:rsid w:val="00A7160B"/>
    <w:rsid w:val="00A7219D"/>
    <w:rsid w:val="00A72766"/>
    <w:rsid w:val="00A73EAE"/>
    <w:rsid w:val="00A76499"/>
    <w:rsid w:val="00A84164"/>
    <w:rsid w:val="00A86A1E"/>
    <w:rsid w:val="00A86EDB"/>
    <w:rsid w:val="00A87D79"/>
    <w:rsid w:val="00A901F2"/>
    <w:rsid w:val="00A9081B"/>
    <w:rsid w:val="00A946A9"/>
    <w:rsid w:val="00A95CD8"/>
    <w:rsid w:val="00A97F4D"/>
    <w:rsid w:val="00AA0338"/>
    <w:rsid w:val="00AA14B7"/>
    <w:rsid w:val="00AA16A3"/>
    <w:rsid w:val="00AA199E"/>
    <w:rsid w:val="00AA585E"/>
    <w:rsid w:val="00AB0DE7"/>
    <w:rsid w:val="00AB1A51"/>
    <w:rsid w:val="00AB31E8"/>
    <w:rsid w:val="00AB3C4A"/>
    <w:rsid w:val="00AB44A1"/>
    <w:rsid w:val="00AB57B7"/>
    <w:rsid w:val="00AC08CC"/>
    <w:rsid w:val="00AC0DA5"/>
    <w:rsid w:val="00AC4DC9"/>
    <w:rsid w:val="00AC608D"/>
    <w:rsid w:val="00AC713E"/>
    <w:rsid w:val="00AC7D54"/>
    <w:rsid w:val="00AD0C03"/>
    <w:rsid w:val="00AD1637"/>
    <w:rsid w:val="00AD47DE"/>
    <w:rsid w:val="00AD5479"/>
    <w:rsid w:val="00AD5FC8"/>
    <w:rsid w:val="00AE0DDF"/>
    <w:rsid w:val="00AE13CE"/>
    <w:rsid w:val="00AE540B"/>
    <w:rsid w:val="00AE54DF"/>
    <w:rsid w:val="00AF6A17"/>
    <w:rsid w:val="00B00461"/>
    <w:rsid w:val="00B01DEB"/>
    <w:rsid w:val="00B04362"/>
    <w:rsid w:val="00B05B7C"/>
    <w:rsid w:val="00B113EB"/>
    <w:rsid w:val="00B13567"/>
    <w:rsid w:val="00B15415"/>
    <w:rsid w:val="00B16BEB"/>
    <w:rsid w:val="00B22A09"/>
    <w:rsid w:val="00B23DFE"/>
    <w:rsid w:val="00B250DB"/>
    <w:rsid w:val="00B269B5"/>
    <w:rsid w:val="00B30AE3"/>
    <w:rsid w:val="00B3143B"/>
    <w:rsid w:val="00B31EC1"/>
    <w:rsid w:val="00B3320B"/>
    <w:rsid w:val="00B369F7"/>
    <w:rsid w:val="00B36D4E"/>
    <w:rsid w:val="00B37E81"/>
    <w:rsid w:val="00B400C7"/>
    <w:rsid w:val="00B403E6"/>
    <w:rsid w:val="00B40A94"/>
    <w:rsid w:val="00B470E9"/>
    <w:rsid w:val="00B4792E"/>
    <w:rsid w:val="00B5129D"/>
    <w:rsid w:val="00B53205"/>
    <w:rsid w:val="00B55444"/>
    <w:rsid w:val="00B558D3"/>
    <w:rsid w:val="00B5622D"/>
    <w:rsid w:val="00B571C5"/>
    <w:rsid w:val="00B614C9"/>
    <w:rsid w:val="00B61A19"/>
    <w:rsid w:val="00B627B0"/>
    <w:rsid w:val="00B62F20"/>
    <w:rsid w:val="00B650B5"/>
    <w:rsid w:val="00B676E0"/>
    <w:rsid w:val="00B7726F"/>
    <w:rsid w:val="00B77446"/>
    <w:rsid w:val="00B80C7F"/>
    <w:rsid w:val="00B81159"/>
    <w:rsid w:val="00B83207"/>
    <w:rsid w:val="00B8373B"/>
    <w:rsid w:val="00B84930"/>
    <w:rsid w:val="00B86666"/>
    <w:rsid w:val="00B8739D"/>
    <w:rsid w:val="00B9012A"/>
    <w:rsid w:val="00B90A27"/>
    <w:rsid w:val="00B91D0F"/>
    <w:rsid w:val="00B92659"/>
    <w:rsid w:val="00B926C6"/>
    <w:rsid w:val="00B9442C"/>
    <w:rsid w:val="00B9452B"/>
    <w:rsid w:val="00B95D3A"/>
    <w:rsid w:val="00B96CD0"/>
    <w:rsid w:val="00BA1503"/>
    <w:rsid w:val="00BA1743"/>
    <w:rsid w:val="00BA19AE"/>
    <w:rsid w:val="00BA3131"/>
    <w:rsid w:val="00BB433D"/>
    <w:rsid w:val="00BB48F7"/>
    <w:rsid w:val="00BB51B4"/>
    <w:rsid w:val="00BB5A50"/>
    <w:rsid w:val="00BB5EED"/>
    <w:rsid w:val="00BB6E3A"/>
    <w:rsid w:val="00BC575B"/>
    <w:rsid w:val="00BD18B6"/>
    <w:rsid w:val="00BD1A5F"/>
    <w:rsid w:val="00BD2AB0"/>
    <w:rsid w:val="00BD3773"/>
    <w:rsid w:val="00BE0821"/>
    <w:rsid w:val="00BE0DE2"/>
    <w:rsid w:val="00BE0ED9"/>
    <w:rsid w:val="00BE1E99"/>
    <w:rsid w:val="00BE2896"/>
    <w:rsid w:val="00BE6014"/>
    <w:rsid w:val="00BF18E0"/>
    <w:rsid w:val="00BF3D74"/>
    <w:rsid w:val="00BF461B"/>
    <w:rsid w:val="00C02BD6"/>
    <w:rsid w:val="00C03095"/>
    <w:rsid w:val="00C051A4"/>
    <w:rsid w:val="00C0525D"/>
    <w:rsid w:val="00C05773"/>
    <w:rsid w:val="00C123D5"/>
    <w:rsid w:val="00C12674"/>
    <w:rsid w:val="00C12C82"/>
    <w:rsid w:val="00C13353"/>
    <w:rsid w:val="00C1599E"/>
    <w:rsid w:val="00C16782"/>
    <w:rsid w:val="00C213B4"/>
    <w:rsid w:val="00C213C9"/>
    <w:rsid w:val="00C21CC6"/>
    <w:rsid w:val="00C26795"/>
    <w:rsid w:val="00C26E6D"/>
    <w:rsid w:val="00C307C1"/>
    <w:rsid w:val="00C31E7E"/>
    <w:rsid w:val="00C32D1E"/>
    <w:rsid w:val="00C353DD"/>
    <w:rsid w:val="00C37715"/>
    <w:rsid w:val="00C4588E"/>
    <w:rsid w:val="00C45F08"/>
    <w:rsid w:val="00C519A2"/>
    <w:rsid w:val="00C525AD"/>
    <w:rsid w:val="00C52BF4"/>
    <w:rsid w:val="00C56276"/>
    <w:rsid w:val="00C565EB"/>
    <w:rsid w:val="00C6376F"/>
    <w:rsid w:val="00C6471C"/>
    <w:rsid w:val="00C647F0"/>
    <w:rsid w:val="00C66243"/>
    <w:rsid w:val="00C77E93"/>
    <w:rsid w:val="00C826AF"/>
    <w:rsid w:val="00C83F77"/>
    <w:rsid w:val="00C85321"/>
    <w:rsid w:val="00C91EC5"/>
    <w:rsid w:val="00C9418B"/>
    <w:rsid w:val="00CA1D23"/>
    <w:rsid w:val="00CA2876"/>
    <w:rsid w:val="00CA3582"/>
    <w:rsid w:val="00CA4328"/>
    <w:rsid w:val="00CA6043"/>
    <w:rsid w:val="00CB099A"/>
    <w:rsid w:val="00CB3E84"/>
    <w:rsid w:val="00CB6021"/>
    <w:rsid w:val="00CC02D9"/>
    <w:rsid w:val="00CC0FB2"/>
    <w:rsid w:val="00CC52BE"/>
    <w:rsid w:val="00CC5372"/>
    <w:rsid w:val="00CC6F4F"/>
    <w:rsid w:val="00CD55E6"/>
    <w:rsid w:val="00CD62D1"/>
    <w:rsid w:val="00CD63F9"/>
    <w:rsid w:val="00CE1034"/>
    <w:rsid w:val="00CE1503"/>
    <w:rsid w:val="00CE68D3"/>
    <w:rsid w:val="00CE7340"/>
    <w:rsid w:val="00CF08AE"/>
    <w:rsid w:val="00CF1F8F"/>
    <w:rsid w:val="00CF430E"/>
    <w:rsid w:val="00CF4A5B"/>
    <w:rsid w:val="00CF66CC"/>
    <w:rsid w:val="00D01139"/>
    <w:rsid w:val="00D01529"/>
    <w:rsid w:val="00D02BA9"/>
    <w:rsid w:val="00D034FD"/>
    <w:rsid w:val="00D040ED"/>
    <w:rsid w:val="00D0465D"/>
    <w:rsid w:val="00D04850"/>
    <w:rsid w:val="00D07FD4"/>
    <w:rsid w:val="00D11707"/>
    <w:rsid w:val="00D125BE"/>
    <w:rsid w:val="00D135D5"/>
    <w:rsid w:val="00D14E49"/>
    <w:rsid w:val="00D1738B"/>
    <w:rsid w:val="00D208C4"/>
    <w:rsid w:val="00D21396"/>
    <w:rsid w:val="00D228A1"/>
    <w:rsid w:val="00D23061"/>
    <w:rsid w:val="00D23A98"/>
    <w:rsid w:val="00D31C8F"/>
    <w:rsid w:val="00D41F62"/>
    <w:rsid w:val="00D4559B"/>
    <w:rsid w:val="00D471DD"/>
    <w:rsid w:val="00D4720C"/>
    <w:rsid w:val="00D537E5"/>
    <w:rsid w:val="00D563AD"/>
    <w:rsid w:val="00D564A0"/>
    <w:rsid w:val="00D57E27"/>
    <w:rsid w:val="00D63A12"/>
    <w:rsid w:val="00D647F9"/>
    <w:rsid w:val="00D64E07"/>
    <w:rsid w:val="00D64ED7"/>
    <w:rsid w:val="00D65114"/>
    <w:rsid w:val="00D7079F"/>
    <w:rsid w:val="00D70B4D"/>
    <w:rsid w:val="00D7177F"/>
    <w:rsid w:val="00D71BDE"/>
    <w:rsid w:val="00D73941"/>
    <w:rsid w:val="00D75195"/>
    <w:rsid w:val="00D83245"/>
    <w:rsid w:val="00D869AE"/>
    <w:rsid w:val="00D9083C"/>
    <w:rsid w:val="00D93C2C"/>
    <w:rsid w:val="00D97D33"/>
    <w:rsid w:val="00DA2F68"/>
    <w:rsid w:val="00DB434E"/>
    <w:rsid w:val="00DB7068"/>
    <w:rsid w:val="00DB76FB"/>
    <w:rsid w:val="00DC0696"/>
    <w:rsid w:val="00DC110C"/>
    <w:rsid w:val="00DC12B2"/>
    <w:rsid w:val="00DC1C7F"/>
    <w:rsid w:val="00DC3063"/>
    <w:rsid w:val="00DC4479"/>
    <w:rsid w:val="00DC5428"/>
    <w:rsid w:val="00DD0C14"/>
    <w:rsid w:val="00DD16D8"/>
    <w:rsid w:val="00DD34D7"/>
    <w:rsid w:val="00DD45FD"/>
    <w:rsid w:val="00DD787C"/>
    <w:rsid w:val="00DE006E"/>
    <w:rsid w:val="00DE143E"/>
    <w:rsid w:val="00DE2A23"/>
    <w:rsid w:val="00DE4F94"/>
    <w:rsid w:val="00DE7504"/>
    <w:rsid w:val="00DF0108"/>
    <w:rsid w:val="00DF12CD"/>
    <w:rsid w:val="00E00D0B"/>
    <w:rsid w:val="00E0243F"/>
    <w:rsid w:val="00E04AE4"/>
    <w:rsid w:val="00E07ACA"/>
    <w:rsid w:val="00E12412"/>
    <w:rsid w:val="00E135E0"/>
    <w:rsid w:val="00E14F27"/>
    <w:rsid w:val="00E15A13"/>
    <w:rsid w:val="00E17DC9"/>
    <w:rsid w:val="00E219B8"/>
    <w:rsid w:val="00E22F00"/>
    <w:rsid w:val="00E23AF6"/>
    <w:rsid w:val="00E23F23"/>
    <w:rsid w:val="00E2568B"/>
    <w:rsid w:val="00E3527D"/>
    <w:rsid w:val="00E35965"/>
    <w:rsid w:val="00E50390"/>
    <w:rsid w:val="00E50E8B"/>
    <w:rsid w:val="00E528C1"/>
    <w:rsid w:val="00E5554F"/>
    <w:rsid w:val="00E55764"/>
    <w:rsid w:val="00E559B7"/>
    <w:rsid w:val="00E62421"/>
    <w:rsid w:val="00E63816"/>
    <w:rsid w:val="00E63C48"/>
    <w:rsid w:val="00E64257"/>
    <w:rsid w:val="00E70E63"/>
    <w:rsid w:val="00E70F3B"/>
    <w:rsid w:val="00E71490"/>
    <w:rsid w:val="00E75356"/>
    <w:rsid w:val="00E757EC"/>
    <w:rsid w:val="00E75970"/>
    <w:rsid w:val="00E75BB5"/>
    <w:rsid w:val="00E829F8"/>
    <w:rsid w:val="00E82F87"/>
    <w:rsid w:val="00E83309"/>
    <w:rsid w:val="00E85574"/>
    <w:rsid w:val="00E85E04"/>
    <w:rsid w:val="00E90363"/>
    <w:rsid w:val="00E918EB"/>
    <w:rsid w:val="00E927CF"/>
    <w:rsid w:val="00E937CA"/>
    <w:rsid w:val="00E96EA2"/>
    <w:rsid w:val="00E9711F"/>
    <w:rsid w:val="00E97E00"/>
    <w:rsid w:val="00EA21E7"/>
    <w:rsid w:val="00EA2F0B"/>
    <w:rsid w:val="00EB081B"/>
    <w:rsid w:val="00EB1556"/>
    <w:rsid w:val="00EB2588"/>
    <w:rsid w:val="00EB4312"/>
    <w:rsid w:val="00EB573B"/>
    <w:rsid w:val="00EC1097"/>
    <w:rsid w:val="00EC211A"/>
    <w:rsid w:val="00EC3B48"/>
    <w:rsid w:val="00EC4216"/>
    <w:rsid w:val="00EC5DCE"/>
    <w:rsid w:val="00EC66A3"/>
    <w:rsid w:val="00ED000C"/>
    <w:rsid w:val="00ED10F8"/>
    <w:rsid w:val="00ED4308"/>
    <w:rsid w:val="00ED4C1A"/>
    <w:rsid w:val="00EE3DD3"/>
    <w:rsid w:val="00EE4746"/>
    <w:rsid w:val="00EE4E98"/>
    <w:rsid w:val="00EF4454"/>
    <w:rsid w:val="00EF7822"/>
    <w:rsid w:val="00EF7EE3"/>
    <w:rsid w:val="00F02A7A"/>
    <w:rsid w:val="00F03615"/>
    <w:rsid w:val="00F04A3A"/>
    <w:rsid w:val="00F10E62"/>
    <w:rsid w:val="00F11CCA"/>
    <w:rsid w:val="00F13041"/>
    <w:rsid w:val="00F13BD2"/>
    <w:rsid w:val="00F20998"/>
    <w:rsid w:val="00F20A1D"/>
    <w:rsid w:val="00F2215C"/>
    <w:rsid w:val="00F27F40"/>
    <w:rsid w:val="00F302BD"/>
    <w:rsid w:val="00F32583"/>
    <w:rsid w:val="00F35B3D"/>
    <w:rsid w:val="00F3612F"/>
    <w:rsid w:val="00F40ED6"/>
    <w:rsid w:val="00F43F9A"/>
    <w:rsid w:val="00F513FA"/>
    <w:rsid w:val="00F53915"/>
    <w:rsid w:val="00F600A6"/>
    <w:rsid w:val="00F62069"/>
    <w:rsid w:val="00F62A89"/>
    <w:rsid w:val="00F64EA4"/>
    <w:rsid w:val="00F66E40"/>
    <w:rsid w:val="00F6722E"/>
    <w:rsid w:val="00F719B9"/>
    <w:rsid w:val="00F7265D"/>
    <w:rsid w:val="00F75DB3"/>
    <w:rsid w:val="00F824C6"/>
    <w:rsid w:val="00F84B34"/>
    <w:rsid w:val="00F84D88"/>
    <w:rsid w:val="00F92260"/>
    <w:rsid w:val="00F948EE"/>
    <w:rsid w:val="00F95400"/>
    <w:rsid w:val="00F957E5"/>
    <w:rsid w:val="00FA41F6"/>
    <w:rsid w:val="00FA421A"/>
    <w:rsid w:val="00FA5763"/>
    <w:rsid w:val="00FB2927"/>
    <w:rsid w:val="00FB54AC"/>
    <w:rsid w:val="00FB6D44"/>
    <w:rsid w:val="00FB7565"/>
    <w:rsid w:val="00FC007D"/>
    <w:rsid w:val="00FC0EC1"/>
    <w:rsid w:val="00FC4398"/>
    <w:rsid w:val="00FC662E"/>
    <w:rsid w:val="00FC6F61"/>
    <w:rsid w:val="00FD0FE5"/>
    <w:rsid w:val="00FD2800"/>
    <w:rsid w:val="00FD6233"/>
    <w:rsid w:val="00FE04EA"/>
    <w:rsid w:val="00FE3918"/>
    <w:rsid w:val="00FE7E05"/>
    <w:rsid w:val="00FF4301"/>
    <w:rsid w:val="00FF498A"/>
    <w:rsid w:val="00FF5ED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BA63"/>
  <w15:docId w15:val="{47EEC136-852F-42CB-A61E-1585C391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9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unhideWhenUsed/>
    <w:rsid w:val="00A663C2"/>
    <w:rPr>
      <w:sz w:val="20"/>
      <w:szCs w:val="20"/>
    </w:rPr>
  </w:style>
  <w:style w:type="character" w:customStyle="1" w:styleId="CommentTextChar">
    <w:name w:val="Comment Text Char"/>
    <w:basedOn w:val="DefaultParagraphFont"/>
    <w:link w:val="CommentText"/>
    <w:uiPriority w:val="99"/>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403E6"/>
    <w:rPr>
      <w:color w:val="800080" w:themeColor="followedHyperlink"/>
      <w:u w:val="single"/>
    </w:rPr>
  </w:style>
  <w:style w:type="paragraph" w:customStyle="1" w:styleId="Default">
    <w:name w:val="Default"/>
    <w:rsid w:val="003373A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3D5A"/>
    <w:pPr>
      <w:spacing w:before="100" w:beforeAutospacing="1" w:after="100" w:afterAutospacing="1"/>
    </w:pPr>
  </w:style>
  <w:style w:type="paragraph" w:customStyle="1" w:styleId="MBPoint">
    <w:name w:val="MB Point"/>
    <w:basedOn w:val="ListParagraph"/>
    <w:qFormat/>
    <w:rsid w:val="005B258B"/>
    <w:pPr>
      <w:numPr>
        <w:numId w:val="38"/>
      </w:numPr>
      <w:spacing w:after="60" w:line="240" w:lineRule="auto"/>
      <w:contextualSpacing w:val="0"/>
    </w:pPr>
    <w:rPr>
      <w:rFonts w:ascii="Times New Roman" w:hAnsi="Times New Roman" w:cs="Times New Roman"/>
      <w:sz w:val="24"/>
      <w:szCs w:val="24"/>
    </w:rPr>
  </w:style>
  <w:style w:type="paragraph" w:customStyle="1" w:styleId="MBPointSub">
    <w:name w:val="MB Point Sub"/>
    <w:basedOn w:val="ListParagraph"/>
    <w:qFormat/>
    <w:rsid w:val="005B258B"/>
    <w:pPr>
      <w:numPr>
        <w:ilvl w:val="2"/>
        <w:numId w:val="38"/>
      </w:numPr>
      <w:spacing w:after="120" w:line="240" w:lineRule="auto"/>
      <w:ind w:left="1231" w:hanging="380"/>
      <w:contextualSpacing w:val="0"/>
    </w:pPr>
    <w:rPr>
      <w:rFonts w:cstheme="minorHAnsi"/>
    </w:rPr>
  </w:style>
  <w:style w:type="paragraph" w:customStyle="1" w:styleId="MBNumbering">
    <w:name w:val="MB Numbering"/>
    <w:basedOn w:val="MBPoint"/>
    <w:rsid w:val="005B258B"/>
    <w:pPr>
      <w:spacing w:after="120"/>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291">
      <w:bodyDiv w:val="1"/>
      <w:marLeft w:val="0"/>
      <w:marRight w:val="0"/>
      <w:marTop w:val="0"/>
      <w:marBottom w:val="0"/>
      <w:divBdr>
        <w:top w:val="none" w:sz="0" w:space="0" w:color="auto"/>
        <w:left w:val="none" w:sz="0" w:space="0" w:color="auto"/>
        <w:bottom w:val="none" w:sz="0" w:space="0" w:color="auto"/>
        <w:right w:val="none" w:sz="0" w:space="0" w:color="auto"/>
      </w:divBdr>
    </w:div>
    <w:div w:id="611015620">
      <w:bodyDiv w:val="1"/>
      <w:marLeft w:val="0"/>
      <w:marRight w:val="0"/>
      <w:marTop w:val="0"/>
      <w:marBottom w:val="0"/>
      <w:divBdr>
        <w:top w:val="none" w:sz="0" w:space="0" w:color="auto"/>
        <w:left w:val="none" w:sz="0" w:space="0" w:color="auto"/>
        <w:bottom w:val="none" w:sz="0" w:space="0" w:color="auto"/>
        <w:right w:val="none" w:sz="0" w:space="0" w:color="auto"/>
      </w:divBdr>
      <w:divsChild>
        <w:div w:id="1697195412">
          <w:marLeft w:val="0"/>
          <w:marRight w:val="0"/>
          <w:marTop w:val="0"/>
          <w:marBottom w:val="0"/>
          <w:divBdr>
            <w:top w:val="none" w:sz="0" w:space="0" w:color="auto"/>
            <w:left w:val="none" w:sz="0" w:space="0" w:color="auto"/>
            <w:bottom w:val="none" w:sz="0" w:space="0" w:color="auto"/>
            <w:right w:val="none" w:sz="0" w:space="0" w:color="auto"/>
          </w:divBdr>
          <w:divsChild>
            <w:div w:id="1069613235">
              <w:marLeft w:val="0"/>
              <w:marRight w:val="0"/>
              <w:marTop w:val="0"/>
              <w:marBottom w:val="0"/>
              <w:divBdr>
                <w:top w:val="none" w:sz="0" w:space="0" w:color="auto"/>
                <w:left w:val="none" w:sz="0" w:space="0" w:color="auto"/>
                <w:bottom w:val="none" w:sz="0" w:space="0" w:color="auto"/>
                <w:right w:val="none" w:sz="0" w:space="0" w:color="auto"/>
              </w:divBdr>
              <w:divsChild>
                <w:div w:id="1275215478">
                  <w:marLeft w:val="0"/>
                  <w:marRight w:val="0"/>
                  <w:marTop w:val="0"/>
                  <w:marBottom w:val="0"/>
                  <w:divBdr>
                    <w:top w:val="none" w:sz="0" w:space="0" w:color="auto"/>
                    <w:left w:val="none" w:sz="0" w:space="0" w:color="auto"/>
                    <w:bottom w:val="none" w:sz="0" w:space="0" w:color="auto"/>
                    <w:right w:val="none" w:sz="0" w:space="0" w:color="auto"/>
                  </w:divBdr>
                  <w:divsChild>
                    <w:div w:id="171917645">
                      <w:marLeft w:val="0"/>
                      <w:marRight w:val="0"/>
                      <w:marTop w:val="0"/>
                      <w:marBottom w:val="0"/>
                      <w:divBdr>
                        <w:top w:val="none" w:sz="0" w:space="0" w:color="auto"/>
                        <w:left w:val="none" w:sz="0" w:space="0" w:color="auto"/>
                        <w:bottom w:val="none" w:sz="0" w:space="0" w:color="auto"/>
                        <w:right w:val="none" w:sz="0" w:space="0" w:color="auto"/>
                      </w:divBdr>
                      <w:divsChild>
                        <w:div w:id="1858736493">
                          <w:marLeft w:val="0"/>
                          <w:marRight w:val="0"/>
                          <w:marTop w:val="0"/>
                          <w:marBottom w:val="0"/>
                          <w:divBdr>
                            <w:top w:val="none" w:sz="0" w:space="0" w:color="auto"/>
                            <w:left w:val="none" w:sz="0" w:space="0" w:color="auto"/>
                            <w:bottom w:val="none" w:sz="0" w:space="0" w:color="auto"/>
                            <w:right w:val="none" w:sz="0" w:space="0" w:color="auto"/>
                          </w:divBdr>
                          <w:divsChild>
                            <w:div w:id="25837742">
                              <w:marLeft w:val="0"/>
                              <w:marRight w:val="0"/>
                              <w:marTop w:val="0"/>
                              <w:marBottom w:val="0"/>
                              <w:divBdr>
                                <w:top w:val="none" w:sz="0" w:space="0" w:color="auto"/>
                                <w:left w:val="none" w:sz="0" w:space="0" w:color="auto"/>
                                <w:bottom w:val="none" w:sz="0" w:space="0" w:color="auto"/>
                                <w:right w:val="none" w:sz="0" w:space="0" w:color="auto"/>
                              </w:divBdr>
                              <w:divsChild>
                                <w:div w:id="241062831">
                                  <w:marLeft w:val="0"/>
                                  <w:marRight w:val="0"/>
                                  <w:marTop w:val="0"/>
                                  <w:marBottom w:val="0"/>
                                  <w:divBdr>
                                    <w:top w:val="none" w:sz="0" w:space="0" w:color="auto"/>
                                    <w:left w:val="none" w:sz="0" w:space="0" w:color="auto"/>
                                    <w:bottom w:val="none" w:sz="0" w:space="0" w:color="auto"/>
                                    <w:right w:val="none" w:sz="0" w:space="0" w:color="auto"/>
                                  </w:divBdr>
                                  <w:divsChild>
                                    <w:div w:id="1952278008">
                                      <w:marLeft w:val="0"/>
                                      <w:marRight w:val="0"/>
                                      <w:marTop w:val="0"/>
                                      <w:marBottom w:val="0"/>
                                      <w:divBdr>
                                        <w:top w:val="none" w:sz="0" w:space="0" w:color="auto"/>
                                        <w:left w:val="none" w:sz="0" w:space="0" w:color="auto"/>
                                        <w:bottom w:val="none" w:sz="0" w:space="0" w:color="auto"/>
                                        <w:right w:val="none" w:sz="0" w:space="0" w:color="auto"/>
                                      </w:divBdr>
                                      <w:divsChild>
                                        <w:div w:id="197159019">
                                          <w:marLeft w:val="0"/>
                                          <w:marRight w:val="0"/>
                                          <w:marTop w:val="0"/>
                                          <w:marBottom w:val="0"/>
                                          <w:divBdr>
                                            <w:top w:val="none" w:sz="0" w:space="0" w:color="auto"/>
                                            <w:left w:val="none" w:sz="0" w:space="0" w:color="auto"/>
                                            <w:bottom w:val="none" w:sz="0" w:space="0" w:color="auto"/>
                                            <w:right w:val="none" w:sz="0" w:space="0" w:color="auto"/>
                                          </w:divBdr>
                                          <w:divsChild>
                                            <w:div w:id="1519851432">
                                              <w:marLeft w:val="0"/>
                                              <w:marRight w:val="0"/>
                                              <w:marTop w:val="0"/>
                                              <w:marBottom w:val="0"/>
                                              <w:divBdr>
                                                <w:top w:val="none" w:sz="0" w:space="0" w:color="auto"/>
                                                <w:left w:val="none" w:sz="0" w:space="0" w:color="auto"/>
                                                <w:bottom w:val="none" w:sz="0" w:space="0" w:color="auto"/>
                                                <w:right w:val="none" w:sz="0" w:space="0" w:color="auto"/>
                                              </w:divBdr>
                                              <w:divsChild>
                                                <w:div w:id="1789886058">
                                                  <w:marLeft w:val="0"/>
                                                  <w:marRight w:val="0"/>
                                                  <w:marTop w:val="0"/>
                                                  <w:marBottom w:val="0"/>
                                                  <w:divBdr>
                                                    <w:top w:val="none" w:sz="0" w:space="0" w:color="auto"/>
                                                    <w:left w:val="none" w:sz="0" w:space="0" w:color="auto"/>
                                                    <w:bottom w:val="none" w:sz="0" w:space="0" w:color="auto"/>
                                                    <w:right w:val="none" w:sz="0" w:space="0" w:color="auto"/>
                                                  </w:divBdr>
                                                  <w:divsChild>
                                                    <w:div w:id="64187983">
                                                      <w:marLeft w:val="0"/>
                                                      <w:marRight w:val="0"/>
                                                      <w:marTop w:val="0"/>
                                                      <w:marBottom w:val="0"/>
                                                      <w:divBdr>
                                                        <w:top w:val="none" w:sz="0" w:space="0" w:color="auto"/>
                                                        <w:left w:val="none" w:sz="0" w:space="0" w:color="auto"/>
                                                        <w:bottom w:val="none" w:sz="0" w:space="0" w:color="auto"/>
                                                        <w:right w:val="none" w:sz="0" w:space="0" w:color="auto"/>
                                                      </w:divBdr>
                                                      <w:divsChild>
                                                        <w:div w:id="15804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535029">
      <w:bodyDiv w:val="1"/>
      <w:marLeft w:val="0"/>
      <w:marRight w:val="0"/>
      <w:marTop w:val="0"/>
      <w:marBottom w:val="0"/>
      <w:divBdr>
        <w:top w:val="none" w:sz="0" w:space="0" w:color="auto"/>
        <w:left w:val="none" w:sz="0" w:space="0" w:color="auto"/>
        <w:bottom w:val="none" w:sz="0" w:space="0" w:color="auto"/>
        <w:right w:val="none" w:sz="0" w:space="0" w:color="auto"/>
      </w:divBdr>
    </w:div>
    <w:div w:id="1849562743">
      <w:bodyDiv w:val="1"/>
      <w:marLeft w:val="0"/>
      <w:marRight w:val="0"/>
      <w:marTop w:val="0"/>
      <w:marBottom w:val="0"/>
      <w:divBdr>
        <w:top w:val="none" w:sz="0" w:space="0" w:color="auto"/>
        <w:left w:val="none" w:sz="0" w:space="0" w:color="auto"/>
        <w:bottom w:val="none" w:sz="0" w:space="0" w:color="auto"/>
        <w:right w:val="none" w:sz="0" w:space="0" w:color="auto"/>
      </w:divBdr>
      <w:divsChild>
        <w:div w:id="864170854">
          <w:marLeft w:val="0"/>
          <w:marRight w:val="0"/>
          <w:marTop w:val="0"/>
          <w:marBottom w:val="0"/>
          <w:divBdr>
            <w:top w:val="none" w:sz="0" w:space="0" w:color="auto"/>
            <w:left w:val="none" w:sz="0" w:space="0" w:color="auto"/>
            <w:bottom w:val="none" w:sz="0" w:space="0" w:color="auto"/>
            <w:right w:val="none" w:sz="0" w:space="0" w:color="auto"/>
          </w:divBdr>
          <w:divsChild>
            <w:div w:id="2028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0ABCFC7C324049AF6C47CEEF812329" ma:contentTypeVersion="" ma:contentTypeDescription="PDMS Document Site Content Type" ma:contentTypeScope="" ma:versionID="46d146e78663429dccf36063162cf34e">
  <xsd:schema xmlns:xsd="http://www.w3.org/2001/XMLSchema" xmlns:xs="http://www.w3.org/2001/XMLSchema" xmlns:p="http://schemas.microsoft.com/office/2006/metadata/properties" xmlns:ns2="D64EC2AA-3969-47A4-9515-378258D1A436" targetNamespace="http://schemas.microsoft.com/office/2006/metadata/properties" ma:root="true" ma:fieldsID="e4c0eb6eadadcde5c686baaf6a2df8cd" ns2:_="">
    <xsd:import namespace="D64EC2AA-3969-47A4-9515-378258D1A4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EC2AA-3969-47A4-9515-378258D1A4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64EC2AA-3969-47A4-9515-378258D1A4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FF8B-F5B7-4506-B59E-1A765F3059FD}">
  <ds:schemaRefs>
    <ds:schemaRef ds:uri="http://schemas.microsoft.com/sharepoint/v3/contenttype/forms"/>
  </ds:schemaRefs>
</ds:datastoreItem>
</file>

<file path=customXml/itemProps2.xml><?xml version="1.0" encoding="utf-8"?>
<ds:datastoreItem xmlns:ds="http://schemas.openxmlformats.org/officeDocument/2006/customXml" ds:itemID="{09C36479-7DE4-44A8-84FB-C31524469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EC2AA-3969-47A4-9515-378258D1A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0CDBE-2BFE-4FDB-A5DB-C776118127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64EC2AA-3969-47A4-9515-378258D1A436"/>
    <ds:schemaRef ds:uri="http://www.w3.org/XML/1998/namespace"/>
    <ds:schemaRef ds:uri="http://purl.org/dc/dcmitype/"/>
  </ds:schemaRefs>
</ds:datastoreItem>
</file>

<file path=customXml/itemProps4.xml><?xml version="1.0" encoding="utf-8"?>
<ds:datastoreItem xmlns:ds="http://schemas.openxmlformats.org/officeDocument/2006/customXml" ds:itemID="{A2234B7F-CDBE-4922-82A9-0F20C46A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3C42653.dotm</Template>
  <TotalTime>0</TotalTime>
  <Pages>6</Pages>
  <Words>1928</Words>
  <Characters>10992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Rhoden, Amanda</dc:creator>
  <cp:lastModifiedBy>HARRIS,Sonia</cp:lastModifiedBy>
  <cp:revision>2</cp:revision>
  <cp:lastPrinted>2018-02-11T23:20:00Z</cp:lastPrinted>
  <dcterms:created xsi:type="dcterms:W3CDTF">2020-06-16T02:28:00Z</dcterms:created>
  <dcterms:modified xsi:type="dcterms:W3CDTF">2020-06-16T02:28:00Z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0x010100266966F133664895A6EE3632470D45F500960ABCFC7C324049AF6C47CEEF812329</vt:lpwstr>
  </property>
</Properties>
</file>