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A8070" w14:textId="77777777" w:rsidR="00FA12BB" w:rsidRDefault="00FA12BB" w:rsidP="00203C28"/>
    <w:sdt>
      <w:sdtPr>
        <w:id w:val="-33892015"/>
        <w:docPartObj>
          <w:docPartGallery w:val="Cover Pages"/>
          <w:docPartUnique/>
        </w:docPartObj>
      </w:sdtPr>
      <w:sdtEndPr/>
      <w:sdtContent>
        <w:p w14:paraId="414741DB" w14:textId="10142635" w:rsidR="00203C28" w:rsidRDefault="00203C28" w:rsidP="00203C28"/>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203C28" w:rsidRPr="00C755AD" w14:paraId="6B9DA48A" w14:textId="77777777" w:rsidTr="003964B9">
            <w:tc>
              <w:tcPr>
                <w:tcW w:w="9242" w:type="dxa"/>
              </w:tcPr>
              <w:p w14:paraId="65B63690" w14:textId="77777777" w:rsidR="00203C28" w:rsidRDefault="00203C28" w:rsidP="003964B9">
                <w:pPr>
                  <w:pStyle w:val="Title"/>
                  <w:jc w:val="center"/>
                  <w:rPr>
                    <w:b/>
                    <w:caps/>
                    <w:sz w:val="40"/>
                    <w:szCs w:val="40"/>
                  </w:rPr>
                </w:pPr>
              </w:p>
              <w:p w14:paraId="1A582CF9" w14:textId="77777777" w:rsidR="00203C28" w:rsidRDefault="00203C28" w:rsidP="003964B9">
                <w:pPr>
                  <w:pStyle w:val="Title"/>
                  <w:jc w:val="center"/>
                  <w:rPr>
                    <w:b/>
                    <w:caps/>
                    <w:sz w:val="40"/>
                    <w:szCs w:val="40"/>
                  </w:rPr>
                </w:pPr>
              </w:p>
              <w:p w14:paraId="43C20D32" w14:textId="77777777" w:rsidR="00203C28" w:rsidRDefault="00203C28" w:rsidP="003964B9">
                <w:pPr>
                  <w:pStyle w:val="Title"/>
                  <w:jc w:val="center"/>
                  <w:rPr>
                    <w:b/>
                    <w:caps/>
                    <w:sz w:val="40"/>
                    <w:szCs w:val="40"/>
                  </w:rPr>
                </w:pPr>
              </w:p>
              <w:p w14:paraId="06810E9C" w14:textId="77777777" w:rsidR="00203C28" w:rsidRDefault="00203C28" w:rsidP="003964B9">
                <w:pPr>
                  <w:pStyle w:val="Title"/>
                  <w:jc w:val="center"/>
                  <w:rPr>
                    <w:b/>
                    <w:caps/>
                    <w:sz w:val="40"/>
                    <w:szCs w:val="40"/>
                  </w:rPr>
                </w:pPr>
              </w:p>
              <w:p w14:paraId="201A292D" w14:textId="77777777" w:rsidR="00203C28" w:rsidRDefault="00203C28" w:rsidP="003964B9">
                <w:pPr>
                  <w:pStyle w:val="Title"/>
                  <w:jc w:val="center"/>
                  <w:rPr>
                    <w:b/>
                    <w:caps/>
                    <w:sz w:val="40"/>
                    <w:szCs w:val="40"/>
                  </w:rPr>
                </w:pPr>
              </w:p>
              <w:p w14:paraId="26AA6729" w14:textId="77777777" w:rsidR="00203C28" w:rsidRPr="00023495" w:rsidRDefault="00203C28" w:rsidP="003964B9">
                <w:pPr>
                  <w:pStyle w:val="Heading1"/>
                  <w:outlineLvl w:val="0"/>
                  <w:rPr>
                    <w:sz w:val="56"/>
                  </w:rPr>
                </w:pPr>
                <w:bookmarkStart w:id="0" w:name="_Toc40693899"/>
                <w:bookmarkStart w:id="1" w:name="_Toc43288973"/>
                <w:r w:rsidRPr="00023495">
                  <w:rPr>
                    <w:sz w:val="56"/>
                  </w:rPr>
                  <w:t>Explanatory Statement</w:t>
                </w:r>
                <w:bookmarkEnd w:id="0"/>
                <w:bookmarkEnd w:id="1"/>
                <w:r w:rsidRPr="00023495">
                  <w:rPr>
                    <w:sz w:val="56"/>
                  </w:rPr>
                  <w:t xml:space="preserve"> </w:t>
                </w:r>
              </w:p>
              <w:p w14:paraId="72445221" w14:textId="77777777" w:rsidR="00203C28" w:rsidRPr="00023495" w:rsidRDefault="00203C28" w:rsidP="003964B9"/>
              <w:p w14:paraId="6E3B11FF" w14:textId="30A1D971" w:rsidR="00203C28" w:rsidRPr="00C1123C" w:rsidRDefault="005523E5" w:rsidP="00C1123C">
                <w:pPr>
                  <w:rPr>
                    <w:rFonts w:cs="Times New Roman"/>
                    <w:sz w:val="24"/>
                    <w:szCs w:val="24"/>
                  </w:rPr>
                </w:pPr>
                <w:bookmarkStart w:id="2" w:name="_Toc40693900"/>
                <w:r w:rsidRPr="00C1123C">
                  <w:rPr>
                    <w:i/>
                    <w:sz w:val="24"/>
                    <w:szCs w:val="24"/>
                  </w:rPr>
                  <w:t>Competition and Consumer (Consumer Data Right) Amendment Rules (No.1) 2020</w:t>
                </w:r>
                <w:bookmarkEnd w:id="2"/>
                <w:r w:rsidR="00C1123C">
                  <w:rPr>
                    <w:i/>
                    <w:sz w:val="24"/>
                    <w:szCs w:val="24"/>
                  </w:rPr>
                  <w:br/>
                </w:r>
              </w:p>
              <w:p w14:paraId="6B2E5C45" w14:textId="77777777" w:rsidR="00203C28" w:rsidRPr="00E33DDC" w:rsidRDefault="00203C28" w:rsidP="003964B9">
                <w:pPr>
                  <w:rPr>
                    <w:b/>
                    <w:sz w:val="24"/>
                  </w:rPr>
                </w:pPr>
                <w:r w:rsidRPr="00E33DDC">
                  <w:rPr>
                    <w:b/>
                    <w:sz w:val="24"/>
                  </w:rPr>
                  <w:t>Prepared by the Australian Competition and Consumer Commission</w:t>
                </w:r>
              </w:p>
              <w:p w14:paraId="6C96ADFD" w14:textId="77777777" w:rsidR="00203C28" w:rsidRPr="00FB3C48" w:rsidRDefault="00203C28" w:rsidP="003964B9">
                <w:pPr>
                  <w:jc w:val="center"/>
                  <w:rPr>
                    <w:rFonts w:ascii="Times New Roman" w:hAnsi="Times New Roman" w:cs="Times New Roman"/>
                    <w:sz w:val="28"/>
                    <w:szCs w:val="28"/>
                  </w:rPr>
                </w:pPr>
              </w:p>
            </w:tc>
          </w:tr>
          <w:tr w:rsidR="00203C28" w:rsidRPr="00C755AD" w14:paraId="312C4433" w14:textId="77777777" w:rsidTr="003964B9">
            <w:tc>
              <w:tcPr>
                <w:tcW w:w="9242" w:type="dxa"/>
              </w:tcPr>
              <w:p w14:paraId="19BE360D" w14:textId="77777777" w:rsidR="00203C28" w:rsidRPr="00C755AD" w:rsidRDefault="00203C28" w:rsidP="003964B9">
                <w:pPr>
                  <w:pStyle w:val="Subtitle"/>
                </w:pPr>
              </w:p>
            </w:tc>
          </w:tr>
        </w:tbl>
        <w:p w14:paraId="0A412A34" w14:textId="77777777" w:rsidR="00203C28" w:rsidRDefault="00203C28" w:rsidP="00203C28"/>
        <w:p w14:paraId="00FCBFEC" w14:textId="77777777" w:rsidR="00203C28" w:rsidRDefault="00203C28" w:rsidP="00203C28"/>
        <w:p w14:paraId="7B5B6898" w14:textId="77777777" w:rsidR="00203C28" w:rsidRDefault="00203C28" w:rsidP="00203C28"/>
        <w:p w14:paraId="7CC88155" w14:textId="77777777" w:rsidR="00203C28" w:rsidRDefault="00203C28" w:rsidP="00203C28"/>
        <w:p w14:paraId="331697D6" w14:textId="77777777" w:rsidR="00203C28" w:rsidRDefault="00203C28" w:rsidP="00203C28"/>
        <w:p w14:paraId="04CBAD42" w14:textId="77777777" w:rsidR="00203C28" w:rsidRDefault="00203C28" w:rsidP="00203C28"/>
        <w:p w14:paraId="14C27F84" w14:textId="77777777" w:rsidR="00203C28" w:rsidRDefault="00203C28" w:rsidP="00203C28">
          <w:r>
            <w:br w:type="page"/>
          </w:r>
        </w:p>
        <w:sdt>
          <w:sdtPr>
            <w:rPr>
              <w:rFonts w:ascii="Arial" w:eastAsiaTheme="minorHAnsi" w:hAnsi="Arial" w:cstheme="minorBidi"/>
              <w:bCs w:val="0"/>
              <w:color w:val="auto"/>
              <w:sz w:val="22"/>
              <w:szCs w:val="22"/>
              <w:lang w:val="en-AU" w:eastAsia="en-US"/>
            </w:rPr>
            <w:id w:val="1169761255"/>
            <w:docPartObj>
              <w:docPartGallery w:val="Table of Contents"/>
              <w:docPartUnique/>
            </w:docPartObj>
          </w:sdtPr>
          <w:sdtEndPr>
            <w:rPr>
              <w:b/>
            </w:rPr>
          </w:sdtEndPr>
          <w:sdtContent>
            <w:p w14:paraId="04A2A9D2" w14:textId="77777777" w:rsidR="00203C28" w:rsidRPr="00713DA4" w:rsidRDefault="00203C28" w:rsidP="00203C28">
              <w:pPr>
                <w:pStyle w:val="TOCHeading"/>
              </w:pPr>
              <w:r w:rsidRPr="00713DA4">
                <w:t>Contents</w:t>
              </w:r>
            </w:p>
            <w:p w14:paraId="32DB008A" w14:textId="1521FD5E" w:rsidR="008A55E1" w:rsidRDefault="00203C28">
              <w:pPr>
                <w:pStyle w:val="TOC1"/>
                <w:rPr>
                  <w:rFonts w:asciiTheme="minorHAnsi" w:eastAsiaTheme="minorEastAsia" w:hAnsiTheme="minorHAnsi"/>
                  <w:lang w:val="en-AU" w:eastAsia="en-AU"/>
                </w:rPr>
              </w:pPr>
              <w:r w:rsidRPr="00713DA4">
                <w:fldChar w:fldCharType="begin"/>
              </w:r>
              <w:r w:rsidRPr="00713DA4">
                <w:instrText xml:space="preserve"> TOC \o "1-3" \h \z \u \t "Heading 6,1" </w:instrText>
              </w:r>
              <w:r w:rsidRPr="00713DA4">
                <w:fldChar w:fldCharType="separate"/>
              </w:r>
              <w:hyperlink w:anchor="_Toc43288973" w:history="1">
                <w:r w:rsidR="008A55E1" w:rsidRPr="00F957E9">
                  <w:rPr>
                    <w:rStyle w:val="Hyperlink"/>
                  </w:rPr>
                  <w:t>Explanatory Statement</w:t>
                </w:r>
                <w:r w:rsidR="008A55E1">
                  <w:rPr>
                    <w:webHidden/>
                  </w:rPr>
                  <w:tab/>
                </w:r>
                <w:r w:rsidR="008A55E1">
                  <w:rPr>
                    <w:webHidden/>
                  </w:rPr>
                  <w:fldChar w:fldCharType="begin"/>
                </w:r>
                <w:r w:rsidR="008A55E1">
                  <w:rPr>
                    <w:webHidden/>
                  </w:rPr>
                  <w:instrText xml:space="preserve"> PAGEREF _Toc43288973 \h </w:instrText>
                </w:r>
                <w:r w:rsidR="008A55E1">
                  <w:rPr>
                    <w:webHidden/>
                  </w:rPr>
                </w:r>
                <w:r w:rsidR="008A55E1">
                  <w:rPr>
                    <w:webHidden/>
                  </w:rPr>
                  <w:fldChar w:fldCharType="separate"/>
                </w:r>
                <w:r w:rsidR="008A55E1">
                  <w:rPr>
                    <w:webHidden/>
                  </w:rPr>
                  <w:t>1</w:t>
                </w:r>
                <w:r w:rsidR="008A55E1">
                  <w:rPr>
                    <w:webHidden/>
                  </w:rPr>
                  <w:fldChar w:fldCharType="end"/>
                </w:r>
              </w:hyperlink>
            </w:p>
            <w:p w14:paraId="16B078C4" w14:textId="416F6FDF" w:rsidR="008A55E1" w:rsidRDefault="008A55E1">
              <w:pPr>
                <w:pStyle w:val="TOC1"/>
                <w:rPr>
                  <w:rFonts w:asciiTheme="minorHAnsi" w:eastAsiaTheme="minorEastAsia" w:hAnsiTheme="minorHAnsi"/>
                  <w:lang w:val="en-AU" w:eastAsia="en-AU"/>
                </w:rPr>
              </w:pPr>
              <w:hyperlink w:anchor="_Toc43288974" w:history="1">
                <w:r w:rsidRPr="00F957E9">
                  <w:rPr>
                    <w:rStyle w:val="Hyperlink"/>
                  </w:rPr>
                  <w:t xml:space="preserve">Explanatory Statement: </w:t>
                </w:r>
                <w:r w:rsidRPr="00F957E9">
                  <w:rPr>
                    <w:rStyle w:val="Hyperlink"/>
                    <w:i/>
                  </w:rPr>
                  <w:t>Competition and Consumer (Consumer Data Right) Amendment Rules (No.1) 2020</w:t>
                </w:r>
                <w:r>
                  <w:rPr>
                    <w:webHidden/>
                  </w:rPr>
                  <w:tab/>
                </w:r>
                <w:r>
                  <w:rPr>
                    <w:webHidden/>
                  </w:rPr>
                  <w:fldChar w:fldCharType="begin"/>
                </w:r>
                <w:r>
                  <w:rPr>
                    <w:webHidden/>
                  </w:rPr>
                  <w:instrText xml:space="preserve"> PAGEREF _Toc43288974 \h </w:instrText>
                </w:r>
                <w:r>
                  <w:rPr>
                    <w:webHidden/>
                  </w:rPr>
                </w:r>
                <w:r>
                  <w:rPr>
                    <w:webHidden/>
                  </w:rPr>
                  <w:fldChar w:fldCharType="separate"/>
                </w:r>
                <w:r>
                  <w:rPr>
                    <w:webHidden/>
                  </w:rPr>
                  <w:t>3</w:t>
                </w:r>
                <w:r>
                  <w:rPr>
                    <w:webHidden/>
                  </w:rPr>
                  <w:fldChar w:fldCharType="end"/>
                </w:r>
              </w:hyperlink>
            </w:p>
            <w:p w14:paraId="0B15A763" w14:textId="4B2DE5A6" w:rsidR="008A55E1" w:rsidRDefault="008A55E1">
              <w:pPr>
                <w:pStyle w:val="TOC2"/>
                <w:rPr>
                  <w:rFonts w:asciiTheme="minorHAnsi" w:eastAsiaTheme="minorEastAsia" w:hAnsiTheme="minorHAnsi"/>
                  <w:lang w:eastAsia="en-AU"/>
                </w:rPr>
              </w:pPr>
              <w:hyperlink w:anchor="_Toc43288975" w:history="1">
                <w:r w:rsidRPr="00F957E9">
                  <w:rPr>
                    <w:rStyle w:val="Hyperlink"/>
                  </w:rPr>
                  <w:t>Background</w:t>
                </w:r>
                <w:r>
                  <w:rPr>
                    <w:webHidden/>
                  </w:rPr>
                  <w:tab/>
                </w:r>
                <w:r>
                  <w:rPr>
                    <w:webHidden/>
                  </w:rPr>
                  <w:fldChar w:fldCharType="begin"/>
                </w:r>
                <w:r>
                  <w:rPr>
                    <w:webHidden/>
                  </w:rPr>
                  <w:instrText xml:space="preserve"> PAGEREF _Toc43288975 \h </w:instrText>
                </w:r>
                <w:r>
                  <w:rPr>
                    <w:webHidden/>
                  </w:rPr>
                </w:r>
                <w:r>
                  <w:rPr>
                    <w:webHidden/>
                  </w:rPr>
                  <w:fldChar w:fldCharType="separate"/>
                </w:r>
                <w:r>
                  <w:rPr>
                    <w:webHidden/>
                  </w:rPr>
                  <w:t>3</w:t>
                </w:r>
                <w:r>
                  <w:rPr>
                    <w:webHidden/>
                  </w:rPr>
                  <w:fldChar w:fldCharType="end"/>
                </w:r>
              </w:hyperlink>
            </w:p>
            <w:p w14:paraId="58C32C92" w14:textId="66F7AFCB" w:rsidR="008A55E1" w:rsidRDefault="008A55E1">
              <w:pPr>
                <w:pStyle w:val="TOC2"/>
                <w:rPr>
                  <w:rFonts w:asciiTheme="minorHAnsi" w:eastAsiaTheme="minorEastAsia" w:hAnsiTheme="minorHAnsi"/>
                  <w:lang w:eastAsia="en-AU"/>
                </w:rPr>
              </w:pPr>
              <w:hyperlink w:anchor="_Toc43288976" w:history="1">
                <w:r w:rsidRPr="00F957E9">
                  <w:rPr>
                    <w:rStyle w:val="Hyperlink"/>
                  </w:rPr>
                  <w:t>Purpose</w:t>
                </w:r>
                <w:r>
                  <w:rPr>
                    <w:webHidden/>
                  </w:rPr>
                  <w:tab/>
                </w:r>
                <w:r>
                  <w:rPr>
                    <w:webHidden/>
                  </w:rPr>
                  <w:fldChar w:fldCharType="begin"/>
                </w:r>
                <w:r>
                  <w:rPr>
                    <w:webHidden/>
                  </w:rPr>
                  <w:instrText xml:space="preserve"> PAGEREF _Toc43288976 \h </w:instrText>
                </w:r>
                <w:r>
                  <w:rPr>
                    <w:webHidden/>
                  </w:rPr>
                </w:r>
                <w:r>
                  <w:rPr>
                    <w:webHidden/>
                  </w:rPr>
                  <w:fldChar w:fldCharType="separate"/>
                </w:r>
                <w:r>
                  <w:rPr>
                    <w:webHidden/>
                  </w:rPr>
                  <w:t>3</w:t>
                </w:r>
                <w:r>
                  <w:rPr>
                    <w:webHidden/>
                  </w:rPr>
                  <w:fldChar w:fldCharType="end"/>
                </w:r>
              </w:hyperlink>
            </w:p>
            <w:p w14:paraId="5291D24D" w14:textId="368283A2" w:rsidR="008A55E1" w:rsidRDefault="008A55E1">
              <w:pPr>
                <w:pStyle w:val="TOC2"/>
                <w:rPr>
                  <w:rFonts w:asciiTheme="minorHAnsi" w:eastAsiaTheme="minorEastAsia" w:hAnsiTheme="minorHAnsi"/>
                  <w:lang w:eastAsia="en-AU"/>
                </w:rPr>
              </w:pPr>
              <w:hyperlink w:anchor="_Toc43288977" w:history="1">
                <w:r w:rsidRPr="00F957E9">
                  <w:rPr>
                    <w:rStyle w:val="Hyperlink"/>
                  </w:rPr>
                  <w:t>Authority for making the Amending Instrument</w:t>
                </w:r>
                <w:r>
                  <w:rPr>
                    <w:webHidden/>
                  </w:rPr>
                  <w:tab/>
                </w:r>
                <w:r>
                  <w:rPr>
                    <w:webHidden/>
                  </w:rPr>
                  <w:fldChar w:fldCharType="begin"/>
                </w:r>
                <w:r>
                  <w:rPr>
                    <w:webHidden/>
                  </w:rPr>
                  <w:instrText xml:space="preserve"> PAGEREF _Toc43288977 \h </w:instrText>
                </w:r>
                <w:r>
                  <w:rPr>
                    <w:webHidden/>
                  </w:rPr>
                </w:r>
                <w:r>
                  <w:rPr>
                    <w:webHidden/>
                  </w:rPr>
                  <w:fldChar w:fldCharType="separate"/>
                </w:r>
                <w:r>
                  <w:rPr>
                    <w:webHidden/>
                  </w:rPr>
                  <w:t>4</w:t>
                </w:r>
                <w:r>
                  <w:rPr>
                    <w:webHidden/>
                  </w:rPr>
                  <w:fldChar w:fldCharType="end"/>
                </w:r>
              </w:hyperlink>
            </w:p>
            <w:p w14:paraId="3F3DB814" w14:textId="49C46FC1" w:rsidR="008A55E1" w:rsidRDefault="008A55E1">
              <w:pPr>
                <w:pStyle w:val="TOC2"/>
                <w:rPr>
                  <w:rFonts w:asciiTheme="minorHAnsi" w:eastAsiaTheme="minorEastAsia" w:hAnsiTheme="minorHAnsi"/>
                  <w:lang w:eastAsia="en-AU"/>
                </w:rPr>
              </w:pPr>
              <w:hyperlink w:anchor="_Toc43288978" w:history="1">
                <w:r w:rsidRPr="00F957E9">
                  <w:rPr>
                    <w:rStyle w:val="Hyperlink"/>
                  </w:rPr>
                  <w:t>Statement of compatibility with human rights</w:t>
                </w:r>
                <w:r>
                  <w:rPr>
                    <w:webHidden/>
                  </w:rPr>
                  <w:tab/>
                </w:r>
                <w:r>
                  <w:rPr>
                    <w:webHidden/>
                  </w:rPr>
                  <w:fldChar w:fldCharType="begin"/>
                </w:r>
                <w:r>
                  <w:rPr>
                    <w:webHidden/>
                  </w:rPr>
                  <w:instrText xml:space="preserve"> PAGEREF _Toc43288978 \h </w:instrText>
                </w:r>
                <w:r>
                  <w:rPr>
                    <w:webHidden/>
                  </w:rPr>
                </w:r>
                <w:r>
                  <w:rPr>
                    <w:webHidden/>
                  </w:rPr>
                  <w:fldChar w:fldCharType="separate"/>
                </w:r>
                <w:r>
                  <w:rPr>
                    <w:webHidden/>
                  </w:rPr>
                  <w:t>4</w:t>
                </w:r>
                <w:r>
                  <w:rPr>
                    <w:webHidden/>
                  </w:rPr>
                  <w:fldChar w:fldCharType="end"/>
                </w:r>
              </w:hyperlink>
            </w:p>
            <w:p w14:paraId="3DCBA484" w14:textId="5F4B995D" w:rsidR="008A55E1" w:rsidRDefault="008A55E1">
              <w:pPr>
                <w:pStyle w:val="TOC3"/>
                <w:rPr>
                  <w:rFonts w:asciiTheme="minorHAnsi" w:eastAsiaTheme="minorEastAsia" w:hAnsiTheme="minorHAnsi"/>
                  <w:lang w:eastAsia="en-AU"/>
                </w:rPr>
              </w:pPr>
              <w:hyperlink w:anchor="_Toc43288979" w:history="1">
                <w:r w:rsidRPr="00F957E9">
                  <w:rPr>
                    <w:rStyle w:val="Hyperlink"/>
                  </w:rPr>
                  <w:t>Human right implications</w:t>
                </w:r>
                <w:r>
                  <w:rPr>
                    <w:webHidden/>
                  </w:rPr>
                  <w:tab/>
                </w:r>
                <w:r>
                  <w:rPr>
                    <w:webHidden/>
                  </w:rPr>
                  <w:fldChar w:fldCharType="begin"/>
                </w:r>
                <w:r>
                  <w:rPr>
                    <w:webHidden/>
                  </w:rPr>
                  <w:instrText xml:space="preserve"> PAGEREF _Toc43288979 \h </w:instrText>
                </w:r>
                <w:r>
                  <w:rPr>
                    <w:webHidden/>
                  </w:rPr>
                </w:r>
                <w:r>
                  <w:rPr>
                    <w:webHidden/>
                  </w:rPr>
                  <w:fldChar w:fldCharType="separate"/>
                </w:r>
                <w:r>
                  <w:rPr>
                    <w:webHidden/>
                  </w:rPr>
                  <w:t>4</w:t>
                </w:r>
                <w:r>
                  <w:rPr>
                    <w:webHidden/>
                  </w:rPr>
                  <w:fldChar w:fldCharType="end"/>
                </w:r>
              </w:hyperlink>
            </w:p>
            <w:p w14:paraId="48734035" w14:textId="49DEE855" w:rsidR="008A55E1" w:rsidRDefault="008A55E1">
              <w:pPr>
                <w:pStyle w:val="TOC3"/>
                <w:rPr>
                  <w:rFonts w:asciiTheme="minorHAnsi" w:eastAsiaTheme="minorEastAsia" w:hAnsiTheme="minorHAnsi"/>
                  <w:lang w:eastAsia="en-AU"/>
                </w:rPr>
              </w:pPr>
              <w:hyperlink w:anchor="_Toc43288980" w:history="1">
                <w:r w:rsidRPr="00F957E9">
                  <w:rPr>
                    <w:rStyle w:val="Hyperlink"/>
                  </w:rPr>
                  <w:t>Conclusion</w:t>
                </w:r>
                <w:r>
                  <w:rPr>
                    <w:webHidden/>
                  </w:rPr>
                  <w:tab/>
                </w:r>
                <w:r>
                  <w:rPr>
                    <w:webHidden/>
                  </w:rPr>
                  <w:fldChar w:fldCharType="begin"/>
                </w:r>
                <w:r>
                  <w:rPr>
                    <w:webHidden/>
                  </w:rPr>
                  <w:instrText xml:space="preserve"> PAGEREF _Toc43288980 \h </w:instrText>
                </w:r>
                <w:r>
                  <w:rPr>
                    <w:webHidden/>
                  </w:rPr>
                </w:r>
                <w:r>
                  <w:rPr>
                    <w:webHidden/>
                  </w:rPr>
                  <w:fldChar w:fldCharType="separate"/>
                </w:r>
                <w:r>
                  <w:rPr>
                    <w:webHidden/>
                  </w:rPr>
                  <w:t>4</w:t>
                </w:r>
                <w:r>
                  <w:rPr>
                    <w:webHidden/>
                  </w:rPr>
                  <w:fldChar w:fldCharType="end"/>
                </w:r>
              </w:hyperlink>
            </w:p>
            <w:p w14:paraId="08730C72" w14:textId="23042AAC" w:rsidR="008A55E1" w:rsidRDefault="008A55E1">
              <w:pPr>
                <w:pStyle w:val="TOC2"/>
                <w:rPr>
                  <w:rFonts w:asciiTheme="minorHAnsi" w:eastAsiaTheme="minorEastAsia" w:hAnsiTheme="minorHAnsi"/>
                  <w:lang w:eastAsia="en-AU"/>
                </w:rPr>
              </w:pPr>
              <w:hyperlink w:anchor="_Toc43288981" w:history="1">
                <w:r w:rsidRPr="00F957E9">
                  <w:rPr>
                    <w:rStyle w:val="Hyperlink"/>
                  </w:rPr>
                  <w:t>Regulatory Impact Analysis</w:t>
                </w:r>
                <w:r>
                  <w:rPr>
                    <w:webHidden/>
                  </w:rPr>
                  <w:tab/>
                </w:r>
                <w:r>
                  <w:rPr>
                    <w:webHidden/>
                  </w:rPr>
                  <w:fldChar w:fldCharType="begin"/>
                </w:r>
                <w:r>
                  <w:rPr>
                    <w:webHidden/>
                  </w:rPr>
                  <w:instrText xml:space="preserve"> PAGEREF _Toc43288981 \h </w:instrText>
                </w:r>
                <w:r>
                  <w:rPr>
                    <w:webHidden/>
                  </w:rPr>
                </w:r>
                <w:r>
                  <w:rPr>
                    <w:webHidden/>
                  </w:rPr>
                  <w:fldChar w:fldCharType="separate"/>
                </w:r>
                <w:r>
                  <w:rPr>
                    <w:webHidden/>
                  </w:rPr>
                  <w:t>5</w:t>
                </w:r>
                <w:r>
                  <w:rPr>
                    <w:webHidden/>
                  </w:rPr>
                  <w:fldChar w:fldCharType="end"/>
                </w:r>
              </w:hyperlink>
            </w:p>
            <w:p w14:paraId="40B12710" w14:textId="431CD65A" w:rsidR="008A55E1" w:rsidRDefault="008A55E1">
              <w:pPr>
                <w:pStyle w:val="TOC2"/>
                <w:rPr>
                  <w:rFonts w:asciiTheme="minorHAnsi" w:eastAsiaTheme="minorEastAsia" w:hAnsiTheme="minorHAnsi"/>
                  <w:lang w:eastAsia="en-AU"/>
                </w:rPr>
              </w:pPr>
              <w:hyperlink w:anchor="_Toc43288982" w:history="1">
                <w:r w:rsidRPr="00F957E9">
                  <w:rPr>
                    <w:rStyle w:val="Hyperlink"/>
                  </w:rPr>
                  <w:t>Consultation</w:t>
                </w:r>
                <w:r>
                  <w:rPr>
                    <w:webHidden/>
                  </w:rPr>
                  <w:tab/>
                </w:r>
                <w:r>
                  <w:rPr>
                    <w:webHidden/>
                  </w:rPr>
                  <w:fldChar w:fldCharType="begin"/>
                </w:r>
                <w:r>
                  <w:rPr>
                    <w:webHidden/>
                  </w:rPr>
                  <w:instrText xml:space="preserve"> PAGEREF _Toc43288982 \h </w:instrText>
                </w:r>
                <w:r>
                  <w:rPr>
                    <w:webHidden/>
                  </w:rPr>
                </w:r>
                <w:r>
                  <w:rPr>
                    <w:webHidden/>
                  </w:rPr>
                  <w:fldChar w:fldCharType="separate"/>
                </w:r>
                <w:r>
                  <w:rPr>
                    <w:webHidden/>
                  </w:rPr>
                  <w:t>5</w:t>
                </w:r>
                <w:r>
                  <w:rPr>
                    <w:webHidden/>
                  </w:rPr>
                  <w:fldChar w:fldCharType="end"/>
                </w:r>
              </w:hyperlink>
            </w:p>
            <w:p w14:paraId="67346CBF" w14:textId="489B2961" w:rsidR="008A55E1" w:rsidRDefault="008A55E1">
              <w:pPr>
                <w:pStyle w:val="TOC1"/>
                <w:rPr>
                  <w:rFonts w:asciiTheme="minorHAnsi" w:eastAsiaTheme="minorEastAsia" w:hAnsiTheme="minorHAnsi"/>
                  <w:lang w:val="en-AU" w:eastAsia="en-AU"/>
                </w:rPr>
              </w:pPr>
              <w:hyperlink w:anchor="_Toc43288983" w:history="1">
                <w:r w:rsidRPr="00F957E9">
                  <w:rPr>
                    <w:rStyle w:val="Hyperlink"/>
                  </w:rPr>
                  <w:t>Explanatory Notes</w:t>
                </w:r>
                <w:r>
                  <w:rPr>
                    <w:webHidden/>
                  </w:rPr>
                  <w:tab/>
                </w:r>
                <w:r>
                  <w:rPr>
                    <w:webHidden/>
                  </w:rPr>
                  <w:fldChar w:fldCharType="begin"/>
                </w:r>
                <w:r>
                  <w:rPr>
                    <w:webHidden/>
                  </w:rPr>
                  <w:instrText xml:space="preserve"> PAGEREF _Toc43288983 \h </w:instrText>
                </w:r>
                <w:r>
                  <w:rPr>
                    <w:webHidden/>
                  </w:rPr>
                </w:r>
                <w:r>
                  <w:rPr>
                    <w:webHidden/>
                  </w:rPr>
                  <w:fldChar w:fldCharType="separate"/>
                </w:r>
                <w:r>
                  <w:rPr>
                    <w:webHidden/>
                  </w:rPr>
                  <w:t>6</w:t>
                </w:r>
                <w:r>
                  <w:rPr>
                    <w:webHidden/>
                  </w:rPr>
                  <w:fldChar w:fldCharType="end"/>
                </w:r>
              </w:hyperlink>
            </w:p>
            <w:p w14:paraId="0A3D2F25" w14:textId="62A0188F" w:rsidR="00203C28" w:rsidRDefault="00203C28" w:rsidP="00203C28">
              <w:r w:rsidRPr="00713DA4">
                <w:fldChar w:fldCharType="end"/>
              </w:r>
            </w:p>
          </w:sdtContent>
        </w:sdt>
        <w:p w14:paraId="684666BF" w14:textId="77777777" w:rsidR="00203C28" w:rsidRDefault="00203C28" w:rsidP="00203C28">
          <w:r>
            <w:br w:type="page"/>
          </w:r>
        </w:p>
        <w:p w14:paraId="6FE09216" w14:textId="77777777" w:rsidR="00203C28" w:rsidRDefault="00F66EA2" w:rsidP="00203C28"/>
      </w:sdtContent>
    </w:sdt>
    <w:p w14:paraId="15515AFE" w14:textId="51A432DD" w:rsidR="00203C28" w:rsidRPr="00625B60" w:rsidRDefault="00203C28" w:rsidP="00203C28">
      <w:pPr>
        <w:pStyle w:val="Heading1"/>
      </w:pPr>
      <w:bookmarkStart w:id="3" w:name="_Toc43288974"/>
      <w:r w:rsidRPr="00625B60">
        <w:t xml:space="preserve">Explanatory </w:t>
      </w:r>
      <w:r w:rsidR="007662D3">
        <w:t xml:space="preserve">Statement: </w:t>
      </w:r>
      <w:r w:rsidR="005523E5" w:rsidRPr="005523E5">
        <w:rPr>
          <w:i/>
        </w:rPr>
        <w:t>Competition and Consumer (Consumer Data Right) Amendment Rules (No.1) 2020</w:t>
      </w:r>
      <w:bookmarkEnd w:id="3"/>
      <w:r w:rsidR="005523E5" w:rsidRPr="005523E5" w:rsidDel="005523E5">
        <w:rPr>
          <w:i/>
        </w:rPr>
        <w:t xml:space="preserve"> </w:t>
      </w:r>
    </w:p>
    <w:p w14:paraId="6D1C85A2" w14:textId="43E6DDC5" w:rsidR="00203C28" w:rsidRDefault="00203C28" w:rsidP="00203C28">
      <w:pPr>
        <w:pStyle w:val="Heading2"/>
      </w:pPr>
      <w:bookmarkStart w:id="4" w:name="_Toc43288975"/>
      <w:r>
        <w:t>Background</w:t>
      </w:r>
      <w:bookmarkEnd w:id="4"/>
    </w:p>
    <w:p w14:paraId="533ECD13" w14:textId="0648BC2A" w:rsidR="00D42158" w:rsidRPr="00023495" w:rsidRDefault="007662D3" w:rsidP="007662D3">
      <w:pPr>
        <w:pStyle w:val="Numberedparagraph11"/>
        <w:numPr>
          <w:ilvl w:val="0"/>
          <w:numId w:val="12"/>
        </w:numPr>
        <w:tabs>
          <w:tab w:val="clear" w:pos="1021"/>
          <w:tab w:val="left" w:pos="680"/>
        </w:tabs>
        <w:spacing w:before="240" w:line="240" w:lineRule="auto"/>
        <w:ind w:left="680" w:hanging="680"/>
      </w:pPr>
      <w:r>
        <w:t>This Explanatory S</w:t>
      </w:r>
      <w:r w:rsidR="00203C28" w:rsidRPr="00023495">
        <w:t xml:space="preserve">tatement accompanies the </w:t>
      </w:r>
      <w:r>
        <w:rPr>
          <w:i/>
        </w:rPr>
        <w:t>Competition and Consumer (Consumer Data Right) Amendment Rules (No.1) 2020</w:t>
      </w:r>
      <w:r w:rsidR="00203C28" w:rsidRPr="00023495">
        <w:t xml:space="preserve"> (</w:t>
      </w:r>
      <w:r w:rsidR="004166B1" w:rsidRPr="00CC486B">
        <w:rPr>
          <w:b/>
        </w:rPr>
        <w:t>Amending</w:t>
      </w:r>
      <w:r w:rsidR="004166B1">
        <w:t xml:space="preserve"> </w:t>
      </w:r>
      <w:r>
        <w:rPr>
          <w:b/>
        </w:rPr>
        <w:t>Instrument</w:t>
      </w:r>
      <w:r w:rsidR="00EC164E">
        <w:t>) which amend</w:t>
      </w:r>
      <w:r w:rsidR="00C02CE2">
        <w:t>s</w:t>
      </w:r>
      <w:r w:rsidR="00EC164E">
        <w:t xml:space="preserve"> </w:t>
      </w:r>
      <w:r>
        <w:t xml:space="preserve">the </w:t>
      </w:r>
      <w:r w:rsidR="006E7327" w:rsidRPr="007662D3">
        <w:rPr>
          <w:i/>
        </w:rPr>
        <w:t xml:space="preserve">Competition and Consumer (Consumer Data Right) Rules 2020 </w:t>
      </w:r>
      <w:r w:rsidR="006E7327" w:rsidRPr="00023495">
        <w:t>(</w:t>
      </w:r>
      <w:r w:rsidR="006E7327" w:rsidRPr="007662D3">
        <w:rPr>
          <w:b/>
        </w:rPr>
        <w:t>Rules</w:t>
      </w:r>
      <w:r w:rsidR="006E7327" w:rsidRPr="00023495">
        <w:t>)</w:t>
      </w:r>
      <w:r w:rsidR="00D42158" w:rsidRPr="00023495">
        <w:t>.</w:t>
      </w:r>
    </w:p>
    <w:p w14:paraId="2286DCC7" w14:textId="158278A9" w:rsidR="00E520A6" w:rsidRDefault="00D42158" w:rsidP="00D42158">
      <w:pPr>
        <w:pStyle w:val="Numberedparagraph11"/>
        <w:numPr>
          <w:ilvl w:val="0"/>
          <w:numId w:val="12"/>
        </w:numPr>
        <w:tabs>
          <w:tab w:val="clear" w:pos="1021"/>
          <w:tab w:val="left" w:pos="680"/>
        </w:tabs>
        <w:spacing w:before="240" w:line="240" w:lineRule="auto"/>
        <w:ind w:left="680" w:hanging="680"/>
      </w:pPr>
      <w:r>
        <w:t xml:space="preserve">The Rules were made by the </w:t>
      </w:r>
      <w:r w:rsidR="006E7327">
        <w:t>Australian Competition and Consumer Commission (</w:t>
      </w:r>
      <w:r w:rsidR="006E7327" w:rsidRPr="00D42158">
        <w:rPr>
          <w:b/>
        </w:rPr>
        <w:t>ACCC</w:t>
      </w:r>
      <w:r w:rsidR="006E7327">
        <w:t>) on</w:t>
      </w:r>
      <w:r w:rsidR="00E520A6">
        <w:t xml:space="preserve"> 4 February 2020 and registered on</w:t>
      </w:r>
      <w:r w:rsidR="006E7327">
        <w:t xml:space="preserve"> 5 February 2020. </w:t>
      </w:r>
    </w:p>
    <w:p w14:paraId="4B99A3AE" w14:textId="76B9C587" w:rsidR="006200A7" w:rsidRDefault="006E7327" w:rsidP="00A9785B">
      <w:pPr>
        <w:pStyle w:val="Numberedparagraph11"/>
        <w:numPr>
          <w:ilvl w:val="0"/>
          <w:numId w:val="12"/>
        </w:numPr>
        <w:tabs>
          <w:tab w:val="clear" w:pos="1021"/>
          <w:tab w:val="left" w:pos="680"/>
        </w:tabs>
        <w:spacing w:before="240" w:line="240" w:lineRule="auto"/>
        <w:ind w:left="680" w:hanging="680"/>
      </w:pPr>
      <w:r>
        <w:t>The</w:t>
      </w:r>
      <w:r w:rsidR="00E520A6">
        <w:t xml:space="preserve"> Rules</w:t>
      </w:r>
      <w:r>
        <w:t xml:space="preserve"> are a critical component of the Consumer Data Right (</w:t>
      </w:r>
      <w:r w:rsidRPr="00D42158">
        <w:rPr>
          <w:b/>
        </w:rPr>
        <w:t>CDR</w:t>
      </w:r>
      <w:r>
        <w:t xml:space="preserve">) regime, an economy-wide reform </w:t>
      </w:r>
      <w:r w:rsidR="007662D3">
        <w:t>that gives</w:t>
      </w:r>
      <w:r w:rsidR="00915600">
        <w:t xml:space="preserve"> consumers the ability to </w:t>
      </w:r>
      <w:r w:rsidR="004166B1">
        <w:t xml:space="preserve">safely, </w:t>
      </w:r>
      <w:r w:rsidR="00915600">
        <w:t>efficiently and conveniently access specified data held about them by businesses (</w:t>
      </w:r>
      <w:r w:rsidR="00915600" w:rsidRPr="00D42158">
        <w:rPr>
          <w:b/>
        </w:rPr>
        <w:t>data holders</w:t>
      </w:r>
      <w:r w:rsidR="00915600">
        <w:t>)</w:t>
      </w:r>
      <w:r w:rsidR="00A9785B">
        <w:t xml:space="preserve"> and request that data</w:t>
      </w:r>
      <w:r w:rsidR="000136BC">
        <w:t xml:space="preserve"> </w:t>
      </w:r>
      <w:r w:rsidR="007662D3">
        <w:t>be disclosed to trusted third parties of their choice (</w:t>
      </w:r>
      <w:r w:rsidR="007662D3" w:rsidRPr="007662D3">
        <w:rPr>
          <w:b/>
        </w:rPr>
        <w:t>accredited data recipients</w:t>
      </w:r>
      <w:r w:rsidR="007662D3">
        <w:t>)</w:t>
      </w:r>
      <w:r w:rsidR="00915600">
        <w:t>.</w:t>
      </w:r>
    </w:p>
    <w:p w14:paraId="2EE51C56" w14:textId="04207027" w:rsidR="000858C8" w:rsidRDefault="000858C8" w:rsidP="00A9785B">
      <w:pPr>
        <w:pStyle w:val="Heading2"/>
      </w:pPr>
      <w:bookmarkStart w:id="5" w:name="_Toc43288976"/>
      <w:r>
        <w:t>Purpose</w:t>
      </w:r>
      <w:bookmarkEnd w:id="5"/>
    </w:p>
    <w:p w14:paraId="3436BCBC" w14:textId="55246C08" w:rsidR="00E27ED2" w:rsidRPr="00800BDE" w:rsidRDefault="006200A7" w:rsidP="00CC486B">
      <w:pPr>
        <w:pStyle w:val="Numberedparagraph11"/>
        <w:numPr>
          <w:ilvl w:val="0"/>
          <w:numId w:val="12"/>
        </w:numPr>
        <w:tabs>
          <w:tab w:val="clear" w:pos="1021"/>
          <w:tab w:val="left" w:pos="680"/>
        </w:tabs>
        <w:spacing w:before="240" w:line="240" w:lineRule="auto"/>
        <w:ind w:left="680" w:hanging="680"/>
      </w:pPr>
      <w:r>
        <w:t xml:space="preserve">The </w:t>
      </w:r>
      <w:r w:rsidR="004166B1">
        <w:t xml:space="preserve">primary </w:t>
      </w:r>
      <w:r>
        <w:t xml:space="preserve">purpose of the </w:t>
      </w:r>
      <w:r w:rsidR="004166B1">
        <w:t xml:space="preserve">Amending </w:t>
      </w:r>
      <w:r>
        <w:t xml:space="preserve">Instrument is </w:t>
      </w:r>
      <w:r w:rsidR="007639F2">
        <w:t>to</w:t>
      </w:r>
      <w:r>
        <w:t xml:space="preserve"> </w:t>
      </w:r>
      <w:r w:rsidR="004166B1">
        <w:t>make</w:t>
      </w:r>
      <w:r w:rsidR="007639F2">
        <w:t xml:space="preserve"> </w:t>
      </w:r>
      <w:r>
        <w:t xml:space="preserve">minor </w:t>
      </w:r>
      <w:r w:rsidR="00E27ED2">
        <w:t xml:space="preserve">and machinery </w:t>
      </w:r>
      <w:r w:rsidRPr="00595533">
        <w:t xml:space="preserve">amendments </w:t>
      </w:r>
      <w:r w:rsidR="004166B1">
        <w:t xml:space="preserve">to the Rules to clarify </w:t>
      </w:r>
      <w:r w:rsidR="00A96B8F" w:rsidRPr="004166B1">
        <w:rPr>
          <w:rFonts w:cs="Times New Roman"/>
        </w:rPr>
        <w:t xml:space="preserve">the intended </w:t>
      </w:r>
      <w:r w:rsidR="000858C8" w:rsidRPr="004166B1">
        <w:rPr>
          <w:rFonts w:cs="Times New Roman"/>
        </w:rPr>
        <w:t>operation</w:t>
      </w:r>
      <w:r w:rsidR="00E27ED2" w:rsidRPr="004166B1">
        <w:rPr>
          <w:rFonts w:cs="Times New Roman"/>
        </w:rPr>
        <w:t xml:space="preserve"> of </w:t>
      </w:r>
      <w:r w:rsidR="004166B1" w:rsidRPr="004166B1">
        <w:rPr>
          <w:rFonts w:cs="Times New Roman"/>
        </w:rPr>
        <w:t xml:space="preserve">particular </w:t>
      </w:r>
      <w:r w:rsidR="00E27ED2" w:rsidRPr="004166B1">
        <w:rPr>
          <w:rFonts w:cs="Times New Roman"/>
        </w:rPr>
        <w:t>rules</w:t>
      </w:r>
      <w:r w:rsidR="004166B1" w:rsidRPr="004166B1">
        <w:rPr>
          <w:rFonts w:cs="Times New Roman"/>
        </w:rPr>
        <w:t xml:space="preserve"> </w:t>
      </w:r>
      <w:r w:rsidR="004166B1">
        <w:rPr>
          <w:rFonts w:cs="Times New Roman"/>
        </w:rPr>
        <w:t>and</w:t>
      </w:r>
      <w:r w:rsidR="00CF582C">
        <w:rPr>
          <w:rFonts w:cs="Times New Roman"/>
        </w:rPr>
        <w:t xml:space="preserve"> to</w:t>
      </w:r>
      <w:r w:rsidR="004166B1">
        <w:rPr>
          <w:rFonts w:cs="Times New Roman"/>
        </w:rPr>
        <w:t xml:space="preserve"> ensure appropriate alignment of</w:t>
      </w:r>
      <w:r w:rsidR="007841FC" w:rsidRPr="00800BDE">
        <w:rPr>
          <w:rFonts w:cs="Times New Roman"/>
        </w:rPr>
        <w:t xml:space="preserve"> rules </w:t>
      </w:r>
      <w:r w:rsidR="00A96B8F" w:rsidRPr="00800BDE">
        <w:rPr>
          <w:rFonts w:cs="Times New Roman"/>
        </w:rPr>
        <w:t>with</w:t>
      </w:r>
      <w:r w:rsidRPr="00800BDE">
        <w:rPr>
          <w:rFonts w:cs="Times New Roman"/>
        </w:rPr>
        <w:t xml:space="preserve"> the </w:t>
      </w:r>
      <w:r w:rsidR="00E32E77" w:rsidRPr="00800BDE">
        <w:rPr>
          <w:rFonts w:cs="Times New Roman"/>
        </w:rPr>
        <w:t>technical</w:t>
      </w:r>
      <w:r w:rsidRPr="00800BDE">
        <w:rPr>
          <w:rFonts w:cs="Times New Roman"/>
        </w:rPr>
        <w:t xml:space="preserve"> </w:t>
      </w:r>
      <w:r w:rsidR="00E32E77" w:rsidRPr="00800BDE">
        <w:rPr>
          <w:rFonts w:cs="Times New Roman"/>
        </w:rPr>
        <w:t>data standards</w:t>
      </w:r>
      <w:r w:rsidRPr="00800BDE">
        <w:rPr>
          <w:rFonts w:cs="Times New Roman"/>
        </w:rPr>
        <w:t xml:space="preserve"> (</w:t>
      </w:r>
      <w:r w:rsidR="00A96B8F" w:rsidRPr="00800BDE">
        <w:rPr>
          <w:rFonts w:cs="Times New Roman"/>
          <w:b/>
        </w:rPr>
        <w:t>S</w:t>
      </w:r>
      <w:r w:rsidRPr="00800BDE">
        <w:rPr>
          <w:rFonts w:cs="Times New Roman"/>
          <w:b/>
        </w:rPr>
        <w:t>tandards</w:t>
      </w:r>
      <w:r w:rsidR="007841FC" w:rsidRPr="00800BDE">
        <w:rPr>
          <w:rFonts w:cs="Times New Roman"/>
        </w:rPr>
        <w:t>)</w:t>
      </w:r>
      <w:r w:rsidR="004166B1" w:rsidRPr="00800BDE">
        <w:rPr>
          <w:rFonts w:cs="Times New Roman"/>
        </w:rPr>
        <w:t xml:space="preserve"> prior to the commencement of </w:t>
      </w:r>
      <w:r w:rsidR="00CF582C">
        <w:rPr>
          <w:rFonts w:cs="Times New Roman"/>
        </w:rPr>
        <w:t>consumer data sharing</w:t>
      </w:r>
      <w:r w:rsidR="004166B1" w:rsidRPr="00800BDE">
        <w:rPr>
          <w:rFonts w:cs="Times New Roman"/>
        </w:rPr>
        <w:t xml:space="preserve"> on 1 July 2020.</w:t>
      </w:r>
      <w:r w:rsidR="007841FC" w:rsidRPr="00800BDE">
        <w:t xml:space="preserve"> </w:t>
      </w:r>
    </w:p>
    <w:p w14:paraId="21470A37" w14:textId="1434C61B" w:rsidR="00D37AA7" w:rsidRPr="007841FC" w:rsidRDefault="00B43F89" w:rsidP="007841FC">
      <w:pPr>
        <w:pStyle w:val="Numberedparagraph11"/>
        <w:numPr>
          <w:ilvl w:val="0"/>
          <w:numId w:val="12"/>
        </w:numPr>
        <w:tabs>
          <w:tab w:val="clear" w:pos="1021"/>
          <w:tab w:val="left" w:pos="680"/>
        </w:tabs>
        <w:spacing w:before="240" w:line="240" w:lineRule="auto"/>
        <w:ind w:left="680" w:hanging="680"/>
      </w:pPr>
      <w:r w:rsidRPr="00A61719">
        <w:t>The a</w:t>
      </w:r>
      <w:r w:rsidR="00074C9D">
        <w:t xml:space="preserve">mendments clarify that </w:t>
      </w:r>
      <w:r w:rsidR="006200A7" w:rsidRPr="00A61719">
        <w:t xml:space="preserve">the accounts in scope </w:t>
      </w:r>
      <w:r w:rsidRPr="00A61719">
        <w:t xml:space="preserve">from </w:t>
      </w:r>
      <w:r w:rsidR="00C368E1" w:rsidRPr="00A61719">
        <w:t xml:space="preserve">1 </w:t>
      </w:r>
      <w:r w:rsidRPr="00A61719">
        <w:t xml:space="preserve">July 2020 </w:t>
      </w:r>
      <w:r w:rsidR="006200A7" w:rsidRPr="00A61719">
        <w:t xml:space="preserve">are those </w:t>
      </w:r>
      <w:r w:rsidR="00707519" w:rsidRPr="00A61719">
        <w:t>held by individual</w:t>
      </w:r>
      <w:r w:rsidR="007841FC" w:rsidRPr="00A61719">
        <w:t xml:space="preserve"> account holder</w:t>
      </w:r>
      <w:r w:rsidRPr="00A61719">
        <w:t xml:space="preserve">s. This </w:t>
      </w:r>
      <w:r w:rsidR="00707519" w:rsidRPr="00A61719">
        <w:t>include</w:t>
      </w:r>
      <w:r w:rsidR="00C368E1" w:rsidRPr="00A61719">
        <w:t>s</w:t>
      </w:r>
      <w:r w:rsidR="006200A7" w:rsidRPr="00A61719">
        <w:t xml:space="preserve"> simple small business accounts</w:t>
      </w:r>
      <w:r w:rsidRPr="00A61719">
        <w:t xml:space="preserve"> held by an individual account holder</w:t>
      </w:r>
      <w:r w:rsidR="00707519" w:rsidRPr="00A61719">
        <w:t xml:space="preserve"> </w:t>
      </w:r>
      <w:r w:rsidR="000E4BC0" w:rsidRPr="00A61719">
        <w:t xml:space="preserve">(such as those </w:t>
      </w:r>
      <w:r w:rsidR="00707519" w:rsidRPr="00A61719">
        <w:t>held by sole traders</w:t>
      </w:r>
      <w:r w:rsidR="000E4BC0" w:rsidRPr="00A61719">
        <w:t>)</w:t>
      </w:r>
      <w:r w:rsidR="006200A7" w:rsidRPr="00A61719">
        <w:t>.</w:t>
      </w:r>
      <w:r w:rsidR="007841FC" w:rsidRPr="00A61719">
        <w:t xml:space="preserve"> Other amendments </w:t>
      </w:r>
      <w:r w:rsidRPr="00A61719">
        <w:t>expressly</w:t>
      </w:r>
      <w:r>
        <w:t xml:space="preserve"> recognise</w:t>
      </w:r>
      <w:r w:rsidR="007841FC">
        <w:t xml:space="preserve"> that </w:t>
      </w:r>
      <w:r w:rsidR="007841FC" w:rsidRPr="006200A7">
        <w:t xml:space="preserve">a data holder may refuse to </w:t>
      </w:r>
      <w:r w:rsidR="007841FC">
        <w:t>seek authorisation or</w:t>
      </w:r>
      <w:r w:rsidR="00E32E77">
        <w:t xml:space="preserve"> refuse to</w:t>
      </w:r>
      <w:r w:rsidR="007841FC">
        <w:t xml:space="preserve"> </w:t>
      </w:r>
      <w:r w:rsidR="007841FC" w:rsidRPr="006200A7">
        <w:t xml:space="preserve">disclose CDR data </w:t>
      </w:r>
      <w:r w:rsidR="007841FC">
        <w:t>in</w:t>
      </w:r>
      <w:r w:rsidR="007841FC" w:rsidRPr="006200A7">
        <w:t xml:space="preserve"> </w:t>
      </w:r>
      <w:r w:rsidR="00E32E77">
        <w:t>respect of</w:t>
      </w:r>
      <w:r w:rsidR="00E27ED2">
        <w:t xml:space="preserve"> a blocked or suspended account</w:t>
      </w:r>
      <w:r w:rsidR="007841FC">
        <w:t>.</w:t>
      </w:r>
    </w:p>
    <w:p w14:paraId="44F7D516" w14:textId="786883EB" w:rsidR="006200A7" w:rsidRPr="006200A7" w:rsidRDefault="004166B1" w:rsidP="00800BDE">
      <w:pPr>
        <w:pStyle w:val="Numberedparagraph11"/>
        <w:numPr>
          <w:ilvl w:val="0"/>
          <w:numId w:val="12"/>
        </w:numPr>
        <w:tabs>
          <w:tab w:val="clear" w:pos="1021"/>
          <w:tab w:val="left" w:pos="680"/>
        </w:tabs>
        <w:spacing w:before="240" w:line="240" w:lineRule="auto"/>
        <w:ind w:left="680" w:hanging="680"/>
      </w:pPr>
      <w:r>
        <w:t>The Rules have also been amended to provide greater flexibility in relation to the methods provided to consumers to enable them to communicate withdrawal of consent or authorisation.</w:t>
      </w:r>
    </w:p>
    <w:p w14:paraId="0C0CF172" w14:textId="0AFDA9A9" w:rsidR="00203C28" w:rsidRPr="000136BC" w:rsidRDefault="00203C28" w:rsidP="00336B60">
      <w:pPr>
        <w:pStyle w:val="Heading2"/>
        <w:keepNext/>
      </w:pPr>
      <w:bookmarkStart w:id="6" w:name="_Toc43288977"/>
      <w:r w:rsidRPr="000136BC">
        <w:lastRenderedPageBreak/>
        <w:t xml:space="preserve">Authority for making the </w:t>
      </w:r>
      <w:r w:rsidR="000136BC">
        <w:t>Amend</w:t>
      </w:r>
      <w:r w:rsidR="00B43F89">
        <w:t>ing</w:t>
      </w:r>
      <w:r w:rsidR="000136BC">
        <w:t xml:space="preserve"> Instrument</w:t>
      </w:r>
      <w:bookmarkEnd w:id="6"/>
      <w:r w:rsidR="000136BC" w:rsidRPr="000136BC">
        <w:t xml:space="preserve"> </w:t>
      </w:r>
    </w:p>
    <w:p w14:paraId="67AE353A" w14:textId="24D92111" w:rsidR="00E91019" w:rsidRDefault="000136BC" w:rsidP="00E91019">
      <w:pPr>
        <w:pStyle w:val="Numberedparagraph11"/>
        <w:keepNext/>
        <w:numPr>
          <w:ilvl w:val="0"/>
          <w:numId w:val="12"/>
        </w:numPr>
        <w:tabs>
          <w:tab w:val="clear" w:pos="1021"/>
          <w:tab w:val="left" w:pos="680"/>
        </w:tabs>
        <w:spacing w:before="240" w:line="240" w:lineRule="auto"/>
        <w:ind w:left="680" w:hanging="680"/>
      </w:pPr>
      <w:r>
        <w:t xml:space="preserve">The </w:t>
      </w:r>
      <w:r w:rsidR="00B43F89">
        <w:t xml:space="preserve">Amending </w:t>
      </w:r>
      <w:r>
        <w:t xml:space="preserve">Instrument </w:t>
      </w:r>
      <w:r w:rsidR="00A61719">
        <w:t>was</w:t>
      </w:r>
      <w:r>
        <w:t xml:space="preserve"> made under </w:t>
      </w:r>
      <w:r w:rsidR="00B43F89">
        <w:t>s</w:t>
      </w:r>
      <w:r w:rsidR="00AC0C55" w:rsidRPr="000136BC">
        <w:t>ection</w:t>
      </w:r>
      <w:r>
        <w:t xml:space="preserve"> 56BA</w:t>
      </w:r>
      <w:r w:rsidR="00203C28" w:rsidRPr="000136BC">
        <w:t xml:space="preserve"> of the </w:t>
      </w:r>
      <w:r w:rsidR="00B32A26" w:rsidRPr="000136BC">
        <w:rPr>
          <w:i/>
        </w:rPr>
        <w:t xml:space="preserve">Competition and Consumer Act </w:t>
      </w:r>
      <w:r w:rsidR="00B32A26" w:rsidRPr="00A61719">
        <w:rPr>
          <w:i/>
        </w:rPr>
        <w:t>2010</w:t>
      </w:r>
      <w:r w:rsidR="00B32A26" w:rsidRPr="00A61719">
        <w:t xml:space="preserve"> (</w:t>
      </w:r>
      <w:r w:rsidR="00B32A26" w:rsidRPr="00A61719">
        <w:rPr>
          <w:b/>
        </w:rPr>
        <w:t>Act</w:t>
      </w:r>
      <w:r w:rsidR="00B32A26" w:rsidRPr="00A61719">
        <w:t>)</w:t>
      </w:r>
      <w:r w:rsidR="007E2538" w:rsidRPr="00A61719">
        <w:t xml:space="preserve"> </w:t>
      </w:r>
      <w:r w:rsidRPr="00A61719">
        <w:t>which enables</w:t>
      </w:r>
      <w:r w:rsidR="007E2538" w:rsidRPr="00A61719">
        <w:t xml:space="preserve"> the ACCC to make </w:t>
      </w:r>
      <w:r w:rsidR="00E520A6" w:rsidRPr="00A61719">
        <w:t>consumer data rules</w:t>
      </w:r>
      <w:r w:rsidR="00B43F89" w:rsidRPr="00A61719">
        <w:t xml:space="preserve"> and </w:t>
      </w:r>
      <w:r w:rsidR="00946B11" w:rsidRPr="00A61719">
        <w:t>incl</w:t>
      </w:r>
      <w:r w:rsidR="00BD00B1">
        <w:t xml:space="preserve">udes the power, </w:t>
      </w:r>
      <w:r w:rsidR="00946B11" w:rsidRPr="00A61719">
        <w:t>relying</w:t>
      </w:r>
      <w:r w:rsidR="00340C1B" w:rsidRPr="00A61719">
        <w:t xml:space="preserve"> on subsection 33(3) of the </w:t>
      </w:r>
      <w:r w:rsidR="00340C1B" w:rsidRPr="00A61719">
        <w:rPr>
          <w:i/>
        </w:rPr>
        <w:t>Acts Interpretation Act 1901</w:t>
      </w:r>
      <w:r w:rsidR="00C02CE2">
        <w:t>,</w:t>
      </w:r>
      <w:r w:rsidR="00A23389" w:rsidRPr="00A61719">
        <w:rPr>
          <w:i/>
        </w:rPr>
        <w:t xml:space="preserve"> </w:t>
      </w:r>
      <w:r w:rsidR="00A23389" w:rsidRPr="00A61719">
        <w:t>to amend the rules</w:t>
      </w:r>
      <w:r w:rsidR="00790E69" w:rsidRPr="00A61719">
        <w:t>.</w:t>
      </w:r>
      <w:r w:rsidR="00790E69">
        <w:t xml:space="preserve">  </w:t>
      </w:r>
    </w:p>
    <w:p w14:paraId="434ED862" w14:textId="3FBD4BF8" w:rsidR="005503A7" w:rsidRPr="000136BC" w:rsidRDefault="00E91019" w:rsidP="00E91019">
      <w:pPr>
        <w:pStyle w:val="Numberedparagraph11"/>
        <w:keepNext/>
        <w:numPr>
          <w:ilvl w:val="0"/>
          <w:numId w:val="12"/>
        </w:numPr>
        <w:tabs>
          <w:tab w:val="clear" w:pos="1021"/>
          <w:tab w:val="left" w:pos="680"/>
        </w:tabs>
        <w:spacing w:before="240" w:line="240" w:lineRule="auto"/>
        <w:ind w:left="680" w:hanging="680"/>
      </w:pPr>
      <w:r w:rsidRPr="007C78D2">
        <w:t>The Minister consented to the ACCC making the Amending Instrument in accordance with section 56BR of the Act.</w:t>
      </w:r>
    </w:p>
    <w:p w14:paraId="3DC2257C" w14:textId="15CE2A9A" w:rsidR="00AC7AC2" w:rsidRPr="000136BC" w:rsidRDefault="003D1821" w:rsidP="005503A7">
      <w:pPr>
        <w:pStyle w:val="Numberedparagraph11"/>
        <w:keepNext/>
        <w:numPr>
          <w:ilvl w:val="0"/>
          <w:numId w:val="12"/>
        </w:numPr>
        <w:tabs>
          <w:tab w:val="clear" w:pos="1021"/>
          <w:tab w:val="left" w:pos="680"/>
        </w:tabs>
        <w:spacing w:before="240" w:line="240" w:lineRule="auto"/>
        <w:ind w:left="680" w:hanging="680"/>
      </w:pPr>
      <w:r>
        <w:t xml:space="preserve">Before making </w:t>
      </w:r>
      <w:r w:rsidR="00C02CE2">
        <w:t>consumer data rules</w:t>
      </w:r>
      <w:r>
        <w:t xml:space="preserve">, </w:t>
      </w:r>
      <w:r w:rsidR="00BE4B1C">
        <w:t>S</w:t>
      </w:r>
      <w:r>
        <w:t>ection 56BP of the Act requires t</w:t>
      </w:r>
      <w:r w:rsidRPr="003D1821">
        <w:t xml:space="preserve">he ACCC </w:t>
      </w:r>
      <w:r>
        <w:t>to</w:t>
      </w:r>
      <w:r w:rsidRPr="003D1821">
        <w:t xml:space="preserve"> have regard to certain matters </w:t>
      </w:r>
      <w:r>
        <w:t xml:space="preserve">outlined in </w:t>
      </w:r>
      <w:r w:rsidR="00BE4B1C">
        <w:t>S</w:t>
      </w:r>
      <w:r>
        <w:t>ection 56AD. These include</w:t>
      </w:r>
      <w:r w:rsidRPr="003D1821">
        <w:t xml:space="preserve"> the likely effect of the rules on the interests of consumers, the efficiency of relevant markets, the privacy and confidentiality of consumers’ information, and the regulatory impact of the rules</w:t>
      </w:r>
      <w:r w:rsidR="00FB57E7">
        <w:t xml:space="preserve">. The process for making the </w:t>
      </w:r>
      <w:r w:rsidR="00B43F89">
        <w:t xml:space="preserve">Amending </w:t>
      </w:r>
      <w:r w:rsidR="00FB57E7">
        <w:t>Instrument involved consideration</w:t>
      </w:r>
      <w:r w:rsidR="00A23389">
        <w:t xml:space="preserve"> </w:t>
      </w:r>
      <w:r w:rsidR="00FB57E7">
        <w:t xml:space="preserve">of the matters outlined in section 56AD, including through </w:t>
      </w:r>
      <w:r w:rsidR="000E4BC0">
        <w:t xml:space="preserve">public consultation on </w:t>
      </w:r>
      <w:r w:rsidR="00B43F89">
        <w:t>draft amendments</w:t>
      </w:r>
      <w:r w:rsidR="00FB57E7">
        <w:t xml:space="preserve">. </w:t>
      </w:r>
      <w:r w:rsidR="00527EE0">
        <w:t xml:space="preserve">                           </w:t>
      </w:r>
    </w:p>
    <w:p w14:paraId="5BFF10F7" w14:textId="19791A52" w:rsidR="000E6DE6" w:rsidRDefault="00203C28" w:rsidP="00023495">
      <w:pPr>
        <w:pStyle w:val="Heading2"/>
        <w:rPr>
          <w:highlight w:val="yellow"/>
        </w:rPr>
      </w:pPr>
      <w:bookmarkStart w:id="7" w:name="_Toc43288978"/>
      <w:r w:rsidRPr="00023495">
        <w:t>Statement of compatibility with human rights</w:t>
      </w:r>
      <w:bookmarkEnd w:id="7"/>
    </w:p>
    <w:p w14:paraId="2939A2DD" w14:textId="21970D6A" w:rsidR="00203C28" w:rsidRPr="003C3A98" w:rsidRDefault="005F7450" w:rsidP="00023495">
      <w:pPr>
        <w:pStyle w:val="Numberedparagraph11"/>
        <w:numPr>
          <w:ilvl w:val="0"/>
          <w:numId w:val="12"/>
        </w:numPr>
        <w:tabs>
          <w:tab w:val="clear" w:pos="1021"/>
          <w:tab w:val="left" w:pos="680"/>
        </w:tabs>
        <w:spacing w:before="240" w:line="240" w:lineRule="auto"/>
        <w:ind w:left="680" w:hanging="680"/>
      </w:pPr>
      <w:r w:rsidRPr="003C3A98">
        <w:t xml:space="preserve">This </w:t>
      </w:r>
      <w:r w:rsidR="00B43F89">
        <w:t>s</w:t>
      </w:r>
      <w:r w:rsidRPr="003C3A98">
        <w:t>tatement</w:t>
      </w:r>
      <w:r w:rsidR="00E803AC" w:rsidRPr="003C3A98">
        <w:t xml:space="preserve"> is p</w:t>
      </w:r>
      <w:r w:rsidR="00203C28" w:rsidRPr="003C3A98">
        <w:t xml:space="preserve">repared in accordance with Part 3 of the </w:t>
      </w:r>
      <w:r w:rsidR="00203C28" w:rsidRPr="003C3A98">
        <w:rPr>
          <w:i/>
        </w:rPr>
        <w:t>Human Rights (Parliamentary Scrutiny) Act 2011</w:t>
      </w:r>
      <w:r w:rsidR="00203C28" w:rsidRPr="003C3A98">
        <w:t>.</w:t>
      </w:r>
    </w:p>
    <w:p w14:paraId="2329C2FE" w14:textId="7C01B863" w:rsidR="00203C28" w:rsidRPr="003C3A98" w:rsidRDefault="000136BC" w:rsidP="00023495">
      <w:pPr>
        <w:pStyle w:val="Numberedparagraph11"/>
        <w:numPr>
          <w:ilvl w:val="0"/>
          <w:numId w:val="12"/>
        </w:numPr>
        <w:tabs>
          <w:tab w:val="clear" w:pos="1021"/>
          <w:tab w:val="left" w:pos="680"/>
        </w:tabs>
        <w:spacing w:before="240" w:line="240" w:lineRule="auto"/>
        <w:ind w:left="680" w:hanging="680"/>
      </w:pPr>
      <w:r>
        <w:t xml:space="preserve">The </w:t>
      </w:r>
      <w:r w:rsidR="00B43F89">
        <w:t xml:space="preserve">Amending </w:t>
      </w:r>
      <w:r>
        <w:t>Instrument is</w:t>
      </w:r>
      <w:r w:rsidR="00203C28" w:rsidRPr="003C3A98">
        <w:t xml:space="preserve"> compatible with the human rights and freedoms recognised or declared in the international instruments listed in s</w:t>
      </w:r>
      <w:r w:rsidR="00AC0C55" w:rsidRPr="003C3A98">
        <w:t>ection</w:t>
      </w:r>
      <w:r w:rsidR="00203C28" w:rsidRPr="003C3A98">
        <w:t xml:space="preserve"> 3 of the </w:t>
      </w:r>
      <w:r w:rsidR="00203C28" w:rsidRPr="003C3A98">
        <w:rPr>
          <w:i/>
        </w:rPr>
        <w:t>Human Rights (Parliamentary Scrutiny) Act 2011</w:t>
      </w:r>
      <w:r w:rsidR="00203C28" w:rsidRPr="003C3A98">
        <w:t>.</w:t>
      </w:r>
    </w:p>
    <w:p w14:paraId="142A416C" w14:textId="77777777" w:rsidR="00203C28" w:rsidRPr="003C3A98" w:rsidRDefault="00203C28" w:rsidP="00023495">
      <w:pPr>
        <w:pStyle w:val="Heading3"/>
      </w:pPr>
      <w:bookmarkStart w:id="8" w:name="_Toc30156047"/>
      <w:bookmarkStart w:id="9" w:name="_Toc43288979"/>
      <w:r w:rsidRPr="003C3A98">
        <w:t>Human right implications</w:t>
      </w:r>
      <w:bookmarkEnd w:id="8"/>
      <w:bookmarkEnd w:id="9"/>
      <w:r w:rsidRPr="003C3A98">
        <w:t xml:space="preserve">  </w:t>
      </w:r>
    </w:p>
    <w:p w14:paraId="636E4192" w14:textId="77777777" w:rsidR="005447B9" w:rsidRPr="003C3A98" w:rsidRDefault="00203C28" w:rsidP="00023495">
      <w:pPr>
        <w:pStyle w:val="Numberedparagraph11"/>
        <w:numPr>
          <w:ilvl w:val="0"/>
          <w:numId w:val="12"/>
        </w:numPr>
        <w:tabs>
          <w:tab w:val="clear" w:pos="1021"/>
          <w:tab w:val="left" w:pos="680"/>
        </w:tabs>
        <w:spacing w:before="240" w:line="240" w:lineRule="auto"/>
        <w:ind w:left="680" w:hanging="680"/>
      </w:pPr>
      <w:r w:rsidRPr="003C3A98">
        <w:t xml:space="preserve">The </w:t>
      </w:r>
      <w:r w:rsidR="005447B9" w:rsidRPr="003C3A98">
        <w:t>amendments</w:t>
      </w:r>
      <w:r w:rsidRPr="003C3A98">
        <w:t xml:space="preserve"> </w:t>
      </w:r>
      <w:r w:rsidR="005447B9" w:rsidRPr="003C3A98">
        <w:t>relate to</w:t>
      </w:r>
      <w:r w:rsidRPr="003C3A98">
        <w:t xml:space="preserve"> the right to protection from unlawful or arbitrary interference with privacy under Art</w:t>
      </w:r>
      <w:r w:rsidR="004710A1" w:rsidRPr="003C3A98">
        <w:t>icle</w:t>
      </w:r>
      <w:r w:rsidRPr="003C3A98">
        <w:t xml:space="preserve"> 17 of the International Covenant on Civil and Political Rights (</w:t>
      </w:r>
      <w:r w:rsidRPr="003C3A98">
        <w:rPr>
          <w:b/>
        </w:rPr>
        <w:t>ICCPR</w:t>
      </w:r>
      <w:r w:rsidRPr="003C3A98">
        <w:t>)</w:t>
      </w:r>
      <w:r w:rsidR="005447B9" w:rsidRPr="003C3A98">
        <w:t xml:space="preserve">. </w:t>
      </w:r>
    </w:p>
    <w:p w14:paraId="4856C133" w14:textId="28D45B66" w:rsidR="003C3A98" w:rsidRPr="003C3A98" w:rsidRDefault="005447B9" w:rsidP="00023495">
      <w:pPr>
        <w:pStyle w:val="Numberedparagraph11"/>
        <w:numPr>
          <w:ilvl w:val="0"/>
          <w:numId w:val="12"/>
        </w:numPr>
        <w:tabs>
          <w:tab w:val="clear" w:pos="1021"/>
          <w:tab w:val="left" w:pos="680"/>
        </w:tabs>
        <w:spacing w:before="240" w:line="240" w:lineRule="auto"/>
        <w:ind w:left="680" w:hanging="680"/>
      </w:pPr>
      <w:r w:rsidRPr="003C3A98">
        <w:t xml:space="preserve">The </w:t>
      </w:r>
      <w:r w:rsidR="00B43F89">
        <w:t xml:space="preserve">Amending </w:t>
      </w:r>
      <w:r w:rsidR="00A90803">
        <w:t>Instrument is</w:t>
      </w:r>
      <w:r w:rsidRPr="003C3A98">
        <w:t xml:space="preserve"> consistent with the protection afforded by </w:t>
      </w:r>
      <w:r w:rsidR="007C78D2">
        <w:t>A</w:t>
      </w:r>
      <w:r w:rsidRPr="003C3A98">
        <w:t>rticle 17</w:t>
      </w:r>
      <w:r w:rsidR="00BD00B1">
        <w:t xml:space="preserve"> of the</w:t>
      </w:r>
      <w:r w:rsidRPr="003C3A98">
        <w:t xml:space="preserve"> ICCPR. </w:t>
      </w:r>
    </w:p>
    <w:p w14:paraId="5ADD6888" w14:textId="6490E52D" w:rsidR="005447B9" w:rsidRPr="003C3A98" w:rsidRDefault="003C3A98" w:rsidP="00023495">
      <w:pPr>
        <w:pStyle w:val="Numberedparagraph11"/>
        <w:numPr>
          <w:ilvl w:val="0"/>
          <w:numId w:val="12"/>
        </w:numPr>
        <w:tabs>
          <w:tab w:val="clear" w:pos="1021"/>
          <w:tab w:val="left" w:pos="680"/>
        </w:tabs>
        <w:spacing w:before="240" w:line="240" w:lineRule="auto"/>
        <w:ind w:left="680" w:hanging="680"/>
      </w:pPr>
      <w:r w:rsidRPr="003C3A98">
        <w:t xml:space="preserve">Amended Rules </w:t>
      </w:r>
      <w:r w:rsidR="00E26641">
        <w:t xml:space="preserve">1.7, </w:t>
      </w:r>
      <w:r w:rsidRPr="003C3A98">
        <w:t>1.13(4)</w:t>
      </w:r>
      <w:r w:rsidR="005F2542">
        <w:t xml:space="preserve">, </w:t>
      </w:r>
      <w:r w:rsidR="00553D2C">
        <w:t xml:space="preserve">1.17, </w:t>
      </w:r>
      <w:r w:rsidR="005F2542">
        <w:t>4.11</w:t>
      </w:r>
      <w:r w:rsidR="00E26641">
        <w:t>(1)</w:t>
      </w:r>
      <w:r w:rsidR="005F2542">
        <w:t xml:space="preserve">, 4.14, 4.26, 5.18 and 5.24; amended </w:t>
      </w:r>
      <w:r w:rsidR="00C90605">
        <w:t>C</w:t>
      </w:r>
      <w:r w:rsidR="00553D2C">
        <w:t xml:space="preserve">lause 2.2 in </w:t>
      </w:r>
      <w:r w:rsidR="00C90605">
        <w:t>S</w:t>
      </w:r>
      <w:r w:rsidR="00553D2C">
        <w:t>chedule 2</w:t>
      </w:r>
      <w:r w:rsidR="005F2542">
        <w:t xml:space="preserve">; and </w:t>
      </w:r>
      <w:r w:rsidRPr="003C3A98">
        <w:t>amended Clauses 1.3(2</w:t>
      </w:r>
      <w:proofErr w:type="gramStart"/>
      <w:r w:rsidRPr="003C3A98">
        <w:t>)(</w:t>
      </w:r>
      <w:proofErr w:type="gramEnd"/>
      <w:r w:rsidRPr="003C3A98">
        <w:t>b)(iii), 2.1</w:t>
      </w:r>
      <w:r w:rsidR="00553D2C">
        <w:t>(2), 2.2</w:t>
      </w:r>
      <w:r w:rsidRPr="003C3A98">
        <w:t xml:space="preserve"> and 3.2 of Schedule 3 </w:t>
      </w:r>
      <w:r w:rsidR="005447B9" w:rsidRPr="003C3A98">
        <w:t xml:space="preserve">do not alter the effect of the Rules with respect to Article 17, as they make typographical </w:t>
      </w:r>
      <w:r w:rsidR="00C90605">
        <w:t xml:space="preserve">changes </w:t>
      </w:r>
      <w:r w:rsidR="005447B9" w:rsidRPr="003C3A98">
        <w:t>and</w:t>
      </w:r>
      <w:r w:rsidR="005F2542">
        <w:t>/or</w:t>
      </w:r>
      <w:r w:rsidR="005447B9" w:rsidRPr="003C3A98">
        <w:t xml:space="preserve"> </w:t>
      </w:r>
      <w:r w:rsidR="00E23CDE" w:rsidRPr="003C3A98">
        <w:t>changes</w:t>
      </w:r>
      <w:r w:rsidR="005447B9" w:rsidRPr="003C3A98">
        <w:t xml:space="preserve"> </w:t>
      </w:r>
      <w:r w:rsidR="00B43F89">
        <w:t xml:space="preserve">to clarify the operation of the rules to ensure </w:t>
      </w:r>
      <w:r w:rsidR="00C90605">
        <w:t>they are</w:t>
      </w:r>
      <w:r w:rsidR="00B43F89">
        <w:t xml:space="preserve"> consistent with the original policy intention of the Rules</w:t>
      </w:r>
      <w:r w:rsidR="005447B9" w:rsidRPr="003C3A98">
        <w:t>.</w:t>
      </w:r>
    </w:p>
    <w:p w14:paraId="11FF6912" w14:textId="0F7D5A1B" w:rsidR="005447B9" w:rsidRPr="00A61719" w:rsidRDefault="003C3A98" w:rsidP="00023495">
      <w:pPr>
        <w:pStyle w:val="Numberedparagraph11"/>
        <w:numPr>
          <w:ilvl w:val="0"/>
          <w:numId w:val="12"/>
        </w:numPr>
        <w:tabs>
          <w:tab w:val="clear" w:pos="1021"/>
          <w:tab w:val="left" w:pos="680"/>
        </w:tabs>
        <w:spacing w:before="240" w:line="240" w:lineRule="auto"/>
        <w:ind w:left="680" w:hanging="680"/>
      </w:pPr>
      <w:r w:rsidRPr="00A61719">
        <w:t>Amended Rules 3.5, 4.7,</w:t>
      </w:r>
      <w:r w:rsidR="00553D2C" w:rsidRPr="00A61719">
        <w:t xml:space="preserve"> 4.13, 4.25,</w:t>
      </w:r>
      <w:r w:rsidRPr="00A61719">
        <w:t xml:space="preserve"> 5.30(b)</w:t>
      </w:r>
      <w:r w:rsidR="00C90605" w:rsidRPr="00A61719">
        <w:t xml:space="preserve"> </w:t>
      </w:r>
      <w:r w:rsidR="005F2542" w:rsidRPr="00A61719">
        <w:t>–</w:t>
      </w:r>
      <w:r w:rsidR="00C90605" w:rsidRPr="00A61719">
        <w:t xml:space="preserve"> </w:t>
      </w:r>
      <w:r w:rsidR="005F2542" w:rsidRPr="00A61719">
        <w:t>(c)</w:t>
      </w:r>
      <w:r w:rsidRPr="00A61719">
        <w:t xml:space="preserve"> and </w:t>
      </w:r>
      <w:r w:rsidR="00C90605" w:rsidRPr="00A61719">
        <w:t>I</w:t>
      </w:r>
      <w:r w:rsidRPr="00A61719">
        <w:t xml:space="preserve">tem 4 of </w:t>
      </w:r>
      <w:r w:rsidR="00B43F89" w:rsidRPr="00A61719">
        <w:t>R</w:t>
      </w:r>
      <w:r w:rsidR="00553D2C" w:rsidRPr="00A61719">
        <w:t>ule</w:t>
      </w:r>
      <w:r w:rsidRPr="00A61719">
        <w:t xml:space="preserve"> 5.17</w:t>
      </w:r>
      <w:r w:rsidR="00B43F89" w:rsidRPr="00A61719">
        <w:t xml:space="preserve"> </w:t>
      </w:r>
      <w:r w:rsidR="005447B9" w:rsidRPr="00A61719">
        <w:t>protect against unlawful or arbitrary interference with privacy</w:t>
      </w:r>
      <w:r w:rsidR="00E23CDE" w:rsidRPr="00A61719">
        <w:t>.</w:t>
      </w:r>
      <w:r w:rsidR="00FE5F55" w:rsidRPr="00A61719">
        <w:t xml:space="preserve"> Amended </w:t>
      </w:r>
      <w:r w:rsidR="00C90605" w:rsidRPr="00A61719">
        <w:t>R</w:t>
      </w:r>
      <w:r w:rsidR="00FE5F55" w:rsidRPr="00A61719">
        <w:t xml:space="preserve">ules 4.13 and 4.25 </w:t>
      </w:r>
      <w:r w:rsidR="00B43F89" w:rsidRPr="00A61719">
        <w:t xml:space="preserve">are intended to provide support </w:t>
      </w:r>
      <w:r w:rsidR="00C90605" w:rsidRPr="00A61719">
        <w:t xml:space="preserve">to </w:t>
      </w:r>
      <w:r w:rsidR="00B43F89" w:rsidRPr="00A61719">
        <w:t xml:space="preserve">consumers </w:t>
      </w:r>
      <w:r w:rsidR="00C90605" w:rsidRPr="00A61719">
        <w:t>through</w:t>
      </w:r>
      <w:r w:rsidR="00B43F89" w:rsidRPr="00A61719">
        <w:t xml:space="preserve"> more flexible methods for withdrawing consents and authorisations in relation to collection, disclosure and use of consumer data</w:t>
      </w:r>
      <w:r w:rsidR="00FE5F55" w:rsidRPr="00A61719">
        <w:t xml:space="preserve">. This supports </w:t>
      </w:r>
      <w:r w:rsidR="00C90605" w:rsidRPr="00A61719">
        <w:t>A</w:t>
      </w:r>
      <w:r w:rsidR="00FE5F55" w:rsidRPr="00A61719">
        <w:t xml:space="preserve">rticle 17 by making it easier for consumers to </w:t>
      </w:r>
      <w:r w:rsidR="00C90605" w:rsidRPr="00A61719">
        <w:t>manage</w:t>
      </w:r>
      <w:r w:rsidR="00FE5F55" w:rsidRPr="00A61719">
        <w:t xml:space="preserve"> access to their personal information.</w:t>
      </w:r>
    </w:p>
    <w:p w14:paraId="2C08BF42" w14:textId="6FB8CA11" w:rsidR="00203C28" w:rsidRPr="003C3A98" w:rsidRDefault="00203C28" w:rsidP="00023495">
      <w:pPr>
        <w:pStyle w:val="Heading3"/>
      </w:pPr>
      <w:bookmarkStart w:id="10" w:name="_Toc30156048"/>
      <w:bookmarkStart w:id="11" w:name="_Toc43288980"/>
      <w:r w:rsidRPr="00A61719">
        <w:t>Conclusion</w:t>
      </w:r>
      <w:bookmarkEnd w:id="10"/>
      <w:bookmarkEnd w:id="11"/>
    </w:p>
    <w:p w14:paraId="669E138D" w14:textId="66CA19BC" w:rsidR="00203C28" w:rsidRDefault="00203C28" w:rsidP="00023495">
      <w:pPr>
        <w:pStyle w:val="Numberedparagraph11"/>
        <w:numPr>
          <w:ilvl w:val="0"/>
          <w:numId w:val="12"/>
        </w:numPr>
        <w:tabs>
          <w:tab w:val="clear" w:pos="1021"/>
          <w:tab w:val="left" w:pos="680"/>
        </w:tabs>
        <w:spacing w:before="240" w:line="240" w:lineRule="auto"/>
        <w:ind w:left="680" w:hanging="680"/>
      </w:pPr>
      <w:r w:rsidRPr="003C3A98">
        <w:t xml:space="preserve">The </w:t>
      </w:r>
      <w:r w:rsidR="00410A60">
        <w:t xml:space="preserve">Amending </w:t>
      </w:r>
      <w:r w:rsidR="005F2542">
        <w:t>Instrument is</w:t>
      </w:r>
      <w:r w:rsidRPr="003C3A98">
        <w:t xml:space="preserve"> compatible with human rights and freedoms.</w:t>
      </w:r>
    </w:p>
    <w:p w14:paraId="5960FA7D" w14:textId="75250CF6" w:rsidR="00203C28" w:rsidRPr="00652C6A" w:rsidRDefault="005503A7" w:rsidP="00023495">
      <w:pPr>
        <w:pStyle w:val="Heading2"/>
        <w:keepNext/>
      </w:pPr>
      <w:bookmarkStart w:id="12" w:name="_Toc43288981"/>
      <w:r w:rsidRPr="00652C6A">
        <w:lastRenderedPageBreak/>
        <w:t>Regulatory Impact Analysis</w:t>
      </w:r>
      <w:bookmarkEnd w:id="12"/>
    </w:p>
    <w:p w14:paraId="78766752" w14:textId="28894E22" w:rsidR="00203C28" w:rsidRPr="00652C6A" w:rsidRDefault="009A139D" w:rsidP="00023495">
      <w:pPr>
        <w:pStyle w:val="Numberedparagraph11"/>
        <w:keepNext/>
        <w:numPr>
          <w:ilvl w:val="0"/>
          <w:numId w:val="12"/>
        </w:numPr>
        <w:tabs>
          <w:tab w:val="clear" w:pos="1021"/>
          <w:tab w:val="left" w:pos="680"/>
        </w:tabs>
        <w:spacing w:before="240" w:line="240" w:lineRule="auto"/>
        <w:ind w:left="680" w:hanging="680"/>
      </w:pPr>
      <w:r>
        <w:t>The Office of Best Practice Regulation advised that a Regulation Impact Statement was not required (</w:t>
      </w:r>
      <w:r w:rsidRPr="00AA3CB8">
        <w:t>OBPR reference</w:t>
      </w:r>
      <w:r w:rsidR="00AA3CB8" w:rsidRPr="00AA3CB8">
        <w:t xml:space="preserve"> ID 24996</w:t>
      </w:r>
      <w:r>
        <w:t xml:space="preserve">).  </w:t>
      </w:r>
    </w:p>
    <w:p w14:paraId="7166B3CA" w14:textId="77777777" w:rsidR="00203C28" w:rsidRPr="007D18E9" w:rsidRDefault="00203C28" w:rsidP="00023495">
      <w:pPr>
        <w:pStyle w:val="Heading2"/>
      </w:pPr>
      <w:bookmarkStart w:id="13" w:name="_Toc43288982"/>
      <w:r w:rsidRPr="007D18E9">
        <w:t>Consultation</w:t>
      </w:r>
      <w:bookmarkEnd w:id="13"/>
    </w:p>
    <w:p w14:paraId="2DB00481" w14:textId="27D3FAD5" w:rsidR="005503A7" w:rsidRPr="007D18E9" w:rsidRDefault="00D56FE0" w:rsidP="00023495">
      <w:pPr>
        <w:pStyle w:val="Numberedparagraph11"/>
        <w:numPr>
          <w:ilvl w:val="0"/>
          <w:numId w:val="12"/>
        </w:numPr>
        <w:tabs>
          <w:tab w:val="clear" w:pos="1021"/>
          <w:tab w:val="left" w:pos="680"/>
        </w:tabs>
        <w:spacing w:before="240" w:line="240" w:lineRule="auto"/>
        <w:ind w:left="680" w:hanging="680"/>
      </w:pPr>
      <w:r w:rsidRPr="007D18E9">
        <w:t xml:space="preserve">The ACCC </w:t>
      </w:r>
      <w:r w:rsidRPr="00A61719">
        <w:t xml:space="preserve">consulted on </w:t>
      </w:r>
      <w:r w:rsidR="00B73007" w:rsidRPr="00A61719">
        <w:t xml:space="preserve">the draft </w:t>
      </w:r>
      <w:r w:rsidR="00410A60" w:rsidRPr="00A61719">
        <w:t>amendments</w:t>
      </w:r>
      <w:r w:rsidR="00410A60">
        <w:t xml:space="preserve"> </w:t>
      </w:r>
      <w:r w:rsidR="007D18E9">
        <w:t>between</w:t>
      </w:r>
      <w:r w:rsidRPr="007D18E9">
        <w:t xml:space="preserve"> </w:t>
      </w:r>
      <w:r w:rsidR="0032066E" w:rsidRPr="007D18E9">
        <w:t>24 April 2020</w:t>
      </w:r>
      <w:r w:rsidR="007D18E9">
        <w:t xml:space="preserve"> and </w:t>
      </w:r>
      <w:r w:rsidR="0032066E" w:rsidRPr="007D18E9">
        <w:t>8 May 2020</w:t>
      </w:r>
      <w:r w:rsidR="007D18E9">
        <w:t xml:space="preserve">. </w:t>
      </w:r>
    </w:p>
    <w:p w14:paraId="4C890539" w14:textId="7539ED43" w:rsidR="00203C28" w:rsidRPr="007A42F6" w:rsidRDefault="005503A7" w:rsidP="005503A7">
      <w:pPr>
        <w:pStyle w:val="Numberedparagraph11"/>
        <w:numPr>
          <w:ilvl w:val="0"/>
          <w:numId w:val="12"/>
        </w:numPr>
        <w:tabs>
          <w:tab w:val="clear" w:pos="1021"/>
          <w:tab w:val="left" w:pos="680"/>
        </w:tabs>
        <w:spacing w:before="240" w:line="240" w:lineRule="auto"/>
        <w:ind w:left="680" w:hanging="680"/>
      </w:pPr>
      <w:r w:rsidRPr="007D18E9">
        <w:t xml:space="preserve">Before the </w:t>
      </w:r>
      <w:r w:rsidR="00410A60">
        <w:t xml:space="preserve">Amending </w:t>
      </w:r>
      <w:r w:rsidR="007D18E9">
        <w:t>Instrument</w:t>
      </w:r>
      <w:r w:rsidRPr="007D18E9">
        <w:t xml:space="preserve"> was made, the ACCC was satisfied that consultation was undertaken to the extent appropriate and reasonably practicable in accordance with section 17</w:t>
      </w:r>
      <w:r w:rsidR="007D18E9">
        <w:t xml:space="preserve"> of the</w:t>
      </w:r>
      <w:r w:rsidRPr="007D18E9">
        <w:t xml:space="preserve"> </w:t>
      </w:r>
      <w:r w:rsidRPr="007D18E9">
        <w:rPr>
          <w:i/>
        </w:rPr>
        <w:t>Legislation Act 2003</w:t>
      </w:r>
      <w:r w:rsidR="007D18E9" w:rsidRPr="007D18E9">
        <w:t>.</w:t>
      </w:r>
      <w:r w:rsidR="00203C28" w:rsidRPr="005503A7">
        <w:rPr>
          <w:sz w:val="44"/>
        </w:rPr>
        <w:br w:type="page"/>
      </w:r>
    </w:p>
    <w:p w14:paraId="18B79C89" w14:textId="6EECD757" w:rsidR="00203C28" w:rsidRPr="00C1123C" w:rsidRDefault="005503A7" w:rsidP="00A9785B">
      <w:pPr>
        <w:pStyle w:val="Heading1"/>
      </w:pPr>
      <w:bookmarkStart w:id="14" w:name="_Toc43288983"/>
      <w:r w:rsidRPr="00C1123C">
        <w:lastRenderedPageBreak/>
        <w:t>Explanatory Notes</w:t>
      </w:r>
      <w:bookmarkEnd w:id="14"/>
    </w:p>
    <w:p w14:paraId="6196C17C" w14:textId="10CF8490" w:rsidR="00016542" w:rsidRPr="008562A2" w:rsidRDefault="00486C9E" w:rsidP="00A9785B">
      <w:pPr>
        <w:pStyle w:val="Numberedparagraph11"/>
        <w:numPr>
          <w:ilvl w:val="0"/>
          <w:numId w:val="0"/>
        </w:numPr>
        <w:tabs>
          <w:tab w:val="clear" w:pos="1021"/>
          <w:tab w:val="left" w:pos="680"/>
        </w:tabs>
        <w:spacing w:before="240" w:line="240" w:lineRule="auto"/>
        <w:rPr>
          <w:i/>
        </w:rPr>
      </w:pPr>
      <w:r w:rsidRPr="008562A2">
        <w:rPr>
          <w:i/>
        </w:rPr>
        <w:t>Item 1: Amendment to Rule 1.7</w:t>
      </w:r>
      <w:r w:rsidR="000850A1" w:rsidRPr="008562A2">
        <w:rPr>
          <w:i/>
        </w:rPr>
        <w:t xml:space="preserve"> (note 1, list of terms defined in the Act)</w:t>
      </w:r>
    </w:p>
    <w:p w14:paraId="28DDDA5A" w14:textId="10C6C960" w:rsidR="00486C9E" w:rsidRDefault="00486C9E" w:rsidP="00A9785B">
      <w:pPr>
        <w:pStyle w:val="Numberedparagraph11"/>
        <w:numPr>
          <w:ilvl w:val="0"/>
          <w:numId w:val="12"/>
        </w:numPr>
        <w:tabs>
          <w:tab w:val="clear" w:pos="1021"/>
          <w:tab w:val="left" w:pos="680"/>
        </w:tabs>
        <w:spacing w:before="240" w:line="240" w:lineRule="auto"/>
        <w:ind w:left="680" w:hanging="680"/>
      </w:pPr>
      <w:r>
        <w:t xml:space="preserve">Item 1 inserts the terms ‘Australian Consumer Law’ and ‘Commission’ into </w:t>
      </w:r>
      <w:r w:rsidR="000850A1">
        <w:t>note 1 to rule 1.7, which provides a</w:t>
      </w:r>
      <w:r w:rsidR="00853F6C">
        <w:t xml:space="preserve"> </w:t>
      </w:r>
      <w:r>
        <w:t>list of terms defined in the Act. Th</w:t>
      </w:r>
      <w:r w:rsidR="000850A1">
        <w:t>is note makes clear that expressions used in the Rules have the same meaning as defined in the Act</w:t>
      </w:r>
    </w:p>
    <w:p w14:paraId="55E3B1F2" w14:textId="5720CE46" w:rsidR="00D227CA" w:rsidRPr="008562A2" w:rsidRDefault="00D227CA" w:rsidP="00A9785B">
      <w:pPr>
        <w:pStyle w:val="Numberedparagraph11"/>
        <w:numPr>
          <w:ilvl w:val="0"/>
          <w:numId w:val="0"/>
        </w:numPr>
        <w:tabs>
          <w:tab w:val="clear" w:pos="1021"/>
          <w:tab w:val="left" w:pos="680"/>
        </w:tabs>
        <w:spacing w:before="240" w:line="240" w:lineRule="auto"/>
        <w:rPr>
          <w:i/>
        </w:rPr>
      </w:pPr>
      <w:r w:rsidRPr="008562A2">
        <w:rPr>
          <w:i/>
        </w:rPr>
        <w:t>Item 2: Amendment to Rule 1.7(1)</w:t>
      </w:r>
      <w:r w:rsidR="000850A1" w:rsidRPr="008562A2">
        <w:rPr>
          <w:i/>
        </w:rPr>
        <w:t xml:space="preserve"> (note 1 to definition of </w:t>
      </w:r>
      <w:r w:rsidR="000850A1" w:rsidRPr="000850A1">
        <w:rPr>
          <w:i/>
        </w:rPr>
        <w:t>CDR complaint data</w:t>
      </w:r>
      <w:r w:rsidR="000850A1" w:rsidRPr="008562A2">
        <w:rPr>
          <w:i/>
        </w:rPr>
        <w:t>)</w:t>
      </w:r>
    </w:p>
    <w:p w14:paraId="7447CF62" w14:textId="0AF5762A" w:rsidR="004B4601" w:rsidRPr="00A61719" w:rsidRDefault="00D227CA" w:rsidP="00E91019">
      <w:pPr>
        <w:pStyle w:val="Numberedparagraph11"/>
        <w:numPr>
          <w:ilvl w:val="0"/>
          <w:numId w:val="12"/>
        </w:numPr>
        <w:tabs>
          <w:tab w:val="clear" w:pos="1021"/>
          <w:tab w:val="left" w:pos="680"/>
        </w:tabs>
        <w:spacing w:before="240" w:line="240" w:lineRule="auto"/>
        <w:ind w:left="680" w:hanging="680"/>
      </w:pPr>
      <w:r w:rsidRPr="00A61719">
        <w:t xml:space="preserve">Item 2 removes </w:t>
      </w:r>
      <w:r w:rsidR="000850A1" w:rsidRPr="00A61719">
        <w:t>note 1 to the definition of CDR complaint data in rule 1.7</w:t>
      </w:r>
      <w:r w:rsidR="00853F6C" w:rsidRPr="00A61719">
        <w:t>.</w:t>
      </w:r>
      <w:r w:rsidR="00546CF9" w:rsidRPr="00A61719">
        <w:t xml:space="preserve"> Complaints resolved within 5 business days are typically not recorded under existing internal dispute reso</w:t>
      </w:r>
      <w:r w:rsidR="00946B11" w:rsidRPr="00A61719">
        <w:t>lution processes and where that is the case, the ACCC considers there is no requirement for these types of complaints to</w:t>
      </w:r>
      <w:r w:rsidR="00546CF9" w:rsidRPr="00A61719">
        <w:t xml:space="preserve"> be recorded or reported under the Rules</w:t>
      </w:r>
      <w:r w:rsidR="00946B11" w:rsidRPr="00A61719">
        <w:t>, although CDR participants may choose to do so</w:t>
      </w:r>
      <w:r w:rsidR="00546CF9" w:rsidRPr="00A61719">
        <w:t xml:space="preserve">.  </w:t>
      </w:r>
    </w:p>
    <w:p w14:paraId="2A085B41" w14:textId="243FAC04" w:rsidR="004B4601" w:rsidRPr="00A9785B" w:rsidRDefault="004B4601" w:rsidP="00A9785B">
      <w:pPr>
        <w:pStyle w:val="Numberedparagraph11"/>
        <w:numPr>
          <w:ilvl w:val="0"/>
          <w:numId w:val="0"/>
        </w:numPr>
        <w:tabs>
          <w:tab w:val="clear" w:pos="1021"/>
          <w:tab w:val="left" w:pos="680"/>
        </w:tabs>
        <w:spacing w:before="240" w:line="240" w:lineRule="auto"/>
        <w:rPr>
          <w:i/>
        </w:rPr>
      </w:pPr>
      <w:r>
        <w:rPr>
          <w:i/>
        </w:rPr>
        <w:t>Item 3: Amendment to Rule 1.7(1)</w:t>
      </w:r>
      <w:r w:rsidR="008562A2">
        <w:rPr>
          <w:i/>
        </w:rPr>
        <w:t xml:space="preserve"> (note 2 to the definition of CDR complaint data)</w:t>
      </w:r>
    </w:p>
    <w:p w14:paraId="3CC9CF54" w14:textId="4B9492FA" w:rsidR="004B4601" w:rsidRDefault="008A1A6F" w:rsidP="00A9785B">
      <w:pPr>
        <w:pStyle w:val="Numberedparagraph11"/>
        <w:numPr>
          <w:ilvl w:val="0"/>
          <w:numId w:val="12"/>
        </w:numPr>
        <w:tabs>
          <w:tab w:val="clear" w:pos="1021"/>
          <w:tab w:val="left" w:pos="680"/>
        </w:tabs>
        <w:spacing w:before="240" w:line="240" w:lineRule="auto"/>
        <w:ind w:left="680" w:hanging="680"/>
      </w:pPr>
      <w:r>
        <w:t>Item</w:t>
      </w:r>
      <w:r w:rsidR="004B4601">
        <w:t xml:space="preserve"> 3</w:t>
      </w:r>
      <w:r>
        <w:t xml:space="preserve"> is a consequential amendment following item 2. It</w:t>
      </w:r>
      <w:r w:rsidR="004B4601">
        <w:t xml:space="preserve"> replaces the remaining note, ‘Note 2’, with ‘Note’.</w:t>
      </w:r>
    </w:p>
    <w:p w14:paraId="1249E9A9" w14:textId="15C0DD46" w:rsidR="004B4601" w:rsidRPr="00A9785B" w:rsidRDefault="004B4601" w:rsidP="00A9785B">
      <w:pPr>
        <w:pStyle w:val="Numberedparagraph11"/>
        <w:numPr>
          <w:ilvl w:val="0"/>
          <w:numId w:val="0"/>
        </w:numPr>
        <w:tabs>
          <w:tab w:val="clear" w:pos="1021"/>
          <w:tab w:val="left" w:pos="680"/>
        </w:tabs>
        <w:spacing w:before="240" w:line="240" w:lineRule="auto"/>
        <w:rPr>
          <w:i/>
        </w:rPr>
      </w:pPr>
      <w:r>
        <w:rPr>
          <w:i/>
        </w:rPr>
        <w:t>Item 4: Amendment to Rule 1.13(4)</w:t>
      </w:r>
    </w:p>
    <w:p w14:paraId="5BEEC0D7" w14:textId="75B44E4B" w:rsidR="00434CFE" w:rsidRDefault="00434CFE" w:rsidP="00A9785B">
      <w:pPr>
        <w:pStyle w:val="Numberedparagraph11"/>
        <w:numPr>
          <w:ilvl w:val="0"/>
          <w:numId w:val="12"/>
        </w:numPr>
        <w:tabs>
          <w:tab w:val="clear" w:pos="1021"/>
          <w:tab w:val="left" w:pos="680"/>
        </w:tabs>
        <w:spacing w:before="240" w:line="240" w:lineRule="auto"/>
        <w:ind w:left="680" w:hanging="680"/>
      </w:pPr>
      <w:r>
        <w:t>Item 4 corrects a typographical error in rule 1.13(4) by replacing the term ‘an accredited person’ with the term ‘data holder’</w:t>
      </w:r>
    </w:p>
    <w:p w14:paraId="212C7A6D" w14:textId="5DE74596" w:rsidR="00434CFE" w:rsidRPr="00A9785B" w:rsidRDefault="00434CFE" w:rsidP="00A9785B">
      <w:pPr>
        <w:pStyle w:val="Numberedparagraph11"/>
        <w:numPr>
          <w:ilvl w:val="0"/>
          <w:numId w:val="0"/>
        </w:numPr>
        <w:tabs>
          <w:tab w:val="clear" w:pos="1021"/>
          <w:tab w:val="left" w:pos="680"/>
        </w:tabs>
        <w:spacing w:before="240" w:line="240" w:lineRule="auto"/>
        <w:rPr>
          <w:i/>
        </w:rPr>
      </w:pPr>
      <w:r>
        <w:rPr>
          <w:i/>
        </w:rPr>
        <w:t xml:space="preserve">Items 5–6: Amendments to </w:t>
      </w:r>
      <w:r w:rsidR="008562A2">
        <w:rPr>
          <w:i/>
        </w:rPr>
        <w:t>R</w:t>
      </w:r>
      <w:r>
        <w:rPr>
          <w:i/>
        </w:rPr>
        <w:t>ules 3.5(1</w:t>
      </w:r>
      <w:proofErr w:type="gramStart"/>
      <w:r>
        <w:rPr>
          <w:i/>
        </w:rPr>
        <w:t>)(</w:t>
      </w:r>
      <w:proofErr w:type="gramEnd"/>
      <w:r>
        <w:rPr>
          <w:i/>
        </w:rPr>
        <w:t>a), 4.7(1) and 4.7(2)</w:t>
      </w:r>
    </w:p>
    <w:p w14:paraId="1287D358" w14:textId="2A376046" w:rsidR="00682EB1" w:rsidRPr="00A61719" w:rsidRDefault="00434CFE" w:rsidP="00A9785B">
      <w:pPr>
        <w:pStyle w:val="Numberedparagraph11"/>
        <w:numPr>
          <w:ilvl w:val="0"/>
          <w:numId w:val="12"/>
        </w:numPr>
        <w:tabs>
          <w:tab w:val="clear" w:pos="1021"/>
          <w:tab w:val="left" w:pos="680"/>
        </w:tabs>
        <w:spacing w:before="240" w:line="240" w:lineRule="auto"/>
        <w:ind w:left="680" w:hanging="680"/>
      </w:pPr>
      <w:r w:rsidRPr="00A61719">
        <w:t xml:space="preserve">Items 5–6 expand the circumstances in which a data holder may refuse to </w:t>
      </w:r>
      <w:r w:rsidR="00E32E77" w:rsidRPr="00A61719">
        <w:t xml:space="preserve">ask for authorisation in respect of, or </w:t>
      </w:r>
      <w:r w:rsidRPr="00A61719">
        <w:t>disclose CDR data</w:t>
      </w:r>
      <w:r w:rsidR="00E32E77" w:rsidRPr="00A61719">
        <w:t xml:space="preserve"> from,</w:t>
      </w:r>
      <w:r w:rsidRPr="00A61719">
        <w:t xml:space="preserve"> an account</w:t>
      </w:r>
      <w:r w:rsidR="00E32E77" w:rsidRPr="00A61719">
        <w:t xml:space="preserve"> that</w:t>
      </w:r>
      <w:r w:rsidRPr="00A61719">
        <w:t xml:space="preserve"> is ‘blocked or suspended’. The amendment </w:t>
      </w:r>
      <w:r w:rsidR="002E6BBB" w:rsidRPr="00A61719">
        <w:t>recognises that</w:t>
      </w:r>
      <w:r w:rsidRPr="00A61719">
        <w:t xml:space="preserve"> </w:t>
      </w:r>
      <w:r w:rsidR="00BD54D5" w:rsidRPr="00A61719">
        <w:t>in some circumstances i</w:t>
      </w:r>
      <w:r w:rsidR="00682EB1" w:rsidRPr="00A61719">
        <w:t>t may</w:t>
      </w:r>
      <w:r w:rsidRPr="00A61719">
        <w:t xml:space="preserve"> not be appropriate for </w:t>
      </w:r>
      <w:r w:rsidR="00E32E77" w:rsidRPr="00A61719">
        <w:t>data from</w:t>
      </w:r>
      <w:r w:rsidR="00682EB1" w:rsidRPr="00A61719">
        <w:t xml:space="preserve"> a</w:t>
      </w:r>
      <w:r w:rsidR="00E32E77" w:rsidRPr="00A61719">
        <w:t xml:space="preserve"> </w:t>
      </w:r>
      <w:r w:rsidR="00682EB1" w:rsidRPr="00A61719">
        <w:t>blocked or suspended account</w:t>
      </w:r>
      <w:r w:rsidR="00B61D00" w:rsidRPr="00A61719">
        <w:t>s</w:t>
      </w:r>
      <w:r w:rsidRPr="00A61719">
        <w:t xml:space="preserve"> to be made available for sharing under the CDR.</w:t>
      </w:r>
      <w:r w:rsidR="00682EB1" w:rsidRPr="00A61719">
        <w:t xml:space="preserve"> </w:t>
      </w:r>
    </w:p>
    <w:p w14:paraId="152B7426" w14:textId="788146D8" w:rsidR="00434CFE" w:rsidRDefault="00E32E77" w:rsidP="00A9785B">
      <w:pPr>
        <w:pStyle w:val="Numberedparagraph11"/>
        <w:numPr>
          <w:ilvl w:val="0"/>
          <w:numId w:val="12"/>
        </w:numPr>
        <w:tabs>
          <w:tab w:val="clear" w:pos="1021"/>
          <w:tab w:val="left" w:pos="680"/>
        </w:tabs>
        <w:spacing w:before="240" w:line="240" w:lineRule="auto"/>
        <w:ind w:left="680" w:hanging="680"/>
      </w:pPr>
      <w:r>
        <w:t xml:space="preserve">A refusal to ask for authorisation in respect of a blocked or suspended account does not amount to an </w:t>
      </w:r>
      <w:r>
        <w:rPr>
          <w:color w:val="000000"/>
          <w:szCs w:val="22"/>
          <w:shd w:val="clear" w:color="auto" w:fill="FFFFFF"/>
        </w:rPr>
        <w:t xml:space="preserve">instance where CDR data has not been disclosed in reliance on an exemption from the obligation to disclose CDR data, for the purposes of the record keeping and reporting rules. </w:t>
      </w:r>
    </w:p>
    <w:p w14:paraId="7ACB7C90" w14:textId="1E34BEB8" w:rsidR="007041B7" w:rsidRPr="00A9785B" w:rsidRDefault="007041B7" w:rsidP="00A9785B">
      <w:pPr>
        <w:pStyle w:val="Numberedparagraph11"/>
        <w:numPr>
          <w:ilvl w:val="0"/>
          <w:numId w:val="0"/>
        </w:numPr>
        <w:tabs>
          <w:tab w:val="clear" w:pos="1021"/>
          <w:tab w:val="left" w:pos="680"/>
        </w:tabs>
        <w:spacing w:before="240" w:line="240" w:lineRule="auto"/>
        <w:rPr>
          <w:i/>
        </w:rPr>
      </w:pPr>
      <w:r>
        <w:rPr>
          <w:i/>
        </w:rPr>
        <w:t xml:space="preserve">Item 7: Amendment to </w:t>
      </w:r>
      <w:r w:rsidR="007E4FF6">
        <w:rPr>
          <w:i/>
        </w:rPr>
        <w:t>Rule 4.7(3)</w:t>
      </w:r>
      <w:r w:rsidR="008562A2">
        <w:rPr>
          <w:i/>
        </w:rPr>
        <w:t xml:space="preserve"> (heading)</w:t>
      </w:r>
    </w:p>
    <w:p w14:paraId="12E14E0D" w14:textId="487E930A" w:rsidR="007041B7" w:rsidRDefault="007E4FF6" w:rsidP="00A9785B">
      <w:pPr>
        <w:pStyle w:val="Numberedparagraph11"/>
        <w:numPr>
          <w:ilvl w:val="0"/>
          <w:numId w:val="12"/>
        </w:numPr>
        <w:tabs>
          <w:tab w:val="clear" w:pos="1021"/>
          <w:tab w:val="left" w:pos="680"/>
        </w:tabs>
        <w:spacing w:before="240" w:line="240" w:lineRule="auto"/>
        <w:ind w:left="680" w:hanging="680"/>
      </w:pPr>
      <w:r>
        <w:t>Item 7 amends rule 4.7(3) by removing a redundant heading.</w:t>
      </w:r>
    </w:p>
    <w:p w14:paraId="3ADBB3BC" w14:textId="4BC6896E" w:rsidR="007E4FF6" w:rsidRPr="00A9785B" w:rsidRDefault="007E4FF6" w:rsidP="00A9785B">
      <w:pPr>
        <w:pStyle w:val="Numberedparagraph11"/>
        <w:numPr>
          <w:ilvl w:val="0"/>
          <w:numId w:val="0"/>
        </w:numPr>
        <w:tabs>
          <w:tab w:val="clear" w:pos="1021"/>
          <w:tab w:val="left" w:pos="680"/>
        </w:tabs>
        <w:spacing w:before="240" w:line="240" w:lineRule="auto"/>
        <w:rPr>
          <w:i/>
        </w:rPr>
      </w:pPr>
      <w:r>
        <w:rPr>
          <w:i/>
        </w:rPr>
        <w:t>Item 8: Amendment to rule 4.11(1)</w:t>
      </w:r>
      <w:r w:rsidR="008562A2">
        <w:rPr>
          <w:i/>
        </w:rPr>
        <w:t xml:space="preserve"> (note 2)</w:t>
      </w:r>
    </w:p>
    <w:p w14:paraId="337B92EE" w14:textId="5FD043AD" w:rsidR="007E4FF6" w:rsidRDefault="00044CB1" w:rsidP="00A9785B">
      <w:pPr>
        <w:pStyle w:val="Numberedparagraph11"/>
        <w:numPr>
          <w:ilvl w:val="0"/>
          <w:numId w:val="12"/>
        </w:numPr>
        <w:tabs>
          <w:tab w:val="clear" w:pos="1021"/>
          <w:tab w:val="left" w:pos="680"/>
        </w:tabs>
        <w:spacing w:before="240" w:line="240" w:lineRule="auto"/>
        <w:ind w:left="680" w:hanging="680"/>
      </w:pPr>
      <w:r>
        <w:t>Item 8 amends rule 4.11(1) by substituting a reference to rules 7.12 and 7.13 in place of an incorrect reference to rules 7.11 and 7.12.</w:t>
      </w:r>
    </w:p>
    <w:p w14:paraId="53C11CB6" w14:textId="312799B5" w:rsidR="00044CB1" w:rsidRPr="00A9785B" w:rsidRDefault="00044CB1" w:rsidP="00A9785B">
      <w:pPr>
        <w:pStyle w:val="Numberedparagraph11"/>
        <w:numPr>
          <w:ilvl w:val="0"/>
          <w:numId w:val="0"/>
        </w:numPr>
        <w:tabs>
          <w:tab w:val="clear" w:pos="1021"/>
          <w:tab w:val="left" w:pos="680"/>
        </w:tabs>
        <w:spacing w:before="240" w:line="240" w:lineRule="auto"/>
        <w:rPr>
          <w:i/>
        </w:rPr>
      </w:pPr>
      <w:r>
        <w:rPr>
          <w:i/>
        </w:rPr>
        <w:t xml:space="preserve">Items 9 and 14: Amendments to </w:t>
      </w:r>
      <w:r w:rsidR="00331138">
        <w:rPr>
          <w:i/>
        </w:rPr>
        <w:t>Rules</w:t>
      </w:r>
      <w:r>
        <w:rPr>
          <w:i/>
        </w:rPr>
        <w:t xml:space="preserve"> 4.13(1</w:t>
      </w:r>
      <w:proofErr w:type="gramStart"/>
      <w:r>
        <w:rPr>
          <w:i/>
        </w:rPr>
        <w:t>)(</w:t>
      </w:r>
      <w:proofErr w:type="gramEnd"/>
      <w:r>
        <w:rPr>
          <w:i/>
        </w:rPr>
        <w:t>a) and (b); and 4.25(1)(a) and</w:t>
      </w:r>
      <w:r w:rsidR="00331138">
        <w:rPr>
          <w:i/>
        </w:rPr>
        <w:t xml:space="preserve"> </w:t>
      </w:r>
      <w:r>
        <w:rPr>
          <w:i/>
        </w:rPr>
        <w:t>(b)</w:t>
      </w:r>
    </w:p>
    <w:p w14:paraId="750C6BC4" w14:textId="60948D56" w:rsidR="00BF1F71" w:rsidRDefault="00044CB1" w:rsidP="00BF1F71">
      <w:pPr>
        <w:pStyle w:val="Numberedparagraph11"/>
        <w:numPr>
          <w:ilvl w:val="0"/>
          <w:numId w:val="12"/>
        </w:numPr>
        <w:tabs>
          <w:tab w:val="clear" w:pos="1021"/>
          <w:tab w:val="left" w:pos="680"/>
        </w:tabs>
        <w:spacing w:before="240" w:line="240" w:lineRule="auto"/>
        <w:ind w:left="680" w:hanging="680"/>
      </w:pPr>
      <w:r>
        <w:t xml:space="preserve">The </w:t>
      </w:r>
      <w:r w:rsidR="00BF1F71">
        <w:t xml:space="preserve">purpose of the </w:t>
      </w:r>
      <w:r>
        <w:t xml:space="preserve">amendments </w:t>
      </w:r>
      <w:r w:rsidR="00BF1F71">
        <w:t>in</w:t>
      </w:r>
      <w:r>
        <w:t xml:space="preserve"> </w:t>
      </w:r>
      <w:r w:rsidR="00331138">
        <w:t>items</w:t>
      </w:r>
      <w:r>
        <w:t xml:space="preserve"> 9 and 14 </w:t>
      </w:r>
      <w:r w:rsidR="00E91019">
        <w:t>is to provide</w:t>
      </w:r>
      <w:r w:rsidR="00BF1F71">
        <w:t xml:space="preserve"> greater flexibility </w:t>
      </w:r>
      <w:r w:rsidR="00E91019">
        <w:t>in</w:t>
      </w:r>
      <w:r w:rsidR="00BF1F71">
        <w:t xml:space="preserve"> the alternative methods offered to</w:t>
      </w:r>
      <w:r w:rsidRPr="00044CB1">
        <w:t xml:space="preserve"> CDR consumers to withdraw consent </w:t>
      </w:r>
      <w:r w:rsidR="00BF1F71">
        <w:t xml:space="preserve">and authorisation. </w:t>
      </w:r>
      <w:r w:rsidR="00BF1F71" w:rsidRPr="00044CB1">
        <w:t xml:space="preserve">These requirements </w:t>
      </w:r>
      <w:r w:rsidR="00BF1F71">
        <w:t xml:space="preserve">will </w:t>
      </w:r>
      <w:r w:rsidR="00BF1F71" w:rsidRPr="00044CB1">
        <w:t>apply in addition to</w:t>
      </w:r>
      <w:r w:rsidR="00BF1F71">
        <w:t xml:space="preserve"> the existing requirement to make a</w:t>
      </w:r>
      <w:r w:rsidR="00BF1F71" w:rsidRPr="00044CB1">
        <w:t xml:space="preserve"> withdrawal functionality available to co</w:t>
      </w:r>
      <w:r w:rsidR="00BF1F71">
        <w:t>nsumers via the consumer dashboard.</w:t>
      </w:r>
    </w:p>
    <w:p w14:paraId="6DAA8BC9" w14:textId="4EE14B2B" w:rsidR="00044CB1" w:rsidRDefault="00BF1F71" w:rsidP="00A9785B">
      <w:pPr>
        <w:pStyle w:val="Numberedparagraph11"/>
        <w:numPr>
          <w:ilvl w:val="0"/>
          <w:numId w:val="12"/>
        </w:numPr>
        <w:tabs>
          <w:tab w:val="clear" w:pos="1021"/>
          <w:tab w:val="left" w:pos="680"/>
        </w:tabs>
        <w:spacing w:before="240" w:line="240" w:lineRule="auto"/>
        <w:ind w:left="680" w:hanging="680"/>
      </w:pPr>
      <w:r>
        <w:lastRenderedPageBreak/>
        <w:t>An accredited person will need to offer a CDR consumer</w:t>
      </w:r>
      <w:r w:rsidR="00044CB1" w:rsidRPr="00044CB1">
        <w:t xml:space="preserve"> an alternative method of communication </w:t>
      </w:r>
      <w:r w:rsidR="008D6600">
        <w:t>(to the dashboard) for withdrawing consent that is simple to use. A corresponding requirement will apply to data holders to offer</w:t>
      </w:r>
      <w:r w:rsidR="00044CB1" w:rsidRPr="00044CB1">
        <w:t xml:space="preserve"> CDR consumers </w:t>
      </w:r>
      <w:r w:rsidR="008D6600">
        <w:t xml:space="preserve">the ability </w:t>
      </w:r>
      <w:r w:rsidR="00044CB1" w:rsidRPr="00044CB1">
        <w:t>to withdraw authorisation using a</w:t>
      </w:r>
      <w:r w:rsidR="008D6600">
        <w:t xml:space="preserve"> simple</w:t>
      </w:r>
      <w:r w:rsidR="00044CB1" w:rsidRPr="00044CB1">
        <w:t xml:space="preserve"> alternative method of communication</w:t>
      </w:r>
      <w:r w:rsidR="008D6600">
        <w:t xml:space="preserve"> (other than via the data holder’s dashboard)</w:t>
      </w:r>
      <w:r w:rsidR="00044CB1" w:rsidRPr="00044CB1">
        <w:t xml:space="preserve">. </w:t>
      </w:r>
    </w:p>
    <w:p w14:paraId="2D96D16D" w14:textId="4FB40B6A" w:rsidR="00044CB1" w:rsidRDefault="008D6600" w:rsidP="00A9785B">
      <w:pPr>
        <w:pStyle w:val="Numberedparagraph11"/>
        <w:numPr>
          <w:ilvl w:val="0"/>
          <w:numId w:val="12"/>
        </w:numPr>
        <w:tabs>
          <w:tab w:val="clear" w:pos="1021"/>
          <w:tab w:val="left" w:pos="680"/>
        </w:tabs>
        <w:spacing w:before="240" w:line="240" w:lineRule="auto"/>
        <w:ind w:left="680" w:hanging="680"/>
      </w:pPr>
      <w:r>
        <w:t>The previous rules</w:t>
      </w:r>
      <w:r w:rsidR="00044CB1">
        <w:t xml:space="preserve"> required the alternative method to be in writing, </w:t>
      </w:r>
      <w:r>
        <w:t xml:space="preserve">which will remain an option to offer to CDR consumers. However, </w:t>
      </w:r>
      <w:r w:rsidR="00044CB1">
        <w:t>these</w:t>
      </w:r>
      <w:r w:rsidR="00044CB1" w:rsidRPr="00044CB1">
        <w:t xml:space="preserve"> amendments </w:t>
      </w:r>
      <w:r w:rsidR="00044CB1">
        <w:t xml:space="preserve">allow </w:t>
      </w:r>
      <w:r>
        <w:t xml:space="preserve">greater flexibility in </w:t>
      </w:r>
      <w:r w:rsidR="00BE4B1C">
        <w:t>the</w:t>
      </w:r>
      <w:r w:rsidR="00BE4B1C" w:rsidRPr="00044CB1">
        <w:t xml:space="preserve"> withdrawal</w:t>
      </w:r>
      <w:r w:rsidR="00044CB1" w:rsidRPr="00044CB1">
        <w:t xml:space="preserve"> methods </w:t>
      </w:r>
      <w:r>
        <w:t>that accredited persons and data holders can offer</w:t>
      </w:r>
      <w:r w:rsidR="00E91019">
        <w:t xml:space="preserve"> to</w:t>
      </w:r>
      <w:r w:rsidR="00BF54DA">
        <w:t xml:space="preserve"> better reflect</w:t>
      </w:r>
      <w:r>
        <w:t xml:space="preserve"> </w:t>
      </w:r>
      <w:r w:rsidR="00044CB1">
        <w:t xml:space="preserve">methods of communication </w:t>
      </w:r>
      <w:r w:rsidR="00E27ED2">
        <w:t xml:space="preserve">and customer authentication </w:t>
      </w:r>
      <w:r w:rsidR="00044CB1">
        <w:t>already</w:t>
      </w:r>
      <w:r w:rsidR="00044CB1" w:rsidRPr="00044CB1">
        <w:t xml:space="preserve"> made available by accredited persons and data holders</w:t>
      </w:r>
      <w:r>
        <w:t xml:space="preserve"> to their customers</w:t>
      </w:r>
      <w:r w:rsidR="00044CB1" w:rsidRPr="00044CB1">
        <w:t xml:space="preserve">. </w:t>
      </w:r>
    </w:p>
    <w:p w14:paraId="6CF3FD99" w14:textId="27EDB640" w:rsidR="00044CB1" w:rsidRPr="00A9785B" w:rsidRDefault="004D0863" w:rsidP="00A9785B">
      <w:pPr>
        <w:pStyle w:val="Numberedparagraph11"/>
        <w:numPr>
          <w:ilvl w:val="0"/>
          <w:numId w:val="0"/>
        </w:numPr>
        <w:tabs>
          <w:tab w:val="clear" w:pos="1021"/>
          <w:tab w:val="left" w:pos="680"/>
        </w:tabs>
        <w:spacing w:before="240" w:line="240" w:lineRule="auto"/>
        <w:rPr>
          <w:i/>
        </w:rPr>
      </w:pPr>
      <w:r w:rsidRPr="00A9785B">
        <w:rPr>
          <w:i/>
        </w:rPr>
        <w:t xml:space="preserve">Items </w:t>
      </w:r>
      <w:r w:rsidR="00331138" w:rsidRPr="00A9785B">
        <w:rPr>
          <w:i/>
        </w:rPr>
        <w:t>10–13 and 15–18: Amendments to Rules 4.13</w:t>
      </w:r>
      <w:r w:rsidR="008562A2">
        <w:rPr>
          <w:i/>
        </w:rPr>
        <w:t>(2)(a)</w:t>
      </w:r>
      <w:r w:rsidR="00331138" w:rsidRPr="00A9785B">
        <w:rPr>
          <w:i/>
        </w:rPr>
        <w:t>, 4.14</w:t>
      </w:r>
      <w:r w:rsidR="008562A2">
        <w:rPr>
          <w:i/>
        </w:rPr>
        <w:t>(1)(a), 4.14(1)(a)(ii)</w:t>
      </w:r>
      <w:r w:rsidR="00331138" w:rsidRPr="00A9785B">
        <w:rPr>
          <w:i/>
        </w:rPr>
        <w:t>,</w:t>
      </w:r>
      <w:r w:rsidR="008562A2">
        <w:rPr>
          <w:i/>
        </w:rPr>
        <w:t xml:space="preserve"> 4.14(1)(b), 4.25(2)(a), 4.26(1)(a), 4.26(1)(a)(ii), 4,26(1)(b)</w:t>
      </w:r>
    </w:p>
    <w:p w14:paraId="0F6F7943" w14:textId="42EE3834" w:rsidR="00044CB1" w:rsidRDefault="00331138" w:rsidP="00A9785B">
      <w:pPr>
        <w:pStyle w:val="Numberedparagraph11"/>
        <w:numPr>
          <w:ilvl w:val="0"/>
          <w:numId w:val="12"/>
        </w:numPr>
        <w:tabs>
          <w:tab w:val="clear" w:pos="1021"/>
          <w:tab w:val="left" w:pos="680"/>
        </w:tabs>
        <w:spacing w:before="240" w:line="240" w:lineRule="auto"/>
        <w:ind w:left="680" w:hanging="680"/>
      </w:pPr>
      <w:r>
        <w:t xml:space="preserve">Items 10–13 and 15–18 are consequential </w:t>
      </w:r>
      <w:r w:rsidR="008D6600">
        <w:t>to the</w:t>
      </w:r>
      <w:r>
        <w:t xml:space="preserve"> amendments </w:t>
      </w:r>
      <w:r w:rsidR="00E91019">
        <w:t>to</w:t>
      </w:r>
      <w:r w:rsidR="00682EB1">
        <w:t xml:space="preserve"> items 9 and 14 and are </w:t>
      </w:r>
      <w:r>
        <w:t xml:space="preserve">necessary to provide </w:t>
      </w:r>
      <w:r w:rsidR="00682EB1">
        <w:t>accurate</w:t>
      </w:r>
      <w:r>
        <w:t xml:space="preserve"> cross-references</w:t>
      </w:r>
      <w:r w:rsidR="008D6600">
        <w:t xml:space="preserve"> in the Rules</w:t>
      </w:r>
      <w:r>
        <w:t>.</w:t>
      </w:r>
    </w:p>
    <w:p w14:paraId="540F1C74" w14:textId="225C38B6" w:rsidR="00331138" w:rsidRPr="00A9785B" w:rsidRDefault="00CF1199" w:rsidP="00A9785B">
      <w:pPr>
        <w:pStyle w:val="Numberedparagraph11"/>
        <w:numPr>
          <w:ilvl w:val="0"/>
          <w:numId w:val="0"/>
        </w:numPr>
        <w:tabs>
          <w:tab w:val="clear" w:pos="1021"/>
          <w:tab w:val="left" w:pos="680"/>
        </w:tabs>
        <w:spacing w:before="240" w:line="240" w:lineRule="auto"/>
        <w:rPr>
          <w:i/>
        </w:rPr>
      </w:pPr>
      <w:r>
        <w:rPr>
          <w:i/>
        </w:rPr>
        <w:t>Item 19: Amendment to Rule 5.17(1)</w:t>
      </w:r>
      <w:r w:rsidR="008562A2">
        <w:rPr>
          <w:i/>
        </w:rPr>
        <w:t xml:space="preserve"> </w:t>
      </w:r>
      <w:r w:rsidR="008562A2" w:rsidRPr="008562A2">
        <w:rPr>
          <w:i/>
        </w:rPr>
        <w:t>(table item 3, column headed “</w:t>
      </w:r>
      <w:proofErr w:type="gramStart"/>
      <w:r w:rsidR="008562A2" w:rsidRPr="008562A2">
        <w:rPr>
          <w:i/>
        </w:rPr>
        <w:t>If:</w:t>
      </w:r>
      <w:proofErr w:type="gramEnd"/>
      <w:r w:rsidR="008562A2" w:rsidRPr="008562A2">
        <w:rPr>
          <w:i/>
        </w:rPr>
        <w:t>”)</w:t>
      </w:r>
    </w:p>
    <w:p w14:paraId="066B94C5" w14:textId="77777777" w:rsidR="00CF1199" w:rsidRDefault="00CF1199" w:rsidP="00A9785B">
      <w:pPr>
        <w:pStyle w:val="Numberedparagraph11"/>
        <w:numPr>
          <w:ilvl w:val="0"/>
          <w:numId w:val="12"/>
        </w:numPr>
        <w:tabs>
          <w:tab w:val="clear" w:pos="1021"/>
          <w:tab w:val="left" w:pos="680"/>
        </w:tabs>
        <w:spacing w:before="240" w:line="240" w:lineRule="auto"/>
        <w:ind w:left="680" w:hanging="680"/>
      </w:pPr>
      <w:r>
        <w:t>Item 19 amends rule 5.17(1) to correct a typographical error by removing a repeated word.</w:t>
      </w:r>
    </w:p>
    <w:p w14:paraId="7FC849B2" w14:textId="655AFA98" w:rsidR="00CF1199" w:rsidRPr="00A9785B" w:rsidRDefault="00CF1199" w:rsidP="00A9785B">
      <w:pPr>
        <w:pStyle w:val="Numberedparagraph11"/>
        <w:numPr>
          <w:ilvl w:val="0"/>
          <w:numId w:val="0"/>
        </w:numPr>
        <w:tabs>
          <w:tab w:val="clear" w:pos="1021"/>
          <w:tab w:val="left" w:pos="680"/>
        </w:tabs>
        <w:spacing w:before="240" w:line="240" w:lineRule="auto"/>
        <w:rPr>
          <w:i/>
        </w:rPr>
      </w:pPr>
      <w:r>
        <w:rPr>
          <w:i/>
        </w:rPr>
        <w:t>Item 20: Amendment to Rule 5.17(1)</w:t>
      </w:r>
      <w:r w:rsidR="008562A2">
        <w:rPr>
          <w:i/>
        </w:rPr>
        <w:t xml:space="preserve"> </w:t>
      </w:r>
      <w:r w:rsidR="008562A2" w:rsidRPr="008562A2">
        <w:rPr>
          <w:i/>
        </w:rPr>
        <w:t>(table item 4, column headed “If:</w:t>
      </w:r>
      <w:proofErr w:type="gramStart"/>
      <w:r w:rsidR="008562A2" w:rsidRPr="008562A2">
        <w:rPr>
          <w:i/>
        </w:rPr>
        <w:t>”,</w:t>
      </w:r>
      <w:proofErr w:type="gramEnd"/>
      <w:r w:rsidR="008562A2" w:rsidRPr="008562A2">
        <w:rPr>
          <w:i/>
        </w:rPr>
        <w:t xml:space="preserve"> subparagraph (b)(</w:t>
      </w:r>
      <w:proofErr w:type="spellStart"/>
      <w:r w:rsidR="008562A2" w:rsidRPr="008562A2">
        <w:rPr>
          <w:i/>
        </w:rPr>
        <w:t>i</w:t>
      </w:r>
      <w:proofErr w:type="spellEnd"/>
      <w:r w:rsidR="008562A2" w:rsidRPr="008562A2">
        <w:rPr>
          <w:i/>
        </w:rPr>
        <w:t>))</w:t>
      </w:r>
    </w:p>
    <w:p w14:paraId="050ACD4F" w14:textId="78EAABAC" w:rsidR="000B2108" w:rsidRDefault="00CF1199" w:rsidP="00A9785B">
      <w:pPr>
        <w:pStyle w:val="Numberedparagraph11"/>
        <w:numPr>
          <w:ilvl w:val="0"/>
          <w:numId w:val="12"/>
        </w:numPr>
        <w:tabs>
          <w:tab w:val="clear" w:pos="1021"/>
          <w:tab w:val="left" w:pos="680"/>
        </w:tabs>
        <w:spacing w:before="240" w:line="240" w:lineRule="auto"/>
        <w:ind w:left="680" w:hanging="680"/>
      </w:pPr>
      <w:r>
        <w:t xml:space="preserve">Item 20 amends rule 5.17(1) to insert the phrase ‘or the associated database’ in item 4 of rule 5.17. </w:t>
      </w:r>
      <w:r w:rsidR="008D6600">
        <w:t>Item 4 of rule 5.17</w:t>
      </w:r>
      <w:r w:rsidRPr="00CF1199">
        <w:t xml:space="preserve"> allows the Data Recipient Accreditor to suspend or revoke accreditation where it reasonably believes that doing so is necessary to protect the security, integrity</w:t>
      </w:r>
      <w:r w:rsidR="00BF54DA">
        <w:t xml:space="preserve"> and stability of the </w:t>
      </w:r>
      <w:r w:rsidR="008D6600">
        <w:t>Register of Accredited Persons</w:t>
      </w:r>
      <w:r w:rsidR="00BF54DA">
        <w:t xml:space="preserve">. The amendment clarifies </w:t>
      </w:r>
      <w:r w:rsidRPr="00CF1199">
        <w:t>that this power extends to the database</w:t>
      </w:r>
      <w:r w:rsidR="008D6600">
        <w:t xml:space="preserve"> which</w:t>
      </w:r>
      <w:r w:rsidR="00E91019">
        <w:t xml:space="preserve"> is</w:t>
      </w:r>
      <w:r w:rsidR="008D6600">
        <w:t xml:space="preserve"> associated with the Register</w:t>
      </w:r>
      <w:r w:rsidR="00E91019">
        <w:t>,</w:t>
      </w:r>
      <w:r w:rsidR="008D6600">
        <w:t xml:space="preserve"> and is consistent with existing references throughout the Rules to the </w:t>
      </w:r>
      <w:r w:rsidR="00BF54DA">
        <w:t>Register</w:t>
      </w:r>
      <w:r w:rsidRPr="00CF1199">
        <w:t>.</w:t>
      </w:r>
    </w:p>
    <w:p w14:paraId="06299FF7" w14:textId="1B3562AA" w:rsidR="00CF1199" w:rsidRPr="00A9785B" w:rsidRDefault="00CF1199" w:rsidP="00A9785B">
      <w:pPr>
        <w:pStyle w:val="Numberedparagraph11"/>
        <w:numPr>
          <w:ilvl w:val="0"/>
          <w:numId w:val="0"/>
        </w:numPr>
        <w:tabs>
          <w:tab w:val="clear" w:pos="1021"/>
          <w:tab w:val="left" w:pos="680"/>
        </w:tabs>
        <w:spacing w:before="240" w:line="240" w:lineRule="auto"/>
        <w:rPr>
          <w:i/>
        </w:rPr>
      </w:pPr>
      <w:r>
        <w:rPr>
          <w:i/>
        </w:rPr>
        <w:t xml:space="preserve">Item 21: Amendment to </w:t>
      </w:r>
      <w:r w:rsidR="00C0195D">
        <w:rPr>
          <w:i/>
        </w:rPr>
        <w:t>Rule</w:t>
      </w:r>
      <w:r>
        <w:rPr>
          <w:i/>
        </w:rPr>
        <w:t xml:space="preserve"> 5.18</w:t>
      </w:r>
      <w:r w:rsidR="008562A2">
        <w:rPr>
          <w:i/>
        </w:rPr>
        <w:t>(1)</w:t>
      </w:r>
    </w:p>
    <w:p w14:paraId="7008484A" w14:textId="6464A0D2" w:rsidR="00CF1199" w:rsidRDefault="00CF1199" w:rsidP="00A9785B">
      <w:pPr>
        <w:pStyle w:val="Numberedparagraph11"/>
        <w:numPr>
          <w:ilvl w:val="0"/>
          <w:numId w:val="12"/>
        </w:numPr>
        <w:tabs>
          <w:tab w:val="clear" w:pos="1021"/>
          <w:tab w:val="left" w:pos="680"/>
        </w:tabs>
        <w:spacing w:before="240" w:line="240" w:lineRule="auto"/>
        <w:ind w:left="680" w:hanging="680"/>
      </w:pPr>
      <w:r>
        <w:t>Item 21 corrects a typographical error by replacing the term ‘registration’ with ‘accreditation’.</w:t>
      </w:r>
    </w:p>
    <w:p w14:paraId="037A87F0" w14:textId="2BEFF12E" w:rsidR="00CF1199" w:rsidRPr="00A9785B" w:rsidRDefault="00CF1199" w:rsidP="00A9785B">
      <w:pPr>
        <w:pStyle w:val="Numberedparagraph11"/>
        <w:numPr>
          <w:ilvl w:val="0"/>
          <w:numId w:val="0"/>
        </w:numPr>
        <w:tabs>
          <w:tab w:val="clear" w:pos="1021"/>
          <w:tab w:val="left" w:pos="680"/>
        </w:tabs>
        <w:spacing w:before="240" w:line="240" w:lineRule="auto"/>
        <w:rPr>
          <w:i/>
        </w:rPr>
      </w:pPr>
      <w:r>
        <w:rPr>
          <w:i/>
        </w:rPr>
        <w:t xml:space="preserve">Item 22: Amendment to </w:t>
      </w:r>
      <w:r w:rsidR="00C0195D">
        <w:rPr>
          <w:i/>
        </w:rPr>
        <w:t>Rule</w:t>
      </w:r>
      <w:r>
        <w:rPr>
          <w:i/>
        </w:rPr>
        <w:t xml:space="preserve"> 5.24</w:t>
      </w:r>
      <w:r w:rsidR="008562A2">
        <w:rPr>
          <w:i/>
        </w:rPr>
        <w:t xml:space="preserve">, note 3 (first occurring) </w:t>
      </w:r>
    </w:p>
    <w:p w14:paraId="4133E77B" w14:textId="1D5EB005" w:rsidR="00CF1199" w:rsidRDefault="00CF1199" w:rsidP="00A9785B">
      <w:pPr>
        <w:pStyle w:val="Numberedparagraph11"/>
        <w:numPr>
          <w:ilvl w:val="0"/>
          <w:numId w:val="12"/>
        </w:numPr>
        <w:tabs>
          <w:tab w:val="clear" w:pos="1021"/>
          <w:tab w:val="left" w:pos="680"/>
        </w:tabs>
        <w:spacing w:before="240" w:line="240" w:lineRule="auto"/>
        <w:ind w:left="680" w:hanging="680"/>
      </w:pPr>
      <w:r>
        <w:t xml:space="preserve">Item 22 corrects a reference by replacing an </w:t>
      </w:r>
      <w:r w:rsidR="00BF54DA">
        <w:t>incorrect</w:t>
      </w:r>
      <w:r>
        <w:t xml:space="preserve"> reference to ‘Note 3’</w:t>
      </w:r>
      <w:r w:rsidR="00C308FC">
        <w:t xml:space="preserve"> with a reference to </w:t>
      </w:r>
      <w:r>
        <w:t>‘Note 2’.</w:t>
      </w:r>
    </w:p>
    <w:p w14:paraId="44FC0F66" w14:textId="265A7FD6" w:rsidR="00CF1199" w:rsidRPr="00A9785B" w:rsidRDefault="00CF1199" w:rsidP="00A9785B">
      <w:pPr>
        <w:pStyle w:val="Numberedparagraph11"/>
        <w:numPr>
          <w:ilvl w:val="0"/>
          <w:numId w:val="0"/>
        </w:numPr>
        <w:tabs>
          <w:tab w:val="clear" w:pos="1021"/>
          <w:tab w:val="left" w:pos="680"/>
        </w:tabs>
        <w:spacing w:before="240" w:line="240" w:lineRule="auto"/>
        <w:rPr>
          <w:i/>
        </w:rPr>
      </w:pPr>
      <w:r>
        <w:rPr>
          <w:i/>
        </w:rPr>
        <w:t>Item 23–24: Amendment</w:t>
      </w:r>
      <w:r w:rsidR="00C0195D">
        <w:rPr>
          <w:i/>
        </w:rPr>
        <w:t xml:space="preserve"> to Rules 5.30(b) and 5.30(c)</w:t>
      </w:r>
    </w:p>
    <w:p w14:paraId="69EADC6A" w14:textId="44F528EF" w:rsidR="008562A2" w:rsidRDefault="00510993" w:rsidP="008562A2">
      <w:pPr>
        <w:pStyle w:val="Numberedparagraph11"/>
        <w:numPr>
          <w:ilvl w:val="0"/>
          <w:numId w:val="12"/>
        </w:numPr>
        <w:tabs>
          <w:tab w:val="clear" w:pos="1021"/>
          <w:tab w:val="left" w:pos="680"/>
        </w:tabs>
        <w:spacing w:before="240" w:line="240" w:lineRule="auto"/>
        <w:ind w:left="680" w:hanging="680"/>
      </w:pPr>
      <w:r>
        <w:t xml:space="preserve">Under the Act, the Accreditation Registrar (currently the ACCC) has the function of establishing and maintaining the Register (subsection </w:t>
      </w:r>
      <w:proofErr w:type="gramStart"/>
      <w:r>
        <w:t>56CE(</w:t>
      </w:r>
      <w:proofErr w:type="gramEnd"/>
      <w:r>
        <w:t>1) and section 56CL). The Registrar also has the functions confer</w:t>
      </w:r>
      <w:r w:rsidR="00C02CE2">
        <w:t>red by rule 5.30 which include</w:t>
      </w:r>
      <w:r>
        <w:t xml:space="preserve"> ‘maintaining the security, stability and integrity of the Register and associated database, including undertaking or facilitating any testing for that purpose’. </w:t>
      </w:r>
      <w:r w:rsidR="00C0195D">
        <w:t>Item</w:t>
      </w:r>
      <w:r>
        <w:t xml:space="preserve"> </w:t>
      </w:r>
      <w:r w:rsidR="00C0195D">
        <w:t>23</w:t>
      </w:r>
      <w:r w:rsidR="00E91019">
        <w:t xml:space="preserve"> </w:t>
      </w:r>
      <w:r>
        <w:t xml:space="preserve">makes a minor amendment to </w:t>
      </w:r>
      <w:r w:rsidR="0092653D">
        <w:t xml:space="preserve">insert </w:t>
      </w:r>
      <w:r w:rsidR="0092653D" w:rsidRPr="0092653D">
        <w:t xml:space="preserve">‘by CDR participants’ after ‘facilitating any testing’ in rule 5.30(b), and </w:t>
      </w:r>
      <w:r w:rsidR="00746924">
        <w:t xml:space="preserve">item 24 adds </w:t>
      </w:r>
      <w:r w:rsidR="0092653D" w:rsidRPr="0092653D">
        <w:t>an example after rule 5.30(c) that illustrates where the Accreditation Registrar might make a request concerning testing.</w:t>
      </w:r>
    </w:p>
    <w:p w14:paraId="14F3B757" w14:textId="3C3A7484" w:rsidR="008562A2" w:rsidRDefault="0092653D" w:rsidP="008562A2">
      <w:pPr>
        <w:pStyle w:val="Numberedparagraph11"/>
        <w:numPr>
          <w:ilvl w:val="0"/>
          <w:numId w:val="12"/>
        </w:numPr>
        <w:tabs>
          <w:tab w:val="clear" w:pos="1021"/>
          <w:tab w:val="left" w:pos="680"/>
        </w:tabs>
        <w:spacing w:before="240" w:line="240" w:lineRule="auto"/>
        <w:ind w:left="680" w:hanging="680"/>
      </w:pPr>
      <w:r>
        <w:t xml:space="preserve">The minor amendments </w:t>
      </w:r>
      <w:r w:rsidR="008D6600">
        <w:t>made</w:t>
      </w:r>
      <w:r>
        <w:t xml:space="preserve"> by items 23–24 are intended to</w:t>
      </w:r>
      <w:r w:rsidRPr="0092653D">
        <w:t xml:space="preserve"> </w:t>
      </w:r>
      <w:r w:rsidR="00746924">
        <w:t xml:space="preserve">clarify that the function of the Registrar in relation to the </w:t>
      </w:r>
      <w:r w:rsidRPr="0092653D">
        <w:t xml:space="preserve">security, integrity and stability of the Register </w:t>
      </w:r>
      <w:r w:rsidR="00746924">
        <w:t xml:space="preserve">covers </w:t>
      </w:r>
      <w:r w:rsidR="00746924">
        <w:lastRenderedPageBreak/>
        <w:t xml:space="preserve">facilitating testing of the Register itself and CDR participants who will access information contained in the Register in sending and responding to consumer data requests in accordance with the Standards, </w:t>
      </w:r>
      <w:r w:rsidR="00C02CE2">
        <w:t>and</w:t>
      </w:r>
      <w:r w:rsidR="00746924">
        <w:t xml:space="preserve"> the power to make requests under rule 5.30(c) covers requests concerning testing. </w:t>
      </w:r>
    </w:p>
    <w:p w14:paraId="4C91C60B" w14:textId="2ECEEDB5" w:rsidR="0092653D" w:rsidRPr="008562A2" w:rsidRDefault="0092653D" w:rsidP="008562A2">
      <w:pPr>
        <w:pStyle w:val="Numberedparagraph11"/>
        <w:numPr>
          <w:ilvl w:val="0"/>
          <w:numId w:val="0"/>
        </w:numPr>
        <w:tabs>
          <w:tab w:val="clear" w:pos="1021"/>
          <w:tab w:val="left" w:pos="680"/>
        </w:tabs>
        <w:spacing w:before="240" w:line="240" w:lineRule="auto"/>
      </w:pPr>
      <w:r w:rsidRPr="008562A2">
        <w:rPr>
          <w:i/>
        </w:rPr>
        <w:t xml:space="preserve">Item 25: </w:t>
      </w:r>
      <w:r w:rsidR="005E1FCB" w:rsidRPr="008562A2">
        <w:rPr>
          <w:i/>
        </w:rPr>
        <w:t xml:space="preserve">Amendment to Clause 2.2 of Schedule 2 </w:t>
      </w:r>
      <w:r w:rsidR="008562A2" w:rsidRPr="008562A2">
        <w:rPr>
          <w:i/>
        </w:rPr>
        <w:t>(table item 3, row relating to “Information asset lifecycle (as it relates to CDR data)”, column headed “Description of minimum controls”)</w:t>
      </w:r>
    </w:p>
    <w:p w14:paraId="6D8F88B9" w14:textId="4D897FD6" w:rsidR="0092653D" w:rsidRDefault="005E1FCB" w:rsidP="00A9785B">
      <w:pPr>
        <w:pStyle w:val="Numberedparagraph11"/>
        <w:numPr>
          <w:ilvl w:val="0"/>
          <w:numId w:val="12"/>
        </w:numPr>
        <w:tabs>
          <w:tab w:val="clear" w:pos="1021"/>
          <w:tab w:val="left" w:pos="680"/>
        </w:tabs>
        <w:spacing w:before="240" w:line="240" w:lineRule="auto"/>
        <w:ind w:left="680" w:hanging="680"/>
      </w:pPr>
      <w:r>
        <w:t>Item 25 corrects a typographical error by replacing a reference to ‘ADR’ with ‘accredited data recipient’.</w:t>
      </w:r>
    </w:p>
    <w:p w14:paraId="46239514" w14:textId="032C3155" w:rsidR="0092653D" w:rsidRPr="00A9785B" w:rsidRDefault="0092653D" w:rsidP="00A9785B">
      <w:pPr>
        <w:pStyle w:val="Numberedparagraph11"/>
        <w:numPr>
          <w:ilvl w:val="0"/>
          <w:numId w:val="0"/>
        </w:numPr>
        <w:tabs>
          <w:tab w:val="clear" w:pos="1021"/>
          <w:tab w:val="left" w:pos="680"/>
        </w:tabs>
        <w:spacing w:before="240" w:line="240" w:lineRule="auto"/>
        <w:rPr>
          <w:i/>
        </w:rPr>
      </w:pPr>
      <w:r>
        <w:rPr>
          <w:i/>
        </w:rPr>
        <w:t>Item 26: Amendment to Clause 1.3</w:t>
      </w:r>
      <w:r w:rsidR="00975B11">
        <w:rPr>
          <w:i/>
        </w:rPr>
        <w:t xml:space="preserve"> </w:t>
      </w:r>
      <w:r>
        <w:rPr>
          <w:i/>
        </w:rPr>
        <w:t>of Schedule 3</w:t>
      </w:r>
      <w:r w:rsidR="00975B11">
        <w:rPr>
          <w:i/>
        </w:rPr>
        <w:t xml:space="preserve"> </w:t>
      </w:r>
      <w:r w:rsidR="00975B11" w:rsidRPr="00975B11">
        <w:rPr>
          <w:i/>
        </w:rPr>
        <w:t>(table item 2, column 2, subparagraph (b</w:t>
      </w:r>
      <w:proofErr w:type="gramStart"/>
      <w:r w:rsidR="00975B11" w:rsidRPr="00975B11">
        <w:rPr>
          <w:i/>
        </w:rPr>
        <w:t>)(</w:t>
      </w:r>
      <w:proofErr w:type="gramEnd"/>
      <w:r w:rsidR="00975B11" w:rsidRPr="00975B11">
        <w:rPr>
          <w:i/>
        </w:rPr>
        <w:t>iii))</w:t>
      </w:r>
    </w:p>
    <w:p w14:paraId="083D7165" w14:textId="661A416B" w:rsidR="0092653D" w:rsidRDefault="005E1FCB" w:rsidP="00A9785B">
      <w:pPr>
        <w:pStyle w:val="Numberedparagraph11"/>
        <w:numPr>
          <w:ilvl w:val="0"/>
          <w:numId w:val="12"/>
        </w:numPr>
        <w:tabs>
          <w:tab w:val="clear" w:pos="1021"/>
          <w:tab w:val="left" w:pos="680"/>
        </w:tabs>
        <w:spacing w:before="240" w:line="240" w:lineRule="auto"/>
        <w:ind w:left="680" w:hanging="680"/>
      </w:pPr>
      <w:r>
        <w:t xml:space="preserve">Item 26 </w:t>
      </w:r>
      <w:r w:rsidR="002F65BA">
        <w:t xml:space="preserve">replaces the phrase ‘the opening and closing balances for the account, including a current balance and available funds’ with the term ‘account balances’. This amendment ensures </w:t>
      </w:r>
      <w:r w:rsidR="00BF54DA">
        <w:t xml:space="preserve">better </w:t>
      </w:r>
      <w:r w:rsidR="002F65BA">
        <w:t>alignment between the Rules and Standards.</w:t>
      </w:r>
    </w:p>
    <w:p w14:paraId="74DC843E" w14:textId="77777777" w:rsidR="00623016" w:rsidRPr="00BF54DA" w:rsidRDefault="00623016" w:rsidP="00623016">
      <w:pPr>
        <w:pStyle w:val="Numberedparagraph11"/>
        <w:numPr>
          <w:ilvl w:val="0"/>
          <w:numId w:val="0"/>
        </w:numPr>
        <w:tabs>
          <w:tab w:val="clear" w:pos="1021"/>
          <w:tab w:val="left" w:pos="680"/>
        </w:tabs>
        <w:spacing w:before="240" w:line="240" w:lineRule="auto"/>
        <w:rPr>
          <w:i/>
        </w:rPr>
      </w:pPr>
      <w:r w:rsidRPr="00623016">
        <w:rPr>
          <w:i/>
        </w:rPr>
        <w:t>Item</w:t>
      </w:r>
      <w:r w:rsidRPr="00BF54DA">
        <w:rPr>
          <w:i/>
        </w:rPr>
        <w:t xml:space="preserve"> 27: Amendment to Clause 2.1(2) of Schedule 3</w:t>
      </w:r>
    </w:p>
    <w:p w14:paraId="4E78CC05" w14:textId="78056E8A" w:rsidR="008A55E1" w:rsidRPr="00557072" w:rsidRDefault="008A55E1" w:rsidP="00557072">
      <w:pPr>
        <w:pStyle w:val="Numberedparagraph11"/>
        <w:numPr>
          <w:ilvl w:val="0"/>
          <w:numId w:val="12"/>
        </w:numPr>
        <w:tabs>
          <w:tab w:val="clear" w:pos="1021"/>
          <w:tab w:val="left" w:pos="680"/>
        </w:tabs>
        <w:spacing w:before="240" w:line="240" w:lineRule="auto"/>
        <w:ind w:left="680" w:hanging="680"/>
        <w:rPr>
          <w:rFonts w:ascii="Calibri" w:eastAsia="Times New Roman" w:hAnsi="Calibri" w:cs="Calibri"/>
          <w:lang w:eastAsia="en-AU"/>
        </w:rPr>
      </w:pPr>
      <w:r w:rsidRPr="008A55E1">
        <w:rPr>
          <w:rFonts w:eastAsia="Times New Roman"/>
          <w:lang w:eastAsia="en-AU"/>
        </w:rPr>
        <w:t xml:space="preserve">Item 27 amends the meaning of ‘eligible’ to clarify that a CDR consumer is eligible with respect to a </w:t>
      </w:r>
      <w:r w:rsidRPr="00557072">
        <w:t>particular</w:t>
      </w:r>
      <w:r w:rsidRPr="008A55E1">
        <w:rPr>
          <w:rFonts w:eastAsia="Times New Roman"/>
          <w:lang w:eastAsia="en-AU"/>
        </w:rPr>
        <w:t xml:space="preserve"> data holder if the consumer is an individual (18 years or older) who is the account holder of at least one account with the data holder that is open and set up in such a way that it can be accessed online. This includes individually held retail accounts as well as some small business accounts (for example, accounts held by sole traders). </w:t>
      </w:r>
      <w:r w:rsidRPr="008A55E1">
        <w:rPr>
          <w:rFonts w:eastAsia="Times New Roman"/>
          <w:bCs/>
          <w:lang w:eastAsia="en-AU"/>
        </w:rPr>
        <w:t xml:space="preserve">For ADIs that operate separate retail and more specialised business digital banking channels (through internet banking and/or mobile </w:t>
      </w:r>
      <w:r w:rsidRPr="00557072">
        <w:t xml:space="preserve">apps), the accounts currently in scope under the Rules are typically accounts that are made available and accessed by customers through an ADI’s primary retail digital channel.  In these situations, the ACCC considers that it will be appropriate for an ADI to meet its obligations under the Rules </w:t>
      </w:r>
      <w:r w:rsidR="00BD00B1" w:rsidRPr="00557072">
        <w:t xml:space="preserve">by </w:t>
      </w:r>
      <w:r w:rsidRPr="00557072">
        <w:t xml:space="preserve">leveraging its primary retail digital channel. </w:t>
      </w:r>
      <w:r w:rsidR="00557072" w:rsidRPr="00557072">
        <w:t>The ACCC intends to amend the Rules in the future to accommodate CDR data sharing by corporate customers</w:t>
      </w:r>
      <w:r w:rsidR="00DB35BE">
        <w:t xml:space="preserve"> and</w:t>
      </w:r>
      <w:r w:rsidR="00557072" w:rsidRPr="00557072">
        <w:t xml:space="preserve"> </w:t>
      </w:r>
      <w:r w:rsidR="00552BFC">
        <w:t>for complex accounts. A</w:t>
      </w:r>
      <w:r w:rsidR="00557072" w:rsidRPr="00557072">
        <w:t>t that time</w:t>
      </w:r>
      <w:r w:rsidR="00DB35BE">
        <w:t>,</w:t>
      </w:r>
      <w:r w:rsidR="00557072" w:rsidRPr="00557072">
        <w:t xml:space="preserve"> </w:t>
      </w:r>
      <w:r w:rsidR="00DB35BE">
        <w:t xml:space="preserve">the ACCC </w:t>
      </w:r>
      <w:r w:rsidR="00557072" w:rsidRPr="00557072">
        <w:t>would expect ADIs to accommodate the digital channels used by all groups of eligible consumers</w:t>
      </w:r>
      <w:r w:rsidR="00557072">
        <w:t>.</w:t>
      </w:r>
    </w:p>
    <w:p w14:paraId="04C8C54F" w14:textId="3E0E271F" w:rsidR="00623016" w:rsidRDefault="00623016" w:rsidP="00623016">
      <w:pPr>
        <w:pStyle w:val="Numberedparagraph11"/>
        <w:numPr>
          <w:ilvl w:val="0"/>
          <w:numId w:val="12"/>
        </w:numPr>
        <w:tabs>
          <w:tab w:val="clear" w:pos="1021"/>
          <w:tab w:val="left" w:pos="680"/>
        </w:tabs>
        <w:spacing w:before="240" w:line="240" w:lineRule="auto"/>
        <w:ind w:left="680" w:hanging="680"/>
      </w:pPr>
      <w:r>
        <w:t xml:space="preserve">Item 27 also clarifies that the eligibility of an individual account holder to authorise CDR data sharing is not affected by the existence of any other signatories or secondary card holders on the account. </w:t>
      </w:r>
    </w:p>
    <w:p w14:paraId="25461BED" w14:textId="07CC5A0E" w:rsidR="00623016" w:rsidRPr="00BF54DA" w:rsidRDefault="00623016" w:rsidP="00623016">
      <w:pPr>
        <w:pStyle w:val="Numberedparagraph11"/>
        <w:numPr>
          <w:ilvl w:val="0"/>
          <w:numId w:val="0"/>
        </w:numPr>
        <w:tabs>
          <w:tab w:val="clear" w:pos="1021"/>
          <w:tab w:val="left" w:pos="680"/>
        </w:tabs>
        <w:spacing w:before="240" w:line="240" w:lineRule="auto"/>
        <w:rPr>
          <w:i/>
        </w:rPr>
      </w:pPr>
      <w:r w:rsidRPr="00623016">
        <w:rPr>
          <w:i/>
        </w:rPr>
        <w:t>Items</w:t>
      </w:r>
      <w:r w:rsidRPr="00BF54DA">
        <w:rPr>
          <w:i/>
        </w:rPr>
        <w:t xml:space="preserve"> 28–35: Amendments to Clause 3.2 of Schedule 3</w:t>
      </w:r>
      <w:r w:rsidR="00975B11">
        <w:rPr>
          <w:i/>
        </w:rPr>
        <w:t xml:space="preserve"> (Clauses 3.2(1)(b)(ii), 3.2(1)(b)(ii)(B), 3.2(1)(b)(iv), 3.2(3)(a)(</w:t>
      </w:r>
      <w:proofErr w:type="spellStart"/>
      <w:r w:rsidR="00975B11">
        <w:rPr>
          <w:i/>
        </w:rPr>
        <w:t>i</w:t>
      </w:r>
      <w:proofErr w:type="spellEnd"/>
      <w:r w:rsidR="00975B11">
        <w:rPr>
          <w:i/>
        </w:rPr>
        <w:t>)(A), 3.2(3)(a)(iii), 3.2(3)(a)(v), 3.2(3) (note))</w:t>
      </w:r>
    </w:p>
    <w:p w14:paraId="0B549869" w14:textId="7A3A9E4B" w:rsidR="0052212D" w:rsidRDefault="00623016" w:rsidP="00F66EA2">
      <w:pPr>
        <w:pStyle w:val="Numberedparagraph11"/>
        <w:numPr>
          <w:ilvl w:val="0"/>
          <w:numId w:val="12"/>
        </w:numPr>
        <w:tabs>
          <w:tab w:val="clear" w:pos="1021"/>
          <w:tab w:val="left" w:pos="680"/>
        </w:tabs>
        <w:spacing w:before="240" w:line="240" w:lineRule="auto"/>
        <w:ind w:left="680" w:hanging="680"/>
        <w:sectPr w:rsidR="0052212D" w:rsidSect="0052212D">
          <w:footerReference w:type="default" r:id="rId9"/>
          <w:pgSz w:w="11906" w:h="16838"/>
          <w:pgMar w:top="1134" w:right="1440" w:bottom="1440" w:left="1440" w:header="709" w:footer="709" w:gutter="0"/>
          <w:pgNumType w:start="1"/>
          <w:cols w:space="720"/>
          <w:docGrid w:linePitch="299"/>
        </w:sectPr>
      </w:pPr>
      <w:r>
        <w:t xml:space="preserve">Items 28–35 are amendments </w:t>
      </w:r>
      <w:r w:rsidR="00746924">
        <w:t>consequential to the amendment in</w:t>
      </w:r>
      <w:r>
        <w:t xml:space="preserve"> item 27. They ensure accuracy of cross-referencing and</w:t>
      </w:r>
      <w:r w:rsidR="00F66EA2">
        <w:t xml:space="preserve"> references to term.  </w:t>
      </w:r>
      <w:bookmarkStart w:id="15" w:name="_GoBack"/>
      <w:bookmarkEnd w:id="15"/>
    </w:p>
    <w:p w14:paraId="1B4C71E7" w14:textId="77777777" w:rsidR="0052212D" w:rsidRDefault="0052212D" w:rsidP="00F66EA2"/>
    <w:sectPr w:rsidR="0052212D" w:rsidSect="00B62438">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5C8CC" w14:textId="77777777" w:rsidR="00BF1F71" w:rsidRDefault="00BF1F71" w:rsidP="004B4412">
      <w:pPr>
        <w:spacing w:before="0"/>
      </w:pPr>
      <w:r>
        <w:separator/>
      </w:r>
    </w:p>
  </w:endnote>
  <w:endnote w:type="continuationSeparator" w:id="0">
    <w:p w14:paraId="5D41D732" w14:textId="77777777" w:rsidR="00BF1F71" w:rsidRDefault="00BF1F7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21337"/>
      <w:docPartObj>
        <w:docPartGallery w:val="Page Numbers (Bottom of Page)"/>
        <w:docPartUnique/>
      </w:docPartObj>
    </w:sdtPr>
    <w:sdtEndPr>
      <w:rPr>
        <w:noProof/>
      </w:rPr>
    </w:sdtEndPr>
    <w:sdtContent>
      <w:p w14:paraId="4233EFA2" w14:textId="4F2072DD" w:rsidR="00BF1F71" w:rsidRDefault="00BF1F71">
        <w:pPr>
          <w:pStyle w:val="Footer"/>
          <w:jc w:val="right"/>
        </w:pPr>
        <w:r>
          <w:fldChar w:fldCharType="begin"/>
        </w:r>
        <w:r>
          <w:instrText xml:space="preserve"> PAGE   \* MERGEFORMAT </w:instrText>
        </w:r>
        <w:r>
          <w:fldChar w:fldCharType="separate"/>
        </w:r>
        <w:r w:rsidR="00F66EA2">
          <w:rPr>
            <w:noProof/>
          </w:rPr>
          <w:t>9</w:t>
        </w:r>
        <w:r>
          <w:rPr>
            <w:noProof/>
          </w:rPr>
          <w:fldChar w:fldCharType="end"/>
        </w:r>
      </w:p>
    </w:sdtContent>
  </w:sdt>
  <w:p w14:paraId="02DB4615" w14:textId="77777777" w:rsidR="00BF1F71" w:rsidRDefault="00BF1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0AE4" w14:textId="77777777" w:rsidR="00BF1F71" w:rsidRDefault="00BF1F71">
    <w:pPr>
      <w:pStyle w:val="Footer"/>
    </w:pPr>
  </w:p>
  <w:p w14:paraId="701E894B" w14:textId="77777777" w:rsidR="00BF1F71" w:rsidRDefault="00BF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5C8E" w14:textId="77777777" w:rsidR="00BF1F71" w:rsidRDefault="00BF1F71" w:rsidP="004B4412">
      <w:pPr>
        <w:spacing w:before="0"/>
      </w:pPr>
      <w:r>
        <w:separator/>
      </w:r>
    </w:p>
  </w:footnote>
  <w:footnote w:type="continuationSeparator" w:id="0">
    <w:p w14:paraId="3E664A8B" w14:textId="77777777" w:rsidR="00BF1F71" w:rsidRDefault="00BF1F71"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7F3CB294"/>
    <w:lvl w:ilvl="0">
      <w:start w:val="1"/>
      <w:numFmt w:val="decimal"/>
      <w:pStyle w:val="Numbered1"/>
      <w:lvlText w:val="%1."/>
      <w:lvlJc w:val="left"/>
      <w:pPr>
        <w:ind w:left="2629" w:hanging="360"/>
      </w:pPr>
      <w:rPr>
        <w:rFonts w:ascii="Arial" w:hAnsi="Arial" w:cs="Arial" w:hint="default"/>
        <w:b w:val="0"/>
        <w:i w:val="0"/>
        <w:color w:val="auto"/>
        <w:sz w:val="22"/>
        <w:szCs w:val="22"/>
      </w:r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2798" w:hanging="360"/>
      </w:pPr>
      <w:rPr>
        <w:rFonts w:ascii="Symbol" w:hAnsi="Symbol" w:hint="default"/>
      </w:rPr>
    </w:lvl>
    <w:lvl w:ilvl="1">
      <w:start w:val="1"/>
      <w:numFmt w:val="decimal"/>
      <w:lvlText w:val="%1.%2."/>
      <w:lvlJc w:val="left"/>
      <w:pPr>
        <w:ind w:left="3230" w:hanging="432"/>
      </w:pPr>
      <w:rPr>
        <w:rFonts w:hint="default"/>
      </w:rPr>
    </w:lvl>
    <w:lvl w:ilvl="2">
      <w:start w:val="1"/>
      <w:numFmt w:val="decimal"/>
      <w:lvlText w:val="%1.%2.%3."/>
      <w:lvlJc w:val="left"/>
      <w:pPr>
        <w:ind w:left="3662" w:hanging="504"/>
      </w:pPr>
      <w:rPr>
        <w:rFonts w:hint="default"/>
      </w:rPr>
    </w:lvl>
    <w:lvl w:ilvl="3">
      <w:start w:val="1"/>
      <w:numFmt w:val="decimal"/>
      <w:lvlText w:val="%1.%2.%3.%4."/>
      <w:lvlJc w:val="left"/>
      <w:pPr>
        <w:ind w:left="4166" w:hanging="648"/>
      </w:pPr>
      <w:rPr>
        <w:rFonts w:hint="default"/>
      </w:rPr>
    </w:lvl>
    <w:lvl w:ilvl="4">
      <w:start w:val="1"/>
      <w:numFmt w:val="decimal"/>
      <w:lvlText w:val="%1.%2.%3.%4.%5."/>
      <w:lvlJc w:val="left"/>
      <w:pPr>
        <w:ind w:left="4670" w:hanging="792"/>
      </w:pPr>
      <w:rPr>
        <w:rFonts w:hint="default"/>
      </w:rPr>
    </w:lvl>
    <w:lvl w:ilvl="5">
      <w:start w:val="1"/>
      <w:numFmt w:val="decimal"/>
      <w:lvlText w:val="%1.%2.%3.%4.%5.%6."/>
      <w:lvlJc w:val="left"/>
      <w:pPr>
        <w:ind w:left="5174" w:hanging="936"/>
      </w:pPr>
      <w:rPr>
        <w:rFonts w:hint="default"/>
      </w:rPr>
    </w:lvl>
    <w:lvl w:ilvl="6">
      <w:start w:val="1"/>
      <w:numFmt w:val="decimal"/>
      <w:lvlText w:val="%1.%2.%3.%4.%5.%6.%7."/>
      <w:lvlJc w:val="left"/>
      <w:pPr>
        <w:ind w:left="5678" w:hanging="1080"/>
      </w:pPr>
      <w:rPr>
        <w:rFonts w:hint="default"/>
      </w:rPr>
    </w:lvl>
    <w:lvl w:ilvl="7">
      <w:start w:val="1"/>
      <w:numFmt w:val="decimal"/>
      <w:lvlText w:val="%1.%2.%3.%4.%5.%6.%7.%8."/>
      <w:lvlJc w:val="left"/>
      <w:pPr>
        <w:ind w:left="6182" w:hanging="1224"/>
      </w:pPr>
      <w:rPr>
        <w:rFonts w:hint="default"/>
      </w:rPr>
    </w:lvl>
    <w:lvl w:ilvl="8">
      <w:start w:val="1"/>
      <w:numFmt w:val="decimal"/>
      <w:lvlText w:val="%1.%2.%3.%4.%5.%6.%7.%8.%9."/>
      <w:lvlJc w:val="left"/>
      <w:pPr>
        <w:ind w:left="6758"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num>
  <w:num w:numId="3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203C28"/>
    <w:rsid w:val="00011D91"/>
    <w:rsid w:val="00012915"/>
    <w:rsid w:val="000136BC"/>
    <w:rsid w:val="00014C9B"/>
    <w:rsid w:val="00016542"/>
    <w:rsid w:val="0001674B"/>
    <w:rsid w:val="0002115F"/>
    <w:rsid w:val="00021202"/>
    <w:rsid w:val="000218F5"/>
    <w:rsid w:val="000221F4"/>
    <w:rsid w:val="000225C4"/>
    <w:rsid w:val="00023495"/>
    <w:rsid w:val="0002616A"/>
    <w:rsid w:val="00027D68"/>
    <w:rsid w:val="000300B5"/>
    <w:rsid w:val="0003578C"/>
    <w:rsid w:val="00036CA6"/>
    <w:rsid w:val="00037B21"/>
    <w:rsid w:val="000410E6"/>
    <w:rsid w:val="000413ED"/>
    <w:rsid w:val="00044CB1"/>
    <w:rsid w:val="00045F83"/>
    <w:rsid w:val="00063247"/>
    <w:rsid w:val="00070F9F"/>
    <w:rsid w:val="000712FA"/>
    <w:rsid w:val="0007137B"/>
    <w:rsid w:val="00074C9D"/>
    <w:rsid w:val="00077BAE"/>
    <w:rsid w:val="00081A5B"/>
    <w:rsid w:val="00084017"/>
    <w:rsid w:val="000850A1"/>
    <w:rsid w:val="00085663"/>
    <w:rsid w:val="000858C8"/>
    <w:rsid w:val="00085EBF"/>
    <w:rsid w:val="000863FC"/>
    <w:rsid w:val="000905D6"/>
    <w:rsid w:val="00091C49"/>
    <w:rsid w:val="00092ABC"/>
    <w:rsid w:val="000946E6"/>
    <w:rsid w:val="000A29B9"/>
    <w:rsid w:val="000A5306"/>
    <w:rsid w:val="000B2108"/>
    <w:rsid w:val="000B2A5B"/>
    <w:rsid w:val="000B301A"/>
    <w:rsid w:val="000C0228"/>
    <w:rsid w:val="000C1AB0"/>
    <w:rsid w:val="000C613F"/>
    <w:rsid w:val="000D122C"/>
    <w:rsid w:val="000D4046"/>
    <w:rsid w:val="000D5360"/>
    <w:rsid w:val="000E1819"/>
    <w:rsid w:val="000E32FC"/>
    <w:rsid w:val="000E4BC0"/>
    <w:rsid w:val="000E6C72"/>
    <w:rsid w:val="000E6DE6"/>
    <w:rsid w:val="000F2368"/>
    <w:rsid w:val="00100EB3"/>
    <w:rsid w:val="00106509"/>
    <w:rsid w:val="0011545D"/>
    <w:rsid w:val="00116EB2"/>
    <w:rsid w:val="00124609"/>
    <w:rsid w:val="00135119"/>
    <w:rsid w:val="00135B09"/>
    <w:rsid w:val="001361FC"/>
    <w:rsid w:val="00145439"/>
    <w:rsid w:val="00151FF5"/>
    <w:rsid w:val="001573E4"/>
    <w:rsid w:val="00157FE8"/>
    <w:rsid w:val="00160756"/>
    <w:rsid w:val="0017232E"/>
    <w:rsid w:val="00174102"/>
    <w:rsid w:val="00180157"/>
    <w:rsid w:val="00181223"/>
    <w:rsid w:val="0018281C"/>
    <w:rsid w:val="0018292B"/>
    <w:rsid w:val="00186281"/>
    <w:rsid w:val="00186F77"/>
    <w:rsid w:val="001926A4"/>
    <w:rsid w:val="00195694"/>
    <w:rsid w:val="00197D5C"/>
    <w:rsid w:val="001A062D"/>
    <w:rsid w:val="001A2F2A"/>
    <w:rsid w:val="001A3A19"/>
    <w:rsid w:val="001A3C2B"/>
    <w:rsid w:val="001B1C96"/>
    <w:rsid w:val="001B246B"/>
    <w:rsid w:val="001B2AFD"/>
    <w:rsid w:val="001B45A0"/>
    <w:rsid w:val="001B4965"/>
    <w:rsid w:val="001C18EE"/>
    <w:rsid w:val="001D055E"/>
    <w:rsid w:val="001E21F1"/>
    <w:rsid w:val="001F3C67"/>
    <w:rsid w:val="001F492E"/>
    <w:rsid w:val="001F52F8"/>
    <w:rsid w:val="001F6DA3"/>
    <w:rsid w:val="001F700A"/>
    <w:rsid w:val="00203C28"/>
    <w:rsid w:val="00205FAD"/>
    <w:rsid w:val="00212737"/>
    <w:rsid w:val="00213372"/>
    <w:rsid w:val="00214E2F"/>
    <w:rsid w:val="00224DB9"/>
    <w:rsid w:val="002261B6"/>
    <w:rsid w:val="0023086E"/>
    <w:rsid w:val="0023226F"/>
    <w:rsid w:val="00234C6E"/>
    <w:rsid w:val="002445FF"/>
    <w:rsid w:val="00247042"/>
    <w:rsid w:val="00251745"/>
    <w:rsid w:val="00263AC0"/>
    <w:rsid w:val="0026772D"/>
    <w:rsid w:val="00276D64"/>
    <w:rsid w:val="00280665"/>
    <w:rsid w:val="00286874"/>
    <w:rsid w:val="00292C9F"/>
    <w:rsid w:val="00293488"/>
    <w:rsid w:val="00295E36"/>
    <w:rsid w:val="00296B65"/>
    <w:rsid w:val="002A228E"/>
    <w:rsid w:val="002A2A64"/>
    <w:rsid w:val="002A3202"/>
    <w:rsid w:val="002A3D1F"/>
    <w:rsid w:val="002A4FB8"/>
    <w:rsid w:val="002A60F0"/>
    <w:rsid w:val="002A7DEF"/>
    <w:rsid w:val="002B24AB"/>
    <w:rsid w:val="002B5642"/>
    <w:rsid w:val="002B56BE"/>
    <w:rsid w:val="002C0708"/>
    <w:rsid w:val="002C340E"/>
    <w:rsid w:val="002C64BC"/>
    <w:rsid w:val="002C7A74"/>
    <w:rsid w:val="002E6BBB"/>
    <w:rsid w:val="002F65BA"/>
    <w:rsid w:val="002F7986"/>
    <w:rsid w:val="00303C4A"/>
    <w:rsid w:val="00303DBC"/>
    <w:rsid w:val="0030439C"/>
    <w:rsid w:val="00304CB2"/>
    <w:rsid w:val="00305F09"/>
    <w:rsid w:val="00306A01"/>
    <w:rsid w:val="00307F6D"/>
    <w:rsid w:val="00312961"/>
    <w:rsid w:val="0031327F"/>
    <w:rsid w:val="00314ABD"/>
    <w:rsid w:val="00314BDB"/>
    <w:rsid w:val="00315B69"/>
    <w:rsid w:val="00315EC2"/>
    <w:rsid w:val="003177A2"/>
    <w:rsid w:val="0032066E"/>
    <w:rsid w:val="003271B5"/>
    <w:rsid w:val="003278BE"/>
    <w:rsid w:val="003301BA"/>
    <w:rsid w:val="00330CA0"/>
    <w:rsid w:val="00331138"/>
    <w:rsid w:val="00331264"/>
    <w:rsid w:val="00334C8D"/>
    <w:rsid w:val="00336B60"/>
    <w:rsid w:val="00340655"/>
    <w:rsid w:val="00340C1B"/>
    <w:rsid w:val="00342B85"/>
    <w:rsid w:val="0034367C"/>
    <w:rsid w:val="00344234"/>
    <w:rsid w:val="003459E6"/>
    <w:rsid w:val="003518B3"/>
    <w:rsid w:val="003527A3"/>
    <w:rsid w:val="00354A1C"/>
    <w:rsid w:val="00360E86"/>
    <w:rsid w:val="00361AAE"/>
    <w:rsid w:val="00371641"/>
    <w:rsid w:val="00375037"/>
    <w:rsid w:val="0038458C"/>
    <w:rsid w:val="003846F1"/>
    <w:rsid w:val="003876A1"/>
    <w:rsid w:val="00390CEB"/>
    <w:rsid w:val="003964B9"/>
    <w:rsid w:val="00397392"/>
    <w:rsid w:val="003A673F"/>
    <w:rsid w:val="003A6D2C"/>
    <w:rsid w:val="003B5A70"/>
    <w:rsid w:val="003C3A98"/>
    <w:rsid w:val="003C461F"/>
    <w:rsid w:val="003D0A1A"/>
    <w:rsid w:val="003D1821"/>
    <w:rsid w:val="003D3227"/>
    <w:rsid w:val="003D62D2"/>
    <w:rsid w:val="003E1874"/>
    <w:rsid w:val="003E71DA"/>
    <w:rsid w:val="003F5571"/>
    <w:rsid w:val="003F6CB6"/>
    <w:rsid w:val="003F7FD2"/>
    <w:rsid w:val="00410A60"/>
    <w:rsid w:val="00411844"/>
    <w:rsid w:val="004152EB"/>
    <w:rsid w:val="004166B1"/>
    <w:rsid w:val="0041705E"/>
    <w:rsid w:val="00431949"/>
    <w:rsid w:val="004328A5"/>
    <w:rsid w:val="00432AC8"/>
    <w:rsid w:val="00434CFE"/>
    <w:rsid w:val="004365F9"/>
    <w:rsid w:val="00440FB8"/>
    <w:rsid w:val="004419DB"/>
    <w:rsid w:val="00450FC2"/>
    <w:rsid w:val="00457475"/>
    <w:rsid w:val="00462491"/>
    <w:rsid w:val="00462786"/>
    <w:rsid w:val="00464320"/>
    <w:rsid w:val="004645AB"/>
    <w:rsid w:val="004647FD"/>
    <w:rsid w:val="00465163"/>
    <w:rsid w:val="0046655F"/>
    <w:rsid w:val="00467426"/>
    <w:rsid w:val="00467E11"/>
    <w:rsid w:val="004710A1"/>
    <w:rsid w:val="00471E1D"/>
    <w:rsid w:val="004757F7"/>
    <w:rsid w:val="00475DDE"/>
    <w:rsid w:val="004769F0"/>
    <w:rsid w:val="00480B4B"/>
    <w:rsid w:val="0048267C"/>
    <w:rsid w:val="0048474A"/>
    <w:rsid w:val="00485DC4"/>
    <w:rsid w:val="00485E98"/>
    <w:rsid w:val="00486C9E"/>
    <w:rsid w:val="0048756E"/>
    <w:rsid w:val="004965F8"/>
    <w:rsid w:val="004A1CE5"/>
    <w:rsid w:val="004A6815"/>
    <w:rsid w:val="004A6C27"/>
    <w:rsid w:val="004B2A21"/>
    <w:rsid w:val="004B35A7"/>
    <w:rsid w:val="004B4412"/>
    <w:rsid w:val="004B4601"/>
    <w:rsid w:val="004C0D71"/>
    <w:rsid w:val="004C227B"/>
    <w:rsid w:val="004C348C"/>
    <w:rsid w:val="004D0863"/>
    <w:rsid w:val="004D1733"/>
    <w:rsid w:val="004D18C2"/>
    <w:rsid w:val="004D4CD7"/>
    <w:rsid w:val="004D55BA"/>
    <w:rsid w:val="004D6208"/>
    <w:rsid w:val="004E1C70"/>
    <w:rsid w:val="004F7E16"/>
    <w:rsid w:val="005038DB"/>
    <w:rsid w:val="00510993"/>
    <w:rsid w:val="0052183D"/>
    <w:rsid w:val="0052212D"/>
    <w:rsid w:val="005224F1"/>
    <w:rsid w:val="00522895"/>
    <w:rsid w:val="0052379B"/>
    <w:rsid w:val="00525C32"/>
    <w:rsid w:val="00527EE0"/>
    <w:rsid w:val="00530128"/>
    <w:rsid w:val="00532467"/>
    <w:rsid w:val="00541AAB"/>
    <w:rsid w:val="00543BF1"/>
    <w:rsid w:val="005447B9"/>
    <w:rsid w:val="00546CF9"/>
    <w:rsid w:val="00547BA2"/>
    <w:rsid w:val="00547CCF"/>
    <w:rsid w:val="005503A7"/>
    <w:rsid w:val="005523E5"/>
    <w:rsid w:val="00552BFC"/>
    <w:rsid w:val="005535D9"/>
    <w:rsid w:val="00553D2C"/>
    <w:rsid w:val="00555102"/>
    <w:rsid w:val="00557072"/>
    <w:rsid w:val="00557385"/>
    <w:rsid w:val="00562B43"/>
    <w:rsid w:val="005646F3"/>
    <w:rsid w:val="00564A4D"/>
    <w:rsid w:val="005667AE"/>
    <w:rsid w:val="005701E1"/>
    <w:rsid w:val="005707C3"/>
    <w:rsid w:val="00571B35"/>
    <w:rsid w:val="00571C9F"/>
    <w:rsid w:val="00577A09"/>
    <w:rsid w:val="00580B78"/>
    <w:rsid w:val="00581A0D"/>
    <w:rsid w:val="005841C3"/>
    <w:rsid w:val="00584B5C"/>
    <w:rsid w:val="00584D8F"/>
    <w:rsid w:val="00587394"/>
    <w:rsid w:val="00592A5C"/>
    <w:rsid w:val="00595533"/>
    <w:rsid w:val="00596D42"/>
    <w:rsid w:val="005A404D"/>
    <w:rsid w:val="005A5152"/>
    <w:rsid w:val="005A7EFF"/>
    <w:rsid w:val="005B131A"/>
    <w:rsid w:val="005B1E3C"/>
    <w:rsid w:val="005B62BD"/>
    <w:rsid w:val="005C00A1"/>
    <w:rsid w:val="005C24AC"/>
    <w:rsid w:val="005C26CC"/>
    <w:rsid w:val="005D2DE4"/>
    <w:rsid w:val="005D3F45"/>
    <w:rsid w:val="005D4855"/>
    <w:rsid w:val="005D4E91"/>
    <w:rsid w:val="005D5C74"/>
    <w:rsid w:val="005D5C90"/>
    <w:rsid w:val="005D5E07"/>
    <w:rsid w:val="005E1566"/>
    <w:rsid w:val="005E1CFF"/>
    <w:rsid w:val="005E1FCB"/>
    <w:rsid w:val="005E21DD"/>
    <w:rsid w:val="005E2CC3"/>
    <w:rsid w:val="005E3BEA"/>
    <w:rsid w:val="005E3C12"/>
    <w:rsid w:val="005E6B9D"/>
    <w:rsid w:val="005E6C0E"/>
    <w:rsid w:val="005F0B6D"/>
    <w:rsid w:val="005F230B"/>
    <w:rsid w:val="005F2542"/>
    <w:rsid w:val="005F46D0"/>
    <w:rsid w:val="005F4A32"/>
    <w:rsid w:val="005F7450"/>
    <w:rsid w:val="006118A7"/>
    <w:rsid w:val="00613DCA"/>
    <w:rsid w:val="00615C6B"/>
    <w:rsid w:val="006200A7"/>
    <w:rsid w:val="00623016"/>
    <w:rsid w:val="00632D6D"/>
    <w:rsid w:val="0063553F"/>
    <w:rsid w:val="00642C3E"/>
    <w:rsid w:val="00643304"/>
    <w:rsid w:val="00646025"/>
    <w:rsid w:val="00652C6A"/>
    <w:rsid w:val="00654410"/>
    <w:rsid w:val="00654798"/>
    <w:rsid w:val="00654837"/>
    <w:rsid w:val="006552DF"/>
    <w:rsid w:val="00655CC9"/>
    <w:rsid w:val="00655F9C"/>
    <w:rsid w:val="00662BEA"/>
    <w:rsid w:val="00663DAD"/>
    <w:rsid w:val="006761F2"/>
    <w:rsid w:val="00676679"/>
    <w:rsid w:val="00682874"/>
    <w:rsid w:val="00682EB1"/>
    <w:rsid w:val="0068392D"/>
    <w:rsid w:val="00684E10"/>
    <w:rsid w:val="00690D66"/>
    <w:rsid w:val="00691616"/>
    <w:rsid w:val="006919AB"/>
    <w:rsid w:val="00694DEC"/>
    <w:rsid w:val="00695CF4"/>
    <w:rsid w:val="00696679"/>
    <w:rsid w:val="00697275"/>
    <w:rsid w:val="006A28C9"/>
    <w:rsid w:val="006A30EC"/>
    <w:rsid w:val="006A47BE"/>
    <w:rsid w:val="006A6C7B"/>
    <w:rsid w:val="006B2CF9"/>
    <w:rsid w:val="006B34A4"/>
    <w:rsid w:val="006B4CF9"/>
    <w:rsid w:val="006B7AC8"/>
    <w:rsid w:val="006C22C4"/>
    <w:rsid w:val="006C6373"/>
    <w:rsid w:val="006D3490"/>
    <w:rsid w:val="006D402E"/>
    <w:rsid w:val="006D550F"/>
    <w:rsid w:val="006D69AC"/>
    <w:rsid w:val="006D77F3"/>
    <w:rsid w:val="006E3299"/>
    <w:rsid w:val="006E3E3B"/>
    <w:rsid w:val="006E7327"/>
    <w:rsid w:val="006F2195"/>
    <w:rsid w:val="006F2CE8"/>
    <w:rsid w:val="006F4688"/>
    <w:rsid w:val="00701CAB"/>
    <w:rsid w:val="00704018"/>
    <w:rsid w:val="007041B7"/>
    <w:rsid w:val="007054BD"/>
    <w:rsid w:val="00707519"/>
    <w:rsid w:val="00707563"/>
    <w:rsid w:val="00713DA4"/>
    <w:rsid w:val="007177A4"/>
    <w:rsid w:val="0072348C"/>
    <w:rsid w:val="007243BF"/>
    <w:rsid w:val="00724A37"/>
    <w:rsid w:val="007303C3"/>
    <w:rsid w:val="007303F9"/>
    <w:rsid w:val="007332B9"/>
    <w:rsid w:val="007373A8"/>
    <w:rsid w:val="00743223"/>
    <w:rsid w:val="00744660"/>
    <w:rsid w:val="00746099"/>
    <w:rsid w:val="00746924"/>
    <w:rsid w:val="00746E01"/>
    <w:rsid w:val="0076199B"/>
    <w:rsid w:val="007639F2"/>
    <w:rsid w:val="00763E5D"/>
    <w:rsid w:val="00765DDC"/>
    <w:rsid w:val="007662D3"/>
    <w:rsid w:val="00766A5F"/>
    <w:rsid w:val="00766E87"/>
    <w:rsid w:val="00767740"/>
    <w:rsid w:val="00771ADE"/>
    <w:rsid w:val="00775671"/>
    <w:rsid w:val="00776FBD"/>
    <w:rsid w:val="00776FDC"/>
    <w:rsid w:val="00777EE6"/>
    <w:rsid w:val="00780BA5"/>
    <w:rsid w:val="00782EEA"/>
    <w:rsid w:val="0078373C"/>
    <w:rsid w:val="007841FC"/>
    <w:rsid w:val="00790E69"/>
    <w:rsid w:val="007946B9"/>
    <w:rsid w:val="007A42F6"/>
    <w:rsid w:val="007A7D16"/>
    <w:rsid w:val="007B1022"/>
    <w:rsid w:val="007B2C72"/>
    <w:rsid w:val="007C1C53"/>
    <w:rsid w:val="007C30D7"/>
    <w:rsid w:val="007C4993"/>
    <w:rsid w:val="007C5044"/>
    <w:rsid w:val="007C5AEF"/>
    <w:rsid w:val="007C78D2"/>
    <w:rsid w:val="007D18E9"/>
    <w:rsid w:val="007D2182"/>
    <w:rsid w:val="007D26C6"/>
    <w:rsid w:val="007E2538"/>
    <w:rsid w:val="007E26A9"/>
    <w:rsid w:val="007E4904"/>
    <w:rsid w:val="007E4CB5"/>
    <w:rsid w:val="007E4FF6"/>
    <w:rsid w:val="007F066B"/>
    <w:rsid w:val="007F08CF"/>
    <w:rsid w:val="007F2ACC"/>
    <w:rsid w:val="007F761A"/>
    <w:rsid w:val="00800BDE"/>
    <w:rsid w:val="0080268D"/>
    <w:rsid w:val="008033C4"/>
    <w:rsid w:val="00806C88"/>
    <w:rsid w:val="0081034E"/>
    <w:rsid w:val="00814D8C"/>
    <w:rsid w:val="008164D4"/>
    <w:rsid w:val="0082199A"/>
    <w:rsid w:val="008225A5"/>
    <w:rsid w:val="0082378F"/>
    <w:rsid w:val="008245B7"/>
    <w:rsid w:val="00833AA2"/>
    <w:rsid w:val="008344F6"/>
    <w:rsid w:val="00834FF2"/>
    <w:rsid w:val="0083510F"/>
    <w:rsid w:val="0084084D"/>
    <w:rsid w:val="008440F5"/>
    <w:rsid w:val="0084439E"/>
    <w:rsid w:val="00844AD4"/>
    <w:rsid w:val="0084661C"/>
    <w:rsid w:val="00851209"/>
    <w:rsid w:val="00851C8C"/>
    <w:rsid w:val="00853F6C"/>
    <w:rsid w:val="0085481E"/>
    <w:rsid w:val="00856061"/>
    <w:rsid w:val="008562A2"/>
    <w:rsid w:val="00857B10"/>
    <w:rsid w:val="008645D3"/>
    <w:rsid w:val="00864C6D"/>
    <w:rsid w:val="0086789E"/>
    <w:rsid w:val="00872DEF"/>
    <w:rsid w:val="00872F47"/>
    <w:rsid w:val="00873ED0"/>
    <w:rsid w:val="00877DB4"/>
    <w:rsid w:val="0088007E"/>
    <w:rsid w:val="0088279F"/>
    <w:rsid w:val="008837AC"/>
    <w:rsid w:val="00883E75"/>
    <w:rsid w:val="00891743"/>
    <w:rsid w:val="00892016"/>
    <w:rsid w:val="008945B4"/>
    <w:rsid w:val="00896FD6"/>
    <w:rsid w:val="008A1550"/>
    <w:rsid w:val="008A1A6F"/>
    <w:rsid w:val="008A55E1"/>
    <w:rsid w:val="008A587D"/>
    <w:rsid w:val="008B4C44"/>
    <w:rsid w:val="008C1407"/>
    <w:rsid w:val="008C1421"/>
    <w:rsid w:val="008C5486"/>
    <w:rsid w:val="008D261C"/>
    <w:rsid w:val="008D4A07"/>
    <w:rsid w:val="008D6213"/>
    <w:rsid w:val="008D6600"/>
    <w:rsid w:val="008D7B0D"/>
    <w:rsid w:val="008D7E52"/>
    <w:rsid w:val="008E2BA6"/>
    <w:rsid w:val="008E6711"/>
    <w:rsid w:val="008E7031"/>
    <w:rsid w:val="008F1CCB"/>
    <w:rsid w:val="00905B39"/>
    <w:rsid w:val="00907C5D"/>
    <w:rsid w:val="00910F46"/>
    <w:rsid w:val="00911B25"/>
    <w:rsid w:val="009133CB"/>
    <w:rsid w:val="00915600"/>
    <w:rsid w:val="00916808"/>
    <w:rsid w:val="00917479"/>
    <w:rsid w:val="0091799A"/>
    <w:rsid w:val="009216E7"/>
    <w:rsid w:val="00922C95"/>
    <w:rsid w:val="00922FAE"/>
    <w:rsid w:val="009233EE"/>
    <w:rsid w:val="009247AB"/>
    <w:rsid w:val="0092653D"/>
    <w:rsid w:val="009326DF"/>
    <w:rsid w:val="00933DBB"/>
    <w:rsid w:val="009352FB"/>
    <w:rsid w:val="0093685A"/>
    <w:rsid w:val="00936F34"/>
    <w:rsid w:val="00940DF3"/>
    <w:rsid w:val="00946B11"/>
    <w:rsid w:val="009661DE"/>
    <w:rsid w:val="00966ADF"/>
    <w:rsid w:val="00967489"/>
    <w:rsid w:val="00974615"/>
    <w:rsid w:val="00975B11"/>
    <w:rsid w:val="009766DF"/>
    <w:rsid w:val="0098247C"/>
    <w:rsid w:val="009856B7"/>
    <w:rsid w:val="0098602B"/>
    <w:rsid w:val="009866DB"/>
    <w:rsid w:val="00991568"/>
    <w:rsid w:val="00991B3B"/>
    <w:rsid w:val="00991C4F"/>
    <w:rsid w:val="00993B68"/>
    <w:rsid w:val="00993C01"/>
    <w:rsid w:val="009947A0"/>
    <w:rsid w:val="009962BA"/>
    <w:rsid w:val="009A139D"/>
    <w:rsid w:val="009A3F2D"/>
    <w:rsid w:val="009B02C0"/>
    <w:rsid w:val="009B062E"/>
    <w:rsid w:val="009B0686"/>
    <w:rsid w:val="009B0883"/>
    <w:rsid w:val="009B1606"/>
    <w:rsid w:val="009B3C01"/>
    <w:rsid w:val="009B571A"/>
    <w:rsid w:val="009B74B0"/>
    <w:rsid w:val="009B750C"/>
    <w:rsid w:val="009C3BAF"/>
    <w:rsid w:val="009C3DA2"/>
    <w:rsid w:val="009D0D93"/>
    <w:rsid w:val="009D23F7"/>
    <w:rsid w:val="009D2B4E"/>
    <w:rsid w:val="009D4414"/>
    <w:rsid w:val="009D6B46"/>
    <w:rsid w:val="009E29D3"/>
    <w:rsid w:val="009E6EDC"/>
    <w:rsid w:val="009F11BC"/>
    <w:rsid w:val="009F3039"/>
    <w:rsid w:val="009F365A"/>
    <w:rsid w:val="009F4940"/>
    <w:rsid w:val="009F4EC1"/>
    <w:rsid w:val="00A01E00"/>
    <w:rsid w:val="00A0248C"/>
    <w:rsid w:val="00A077D6"/>
    <w:rsid w:val="00A1330F"/>
    <w:rsid w:val="00A1665B"/>
    <w:rsid w:val="00A16E8A"/>
    <w:rsid w:val="00A23389"/>
    <w:rsid w:val="00A24267"/>
    <w:rsid w:val="00A30D64"/>
    <w:rsid w:val="00A323D9"/>
    <w:rsid w:val="00A32697"/>
    <w:rsid w:val="00A33EC5"/>
    <w:rsid w:val="00A37003"/>
    <w:rsid w:val="00A418AF"/>
    <w:rsid w:val="00A4478A"/>
    <w:rsid w:val="00A44852"/>
    <w:rsid w:val="00A44F98"/>
    <w:rsid w:val="00A50449"/>
    <w:rsid w:val="00A52A3D"/>
    <w:rsid w:val="00A57D04"/>
    <w:rsid w:val="00A60A26"/>
    <w:rsid w:val="00A61598"/>
    <w:rsid w:val="00A61719"/>
    <w:rsid w:val="00A65437"/>
    <w:rsid w:val="00A672B3"/>
    <w:rsid w:val="00A755D4"/>
    <w:rsid w:val="00A75FB3"/>
    <w:rsid w:val="00A84F46"/>
    <w:rsid w:val="00A871F4"/>
    <w:rsid w:val="00A87EB1"/>
    <w:rsid w:val="00A90803"/>
    <w:rsid w:val="00A92F94"/>
    <w:rsid w:val="00A93546"/>
    <w:rsid w:val="00A96B8F"/>
    <w:rsid w:val="00A9785B"/>
    <w:rsid w:val="00AA144A"/>
    <w:rsid w:val="00AA3CB8"/>
    <w:rsid w:val="00AA5419"/>
    <w:rsid w:val="00AB15A8"/>
    <w:rsid w:val="00AB4690"/>
    <w:rsid w:val="00AB5DE7"/>
    <w:rsid w:val="00AC0C55"/>
    <w:rsid w:val="00AC11B6"/>
    <w:rsid w:val="00AC1B2C"/>
    <w:rsid w:val="00AC3264"/>
    <w:rsid w:val="00AC3E35"/>
    <w:rsid w:val="00AC4CE1"/>
    <w:rsid w:val="00AC4D44"/>
    <w:rsid w:val="00AC6F01"/>
    <w:rsid w:val="00AC6F5E"/>
    <w:rsid w:val="00AC7AC2"/>
    <w:rsid w:val="00AD0BE3"/>
    <w:rsid w:val="00AE0FE2"/>
    <w:rsid w:val="00AE1BF1"/>
    <w:rsid w:val="00AE3DD2"/>
    <w:rsid w:val="00AF0DD2"/>
    <w:rsid w:val="00AF4A3E"/>
    <w:rsid w:val="00AF7EF5"/>
    <w:rsid w:val="00B01087"/>
    <w:rsid w:val="00B012CC"/>
    <w:rsid w:val="00B0230C"/>
    <w:rsid w:val="00B04D66"/>
    <w:rsid w:val="00B10314"/>
    <w:rsid w:val="00B10CAD"/>
    <w:rsid w:val="00B13048"/>
    <w:rsid w:val="00B144FA"/>
    <w:rsid w:val="00B15998"/>
    <w:rsid w:val="00B162DF"/>
    <w:rsid w:val="00B1716D"/>
    <w:rsid w:val="00B17570"/>
    <w:rsid w:val="00B17A1D"/>
    <w:rsid w:val="00B207A0"/>
    <w:rsid w:val="00B22A80"/>
    <w:rsid w:val="00B31D80"/>
    <w:rsid w:val="00B32A26"/>
    <w:rsid w:val="00B33BFA"/>
    <w:rsid w:val="00B34B86"/>
    <w:rsid w:val="00B3720C"/>
    <w:rsid w:val="00B40BDE"/>
    <w:rsid w:val="00B43F89"/>
    <w:rsid w:val="00B500D7"/>
    <w:rsid w:val="00B56E03"/>
    <w:rsid w:val="00B57652"/>
    <w:rsid w:val="00B60F5D"/>
    <w:rsid w:val="00B61D00"/>
    <w:rsid w:val="00B62438"/>
    <w:rsid w:val="00B63464"/>
    <w:rsid w:val="00B6384C"/>
    <w:rsid w:val="00B64FB0"/>
    <w:rsid w:val="00B67E91"/>
    <w:rsid w:val="00B71147"/>
    <w:rsid w:val="00B73007"/>
    <w:rsid w:val="00B76171"/>
    <w:rsid w:val="00B8080B"/>
    <w:rsid w:val="00B86A78"/>
    <w:rsid w:val="00B87C39"/>
    <w:rsid w:val="00B93C62"/>
    <w:rsid w:val="00BA4665"/>
    <w:rsid w:val="00BB164B"/>
    <w:rsid w:val="00BB19A9"/>
    <w:rsid w:val="00BB2FB2"/>
    <w:rsid w:val="00BB3304"/>
    <w:rsid w:val="00BB4128"/>
    <w:rsid w:val="00BC6238"/>
    <w:rsid w:val="00BD00B1"/>
    <w:rsid w:val="00BD0C42"/>
    <w:rsid w:val="00BD2C7B"/>
    <w:rsid w:val="00BD3446"/>
    <w:rsid w:val="00BD54D5"/>
    <w:rsid w:val="00BD685B"/>
    <w:rsid w:val="00BE0328"/>
    <w:rsid w:val="00BE1F1B"/>
    <w:rsid w:val="00BE32CD"/>
    <w:rsid w:val="00BE3F09"/>
    <w:rsid w:val="00BE47B5"/>
    <w:rsid w:val="00BE4B1C"/>
    <w:rsid w:val="00BE4C99"/>
    <w:rsid w:val="00BE7D74"/>
    <w:rsid w:val="00BF1F71"/>
    <w:rsid w:val="00BF54DA"/>
    <w:rsid w:val="00C0195D"/>
    <w:rsid w:val="00C02CAA"/>
    <w:rsid w:val="00C02CE2"/>
    <w:rsid w:val="00C04D49"/>
    <w:rsid w:val="00C058AB"/>
    <w:rsid w:val="00C06739"/>
    <w:rsid w:val="00C1123C"/>
    <w:rsid w:val="00C1352A"/>
    <w:rsid w:val="00C24447"/>
    <w:rsid w:val="00C25B6D"/>
    <w:rsid w:val="00C308FC"/>
    <w:rsid w:val="00C33A41"/>
    <w:rsid w:val="00C33B73"/>
    <w:rsid w:val="00C368E1"/>
    <w:rsid w:val="00C41190"/>
    <w:rsid w:val="00C448B0"/>
    <w:rsid w:val="00C4603F"/>
    <w:rsid w:val="00C46E07"/>
    <w:rsid w:val="00C51246"/>
    <w:rsid w:val="00C538A9"/>
    <w:rsid w:val="00C53B5A"/>
    <w:rsid w:val="00C54F5A"/>
    <w:rsid w:val="00C646DD"/>
    <w:rsid w:val="00C667AD"/>
    <w:rsid w:val="00C725F2"/>
    <w:rsid w:val="00C72845"/>
    <w:rsid w:val="00C755AD"/>
    <w:rsid w:val="00C7651A"/>
    <w:rsid w:val="00C81017"/>
    <w:rsid w:val="00C84188"/>
    <w:rsid w:val="00C86679"/>
    <w:rsid w:val="00C90605"/>
    <w:rsid w:val="00C918ED"/>
    <w:rsid w:val="00C91D07"/>
    <w:rsid w:val="00C9341C"/>
    <w:rsid w:val="00CA3465"/>
    <w:rsid w:val="00CA3982"/>
    <w:rsid w:val="00CA4589"/>
    <w:rsid w:val="00CB2A76"/>
    <w:rsid w:val="00CB2BEC"/>
    <w:rsid w:val="00CB5265"/>
    <w:rsid w:val="00CB650B"/>
    <w:rsid w:val="00CB666B"/>
    <w:rsid w:val="00CC0AF4"/>
    <w:rsid w:val="00CC22ED"/>
    <w:rsid w:val="00CC39BF"/>
    <w:rsid w:val="00CC486B"/>
    <w:rsid w:val="00CE29D9"/>
    <w:rsid w:val="00CF1199"/>
    <w:rsid w:val="00CF32FC"/>
    <w:rsid w:val="00CF437B"/>
    <w:rsid w:val="00CF45C1"/>
    <w:rsid w:val="00CF582C"/>
    <w:rsid w:val="00CF799E"/>
    <w:rsid w:val="00D01CF0"/>
    <w:rsid w:val="00D0442A"/>
    <w:rsid w:val="00D0593F"/>
    <w:rsid w:val="00D1323F"/>
    <w:rsid w:val="00D203E1"/>
    <w:rsid w:val="00D21F47"/>
    <w:rsid w:val="00D227CA"/>
    <w:rsid w:val="00D23D58"/>
    <w:rsid w:val="00D3219C"/>
    <w:rsid w:val="00D37AA7"/>
    <w:rsid w:val="00D42158"/>
    <w:rsid w:val="00D42C6B"/>
    <w:rsid w:val="00D43A7F"/>
    <w:rsid w:val="00D444E5"/>
    <w:rsid w:val="00D467DC"/>
    <w:rsid w:val="00D521D5"/>
    <w:rsid w:val="00D544B8"/>
    <w:rsid w:val="00D56582"/>
    <w:rsid w:val="00D56FE0"/>
    <w:rsid w:val="00D603D4"/>
    <w:rsid w:val="00D61388"/>
    <w:rsid w:val="00D61478"/>
    <w:rsid w:val="00D61A54"/>
    <w:rsid w:val="00D64DEA"/>
    <w:rsid w:val="00D73AFD"/>
    <w:rsid w:val="00D80893"/>
    <w:rsid w:val="00D87A38"/>
    <w:rsid w:val="00D90EE5"/>
    <w:rsid w:val="00D92CF1"/>
    <w:rsid w:val="00D92D38"/>
    <w:rsid w:val="00D950F5"/>
    <w:rsid w:val="00D957B4"/>
    <w:rsid w:val="00DA6DF8"/>
    <w:rsid w:val="00DA6EE3"/>
    <w:rsid w:val="00DB0F93"/>
    <w:rsid w:val="00DB35BE"/>
    <w:rsid w:val="00DB3F52"/>
    <w:rsid w:val="00DB5001"/>
    <w:rsid w:val="00DB6425"/>
    <w:rsid w:val="00DB67A3"/>
    <w:rsid w:val="00DB79A0"/>
    <w:rsid w:val="00DC2065"/>
    <w:rsid w:val="00DC542F"/>
    <w:rsid w:val="00DC7981"/>
    <w:rsid w:val="00DD1C60"/>
    <w:rsid w:val="00DD66A3"/>
    <w:rsid w:val="00DE1EF2"/>
    <w:rsid w:val="00DE2168"/>
    <w:rsid w:val="00DE26B1"/>
    <w:rsid w:val="00DE4EFA"/>
    <w:rsid w:val="00DE5346"/>
    <w:rsid w:val="00DE5520"/>
    <w:rsid w:val="00DF2E10"/>
    <w:rsid w:val="00DF5892"/>
    <w:rsid w:val="00E0032A"/>
    <w:rsid w:val="00E037C9"/>
    <w:rsid w:val="00E04818"/>
    <w:rsid w:val="00E05CD2"/>
    <w:rsid w:val="00E06442"/>
    <w:rsid w:val="00E07FF5"/>
    <w:rsid w:val="00E23993"/>
    <w:rsid w:val="00E23CDE"/>
    <w:rsid w:val="00E25B8C"/>
    <w:rsid w:val="00E26641"/>
    <w:rsid w:val="00E2692D"/>
    <w:rsid w:val="00E27642"/>
    <w:rsid w:val="00E27ADE"/>
    <w:rsid w:val="00E27ED2"/>
    <w:rsid w:val="00E32E77"/>
    <w:rsid w:val="00E3725C"/>
    <w:rsid w:val="00E40EAB"/>
    <w:rsid w:val="00E46431"/>
    <w:rsid w:val="00E4674F"/>
    <w:rsid w:val="00E5017D"/>
    <w:rsid w:val="00E520A6"/>
    <w:rsid w:val="00E52A81"/>
    <w:rsid w:val="00E53E2F"/>
    <w:rsid w:val="00E5699D"/>
    <w:rsid w:val="00E65A11"/>
    <w:rsid w:val="00E65C85"/>
    <w:rsid w:val="00E66199"/>
    <w:rsid w:val="00E7032E"/>
    <w:rsid w:val="00E70362"/>
    <w:rsid w:val="00E755EC"/>
    <w:rsid w:val="00E75BDA"/>
    <w:rsid w:val="00E7624D"/>
    <w:rsid w:val="00E803AC"/>
    <w:rsid w:val="00E816E7"/>
    <w:rsid w:val="00E91019"/>
    <w:rsid w:val="00E96CD5"/>
    <w:rsid w:val="00E96FB8"/>
    <w:rsid w:val="00E97872"/>
    <w:rsid w:val="00EA3D42"/>
    <w:rsid w:val="00EA6469"/>
    <w:rsid w:val="00EA6B1B"/>
    <w:rsid w:val="00EB4FDC"/>
    <w:rsid w:val="00EC164E"/>
    <w:rsid w:val="00EC6C50"/>
    <w:rsid w:val="00ED0290"/>
    <w:rsid w:val="00ED0F94"/>
    <w:rsid w:val="00ED42BF"/>
    <w:rsid w:val="00ED4C4F"/>
    <w:rsid w:val="00ED5FE9"/>
    <w:rsid w:val="00ED7BAA"/>
    <w:rsid w:val="00EE0F0F"/>
    <w:rsid w:val="00EE2197"/>
    <w:rsid w:val="00EE28F3"/>
    <w:rsid w:val="00EE3F2D"/>
    <w:rsid w:val="00EE7A8D"/>
    <w:rsid w:val="00EF02C2"/>
    <w:rsid w:val="00EF471A"/>
    <w:rsid w:val="00EF5110"/>
    <w:rsid w:val="00F135BB"/>
    <w:rsid w:val="00F15780"/>
    <w:rsid w:val="00F15882"/>
    <w:rsid w:val="00F20BD3"/>
    <w:rsid w:val="00F33A40"/>
    <w:rsid w:val="00F36681"/>
    <w:rsid w:val="00F37383"/>
    <w:rsid w:val="00F373A5"/>
    <w:rsid w:val="00F47559"/>
    <w:rsid w:val="00F550FB"/>
    <w:rsid w:val="00F60071"/>
    <w:rsid w:val="00F60BE4"/>
    <w:rsid w:val="00F61B84"/>
    <w:rsid w:val="00F64C7B"/>
    <w:rsid w:val="00F66EA2"/>
    <w:rsid w:val="00F676DD"/>
    <w:rsid w:val="00F7031C"/>
    <w:rsid w:val="00F74888"/>
    <w:rsid w:val="00F74910"/>
    <w:rsid w:val="00F75268"/>
    <w:rsid w:val="00F75A26"/>
    <w:rsid w:val="00F76B63"/>
    <w:rsid w:val="00F83C50"/>
    <w:rsid w:val="00F83FAD"/>
    <w:rsid w:val="00F85AD9"/>
    <w:rsid w:val="00F91DC6"/>
    <w:rsid w:val="00F92E65"/>
    <w:rsid w:val="00F952A0"/>
    <w:rsid w:val="00F96B6E"/>
    <w:rsid w:val="00FA12BB"/>
    <w:rsid w:val="00FA2C19"/>
    <w:rsid w:val="00FA3C7F"/>
    <w:rsid w:val="00FA4E09"/>
    <w:rsid w:val="00FB2BEF"/>
    <w:rsid w:val="00FB52D7"/>
    <w:rsid w:val="00FB57E7"/>
    <w:rsid w:val="00FB74E2"/>
    <w:rsid w:val="00FC1B32"/>
    <w:rsid w:val="00FC40D9"/>
    <w:rsid w:val="00FC552F"/>
    <w:rsid w:val="00FC721C"/>
    <w:rsid w:val="00FD3D82"/>
    <w:rsid w:val="00FD5614"/>
    <w:rsid w:val="00FD6B4A"/>
    <w:rsid w:val="00FD79B8"/>
    <w:rsid w:val="00FE0BE1"/>
    <w:rsid w:val="00FE1DE9"/>
    <w:rsid w:val="00FE1F34"/>
    <w:rsid w:val="00FE39C2"/>
    <w:rsid w:val="00FE5F55"/>
    <w:rsid w:val="00FE64AE"/>
    <w:rsid w:val="00FF13DA"/>
    <w:rsid w:val="00FF2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0B682C"/>
  <w15:chartTrackingRefBased/>
  <w15:docId w15:val="{BE702F10-613C-4204-912D-967E0B3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uiPriority w:val="99"/>
    <w:qFormat/>
    <w:rsid w:val="00F61B84"/>
    <w:pPr>
      <w:numPr>
        <w:numId w:val="12"/>
      </w:numPr>
      <w:tabs>
        <w:tab w:val="left" w:pos="680"/>
      </w:tabs>
      <w:ind w:left="360"/>
    </w:pPr>
  </w:style>
  <w:style w:type="paragraph" w:customStyle="1" w:styleId="Numbered11">
    <w:name w:val="Numbered 1.1"/>
    <w:basedOn w:val="Heading2"/>
    <w:next w:val="Normal"/>
    <w:uiPriority w:val="99"/>
    <w:qFormat/>
    <w:rsid w:val="00A323D9"/>
    <w:pPr>
      <w:numPr>
        <w:ilvl w:val="1"/>
        <w:numId w:val="12"/>
      </w:numPr>
      <w:tabs>
        <w:tab w:val="left" w:pos="1021"/>
      </w:tabs>
    </w:pPr>
    <w:rPr>
      <w:rFonts w:cs="Arial"/>
    </w:rPr>
  </w:style>
  <w:style w:type="paragraph" w:customStyle="1" w:styleId="Numbered111">
    <w:name w:val="Numbered 1.1.1"/>
    <w:basedOn w:val="Heading3"/>
    <w:next w:val="Normal"/>
    <w:uiPriority w:val="99"/>
    <w:qFormat/>
    <w:rsid w:val="00F61B84"/>
    <w:pPr>
      <w:numPr>
        <w:ilvl w:val="2"/>
        <w:numId w:val="12"/>
      </w:numPr>
      <w:tabs>
        <w:tab w:val="left" w:pos="1361"/>
      </w:tabs>
      <w:contextualSpacing/>
    </w:pPr>
  </w:style>
  <w:style w:type="paragraph" w:customStyle="1" w:styleId="Numbered1111">
    <w:name w:val="Numbered 1.1.1.1"/>
    <w:basedOn w:val="Heading4"/>
    <w:next w:val="Normal"/>
    <w:uiPriority w:val="99"/>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uiPriority w:val="99"/>
    <w:qFormat/>
    <w:rsid w:val="00340655"/>
    <w:pPr>
      <w:outlineLvl w:val="9"/>
    </w:pPr>
    <w:rPr>
      <w:bCs w:val="0"/>
      <w:color w:val="auto"/>
      <w:sz w:val="22"/>
    </w:rPr>
  </w:style>
  <w:style w:type="character" w:customStyle="1" w:styleId="Numbered1Char">
    <w:name w:val="Numbered 1 Char"/>
    <w:basedOn w:val="Heading1Char"/>
    <w:link w:val="Numbered1"/>
    <w:uiPriority w:val="99"/>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CCCTable1">
    <w:name w:val="ACCC Table1"/>
    <w:basedOn w:val="TableNormal"/>
    <w:next w:val="TableGrid"/>
    <w:uiPriority w:val="59"/>
    <w:rsid w:val="00203C28"/>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11">
    <w:name w:val="Light Shading11"/>
    <w:basedOn w:val="TableNormal"/>
    <w:next w:val="LightShading"/>
    <w:uiPriority w:val="60"/>
    <w:rsid w:val="00203C28"/>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203C28"/>
    <w:rPr>
      <w:sz w:val="16"/>
      <w:szCs w:val="16"/>
    </w:rPr>
  </w:style>
  <w:style w:type="paragraph" w:styleId="CommentText">
    <w:name w:val="annotation text"/>
    <w:basedOn w:val="Normal"/>
    <w:link w:val="CommentTextChar"/>
    <w:uiPriority w:val="99"/>
    <w:unhideWhenUsed/>
    <w:rsid w:val="00203C28"/>
    <w:rPr>
      <w:sz w:val="20"/>
      <w:szCs w:val="20"/>
    </w:rPr>
  </w:style>
  <w:style w:type="character" w:customStyle="1" w:styleId="CommentTextChar">
    <w:name w:val="Comment Text Char"/>
    <w:basedOn w:val="DefaultParagraphFont"/>
    <w:link w:val="CommentText"/>
    <w:uiPriority w:val="99"/>
    <w:rsid w:val="00203C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3C28"/>
    <w:rPr>
      <w:b/>
      <w:bCs/>
    </w:rPr>
  </w:style>
  <w:style w:type="character" w:customStyle="1" w:styleId="CommentSubjectChar">
    <w:name w:val="Comment Subject Char"/>
    <w:basedOn w:val="CommentTextChar"/>
    <w:link w:val="CommentSubject"/>
    <w:uiPriority w:val="99"/>
    <w:semiHidden/>
    <w:rsid w:val="00203C28"/>
    <w:rPr>
      <w:rFonts w:ascii="Arial" w:hAnsi="Arial"/>
      <w:b/>
      <w:bCs/>
      <w:sz w:val="20"/>
      <w:szCs w:val="20"/>
    </w:rPr>
  </w:style>
  <w:style w:type="paragraph" w:customStyle="1" w:styleId="Tablea">
    <w:name w:val="Table(a)"/>
    <w:aliases w:val="ta"/>
    <w:basedOn w:val="Normal"/>
    <w:autoRedefine/>
    <w:rsid w:val="00203C28"/>
    <w:pPr>
      <w:tabs>
        <w:tab w:val="right" w:pos="57"/>
      </w:tabs>
      <w:spacing w:before="60"/>
      <w:ind w:left="425" w:hanging="425"/>
    </w:pPr>
    <w:rPr>
      <w:rFonts w:ascii="Times New Roman" w:eastAsia="Times New Roman" w:hAnsi="Times New Roman" w:cs="Times New Roman"/>
      <w:sz w:val="20"/>
      <w:szCs w:val="20"/>
      <w:lang w:eastAsia="en-AU"/>
    </w:rPr>
  </w:style>
  <w:style w:type="paragraph" w:customStyle="1" w:styleId="Tabletext0">
    <w:name w:val="Tabletext"/>
    <w:aliases w:val="tt"/>
    <w:basedOn w:val="Normal"/>
    <w:uiPriority w:val="99"/>
    <w:rsid w:val="00203C28"/>
    <w:pPr>
      <w:spacing w:before="60" w:line="240" w:lineRule="atLeast"/>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203C28"/>
    <w:pPr>
      <w:spacing w:before="0"/>
    </w:pPr>
    <w:rPr>
      <w:rFonts w:ascii="Times New Roman" w:hAnsi="Times New Roman" w:cs="Times New Roman"/>
      <w:sz w:val="24"/>
      <w:szCs w:val="24"/>
      <w:lang w:eastAsia="en-AU"/>
    </w:rPr>
  </w:style>
  <w:style w:type="paragraph" w:customStyle="1" w:styleId="xmsolistparagraph">
    <w:name w:val="x_msolistparagraph"/>
    <w:basedOn w:val="Normal"/>
    <w:uiPriority w:val="99"/>
    <w:rsid w:val="00203C28"/>
    <w:pPr>
      <w:spacing w:before="0"/>
    </w:pPr>
    <w:rPr>
      <w:rFonts w:ascii="Times New Roman" w:hAnsi="Times New Roman" w:cs="Times New Roman"/>
      <w:sz w:val="24"/>
      <w:szCs w:val="24"/>
      <w:lang w:eastAsia="en-AU"/>
    </w:rPr>
  </w:style>
  <w:style w:type="paragraph" w:styleId="Revision">
    <w:name w:val="Revision"/>
    <w:hidden/>
    <w:uiPriority w:val="99"/>
    <w:semiHidden/>
    <w:rsid w:val="00203C28"/>
    <w:pPr>
      <w:spacing w:before="0"/>
    </w:pPr>
    <w:rPr>
      <w:rFonts w:ascii="Arial" w:hAnsi="Arial"/>
    </w:rPr>
  </w:style>
  <w:style w:type="character" w:styleId="FollowedHyperlink">
    <w:name w:val="FollowedHyperlink"/>
    <w:basedOn w:val="DefaultParagraphFont"/>
    <w:uiPriority w:val="99"/>
    <w:semiHidden/>
    <w:unhideWhenUsed/>
    <w:rsid w:val="00203C28"/>
    <w:rPr>
      <w:color w:val="800080" w:themeColor="followedHyperlink"/>
      <w:u w:val="single"/>
    </w:rPr>
  </w:style>
  <w:style w:type="table" w:styleId="TableGridLight">
    <w:name w:val="Grid Table Light"/>
    <w:basedOn w:val="TableNormal"/>
    <w:uiPriority w:val="40"/>
    <w:rsid w:val="00203C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aliases w:val="a"/>
    <w:basedOn w:val="Normal"/>
    <w:link w:val="paragraphChar"/>
    <w:rsid w:val="00203C28"/>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03C28"/>
    <w:rPr>
      <w:rFonts w:ascii="Times New Roman" w:eastAsia="Times New Roman" w:hAnsi="Times New Roman" w:cs="Times New Roman"/>
      <w:szCs w:val="20"/>
      <w:lang w:eastAsia="en-AU"/>
    </w:rPr>
  </w:style>
  <w:style w:type="paragraph" w:customStyle="1" w:styleId="subsection">
    <w:name w:val="subsection"/>
    <w:aliases w:val="ss,Subsection,t_Main"/>
    <w:basedOn w:val="Normal"/>
    <w:link w:val="subsectionChar"/>
    <w:rsid w:val="00203C28"/>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03C28"/>
    <w:rPr>
      <w:rFonts w:ascii="Times New Roman" w:eastAsia="Times New Roman" w:hAnsi="Times New Roman" w:cs="Times New Roman"/>
      <w:szCs w:val="20"/>
      <w:lang w:eastAsia="en-AU"/>
    </w:rPr>
  </w:style>
  <w:style w:type="paragraph" w:customStyle="1" w:styleId="nDrafterComment">
    <w:name w:val="n_Drafter_Comment"/>
    <w:basedOn w:val="Normal"/>
    <w:link w:val="nDrafterCommentChar"/>
    <w:qFormat/>
    <w:rsid w:val="00203C28"/>
    <w:pPr>
      <w:spacing w:before="80" w:line="260" w:lineRule="atLeast"/>
    </w:pPr>
    <w:rPr>
      <w:rFonts w:eastAsia="Calibri" w:cs="Times New Roman"/>
      <w:color w:val="7030A0"/>
      <w:szCs w:val="20"/>
    </w:rPr>
  </w:style>
  <w:style w:type="character" w:customStyle="1" w:styleId="nDrafterCommentChar">
    <w:name w:val="n_Drafter_Comment Char"/>
    <w:basedOn w:val="DefaultParagraphFont"/>
    <w:link w:val="nDrafterComment"/>
    <w:locked/>
    <w:rsid w:val="00203C28"/>
    <w:rPr>
      <w:rFonts w:ascii="Arial" w:eastAsia="Calibri" w:hAnsi="Arial" w:cs="Times New Roman"/>
      <w:color w:val="7030A0"/>
      <w:szCs w:val="20"/>
    </w:rPr>
  </w:style>
  <w:style w:type="paragraph" w:customStyle="1" w:styleId="paragraphsub">
    <w:name w:val="paragraph(sub)"/>
    <w:aliases w:val="aa"/>
    <w:basedOn w:val="Normal"/>
    <w:uiPriority w:val="99"/>
    <w:rsid w:val="00203C28"/>
    <w:pPr>
      <w:tabs>
        <w:tab w:val="right" w:pos="1985"/>
      </w:tabs>
      <w:spacing w:before="40"/>
      <w:ind w:left="2098" w:hanging="2098"/>
    </w:pPr>
    <w:rPr>
      <w:rFonts w:ascii="Times New Roman" w:eastAsia="Times New Roman" w:hAnsi="Times New Roman" w:cs="Times New Roman"/>
      <w:szCs w:val="20"/>
      <w:lang w:eastAsia="en-AU"/>
    </w:rPr>
  </w:style>
  <w:style w:type="numbering" w:customStyle="1" w:styleId="NoList1">
    <w:name w:val="No List1"/>
    <w:next w:val="NoList"/>
    <w:uiPriority w:val="99"/>
    <w:semiHidden/>
    <w:unhideWhenUsed/>
    <w:rsid w:val="00305F09"/>
  </w:style>
  <w:style w:type="table" w:customStyle="1" w:styleId="ACCCTable2">
    <w:name w:val="ACCC Table2"/>
    <w:basedOn w:val="TableNormal"/>
    <w:next w:val="TableGrid"/>
    <w:uiPriority w:val="59"/>
    <w:rsid w:val="00305F09"/>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2">
    <w:name w:val="Light Shading2"/>
    <w:basedOn w:val="TableNormal"/>
    <w:next w:val="LightShading"/>
    <w:uiPriority w:val="60"/>
    <w:rsid w:val="00305F09"/>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customStyle="1" w:styleId="LightShading-Accent11">
    <w:name w:val="Light Shading - Accent 11"/>
    <w:basedOn w:val="TableNormal"/>
    <w:next w:val="LightShading-Accent1"/>
    <w:uiPriority w:val="60"/>
    <w:rsid w:val="00305F09"/>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customStyle="1" w:styleId="LightShading-Accent21">
    <w:name w:val="Light Shading - Accent 21"/>
    <w:basedOn w:val="TableNormal"/>
    <w:next w:val="LightShading-Accent2"/>
    <w:uiPriority w:val="60"/>
    <w:rsid w:val="00305F09"/>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customStyle="1" w:styleId="LightShading-Accent31">
    <w:name w:val="Light Shading - Accent 31"/>
    <w:basedOn w:val="TableNormal"/>
    <w:next w:val="LightShading-Accent3"/>
    <w:uiPriority w:val="60"/>
    <w:rsid w:val="00305F09"/>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customStyle="1" w:styleId="LightGrid-Accent61">
    <w:name w:val="Light Grid - Accent 61"/>
    <w:basedOn w:val="TableNormal"/>
    <w:next w:val="LightGrid-Accent6"/>
    <w:uiPriority w:val="62"/>
    <w:rsid w:val="00305F09"/>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customStyle="1" w:styleId="MediumShading11">
    <w:name w:val="Medium Shading 11"/>
    <w:basedOn w:val="TableNormal"/>
    <w:next w:val="MediumShading1"/>
    <w:uiPriority w:val="63"/>
    <w:rsid w:val="00305F09"/>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305F09"/>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305F09"/>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305F09"/>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305F09"/>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305F09"/>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305F09"/>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51">
    <w:name w:val="Light Shading - Accent 51"/>
    <w:basedOn w:val="TableNormal"/>
    <w:next w:val="LightShading-Accent5"/>
    <w:uiPriority w:val="60"/>
    <w:rsid w:val="00305F09"/>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customStyle="1" w:styleId="LightGrid-Accent31">
    <w:name w:val="Light Grid - Accent 31"/>
    <w:basedOn w:val="TableNormal"/>
    <w:next w:val="LightGrid-Accent3"/>
    <w:uiPriority w:val="62"/>
    <w:rsid w:val="00305F09"/>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table" w:customStyle="1" w:styleId="LightList-Accent11">
    <w:name w:val="Light List - Accent 11"/>
    <w:basedOn w:val="TableNormal"/>
    <w:next w:val="LightList-Accent1"/>
    <w:uiPriority w:val="61"/>
    <w:rsid w:val="00305F09"/>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customStyle="1" w:styleId="LightList-Accent31">
    <w:name w:val="Light List - Accent 31"/>
    <w:basedOn w:val="TableNormal"/>
    <w:next w:val="LightList-Accent3"/>
    <w:uiPriority w:val="61"/>
    <w:rsid w:val="00305F09"/>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customStyle="1" w:styleId="LightList-Accent51">
    <w:name w:val="Light List - Accent 51"/>
    <w:basedOn w:val="TableNormal"/>
    <w:next w:val="LightList-Accent5"/>
    <w:uiPriority w:val="61"/>
    <w:rsid w:val="00305F09"/>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table" w:customStyle="1" w:styleId="LightShading-Accent41">
    <w:name w:val="Light Shading - Accent 41"/>
    <w:basedOn w:val="TableNormal"/>
    <w:next w:val="LightShading-Accent4"/>
    <w:uiPriority w:val="60"/>
    <w:rsid w:val="00305F09"/>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customStyle="1" w:styleId="LightShading-Accent61">
    <w:name w:val="Light Shading - Accent 61"/>
    <w:basedOn w:val="TableNormal"/>
    <w:next w:val="LightShading-Accent6"/>
    <w:uiPriority w:val="60"/>
    <w:rsid w:val="00305F09"/>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table" w:customStyle="1" w:styleId="LightShading12">
    <w:name w:val="Light Shading12"/>
    <w:basedOn w:val="TableNormal"/>
    <w:next w:val="LightShading"/>
    <w:uiPriority w:val="60"/>
    <w:rsid w:val="00305F09"/>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customStyle="1" w:styleId="LightList-Accent21">
    <w:name w:val="Light List - Accent 21"/>
    <w:basedOn w:val="TableNormal"/>
    <w:next w:val="LightList-Accent2"/>
    <w:uiPriority w:val="61"/>
    <w:rsid w:val="00305F09"/>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customStyle="1" w:styleId="LightList-Accent41">
    <w:name w:val="Light List - Accent 41"/>
    <w:basedOn w:val="TableNormal"/>
    <w:next w:val="LightList-Accent4"/>
    <w:uiPriority w:val="61"/>
    <w:rsid w:val="00305F09"/>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customStyle="1" w:styleId="LightList-Accent61">
    <w:name w:val="Light List - Accent 61"/>
    <w:basedOn w:val="TableNormal"/>
    <w:next w:val="LightList-Accent6"/>
    <w:uiPriority w:val="61"/>
    <w:rsid w:val="00305F09"/>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customStyle="1" w:styleId="LightGrid1">
    <w:name w:val="Light Grid1"/>
    <w:basedOn w:val="TableNormal"/>
    <w:next w:val="LightGrid"/>
    <w:uiPriority w:val="62"/>
    <w:rsid w:val="00305F09"/>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305F09"/>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customStyle="1" w:styleId="LightGrid-Accent21">
    <w:name w:val="Light Grid - Accent 21"/>
    <w:basedOn w:val="TableNormal"/>
    <w:next w:val="LightGrid-Accent2"/>
    <w:uiPriority w:val="62"/>
    <w:rsid w:val="00305F09"/>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customStyle="1" w:styleId="LightGrid-Accent41">
    <w:name w:val="Light Grid - Accent 41"/>
    <w:basedOn w:val="TableNormal"/>
    <w:next w:val="LightGrid-Accent4"/>
    <w:uiPriority w:val="62"/>
    <w:rsid w:val="00305F09"/>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customStyle="1" w:styleId="LightGrid-Accent51">
    <w:name w:val="Light Grid - Accent 51"/>
    <w:basedOn w:val="TableNormal"/>
    <w:next w:val="LightGrid-Accent5"/>
    <w:uiPriority w:val="62"/>
    <w:rsid w:val="00305F09"/>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table" w:customStyle="1" w:styleId="ACCCTable31">
    <w:name w:val="ACCC Table 31"/>
    <w:basedOn w:val="TableNormal"/>
    <w:uiPriority w:val="99"/>
    <w:rsid w:val="00305F09"/>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table" w:customStyle="1" w:styleId="ACCCTable11">
    <w:name w:val="ACCC Table11"/>
    <w:basedOn w:val="TableNormal"/>
    <w:next w:val="TableGrid"/>
    <w:uiPriority w:val="59"/>
    <w:rsid w:val="00305F09"/>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LightShading111">
    <w:name w:val="Light Shading111"/>
    <w:basedOn w:val="TableNormal"/>
    <w:next w:val="LightShading"/>
    <w:uiPriority w:val="60"/>
    <w:rsid w:val="00305F0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305F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305F09"/>
    <w:pPr>
      <w:spacing w:after="120"/>
    </w:pPr>
  </w:style>
  <w:style w:type="character" w:customStyle="1" w:styleId="BodyTextChar">
    <w:name w:val="Body Text Char"/>
    <w:basedOn w:val="DefaultParagraphFont"/>
    <w:link w:val="BodyText"/>
    <w:uiPriority w:val="99"/>
    <w:semiHidden/>
    <w:rsid w:val="00305F09"/>
    <w:rPr>
      <w:rFonts w:ascii="Arial" w:hAnsi="Arial"/>
    </w:rPr>
  </w:style>
  <w:style w:type="paragraph" w:customStyle="1" w:styleId="TableHeading0">
    <w:name w:val="TableHeading"/>
    <w:aliases w:val="th"/>
    <w:basedOn w:val="Normal"/>
    <w:next w:val="Tabletext0"/>
    <w:rsid w:val="00587394"/>
    <w:pPr>
      <w:keepNext/>
      <w:spacing w:before="60" w:line="240" w:lineRule="atLeast"/>
    </w:pPr>
    <w:rPr>
      <w:rFonts w:ascii="Times New Roman" w:eastAsia="Times New Roman" w:hAnsi="Times New Roman" w:cs="Times New Roman"/>
      <w:b/>
      <w:sz w:val="20"/>
      <w:szCs w:val="20"/>
      <w:lang w:eastAsia="en-AU"/>
    </w:rPr>
  </w:style>
  <w:style w:type="paragraph" w:customStyle="1" w:styleId="Default">
    <w:name w:val="Default"/>
    <w:rsid w:val="009E6EDC"/>
    <w:pPr>
      <w:autoSpaceDE w:val="0"/>
      <w:autoSpaceDN w:val="0"/>
      <w:adjustRightInd w:val="0"/>
      <w:spacing w:before="0"/>
    </w:pPr>
    <w:rPr>
      <w:rFonts w:ascii="Arial" w:hAnsi="Arial" w:cs="Arial"/>
      <w:color w:val="000000"/>
      <w:sz w:val="24"/>
      <w:szCs w:val="24"/>
    </w:rPr>
  </w:style>
  <w:style w:type="table" w:styleId="PlainTable4">
    <w:name w:val="Plain Table 4"/>
    <w:basedOn w:val="TableNormal"/>
    <w:uiPriority w:val="44"/>
    <w:rsid w:val="009E6E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6E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ctHead5">
    <w:name w:val="ActHead 5"/>
    <w:aliases w:val="s,h5_Section"/>
    <w:basedOn w:val="Normal"/>
    <w:next w:val="subsection"/>
    <w:uiPriority w:val="99"/>
    <w:qFormat/>
    <w:rsid w:val="007662D3"/>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6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7897">
      <w:bodyDiv w:val="1"/>
      <w:marLeft w:val="0"/>
      <w:marRight w:val="0"/>
      <w:marTop w:val="0"/>
      <w:marBottom w:val="0"/>
      <w:divBdr>
        <w:top w:val="none" w:sz="0" w:space="0" w:color="auto"/>
        <w:left w:val="none" w:sz="0" w:space="0" w:color="auto"/>
        <w:bottom w:val="none" w:sz="0" w:space="0" w:color="auto"/>
        <w:right w:val="none" w:sz="0" w:space="0" w:color="auto"/>
      </w:divBdr>
    </w:div>
    <w:div w:id="374279559">
      <w:bodyDiv w:val="1"/>
      <w:marLeft w:val="0"/>
      <w:marRight w:val="0"/>
      <w:marTop w:val="0"/>
      <w:marBottom w:val="0"/>
      <w:divBdr>
        <w:top w:val="none" w:sz="0" w:space="0" w:color="auto"/>
        <w:left w:val="none" w:sz="0" w:space="0" w:color="auto"/>
        <w:bottom w:val="none" w:sz="0" w:space="0" w:color="auto"/>
        <w:right w:val="none" w:sz="0" w:space="0" w:color="auto"/>
      </w:divBdr>
    </w:div>
    <w:div w:id="423887616">
      <w:bodyDiv w:val="1"/>
      <w:marLeft w:val="0"/>
      <w:marRight w:val="0"/>
      <w:marTop w:val="0"/>
      <w:marBottom w:val="0"/>
      <w:divBdr>
        <w:top w:val="none" w:sz="0" w:space="0" w:color="auto"/>
        <w:left w:val="none" w:sz="0" w:space="0" w:color="auto"/>
        <w:bottom w:val="none" w:sz="0" w:space="0" w:color="auto"/>
        <w:right w:val="none" w:sz="0" w:space="0" w:color="auto"/>
      </w:divBdr>
    </w:div>
    <w:div w:id="507670207">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17695050">
      <w:bodyDiv w:val="1"/>
      <w:marLeft w:val="0"/>
      <w:marRight w:val="0"/>
      <w:marTop w:val="0"/>
      <w:marBottom w:val="0"/>
      <w:divBdr>
        <w:top w:val="none" w:sz="0" w:space="0" w:color="auto"/>
        <w:left w:val="none" w:sz="0" w:space="0" w:color="auto"/>
        <w:bottom w:val="none" w:sz="0" w:space="0" w:color="auto"/>
        <w:right w:val="none" w:sz="0" w:space="0" w:color="auto"/>
      </w:divBdr>
    </w:div>
    <w:div w:id="574435821">
      <w:bodyDiv w:val="1"/>
      <w:marLeft w:val="0"/>
      <w:marRight w:val="0"/>
      <w:marTop w:val="0"/>
      <w:marBottom w:val="0"/>
      <w:divBdr>
        <w:top w:val="none" w:sz="0" w:space="0" w:color="auto"/>
        <w:left w:val="none" w:sz="0" w:space="0" w:color="auto"/>
        <w:bottom w:val="none" w:sz="0" w:space="0" w:color="auto"/>
        <w:right w:val="none" w:sz="0" w:space="0" w:color="auto"/>
      </w:divBdr>
    </w:div>
    <w:div w:id="575092480">
      <w:bodyDiv w:val="1"/>
      <w:marLeft w:val="0"/>
      <w:marRight w:val="0"/>
      <w:marTop w:val="0"/>
      <w:marBottom w:val="0"/>
      <w:divBdr>
        <w:top w:val="none" w:sz="0" w:space="0" w:color="auto"/>
        <w:left w:val="none" w:sz="0" w:space="0" w:color="auto"/>
        <w:bottom w:val="none" w:sz="0" w:space="0" w:color="auto"/>
        <w:right w:val="none" w:sz="0" w:space="0" w:color="auto"/>
      </w:divBdr>
    </w:div>
    <w:div w:id="59475016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8186790">
      <w:bodyDiv w:val="1"/>
      <w:marLeft w:val="0"/>
      <w:marRight w:val="0"/>
      <w:marTop w:val="0"/>
      <w:marBottom w:val="0"/>
      <w:divBdr>
        <w:top w:val="none" w:sz="0" w:space="0" w:color="auto"/>
        <w:left w:val="none" w:sz="0" w:space="0" w:color="auto"/>
        <w:bottom w:val="none" w:sz="0" w:space="0" w:color="auto"/>
        <w:right w:val="none" w:sz="0" w:space="0" w:color="auto"/>
      </w:divBdr>
    </w:div>
    <w:div w:id="1226338878">
      <w:bodyDiv w:val="1"/>
      <w:marLeft w:val="0"/>
      <w:marRight w:val="0"/>
      <w:marTop w:val="0"/>
      <w:marBottom w:val="0"/>
      <w:divBdr>
        <w:top w:val="none" w:sz="0" w:space="0" w:color="auto"/>
        <w:left w:val="none" w:sz="0" w:space="0" w:color="auto"/>
        <w:bottom w:val="none" w:sz="0" w:space="0" w:color="auto"/>
        <w:right w:val="none" w:sz="0" w:space="0" w:color="auto"/>
      </w:divBdr>
    </w:div>
    <w:div w:id="1500272613">
      <w:bodyDiv w:val="1"/>
      <w:marLeft w:val="0"/>
      <w:marRight w:val="0"/>
      <w:marTop w:val="0"/>
      <w:marBottom w:val="0"/>
      <w:divBdr>
        <w:top w:val="none" w:sz="0" w:space="0" w:color="auto"/>
        <w:left w:val="none" w:sz="0" w:space="0" w:color="auto"/>
        <w:bottom w:val="none" w:sz="0" w:space="0" w:color="auto"/>
        <w:right w:val="none" w:sz="0" w:space="0" w:color="auto"/>
      </w:divBdr>
    </w:div>
    <w:div w:id="1533883114">
      <w:bodyDiv w:val="1"/>
      <w:marLeft w:val="0"/>
      <w:marRight w:val="0"/>
      <w:marTop w:val="0"/>
      <w:marBottom w:val="0"/>
      <w:divBdr>
        <w:top w:val="none" w:sz="0" w:space="0" w:color="auto"/>
        <w:left w:val="none" w:sz="0" w:space="0" w:color="auto"/>
        <w:bottom w:val="none" w:sz="0" w:space="0" w:color="auto"/>
        <w:right w:val="none" w:sz="0" w:space="0" w:color="auto"/>
      </w:divBdr>
    </w:div>
    <w:div w:id="1588340575">
      <w:bodyDiv w:val="1"/>
      <w:marLeft w:val="0"/>
      <w:marRight w:val="0"/>
      <w:marTop w:val="0"/>
      <w:marBottom w:val="0"/>
      <w:divBdr>
        <w:top w:val="none" w:sz="0" w:space="0" w:color="auto"/>
        <w:left w:val="none" w:sz="0" w:space="0" w:color="auto"/>
        <w:bottom w:val="none" w:sz="0" w:space="0" w:color="auto"/>
        <w:right w:val="none" w:sz="0" w:space="0" w:color="auto"/>
      </w:divBdr>
    </w:div>
    <w:div w:id="1761365173">
      <w:bodyDiv w:val="1"/>
      <w:marLeft w:val="0"/>
      <w:marRight w:val="0"/>
      <w:marTop w:val="0"/>
      <w:marBottom w:val="0"/>
      <w:divBdr>
        <w:top w:val="none" w:sz="0" w:space="0" w:color="auto"/>
        <w:left w:val="none" w:sz="0" w:space="0" w:color="auto"/>
        <w:bottom w:val="none" w:sz="0" w:space="0" w:color="auto"/>
        <w:right w:val="none" w:sz="0" w:space="0" w:color="auto"/>
      </w:divBdr>
    </w:div>
    <w:div w:id="1761563614">
      <w:bodyDiv w:val="1"/>
      <w:marLeft w:val="0"/>
      <w:marRight w:val="0"/>
      <w:marTop w:val="0"/>
      <w:marBottom w:val="0"/>
      <w:divBdr>
        <w:top w:val="none" w:sz="0" w:space="0" w:color="auto"/>
        <w:left w:val="none" w:sz="0" w:space="0" w:color="auto"/>
        <w:bottom w:val="none" w:sz="0" w:space="0" w:color="auto"/>
        <w:right w:val="none" w:sz="0" w:space="0" w:color="auto"/>
      </w:divBdr>
    </w:div>
    <w:div w:id="1934895337">
      <w:bodyDiv w:val="1"/>
      <w:marLeft w:val="0"/>
      <w:marRight w:val="0"/>
      <w:marTop w:val="0"/>
      <w:marBottom w:val="0"/>
      <w:divBdr>
        <w:top w:val="none" w:sz="0" w:space="0" w:color="auto"/>
        <w:left w:val="none" w:sz="0" w:space="0" w:color="auto"/>
        <w:bottom w:val="none" w:sz="0" w:space="0" w:color="auto"/>
        <w:right w:val="none" w:sz="0" w:space="0" w:color="auto"/>
      </w:divBdr>
    </w:div>
    <w:div w:id="2011135290">
      <w:bodyDiv w:val="1"/>
      <w:marLeft w:val="0"/>
      <w:marRight w:val="0"/>
      <w:marTop w:val="0"/>
      <w:marBottom w:val="0"/>
      <w:divBdr>
        <w:top w:val="none" w:sz="0" w:space="0" w:color="auto"/>
        <w:left w:val="none" w:sz="0" w:space="0" w:color="auto"/>
        <w:bottom w:val="none" w:sz="0" w:space="0" w:color="auto"/>
        <w:right w:val="none" w:sz="0" w:space="0" w:color="auto"/>
      </w:divBdr>
    </w:div>
    <w:div w:id="2033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C9B89-B1D6-4A26-80D9-0034A615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9</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Breeze, Andrew</dc:creator>
  <cp:keywords/>
  <dc:description/>
  <cp:lastModifiedBy>Cristina Blumberg</cp:lastModifiedBy>
  <cp:revision>123</cp:revision>
  <cp:lastPrinted>2020-01-17T04:49:00Z</cp:lastPrinted>
  <dcterms:created xsi:type="dcterms:W3CDTF">2020-04-08T07:18:00Z</dcterms:created>
  <dcterms:modified xsi:type="dcterms:W3CDTF">2020-06-17T03:16:00Z</dcterms:modified>
</cp:coreProperties>
</file>