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228AD" w14:textId="28584466" w:rsidR="00202381" w:rsidRDefault="003A6026" w:rsidP="001D2C4D">
      <w:pPr>
        <w:jc w:val="center"/>
        <w:rPr>
          <w:u w:val="single"/>
        </w:rPr>
      </w:pPr>
      <w:bookmarkStart w:id="0" w:name="_GoBack"/>
      <w:bookmarkEnd w:id="0"/>
      <w:r>
        <w:rPr>
          <w:u w:val="single"/>
        </w:rPr>
        <w:t>EXPLANATORY STATEMENT</w:t>
      </w:r>
    </w:p>
    <w:p w14:paraId="37DF5BCD" w14:textId="77777777" w:rsidR="00D17184" w:rsidRDefault="00D17184" w:rsidP="003A6026">
      <w:pPr>
        <w:rPr>
          <w:u w:val="single"/>
        </w:rPr>
      </w:pPr>
    </w:p>
    <w:p w14:paraId="0ED190FB" w14:textId="77777777" w:rsidR="003A6026" w:rsidRPr="00AB1D6C" w:rsidRDefault="004E05AC" w:rsidP="00AB1D6C">
      <w:pPr>
        <w:jc w:val="center"/>
        <w:rPr>
          <w:i/>
        </w:rPr>
      </w:pPr>
      <w:r>
        <w:rPr>
          <w:i/>
        </w:rPr>
        <w:t>Australian Hearing Services Act 1992</w:t>
      </w:r>
    </w:p>
    <w:p w14:paraId="18B3A7EE" w14:textId="77777777" w:rsidR="003A6026" w:rsidRDefault="003A6026" w:rsidP="003A6026"/>
    <w:p w14:paraId="3F3E1886" w14:textId="77777777" w:rsidR="004E05AC" w:rsidRPr="004E05AC" w:rsidRDefault="004E05AC" w:rsidP="004E05AC">
      <w:pPr>
        <w:jc w:val="center"/>
        <w:rPr>
          <w:b/>
          <w:i/>
        </w:rPr>
      </w:pPr>
      <w:r w:rsidRPr="004E05AC">
        <w:rPr>
          <w:b/>
          <w:i/>
        </w:rPr>
        <w:t>Australian Hearing Services (Declared Hearing Services) Amendment Determination 2020</w:t>
      </w:r>
    </w:p>
    <w:p w14:paraId="4C3F95F6" w14:textId="77777777" w:rsidR="00AB1D6C" w:rsidRDefault="00AB1D6C" w:rsidP="00EF41AE"/>
    <w:p w14:paraId="30412763" w14:textId="22147925" w:rsidR="004E05AC" w:rsidRDefault="003A6026" w:rsidP="008313FA">
      <w:pPr>
        <w:spacing w:after="120"/>
      </w:pPr>
      <w:r w:rsidRPr="008313FA">
        <w:rPr>
          <w:u w:val="single"/>
        </w:rPr>
        <w:t>Authority</w:t>
      </w:r>
      <w:r w:rsidR="00D510D1" w:rsidRPr="008313FA">
        <w:t xml:space="preserve"> </w:t>
      </w:r>
    </w:p>
    <w:p w14:paraId="4E90D7BB" w14:textId="35648872" w:rsidR="00C546D6" w:rsidRDefault="004E05AC" w:rsidP="004E05AC">
      <w:r>
        <w:t xml:space="preserve">The </w:t>
      </w:r>
      <w:r w:rsidRPr="004E05AC">
        <w:rPr>
          <w:i/>
        </w:rPr>
        <w:t>Australian Hearing Services (Declared Hearing Services) Amendment Determination 2020</w:t>
      </w:r>
      <w:r w:rsidR="00A76FE5">
        <w:t xml:space="preserve"> (</w:t>
      </w:r>
      <w:r w:rsidR="001D2C4D">
        <w:t>Determination</w:t>
      </w:r>
      <w:r>
        <w:t xml:space="preserve">) is made under section 8 of </w:t>
      </w:r>
      <w:r w:rsidR="00FD0E3C">
        <w:t xml:space="preserve">the </w:t>
      </w:r>
      <w:r w:rsidR="00FD0E3C">
        <w:rPr>
          <w:i/>
        </w:rPr>
        <w:t xml:space="preserve">Australian Hearing Services Act 1991 </w:t>
      </w:r>
      <w:r w:rsidR="00FD0E3C">
        <w:t>(</w:t>
      </w:r>
      <w:r>
        <w:t>Act</w:t>
      </w:r>
      <w:r w:rsidR="00FD0E3C">
        <w:t>)</w:t>
      </w:r>
      <w:r>
        <w:t xml:space="preserve"> which sets out the functions of Australian Hearing Services and</w:t>
      </w:r>
      <w:r w:rsidR="0030319E">
        <w:t xml:space="preserve"> provides that the Minister may, by writing, determine that a specified person is a designated person.</w:t>
      </w:r>
      <w:r>
        <w:t xml:space="preserve"> </w:t>
      </w:r>
    </w:p>
    <w:p w14:paraId="25B107D0" w14:textId="77777777" w:rsidR="004E05AC" w:rsidRDefault="004E05AC" w:rsidP="004E05AC"/>
    <w:p w14:paraId="1385791A" w14:textId="77777777" w:rsidR="00C546D6" w:rsidRPr="008313FA" w:rsidRDefault="00C546D6" w:rsidP="00C27A18">
      <w:pPr>
        <w:spacing w:after="120"/>
        <w:rPr>
          <w:u w:val="single"/>
        </w:rPr>
      </w:pPr>
      <w:r w:rsidRPr="008313FA">
        <w:rPr>
          <w:u w:val="single"/>
        </w:rPr>
        <w:t>Purpose</w:t>
      </w:r>
    </w:p>
    <w:p w14:paraId="0D9D54C1" w14:textId="455B37C9" w:rsidR="001E503F" w:rsidRDefault="004168DF" w:rsidP="004168DF">
      <w:pPr>
        <w:spacing w:after="120"/>
      </w:pPr>
      <w:r>
        <w:t>The Determination amends the</w:t>
      </w:r>
      <w:r w:rsidRPr="004168DF">
        <w:rPr>
          <w:i/>
        </w:rPr>
        <w:t xml:space="preserve"> Hearing Services (Declared Hearing Services) Determination 2019</w:t>
      </w:r>
      <w:r>
        <w:rPr>
          <w:i/>
        </w:rPr>
        <w:t xml:space="preserve"> </w:t>
      </w:r>
      <w:r w:rsidR="00A76FE5">
        <w:t>(</w:t>
      </w:r>
      <w:r>
        <w:t xml:space="preserve">2019 Determination) to implement the </w:t>
      </w:r>
      <w:r w:rsidR="00FD0E3C">
        <w:t>revised framework</w:t>
      </w:r>
      <w:r w:rsidR="00BE5D33">
        <w:t xml:space="preserve"> that will operate bet</w:t>
      </w:r>
      <w:r>
        <w:t>ween the National Disability</w:t>
      </w:r>
      <w:r w:rsidR="00BE5D33">
        <w:t xml:space="preserve"> Insurance Scheme (NDIS) and the</w:t>
      </w:r>
      <w:r w:rsidR="00FD0E3C">
        <w:t xml:space="preserve"> Hearing </w:t>
      </w:r>
      <w:r w:rsidR="00A76FE5">
        <w:t>Services Program (</w:t>
      </w:r>
      <w:r w:rsidR="009957E1">
        <w:t>HSP</w:t>
      </w:r>
      <w:r w:rsidR="00FD0E3C">
        <w:t>)</w:t>
      </w:r>
      <w:r w:rsidR="00BE5D33">
        <w:t xml:space="preserve"> following the cessation of in-kind arrangements </w:t>
      </w:r>
      <w:r w:rsidR="009957E1">
        <w:t>between the two programs on 30 June</w:t>
      </w:r>
      <w:r w:rsidR="00BE5D33">
        <w:t xml:space="preserve"> 2020. </w:t>
      </w:r>
    </w:p>
    <w:p w14:paraId="54C06C3F" w14:textId="59BD6DA4" w:rsidR="00565AB4" w:rsidRDefault="009F3895" w:rsidP="008313FA">
      <w:r w:rsidRPr="009F3895">
        <w:t>The Determination assures continuity of services, particularly early intervention services for young NDIS participants who are currently receiving hearing services delivered through the HSP. Although ‘young NDIS participant’ has been removed</w:t>
      </w:r>
      <w:r w:rsidR="00A76FE5">
        <w:t>,</w:t>
      </w:r>
      <w:r w:rsidRPr="009F3895">
        <w:t xml:space="preserve"> ‘young Australian’, which remains in the 2019 Determination, captures the same population. The references to ‘young NDIS participant’ were only necessary to support transition out of the HSP by 1 July 2020, which is no longer occurring.</w:t>
      </w:r>
    </w:p>
    <w:p w14:paraId="4CBE0F37" w14:textId="77777777" w:rsidR="009F3895" w:rsidRDefault="009F3895" w:rsidP="00D76B76">
      <w:pPr>
        <w:rPr>
          <w:u w:val="single"/>
        </w:rPr>
      </w:pPr>
    </w:p>
    <w:p w14:paraId="624778C1" w14:textId="4DFBB791" w:rsidR="00C546D6" w:rsidRPr="008313FA" w:rsidRDefault="00BB171B" w:rsidP="008C6352">
      <w:pPr>
        <w:spacing w:after="120"/>
        <w:rPr>
          <w:u w:val="single"/>
        </w:rPr>
      </w:pPr>
      <w:r w:rsidRPr="008313FA">
        <w:rPr>
          <w:u w:val="single"/>
        </w:rPr>
        <w:t>Background</w:t>
      </w:r>
    </w:p>
    <w:p w14:paraId="390FB144" w14:textId="277695C8" w:rsidR="00FD0E3C" w:rsidRDefault="00FD0E3C" w:rsidP="008C6352">
      <w:pPr>
        <w:spacing w:after="120"/>
      </w:pPr>
      <w:r>
        <w:lastRenderedPageBreak/>
        <w:t xml:space="preserve">Under the </w:t>
      </w:r>
      <w:r w:rsidR="001D2C4D">
        <w:t xml:space="preserve">Community Service Obligation </w:t>
      </w:r>
      <w:r>
        <w:t xml:space="preserve">component of the HSP, eligible people – including young Australians aged 0-26 – can access a range of hearing services. Subsections 8(4) to 8(8) inclusive of the Act empower the Minister to determine designated persons, and to declare a specified hearing service is a declared hearing service that will be provided to classes of eligible persons.  </w:t>
      </w:r>
    </w:p>
    <w:p w14:paraId="226DEA05" w14:textId="2DA7004D" w:rsidR="0024254B" w:rsidRDefault="00074600" w:rsidP="008313FA">
      <w:pPr>
        <w:spacing w:after="120"/>
      </w:pPr>
      <w:r>
        <w:t xml:space="preserve">The transition of eligible people from the HSP to the NDIS </w:t>
      </w:r>
      <w:r w:rsidR="008C6352">
        <w:t>has been progressing since 2013. When the transition process commenced,</w:t>
      </w:r>
      <w:r>
        <w:t xml:space="preserve"> it was intended that </w:t>
      </w:r>
      <w:r w:rsidR="00A76FE5">
        <w:t>after 30 June </w:t>
      </w:r>
      <w:r w:rsidR="0024254B">
        <w:t xml:space="preserve">2020, </w:t>
      </w:r>
      <w:r>
        <w:t xml:space="preserve">all NDIS participants would exit the HSP and access their hearing services through the NDIS. </w:t>
      </w:r>
      <w:r w:rsidR="0024254B">
        <w:t xml:space="preserve">Following consultation with stakeholders, </w:t>
      </w:r>
      <w:r w:rsidR="008C6352">
        <w:t xml:space="preserve">including consumer advocacy organisations and current HSP and NDIS participants and their families, </w:t>
      </w:r>
      <w:r w:rsidR="0024254B">
        <w:t xml:space="preserve">final arrangements for </w:t>
      </w:r>
      <w:r>
        <w:t>the delivery of hearing services across both programs from 1 July 2020</w:t>
      </w:r>
      <w:r w:rsidR="0024254B">
        <w:t xml:space="preserve"> were agreed. </w:t>
      </w:r>
    </w:p>
    <w:p w14:paraId="6DB7985B" w14:textId="5295C67A" w:rsidR="00074600" w:rsidRDefault="0024254B" w:rsidP="00074600">
      <w:r>
        <w:t xml:space="preserve">This </w:t>
      </w:r>
      <w:r w:rsidR="008C6352">
        <w:t xml:space="preserve">Determination makes amendments that facilitate </w:t>
      </w:r>
      <w:r>
        <w:t>the implementation of those arrangements.</w:t>
      </w:r>
    </w:p>
    <w:p w14:paraId="375CD365" w14:textId="77777777" w:rsidR="00D37AEC" w:rsidRPr="00875171" w:rsidRDefault="00D37AEC" w:rsidP="00BB171B"/>
    <w:p w14:paraId="7F2698BD" w14:textId="56EC1780" w:rsidR="00571345" w:rsidRPr="008313FA" w:rsidRDefault="007757EA" w:rsidP="008C6352">
      <w:pPr>
        <w:spacing w:after="120"/>
        <w:rPr>
          <w:u w:val="single"/>
        </w:rPr>
      </w:pPr>
      <w:r w:rsidRPr="008313FA">
        <w:rPr>
          <w:u w:val="single"/>
        </w:rPr>
        <w:t>Consultation</w:t>
      </w:r>
    </w:p>
    <w:p w14:paraId="06BE7CB4" w14:textId="10865A21" w:rsidR="0024254B" w:rsidRDefault="00F80780" w:rsidP="008C6352">
      <w:pPr>
        <w:spacing w:after="120"/>
      </w:pPr>
      <w:r>
        <w:t xml:space="preserve">The Department of Health, </w:t>
      </w:r>
      <w:r w:rsidR="001D2C4D">
        <w:t xml:space="preserve">together with </w:t>
      </w:r>
      <w:r w:rsidR="00086F4B">
        <w:t xml:space="preserve">the </w:t>
      </w:r>
      <w:r>
        <w:t>D</w:t>
      </w:r>
      <w:r w:rsidR="0024254B">
        <w:t>epartment of Social Services and the National Disability Insurance Agency consulted broadly about the delivery of hearing services following the cessation of in-kind arrangements. The consultation included:</w:t>
      </w:r>
    </w:p>
    <w:p w14:paraId="54C2CA8C" w14:textId="77777777" w:rsidR="00F80780" w:rsidRDefault="00F80780" w:rsidP="00F80780">
      <w:pPr>
        <w:numPr>
          <w:ilvl w:val="0"/>
          <w:numId w:val="16"/>
        </w:numPr>
      </w:pPr>
      <w:r>
        <w:t>consumer advocacy groups for children and adults with hearing loss</w:t>
      </w:r>
    </w:p>
    <w:p w14:paraId="4FE14FCC" w14:textId="77777777" w:rsidR="00F80780" w:rsidRDefault="00F80780" w:rsidP="00F80780">
      <w:pPr>
        <w:numPr>
          <w:ilvl w:val="0"/>
          <w:numId w:val="16"/>
        </w:numPr>
      </w:pPr>
      <w:r>
        <w:t>professional peak bodies and other professional associations representing audiologists and audiometrists, and</w:t>
      </w:r>
    </w:p>
    <w:p w14:paraId="11BF3761" w14:textId="77777777" w:rsidR="00F80780" w:rsidRDefault="00F80780" w:rsidP="00F80780">
      <w:pPr>
        <w:numPr>
          <w:ilvl w:val="0"/>
          <w:numId w:val="16"/>
        </w:numPr>
      </w:pPr>
      <w:r>
        <w:t>the hearing health sector generally.</w:t>
      </w:r>
    </w:p>
    <w:p w14:paraId="6FBC37C9" w14:textId="77777777" w:rsidR="0024254B" w:rsidRDefault="0024254B" w:rsidP="00BB171B"/>
    <w:p w14:paraId="22B51906" w14:textId="3AF411F3" w:rsidR="00970399" w:rsidRDefault="00BC1FB9" w:rsidP="00970399">
      <w:pPr>
        <w:spacing w:after="120"/>
      </w:pPr>
      <w:r>
        <w:t xml:space="preserve">Consumer groups, professional </w:t>
      </w:r>
      <w:r w:rsidR="00A76FE5">
        <w:t xml:space="preserve">peak bodies and </w:t>
      </w:r>
      <w:r>
        <w:t xml:space="preserve">associations and members of the hearing health </w:t>
      </w:r>
      <w:r w:rsidR="00CA5B83">
        <w:t>sector</w:t>
      </w:r>
      <w:r>
        <w:t xml:space="preserve"> generally supported the </w:t>
      </w:r>
      <w:r w:rsidR="00970399">
        <w:t xml:space="preserve">proposed service delivery arrangements. </w:t>
      </w:r>
    </w:p>
    <w:p w14:paraId="188DD087" w14:textId="766B4845" w:rsidR="00EC31D7" w:rsidRDefault="00970399" w:rsidP="00970399">
      <w:pPr>
        <w:spacing w:after="120"/>
      </w:pPr>
      <w:r>
        <w:lastRenderedPageBreak/>
        <w:t xml:space="preserve">The Department of Health </w:t>
      </w:r>
      <w:r w:rsidR="00086F4B">
        <w:t xml:space="preserve">also </w:t>
      </w:r>
      <w:r>
        <w:t>consulted with the Department of Social Services and the National Disability I</w:t>
      </w:r>
      <w:r w:rsidR="00C652AF">
        <w:t>nsurance Agency</w:t>
      </w:r>
      <w:r>
        <w:t xml:space="preserve">. </w:t>
      </w:r>
    </w:p>
    <w:p w14:paraId="13857A40" w14:textId="77777777" w:rsidR="007757EA" w:rsidRPr="002E1268" w:rsidRDefault="002E1268" w:rsidP="00970399">
      <w:pPr>
        <w:spacing w:after="120"/>
      </w:pPr>
      <w:r w:rsidRPr="002E1268">
        <w:t xml:space="preserve">Details of the </w:t>
      </w:r>
      <w:r w:rsidR="008C6352">
        <w:t>Determination</w:t>
      </w:r>
      <w:r w:rsidRPr="002E1268">
        <w:t xml:space="preserve"> are set out in the </w:t>
      </w:r>
      <w:r w:rsidRPr="002E1268">
        <w:rPr>
          <w:u w:val="single"/>
        </w:rPr>
        <w:t>Attachment</w:t>
      </w:r>
      <w:r w:rsidRPr="002E1268">
        <w:t>.</w:t>
      </w:r>
    </w:p>
    <w:p w14:paraId="02AFAD5D" w14:textId="77777777" w:rsidR="002E1268" w:rsidRDefault="007757EA" w:rsidP="00970399">
      <w:pPr>
        <w:spacing w:after="120"/>
        <w:rPr>
          <w:i/>
        </w:rPr>
      </w:pPr>
      <w:r w:rsidRPr="00EC31D7">
        <w:t>This</w:t>
      </w:r>
      <w:r w:rsidRPr="00E62632">
        <w:rPr>
          <w:color w:val="FF0000"/>
        </w:rPr>
        <w:t xml:space="preserve"> </w:t>
      </w:r>
      <w:r w:rsidR="008C6352">
        <w:t>Determination</w:t>
      </w:r>
      <w:r w:rsidR="00B37217" w:rsidRPr="007A639E">
        <w:t xml:space="preserve"> </w:t>
      </w:r>
      <w:r w:rsidRPr="00EC31D7">
        <w:t xml:space="preserve">is a legislative instrument for the purposes of the </w:t>
      </w:r>
      <w:r w:rsidR="00077246" w:rsidRPr="00EC31D7">
        <w:rPr>
          <w:i/>
        </w:rPr>
        <w:t xml:space="preserve">Legislation </w:t>
      </w:r>
      <w:r w:rsidRPr="00EC31D7">
        <w:rPr>
          <w:i/>
        </w:rPr>
        <w:t>Act 2003.</w:t>
      </w:r>
    </w:p>
    <w:p w14:paraId="289A8089" w14:textId="77777777" w:rsidR="002E1268" w:rsidRPr="002E1268" w:rsidRDefault="008C6352" w:rsidP="00970399">
      <w:pPr>
        <w:spacing w:after="120"/>
        <w:rPr>
          <w:i/>
        </w:rPr>
      </w:pPr>
      <w:r>
        <w:t xml:space="preserve">This Determination commences on 1 July 2020. </w:t>
      </w:r>
    </w:p>
    <w:p w14:paraId="4A41C0A4" w14:textId="77777777" w:rsidR="007757EA" w:rsidRDefault="007757EA" w:rsidP="00BB171B">
      <w:pPr>
        <w:rPr>
          <w:i/>
        </w:rPr>
      </w:pPr>
    </w:p>
    <w:p w14:paraId="57883F40" w14:textId="77777777" w:rsidR="00BB171B" w:rsidRPr="00AA1BA2" w:rsidRDefault="004808B7" w:rsidP="00AA1BA2">
      <w:pPr>
        <w:jc w:val="right"/>
        <w:rPr>
          <w:i/>
        </w:rPr>
      </w:pPr>
      <w:r>
        <w:rPr>
          <w:i/>
        </w:rPr>
        <w:br w:type="page"/>
      </w:r>
      <w:r w:rsidR="007757EA" w:rsidRPr="00C652AF">
        <w:rPr>
          <w:b/>
          <w:u w:val="single"/>
        </w:rPr>
        <w:lastRenderedPageBreak/>
        <w:t>ATTACHMENT</w:t>
      </w:r>
    </w:p>
    <w:p w14:paraId="20EF54C4" w14:textId="77777777" w:rsidR="007757EA" w:rsidRDefault="007757EA" w:rsidP="007757EA">
      <w:pPr>
        <w:jc w:val="right"/>
        <w:rPr>
          <w:b/>
        </w:rPr>
      </w:pPr>
    </w:p>
    <w:p w14:paraId="1893A6DE" w14:textId="02A10817" w:rsidR="007757EA" w:rsidRPr="008C6352" w:rsidRDefault="00FD0E3C" w:rsidP="007757EA">
      <w:pPr>
        <w:rPr>
          <w:b/>
          <w:u w:val="single"/>
        </w:rPr>
      </w:pPr>
      <w:r>
        <w:rPr>
          <w:b/>
          <w:u w:val="single"/>
        </w:rPr>
        <w:t xml:space="preserve">Details of the </w:t>
      </w:r>
      <w:r w:rsidR="008C6352" w:rsidRPr="008313FA">
        <w:rPr>
          <w:b/>
          <w:i/>
          <w:u w:val="single"/>
        </w:rPr>
        <w:t>Australian Hearing Services (Declared Hearing Services) Amendment Determination 2020</w:t>
      </w:r>
    </w:p>
    <w:p w14:paraId="737546F2" w14:textId="77777777" w:rsidR="007757EA" w:rsidRDefault="007757EA" w:rsidP="007757EA">
      <w:pPr>
        <w:rPr>
          <w:i/>
          <w:u w:val="single"/>
        </w:rPr>
      </w:pPr>
    </w:p>
    <w:p w14:paraId="752FA9DF" w14:textId="77777777" w:rsidR="007757EA" w:rsidRDefault="009D06CE" w:rsidP="00A9134B">
      <w:pPr>
        <w:numPr>
          <w:ilvl w:val="0"/>
          <w:numId w:val="2"/>
        </w:numPr>
        <w:tabs>
          <w:tab w:val="clear" w:pos="1080"/>
        </w:tabs>
        <w:ind w:left="0" w:firstLine="0"/>
        <w:rPr>
          <w:b/>
        </w:rPr>
      </w:pPr>
      <w:r>
        <w:rPr>
          <w:b/>
        </w:rPr>
        <w:t xml:space="preserve">Name </w:t>
      </w:r>
    </w:p>
    <w:p w14:paraId="4094C8DF" w14:textId="0CC0717C" w:rsidR="007757EA" w:rsidRPr="00A9134B" w:rsidRDefault="00142BE0" w:rsidP="00A9134B">
      <w:r>
        <w:t>Section</w:t>
      </w:r>
      <w:r w:rsidR="00A9134B">
        <w:t xml:space="preserve"> 1 </w:t>
      </w:r>
      <w:r w:rsidR="002039F7">
        <w:t xml:space="preserve">provides </w:t>
      </w:r>
      <w:r w:rsidR="009D06CE">
        <w:t xml:space="preserve">that the </w:t>
      </w:r>
      <w:r w:rsidR="0030319E">
        <w:t xml:space="preserve">name </w:t>
      </w:r>
      <w:r w:rsidR="009D06CE">
        <w:t xml:space="preserve">of the </w:t>
      </w:r>
      <w:r w:rsidR="008C6352">
        <w:t>Determination</w:t>
      </w:r>
      <w:r w:rsidR="009D06CE">
        <w:t xml:space="preserve"> is the </w:t>
      </w:r>
      <w:bookmarkStart w:id="1" w:name="BKCheck15B_3"/>
      <w:bookmarkEnd w:id="1"/>
      <w:r w:rsidR="008C6352">
        <w:rPr>
          <w:i/>
        </w:rPr>
        <w:t>Australian Hearing Services (Declared Hearing Services) Amendment Determination 2020</w:t>
      </w:r>
      <w:r w:rsidR="008C6352" w:rsidRPr="009C2562">
        <w:t>.</w:t>
      </w:r>
    </w:p>
    <w:p w14:paraId="26EAEC67" w14:textId="77777777" w:rsidR="007757EA" w:rsidRDefault="007757EA" w:rsidP="007757EA">
      <w:pPr>
        <w:rPr>
          <w:b/>
        </w:rPr>
      </w:pPr>
    </w:p>
    <w:p w14:paraId="1D7BF9A5" w14:textId="77777777" w:rsidR="007757EA" w:rsidRDefault="007757EA" w:rsidP="00A9134B">
      <w:pPr>
        <w:numPr>
          <w:ilvl w:val="0"/>
          <w:numId w:val="2"/>
        </w:numPr>
        <w:tabs>
          <w:tab w:val="clear" w:pos="1080"/>
        </w:tabs>
        <w:ind w:left="0" w:firstLine="0"/>
        <w:rPr>
          <w:b/>
        </w:rPr>
      </w:pPr>
      <w:r>
        <w:rPr>
          <w:b/>
        </w:rPr>
        <w:t>Commencement</w:t>
      </w:r>
    </w:p>
    <w:p w14:paraId="3824FAB2" w14:textId="77777777" w:rsidR="007757EA" w:rsidRPr="00A9134B" w:rsidRDefault="00142BE0" w:rsidP="00A9134B">
      <w:r>
        <w:t xml:space="preserve">Section </w:t>
      </w:r>
      <w:r w:rsidR="00A9134B">
        <w:t xml:space="preserve">2 </w:t>
      </w:r>
      <w:r w:rsidR="009D06CE">
        <w:t xml:space="preserve">states that </w:t>
      </w:r>
      <w:r w:rsidR="008C6352">
        <w:t xml:space="preserve">the Determination commences on 1 July 2020. </w:t>
      </w:r>
    </w:p>
    <w:p w14:paraId="7DB24AA3" w14:textId="77777777" w:rsidR="00AC1ABA" w:rsidRDefault="00AC1ABA" w:rsidP="00A9134B"/>
    <w:p w14:paraId="3BE65676" w14:textId="77777777" w:rsidR="00AC1ABA" w:rsidRPr="00AC1ABA" w:rsidRDefault="009D06CE" w:rsidP="00AC1ABA">
      <w:pPr>
        <w:rPr>
          <w:b/>
        </w:rPr>
      </w:pPr>
      <w:r>
        <w:rPr>
          <w:b/>
        </w:rPr>
        <w:t>3</w:t>
      </w:r>
      <w:r w:rsidR="00AC1ABA" w:rsidRPr="00AC1ABA">
        <w:rPr>
          <w:b/>
        </w:rPr>
        <w:tab/>
        <w:t>Authority</w:t>
      </w:r>
    </w:p>
    <w:p w14:paraId="0E8FC177" w14:textId="77777777" w:rsidR="00AC1ABA" w:rsidRDefault="008C6352" w:rsidP="008C6352">
      <w:r>
        <w:t xml:space="preserve">This section provides that the authority for making this Determination is section 8 of the </w:t>
      </w:r>
      <w:r w:rsidRPr="008C6352">
        <w:rPr>
          <w:i/>
        </w:rPr>
        <w:t>Australian Hearing Services Act 1991</w:t>
      </w:r>
      <w:r>
        <w:t>.</w:t>
      </w:r>
    </w:p>
    <w:p w14:paraId="3BFDA87B" w14:textId="77777777" w:rsidR="00AC1ABA" w:rsidRDefault="00AC1ABA" w:rsidP="00AC1ABA"/>
    <w:p w14:paraId="0D353DA5" w14:textId="77777777" w:rsidR="00AC1ABA" w:rsidRPr="00AC1ABA" w:rsidRDefault="00273D25" w:rsidP="00AC1ABA">
      <w:pPr>
        <w:rPr>
          <w:b/>
        </w:rPr>
      </w:pPr>
      <w:r>
        <w:rPr>
          <w:b/>
        </w:rPr>
        <w:t>4</w:t>
      </w:r>
      <w:r w:rsidR="00AC1ABA" w:rsidRPr="00AC1ABA">
        <w:rPr>
          <w:b/>
        </w:rPr>
        <w:tab/>
      </w:r>
      <w:r>
        <w:rPr>
          <w:b/>
        </w:rPr>
        <w:t>Schedules</w:t>
      </w:r>
    </w:p>
    <w:p w14:paraId="04749D8A" w14:textId="77777777" w:rsidR="00086F4B" w:rsidRDefault="00273D25" w:rsidP="008C6352">
      <w:pPr>
        <w:rPr>
          <w:b/>
        </w:rPr>
      </w:pPr>
      <w:r>
        <w:t>Section 4</w:t>
      </w:r>
      <w:r w:rsidR="00C242B3">
        <w:t xml:space="preserve"> provides that each instrument that is specified in a Schedule to the Instrument is amended or repealed as set out in the applicable items in the Schedule concerned, and any other item in a Schedule to this Instrument has effect according to its terms.</w:t>
      </w:r>
    </w:p>
    <w:p w14:paraId="1B637811" w14:textId="77777777" w:rsidR="00086F4B" w:rsidRDefault="00086F4B" w:rsidP="008C6352">
      <w:pPr>
        <w:rPr>
          <w:b/>
        </w:rPr>
      </w:pPr>
    </w:p>
    <w:p w14:paraId="4E8A96F1" w14:textId="4DCE639C" w:rsidR="00A9134B" w:rsidRDefault="00C242B3" w:rsidP="008C6352">
      <w:pPr>
        <w:rPr>
          <w:u w:val="single"/>
        </w:rPr>
      </w:pPr>
      <w:r w:rsidRPr="008313FA">
        <w:rPr>
          <w:u w:val="single"/>
        </w:rPr>
        <w:t>Schedule 1 – Amendments</w:t>
      </w:r>
    </w:p>
    <w:p w14:paraId="352F7D42" w14:textId="77777777" w:rsidR="00086F4B" w:rsidRPr="008C6352" w:rsidRDefault="00086F4B" w:rsidP="008C6352"/>
    <w:p w14:paraId="26738B1F" w14:textId="3F827D57" w:rsidR="00CD38B0" w:rsidRDefault="00D52081" w:rsidP="008313FA">
      <w:r>
        <w:rPr>
          <w:b/>
        </w:rPr>
        <w:t>Item 1 – Subsection 4(1</w:t>
      </w:r>
      <w:r w:rsidR="00CD38B0" w:rsidRPr="00CD38B0">
        <w:rPr>
          <w:b/>
        </w:rPr>
        <w:t>)</w:t>
      </w:r>
      <w:r>
        <w:rPr>
          <w:b/>
        </w:rPr>
        <w:t xml:space="preserve"> (definition of NDIS)</w:t>
      </w:r>
    </w:p>
    <w:p w14:paraId="39ACF51C" w14:textId="75069939" w:rsidR="00D52081" w:rsidRDefault="00CD38B0" w:rsidP="00CD38B0">
      <w:r>
        <w:t>Item 1</w:t>
      </w:r>
      <w:r w:rsidR="00FD0E3C">
        <w:t xml:space="preserve"> of Schedule 1 of the Determination</w:t>
      </w:r>
      <w:r>
        <w:t xml:space="preserve"> </w:t>
      </w:r>
      <w:r w:rsidR="00D52081">
        <w:t>repeals the definition of NDIS</w:t>
      </w:r>
      <w:r w:rsidR="00FD0E3C">
        <w:t xml:space="preserve"> from the </w:t>
      </w:r>
      <w:r w:rsidR="00FD0E3C">
        <w:rPr>
          <w:i/>
        </w:rPr>
        <w:t xml:space="preserve">Australian Hearing Services (Declared Hearing Services) Determination 2019 </w:t>
      </w:r>
      <w:r w:rsidR="00FD0E3C">
        <w:t>(2019 Determination)</w:t>
      </w:r>
      <w:r w:rsidR="00D52081">
        <w:t>. This is consequential to Items 2 and 3 below.</w:t>
      </w:r>
    </w:p>
    <w:p w14:paraId="3B440CA3" w14:textId="77777777" w:rsidR="00D52081" w:rsidRDefault="00D52081" w:rsidP="00CD38B0"/>
    <w:p w14:paraId="3CA59E69" w14:textId="41CF24C4" w:rsidR="00D52081" w:rsidRPr="00D52081" w:rsidRDefault="00D52081" w:rsidP="00CD38B0">
      <w:pPr>
        <w:rPr>
          <w:b/>
        </w:rPr>
      </w:pPr>
      <w:r w:rsidRPr="00D52081">
        <w:rPr>
          <w:b/>
        </w:rPr>
        <w:lastRenderedPageBreak/>
        <w:t>Item 2 – Subsection 4(1) (definition of parent)</w:t>
      </w:r>
    </w:p>
    <w:p w14:paraId="38BAE9C7" w14:textId="3548B731" w:rsidR="00D52081" w:rsidRDefault="00D52081" w:rsidP="00CD38B0">
      <w:r>
        <w:t xml:space="preserve">Item 2 </w:t>
      </w:r>
      <w:r w:rsidR="00FD0E3C">
        <w:t xml:space="preserve">of Schedule 1 of the Determination </w:t>
      </w:r>
      <w:r>
        <w:t xml:space="preserve">omits ‘young NDIS participant’ from the definition of ‘parent’ </w:t>
      </w:r>
      <w:r w:rsidR="00FD0E3C">
        <w:t>from the 2019 Determination. This</w:t>
      </w:r>
      <w:r>
        <w:t xml:space="preserve"> is consequential to Item 3 below. This item substitutes ‘young </w:t>
      </w:r>
      <w:r w:rsidRPr="00D52081">
        <w:rPr>
          <w:i/>
        </w:rPr>
        <w:t>Disability Services Act 1993</w:t>
      </w:r>
      <w:r>
        <w:t xml:space="preserve"> (WA) participant’ in recognition that the full transition to the NDIS </w:t>
      </w:r>
      <w:r w:rsidR="001D2C4D">
        <w:t xml:space="preserve">is </w:t>
      </w:r>
      <w:r>
        <w:t xml:space="preserve">not yet finalised in West Australia. </w:t>
      </w:r>
    </w:p>
    <w:p w14:paraId="75A743A4" w14:textId="77777777" w:rsidR="00D52081" w:rsidRDefault="00D52081" w:rsidP="00CD38B0"/>
    <w:p w14:paraId="2CDAEE4E" w14:textId="7DF40CC2" w:rsidR="00E72170" w:rsidRDefault="00D52081" w:rsidP="00E72170">
      <w:pPr>
        <w:rPr>
          <w:b/>
        </w:rPr>
      </w:pPr>
      <w:r w:rsidRPr="00E72170">
        <w:rPr>
          <w:b/>
        </w:rPr>
        <w:t xml:space="preserve">Item 3 </w:t>
      </w:r>
      <w:r w:rsidR="00E72170" w:rsidRPr="00E72170">
        <w:rPr>
          <w:b/>
        </w:rPr>
        <w:t>–</w:t>
      </w:r>
      <w:r w:rsidRPr="00E72170">
        <w:rPr>
          <w:b/>
        </w:rPr>
        <w:t xml:space="preserve"> </w:t>
      </w:r>
      <w:r w:rsidR="00E72170" w:rsidRPr="00E72170">
        <w:rPr>
          <w:b/>
        </w:rPr>
        <w:t>Subsection 4(1) (definition of young NDIS participant)</w:t>
      </w:r>
    </w:p>
    <w:p w14:paraId="65F4E666" w14:textId="3AFCD8C2" w:rsidR="00E72170" w:rsidRDefault="00E72170" w:rsidP="00E72170">
      <w:r>
        <w:t xml:space="preserve">Item 3 </w:t>
      </w:r>
      <w:r w:rsidR="00FD0E3C">
        <w:t xml:space="preserve">of Schedule 1 of the Determination </w:t>
      </w:r>
      <w:r>
        <w:t>repeals the definition of ‘young NDIS participant’</w:t>
      </w:r>
      <w:r w:rsidR="00FD0E3C">
        <w:t xml:space="preserve"> from the 2019 Determination</w:t>
      </w:r>
      <w:r>
        <w:t xml:space="preserve">. This definition is being repealed to remove </w:t>
      </w:r>
      <w:r w:rsidR="000208DC">
        <w:t xml:space="preserve">young </w:t>
      </w:r>
      <w:r>
        <w:t xml:space="preserve">NDIS participants as </w:t>
      </w:r>
      <w:r w:rsidR="0030319E">
        <w:t>designated persons</w:t>
      </w:r>
      <w:r>
        <w:t>. The definition ‘young Australian’</w:t>
      </w:r>
      <w:r w:rsidR="00F00B39">
        <w:t>, which remains</w:t>
      </w:r>
      <w:r>
        <w:t xml:space="preserve"> in the 2019 Determination</w:t>
      </w:r>
      <w:r w:rsidR="00F00B39">
        <w:t>,</w:t>
      </w:r>
      <w:r>
        <w:t xml:space="preserve"> capture</w:t>
      </w:r>
      <w:r w:rsidR="00F00B39">
        <w:t>s</w:t>
      </w:r>
      <w:r>
        <w:t xml:space="preserve"> the same population. </w:t>
      </w:r>
    </w:p>
    <w:p w14:paraId="7F37BC81" w14:textId="77777777" w:rsidR="000D1F91" w:rsidRDefault="000D1F91" w:rsidP="00E72170"/>
    <w:p w14:paraId="18479ED2" w14:textId="5536F629" w:rsidR="000D1F91" w:rsidRDefault="000D1F91" w:rsidP="000D1F91">
      <w:pPr>
        <w:rPr>
          <w:b/>
        </w:rPr>
      </w:pPr>
      <w:r w:rsidRPr="000D1F91">
        <w:rPr>
          <w:b/>
        </w:rPr>
        <w:t>Item 4 – Subsection 4(1)</w:t>
      </w:r>
    </w:p>
    <w:p w14:paraId="0EA49ECE" w14:textId="0FE50DB1" w:rsidR="000D1F91" w:rsidRDefault="000D1F91" w:rsidP="000D1F91">
      <w:r w:rsidRPr="000D1F91">
        <w:t>Item 4</w:t>
      </w:r>
      <w:r>
        <w:t xml:space="preserve"> </w:t>
      </w:r>
      <w:r w:rsidR="00FD0E3C">
        <w:t xml:space="preserve">of Schedule 1 of the Determination </w:t>
      </w:r>
      <w:r>
        <w:t xml:space="preserve">inserts a definition </w:t>
      </w:r>
      <w:r w:rsidR="00292EE2">
        <w:t>for</w:t>
      </w:r>
      <w:r w:rsidR="00086F4B">
        <w:t xml:space="preserve"> </w:t>
      </w:r>
      <w:r>
        <w:t xml:space="preserve">‘young </w:t>
      </w:r>
      <w:r w:rsidRPr="008313FA">
        <w:rPr>
          <w:i/>
        </w:rPr>
        <w:t xml:space="preserve">Disability Services Act 1993 </w:t>
      </w:r>
      <w:r>
        <w:t>(WA) participant’</w:t>
      </w:r>
      <w:r w:rsidR="00FD0E3C">
        <w:t xml:space="preserve"> into the 2019 Determination. This</w:t>
      </w:r>
      <w:r>
        <w:t xml:space="preserve"> means a person who is under 26 years of age, is a participant within the meaning of the </w:t>
      </w:r>
      <w:r w:rsidRPr="00646026">
        <w:rPr>
          <w:i/>
        </w:rPr>
        <w:t>Disability Services Act 1993</w:t>
      </w:r>
      <w:r>
        <w:t xml:space="preserve"> (WA) and has been referred to </w:t>
      </w:r>
      <w:r w:rsidR="00A03E19">
        <w:t>Australian Hearing Services</w:t>
      </w:r>
      <w:r>
        <w:t xml:space="preserve"> in connection with the funding or provision of supports under the participant’s plan under section 26I of that Act.</w:t>
      </w:r>
      <w:r w:rsidR="00292EE2">
        <w:t xml:space="preserve"> This in effect specifies ‘young </w:t>
      </w:r>
      <w:r w:rsidR="00292EE2">
        <w:rPr>
          <w:i/>
        </w:rPr>
        <w:t>Disability Services Act 1993</w:t>
      </w:r>
      <w:r w:rsidR="00292EE2">
        <w:t xml:space="preserve"> (WA) participants’ as designated persons</w:t>
      </w:r>
      <w:r>
        <w:t xml:space="preserve">, in recognition that the full transition to the NDIS </w:t>
      </w:r>
      <w:r w:rsidR="00FD0E3C">
        <w:t>in West</w:t>
      </w:r>
      <w:r w:rsidR="00B8457F">
        <w:t xml:space="preserve"> Australia </w:t>
      </w:r>
      <w:r>
        <w:t>has not yet finalised.</w:t>
      </w:r>
    </w:p>
    <w:p w14:paraId="5C6D075F" w14:textId="77777777" w:rsidR="000D1F91" w:rsidRDefault="000D1F91" w:rsidP="000D1F91"/>
    <w:p w14:paraId="5DC0ACBD" w14:textId="1373236B" w:rsidR="000D1F91" w:rsidRDefault="000D1F91" w:rsidP="000D1F91">
      <w:pPr>
        <w:rPr>
          <w:b/>
        </w:rPr>
      </w:pPr>
      <w:r w:rsidRPr="000D1F91">
        <w:rPr>
          <w:b/>
        </w:rPr>
        <w:t>Item 5 – Section 6 (table item dealing with class 1, column headed “Persons to receive the hearing services”)</w:t>
      </w:r>
    </w:p>
    <w:p w14:paraId="43AFB7B6" w14:textId="1FC62734" w:rsidR="000D1F91" w:rsidRDefault="000D1F91" w:rsidP="000D1F91">
      <w:r w:rsidRPr="000D1F91">
        <w:t>Item 5</w:t>
      </w:r>
      <w:r>
        <w:t xml:space="preserve"> </w:t>
      </w:r>
      <w:r w:rsidR="00FD0E3C">
        <w:t xml:space="preserve">of Schedule 1 of the Determination </w:t>
      </w:r>
      <w:r>
        <w:t xml:space="preserve">omits ‘young NDIS participant’ and substitutes ‘young </w:t>
      </w:r>
      <w:r w:rsidRPr="000D1F91">
        <w:rPr>
          <w:i/>
        </w:rPr>
        <w:t>Disability Services Act 1993</w:t>
      </w:r>
      <w:r>
        <w:t xml:space="preserve"> (WA) participant’</w:t>
      </w:r>
      <w:r w:rsidR="00646026">
        <w:t>. This removes young NDIS participants</w:t>
      </w:r>
      <w:r w:rsidR="00086F4B">
        <w:t xml:space="preserve"> from Class 1</w:t>
      </w:r>
      <w:r w:rsidR="00646026">
        <w:t xml:space="preserve">, but retains </w:t>
      </w:r>
      <w:r w:rsidR="00B8457F">
        <w:t xml:space="preserve">young </w:t>
      </w:r>
      <w:r w:rsidR="00B8457F" w:rsidRPr="008313FA">
        <w:rPr>
          <w:i/>
        </w:rPr>
        <w:t>Disability Services Act 1993</w:t>
      </w:r>
      <w:r w:rsidR="00B8457F">
        <w:t xml:space="preserve"> (WA) participants </w:t>
      </w:r>
      <w:r w:rsidR="00646026">
        <w:t>in recognition that the full transition to the NDIS has not yet finalised in West Australia.</w:t>
      </w:r>
    </w:p>
    <w:p w14:paraId="47278DEB" w14:textId="77777777" w:rsidR="00646026" w:rsidRDefault="00646026" w:rsidP="000D1F91"/>
    <w:p w14:paraId="537C512D" w14:textId="035B808C" w:rsidR="00646026" w:rsidRPr="00646026" w:rsidRDefault="00646026" w:rsidP="00646026">
      <w:pPr>
        <w:rPr>
          <w:b/>
        </w:rPr>
      </w:pPr>
      <w:r w:rsidRPr="00646026">
        <w:rPr>
          <w:b/>
        </w:rPr>
        <w:t>Item 6 - Section 6 (table item dealing with class 5, column headed “Persons to receive the hearing services”)</w:t>
      </w:r>
    </w:p>
    <w:p w14:paraId="63431F43" w14:textId="57FFCFB3" w:rsidR="00646026" w:rsidRDefault="00646026" w:rsidP="00646026">
      <w:r>
        <w:t xml:space="preserve">Item 6 </w:t>
      </w:r>
      <w:r w:rsidR="00FD0E3C">
        <w:t xml:space="preserve">of Schedule 1 of the Determination </w:t>
      </w:r>
      <w:r>
        <w:t xml:space="preserve">omits ‘young NDIS participant’ and substitutes ‘young </w:t>
      </w:r>
      <w:r w:rsidRPr="00646026">
        <w:rPr>
          <w:i/>
        </w:rPr>
        <w:t>Disability Services Act 1993</w:t>
      </w:r>
      <w:r>
        <w:t xml:space="preserve"> (WA) participant’ to the same effect as Items 4 and 5 above.</w:t>
      </w:r>
    </w:p>
    <w:p w14:paraId="2113271B" w14:textId="77777777" w:rsidR="00646026" w:rsidRPr="00E72BBE" w:rsidRDefault="00646026" w:rsidP="00646026"/>
    <w:p w14:paraId="76D00182" w14:textId="26FA257C" w:rsidR="00646026" w:rsidRDefault="00646026" w:rsidP="00646026">
      <w:pPr>
        <w:rPr>
          <w:b/>
        </w:rPr>
      </w:pPr>
      <w:r w:rsidRPr="00646026">
        <w:rPr>
          <w:b/>
        </w:rPr>
        <w:t>Item 7 – Section 6 (table item dealing with class 5, column headed “Declared hearing services”)</w:t>
      </w:r>
    </w:p>
    <w:p w14:paraId="24D6DC1A" w14:textId="347E85D2" w:rsidR="00646026" w:rsidRDefault="00646026" w:rsidP="00646026">
      <w:r>
        <w:t xml:space="preserve">Item 7 </w:t>
      </w:r>
      <w:r w:rsidR="00FD0E3C">
        <w:t xml:space="preserve">of Schedule 1 of the Determination </w:t>
      </w:r>
      <w:r>
        <w:t xml:space="preserve">omits ‘young NDIS participant’ and substitutes ‘young </w:t>
      </w:r>
      <w:r w:rsidRPr="00646026">
        <w:rPr>
          <w:i/>
        </w:rPr>
        <w:t>Disability Services Act 1993</w:t>
      </w:r>
      <w:r>
        <w:t xml:space="preserve"> (WA) participant’ to the same effect as Items 4, 5 and 6 above.</w:t>
      </w:r>
    </w:p>
    <w:p w14:paraId="61C69F4B" w14:textId="77777777" w:rsidR="00646026" w:rsidRDefault="00646026" w:rsidP="00646026"/>
    <w:p w14:paraId="1BD9F5E3" w14:textId="7FA37BCB" w:rsidR="00646026" w:rsidRDefault="00646026" w:rsidP="00646026">
      <w:pPr>
        <w:rPr>
          <w:b/>
        </w:rPr>
      </w:pPr>
      <w:r w:rsidRPr="00646026">
        <w:rPr>
          <w:b/>
        </w:rPr>
        <w:t>Item 8 – After section 9</w:t>
      </w:r>
    </w:p>
    <w:p w14:paraId="13BABFB0" w14:textId="5794D981" w:rsidR="00C906E9" w:rsidRPr="000A2737" w:rsidRDefault="00646026" w:rsidP="00C906E9">
      <w:r w:rsidRPr="00646026">
        <w:t>Item 8</w:t>
      </w:r>
      <w:r w:rsidR="00084E85">
        <w:t xml:space="preserve"> of Schedule 1 of the Determination</w:t>
      </w:r>
      <w:r>
        <w:t xml:space="preserve"> inserts a transition</w:t>
      </w:r>
      <w:r w:rsidR="00B8457F">
        <w:t>al</w:t>
      </w:r>
      <w:r>
        <w:t xml:space="preserve"> provision</w:t>
      </w:r>
      <w:r w:rsidR="00084E85">
        <w:t xml:space="preserve"> in the 2019 Determination,</w:t>
      </w:r>
      <w:r>
        <w:t xml:space="preserve"> which has the effect of extending a </w:t>
      </w:r>
      <w:r w:rsidR="00292EE2">
        <w:t xml:space="preserve">young NDIS participant’s </w:t>
      </w:r>
      <w:r w:rsidR="00C906E9">
        <w:t xml:space="preserve">membership of class 5 for 5 years from when they turn 26, if they were </w:t>
      </w:r>
      <w:r w:rsidR="00292EE2">
        <w:t>a member of</w:t>
      </w:r>
      <w:r w:rsidR="00C906E9">
        <w:t xml:space="preserve"> </w:t>
      </w:r>
      <w:r w:rsidR="00292EE2">
        <w:t>C</w:t>
      </w:r>
      <w:r w:rsidR="00C906E9">
        <w:t>lass</w:t>
      </w:r>
      <w:r w:rsidR="00292EE2">
        <w:t xml:space="preserve"> 5</w:t>
      </w:r>
      <w:r w:rsidR="00C906E9">
        <w:t xml:space="preserve"> on 30 June 2020 </w:t>
      </w:r>
      <w:r w:rsidR="00292EE2">
        <w:t xml:space="preserve">by virtue of being a young NDIS participant. </w:t>
      </w:r>
    </w:p>
    <w:p w14:paraId="7E587B94" w14:textId="77777777" w:rsidR="00646026" w:rsidRPr="000D1F91" w:rsidRDefault="00646026" w:rsidP="000D1F91"/>
    <w:p w14:paraId="2389E942" w14:textId="77777777" w:rsidR="00D52081" w:rsidRPr="009C7A86" w:rsidRDefault="00D52081" w:rsidP="00D52081">
      <w:pPr>
        <w:pStyle w:val="Item"/>
      </w:pPr>
    </w:p>
    <w:p w14:paraId="7CC652A1" w14:textId="77777777" w:rsidR="00D158DD" w:rsidRPr="00EA7B61" w:rsidRDefault="00D158DD" w:rsidP="00D158DD">
      <w:pPr>
        <w:spacing w:after="120"/>
      </w:pPr>
      <w:r w:rsidRPr="00EA7B61">
        <w:t xml:space="preserve"> </w:t>
      </w:r>
    </w:p>
    <w:p w14:paraId="0034565F" w14:textId="4B538819" w:rsidR="00292EE2" w:rsidRDefault="00292EE2">
      <w:pPr>
        <w:rPr>
          <w:b/>
        </w:rPr>
      </w:pPr>
    </w:p>
    <w:p w14:paraId="3913E91C" w14:textId="77777777" w:rsidR="00084E85" w:rsidRDefault="00084E85">
      <w:pPr>
        <w:rPr>
          <w:b/>
        </w:rPr>
      </w:pPr>
      <w:r>
        <w:rPr>
          <w:b/>
        </w:rPr>
        <w:br w:type="page"/>
      </w:r>
    </w:p>
    <w:p w14:paraId="5F5CD988" w14:textId="40091FC0" w:rsidR="00AC5B14" w:rsidRDefault="00AC5B14" w:rsidP="00AC5B14">
      <w:pPr>
        <w:jc w:val="center"/>
        <w:rPr>
          <w:b/>
        </w:rPr>
      </w:pPr>
      <w:r>
        <w:rPr>
          <w:b/>
        </w:rPr>
        <w:lastRenderedPageBreak/>
        <w:t>Statement of Compatibility with Human Rights</w:t>
      </w:r>
    </w:p>
    <w:p w14:paraId="081217BE" w14:textId="77777777" w:rsidR="00AC5B14" w:rsidRPr="001C381A" w:rsidRDefault="00AC5B14" w:rsidP="00AC5B14">
      <w:pPr>
        <w:jc w:val="center"/>
        <w:rPr>
          <w:i/>
        </w:rPr>
      </w:pPr>
      <w:r>
        <w:rPr>
          <w:i/>
        </w:rPr>
        <w:t>Prepared in accordance with Part 3 of the Human Rights (Parliamentary Scrutiny) Act 2011</w:t>
      </w:r>
    </w:p>
    <w:p w14:paraId="392585A0" w14:textId="77777777" w:rsidR="00AC5B14" w:rsidRDefault="00AC5B14" w:rsidP="00AC5B14"/>
    <w:p w14:paraId="6F842E67" w14:textId="77777777" w:rsidR="00AC5B14" w:rsidRPr="0089473A" w:rsidRDefault="00AC5B14" w:rsidP="00AC5B14">
      <w:pPr>
        <w:jc w:val="center"/>
        <w:rPr>
          <w:b/>
          <w:i/>
        </w:rPr>
      </w:pPr>
      <w:r w:rsidRPr="0089473A">
        <w:rPr>
          <w:b/>
          <w:i/>
        </w:rPr>
        <w:t>Australian Hearing Services (Declared Hearing Services)</w:t>
      </w:r>
      <w:r>
        <w:rPr>
          <w:b/>
          <w:i/>
        </w:rPr>
        <w:t xml:space="preserve"> Amendment Determination 2020</w:t>
      </w:r>
    </w:p>
    <w:p w14:paraId="3CF5191C" w14:textId="77777777" w:rsidR="00AC5B14" w:rsidRDefault="00AC5B14" w:rsidP="00AC5B14"/>
    <w:p w14:paraId="21D10C08" w14:textId="7A1039EE" w:rsidR="00AC5B14" w:rsidRPr="00A068A5" w:rsidRDefault="00AC5B14" w:rsidP="00AC5B14">
      <w:pPr>
        <w:jc w:val="center"/>
      </w:pPr>
      <w:r>
        <w:t xml:space="preserve">This </w:t>
      </w:r>
      <w:r w:rsidR="00084E85">
        <w:t xml:space="preserve">disallowable </w:t>
      </w:r>
      <w:r>
        <w:t>instrument is compatible with the</w:t>
      </w:r>
      <w:r w:rsidRPr="00A068A5">
        <w:t xml:space="preserve"> </w:t>
      </w:r>
      <w:r w:rsidRPr="00B74AB4">
        <w:t xml:space="preserve">human rights and freedoms recognised or declared in the international instruments listed in section 3 of the </w:t>
      </w:r>
      <w:r w:rsidRPr="00F03E58">
        <w:rPr>
          <w:i/>
        </w:rPr>
        <w:t>Human Rights (Parliamentary Scrutiny) Act 2011</w:t>
      </w:r>
      <w:r>
        <w:t>.</w:t>
      </w:r>
    </w:p>
    <w:p w14:paraId="6BC765F8" w14:textId="77777777" w:rsidR="00AC5B14" w:rsidRDefault="00AC5B14" w:rsidP="00AC5B14"/>
    <w:p w14:paraId="0A4FC7B4" w14:textId="11786B7B" w:rsidR="00AC5B14" w:rsidRDefault="00AC5B14" w:rsidP="008313FA">
      <w:pPr>
        <w:spacing w:before="120" w:after="120"/>
      </w:pPr>
      <w:r>
        <w:rPr>
          <w:b/>
        </w:rPr>
        <w:t>Overview of the legislative instrument</w:t>
      </w:r>
    </w:p>
    <w:p w14:paraId="533AD67E" w14:textId="2D40EEBA" w:rsidR="00AC5B14" w:rsidRDefault="00AC5B14" w:rsidP="00AC5B14">
      <w:r>
        <w:t xml:space="preserve">The </w:t>
      </w:r>
      <w:r w:rsidRPr="004E05AC">
        <w:rPr>
          <w:i/>
        </w:rPr>
        <w:t>Australian Hearing Services (Declared Hearing Services) Amendment Determination 2020</w:t>
      </w:r>
      <w:r w:rsidR="00A76FE5">
        <w:t xml:space="preserve"> (</w:t>
      </w:r>
      <w:r w:rsidR="00CA5EAC">
        <w:t>Determination</w:t>
      </w:r>
      <w:r>
        <w:t xml:space="preserve">) is made under section 8 of the Act which sets out the functions of Australian Hearing Services </w:t>
      </w:r>
      <w:r w:rsidR="00292EE2">
        <w:t>and provides that the Minister may, by writing, determine that a specified person is a designated person</w:t>
      </w:r>
      <w:r>
        <w:t xml:space="preserve">. </w:t>
      </w:r>
    </w:p>
    <w:p w14:paraId="352B1A41" w14:textId="5E30833D" w:rsidR="00086F4B" w:rsidRDefault="00AC5B14" w:rsidP="008313FA">
      <w:pPr>
        <w:spacing w:before="240" w:after="120"/>
      </w:pPr>
      <w:r>
        <w:t>Under the C</w:t>
      </w:r>
      <w:r w:rsidR="00F00B39">
        <w:t xml:space="preserve">ommunity </w:t>
      </w:r>
      <w:r>
        <w:t>S</w:t>
      </w:r>
      <w:r w:rsidR="00F00B39">
        <w:t xml:space="preserve">ervice </w:t>
      </w:r>
      <w:r>
        <w:t>O</w:t>
      </w:r>
      <w:r w:rsidR="00F00B39">
        <w:t>bligation</w:t>
      </w:r>
      <w:r>
        <w:t xml:space="preserve"> component of the H</w:t>
      </w:r>
      <w:r w:rsidR="00F00B39">
        <w:t xml:space="preserve">earing </w:t>
      </w:r>
      <w:r>
        <w:t>S</w:t>
      </w:r>
      <w:r w:rsidR="00F00B39">
        <w:t xml:space="preserve">ervices </w:t>
      </w:r>
      <w:r>
        <w:t>P</w:t>
      </w:r>
      <w:r w:rsidR="00F00B39">
        <w:t>rogram</w:t>
      </w:r>
      <w:r w:rsidR="00A76FE5">
        <w:t xml:space="preserve"> (</w:t>
      </w:r>
      <w:r w:rsidR="00F00B39">
        <w:t>HSP)</w:t>
      </w:r>
      <w:r>
        <w:t xml:space="preserve">, eligible people – including young </w:t>
      </w:r>
      <w:r w:rsidR="00A76FE5">
        <w:t>people</w:t>
      </w:r>
      <w:r>
        <w:t xml:space="preserve"> aged 0-26 – can access a range of hearing services. Subsections 8(4) to 8(8) inclusive of the Act empower the Minister to determine designated persons, and to declare </w:t>
      </w:r>
      <w:r w:rsidR="00292EE2">
        <w:t>a specified hearing service is a declared hearing service</w:t>
      </w:r>
      <w:r>
        <w:t xml:space="preserve"> that will be provided to classes of eligible persons.  </w:t>
      </w:r>
    </w:p>
    <w:p w14:paraId="0B2CAEE2" w14:textId="6281AEBC" w:rsidR="00086F4B" w:rsidRDefault="00AC5B14" w:rsidP="008313FA">
      <w:pPr>
        <w:spacing w:before="240" w:after="120"/>
      </w:pPr>
      <w:r>
        <w:t>The Determination amends the</w:t>
      </w:r>
      <w:r w:rsidRPr="004168DF">
        <w:rPr>
          <w:i/>
        </w:rPr>
        <w:t xml:space="preserve"> Hearing Services (Declared Hearing Services) Determination 2019</w:t>
      </w:r>
      <w:r>
        <w:rPr>
          <w:i/>
        </w:rPr>
        <w:t xml:space="preserve"> </w:t>
      </w:r>
      <w:r w:rsidR="00A76FE5">
        <w:t>(</w:t>
      </w:r>
      <w:r>
        <w:t xml:space="preserve">2019 Determination) to implement the </w:t>
      </w:r>
      <w:r w:rsidR="00084E85">
        <w:t>revised framework</w:t>
      </w:r>
      <w:r>
        <w:t xml:space="preserve"> that will operate between the National Disability Insurance Scheme (NDIS) and the HSP following the cessation of in-kind arrangements</w:t>
      </w:r>
      <w:r w:rsidR="00A76FE5">
        <w:t xml:space="preserve"> between the two programs on 30 June </w:t>
      </w:r>
      <w:r>
        <w:t xml:space="preserve">2020. </w:t>
      </w:r>
    </w:p>
    <w:p w14:paraId="676E0145" w14:textId="43628740" w:rsidR="00AC5B14" w:rsidRDefault="00AC5B14" w:rsidP="00804F65">
      <w:pPr>
        <w:spacing w:before="240"/>
      </w:pPr>
      <w:r>
        <w:lastRenderedPageBreak/>
        <w:t>The Determination assures continuity of services, particularly early intervention services</w:t>
      </w:r>
      <w:r w:rsidR="00CA5EAC">
        <w:t xml:space="preserve"> for</w:t>
      </w:r>
      <w:r>
        <w:t xml:space="preserve"> </w:t>
      </w:r>
      <w:r w:rsidR="00CA5EAC">
        <w:t xml:space="preserve">young </w:t>
      </w:r>
      <w:r>
        <w:t>NDIS participants who are currently receiving hearing services through the HSP.</w:t>
      </w:r>
      <w:r w:rsidR="00CA5EAC">
        <w:t xml:space="preserve"> Although ‘young NDIS participant’ has been removed</w:t>
      </w:r>
      <w:r w:rsidR="00A76FE5">
        <w:t>,</w:t>
      </w:r>
      <w:r>
        <w:t xml:space="preserve"> </w:t>
      </w:r>
      <w:r w:rsidR="00CA5EAC">
        <w:t xml:space="preserve">‘young Australian’, which remains in the 2019 Determination, captures the same population. </w:t>
      </w:r>
      <w:r w:rsidR="00113DDC">
        <w:t>The references to ‘young NDIS participant’ were only necessary to support transition out of the HSP by 1 July 2020, which is no longer occurring.</w:t>
      </w:r>
    </w:p>
    <w:p w14:paraId="1824F56C" w14:textId="77777777" w:rsidR="00804F65" w:rsidRDefault="00804F65" w:rsidP="00804F65">
      <w:pPr>
        <w:rPr>
          <w:b/>
        </w:rPr>
      </w:pPr>
    </w:p>
    <w:p w14:paraId="023396E7" w14:textId="43AB27DC" w:rsidR="00AC5B14" w:rsidRPr="00B74AB4" w:rsidRDefault="00AC5B14" w:rsidP="00804F65">
      <w:pPr>
        <w:spacing w:after="120"/>
      </w:pPr>
      <w:r>
        <w:rPr>
          <w:b/>
        </w:rPr>
        <w:t>Human rights implications</w:t>
      </w:r>
    </w:p>
    <w:p w14:paraId="1030BF70" w14:textId="77777777" w:rsidR="00AC5B14" w:rsidRDefault="00AC5B14" w:rsidP="00AC5B14">
      <w:pPr>
        <w:spacing w:before="120" w:after="120"/>
      </w:pPr>
      <w:r>
        <w:t>This legislative instrument engages the following rights:</w:t>
      </w:r>
    </w:p>
    <w:p w14:paraId="392CE2EA" w14:textId="77777777" w:rsidR="00AC5B14" w:rsidRDefault="00AC5B14" w:rsidP="00AC5B14">
      <w:pPr>
        <w:numPr>
          <w:ilvl w:val="0"/>
          <w:numId w:val="9"/>
        </w:numPr>
        <w:spacing w:before="120" w:after="120"/>
      </w:pPr>
      <w:r>
        <w:t>right to the enjoyment of the highest attainable standard of physical and mental health, and</w:t>
      </w:r>
    </w:p>
    <w:p w14:paraId="0A09F078" w14:textId="77777777" w:rsidR="00AC5B14" w:rsidRDefault="00AC5B14" w:rsidP="00AC5B14">
      <w:pPr>
        <w:numPr>
          <w:ilvl w:val="0"/>
          <w:numId w:val="9"/>
        </w:numPr>
        <w:spacing w:before="120" w:after="120"/>
      </w:pPr>
      <w:r>
        <w:t>the rights of persons with disabilities.</w:t>
      </w:r>
    </w:p>
    <w:p w14:paraId="4D5D0DFE" w14:textId="4EA1D4ED" w:rsidR="00AC5B14" w:rsidRPr="00B74AB4" w:rsidRDefault="00AC5B14" w:rsidP="008313FA">
      <w:pPr>
        <w:spacing w:before="120" w:after="120"/>
        <w:rPr>
          <w:i/>
        </w:rPr>
      </w:pPr>
      <w:r>
        <w:rPr>
          <w:i/>
        </w:rPr>
        <w:t>Right to the enjoyment of the highest attainable standard of physical and mental health</w:t>
      </w:r>
    </w:p>
    <w:p w14:paraId="05EEA4B1" w14:textId="63A4A5D8" w:rsidR="00AC5B14" w:rsidRDefault="00AC5B14" w:rsidP="00AC5B14">
      <w:pPr>
        <w:spacing w:after="120"/>
      </w:pPr>
      <w:r w:rsidRPr="00C05926">
        <w:t>The overarching purpose of the hearing services legislation is to improve accessibility of hearing services for vulnerable Australians</w:t>
      </w:r>
      <w:r>
        <w:t xml:space="preserve"> including those who live in remote areas</w:t>
      </w:r>
      <w:r w:rsidRPr="00C05926">
        <w:t>. T</w:t>
      </w:r>
      <w:r>
        <w:t>his instrument</w:t>
      </w:r>
      <w:r w:rsidRPr="00C05926">
        <w:t xml:space="preserve"> promot</w:t>
      </w:r>
      <w:r>
        <w:t>es</w:t>
      </w:r>
      <w:r w:rsidRPr="00C05926">
        <w:t xml:space="preserve"> the right in Article 12 of the International Covenant on Economic, Social and Cultural Rights of everyone to the enjoyment of the highest attainable standard of physical and mental health</w:t>
      </w:r>
      <w:r w:rsidR="00A76FE5">
        <w:t>,</w:t>
      </w:r>
      <w:r>
        <w:t xml:space="preserve"> as it facilitates the provision of Government-subsidised hearing services to persons who require them</w:t>
      </w:r>
      <w:r w:rsidRPr="00C05926">
        <w:t>.</w:t>
      </w:r>
    </w:p>
    <w:p w14:paraId="2F30BE7E" w14:textId="77777777" w:rsidR="00AC5B14" w:rsidRDefault="00AC5B14" w:rsidP="00AC5B14"/>
    <w:p w14:paraId="756EA76C" w14:textId="4EA76EE1" w:rsidR="00AC5B14" w:rsidRDefault="00AC5B14" w:rsidP="00AC5B14">
      <w:r>
        <w:t>This instrument promotes Article 12 by providing access to hearing services and assistive hearing technology for eligible people and supporting research on strategies to prevent hearing loss or lessen its impact.</w:t>
      </w:r>
    </w:p>
    <w:p w14:paraId="3119CF33" w14:textId="77777777" w:rsidR="00AC5B14" w:rsidRPr="0089473A" w:rsidRDefault="00AC5B14" w:rsidP="008313FA">
      <w:pPr>
        <w:spacing w:before="240" w:after="120"/>
        <w:rPr>
          <w:i/>
          <w:color w:val="000000"/>
          <w:shd w:val="clear" w:color="auto" w:fill="FFFFFF"/>
        </w:rPr>
      </w:pPr>
      <w:r>
        <w:rPr>
          <w:i/>
          <w:color w:val="000000"/>
          <w:shd w:val="clear" w:color="auto" w:fill="FFFFFF"/>
        </w:rPr>
        <w:t>Rights of people with disabilities</w:t>
      </w:r>
    </w:p>
    <w:p w14:paraId="05B69316" w14:textId="08558E66" w:rsidR="00AC5B14" w:rsidRDefault="00AC5B14" w:rsidP="008313FA">
      <w:pPr>
        <w:spacing w:after="120"/>
        <w:rPr>
          <w:b/>
        </w:rPr>
      </w:pPr>
      <w:r>
        <w:rPr>
          <w:color w:val="000000"/>
          <w:shd w:val="clear" w:color="auto" w:fill="FFFFFF"/>
        </w:rPr>
        <w:lastRenderedPageBreak/>
        <w:t>This instrument advances the rights of people with disability by facilitating access to government-funded hearing services for certain classes of people, who would not otherwise have access to subsidised hearing services.</w:t>
      </w:r>
    </w:p>
    <w:p w14:paraId="48356B43" w14:textId="77777777" w:rsidR="00AC5B14" w:rsidRPr="00D47B83" w:rsidRDefault="00AC5B14" w:rsidP="008313FA">
      <w:pPr>
        <w:spacing w:before="240" w:after="120"/>
        <w:rPr>
          <w:b/>
        </w:rPr>
      </w:pPr>
      <w:r w:rsidRPr="00D47B83">
        <w:rPr>
          <w:b/>
        </w:rPr>
        <w:t xml:space="preserve">Conclusion </w:t>
      </w:r>
    </w:p>
    <w:p w14:paraId="4460D2FD" w14:textId="4487E821" w:rsidR="00AC5B14" w:rsidRDefault="00AC5B14" w:rsidP="00AC5B14">
      <w:pPr>
        <w:spacing w:after="120"/>
      </w:pPr>
      <w:r>
        <w:t xml:space="preserve">The </w:t>
      </w:r>
      <w:r w:rsidR="00084E85">
        <w:t>disallowable legislative instrument</w:t>
      </w:r>
      <w:r>
        <w:t xml:space="preserve"> is compatible with human rights because it </w:t>
      </w:r>
      <w:r w:rsidR="00292EE2">
        <w:t>promotes the protection of human rights</w:t>
      </w:r>
      <w:r>
        <w:t>.</w:t>
      </w:r>
    </w:p>
    <w:p w14:paraId="518B1218" w14:textId="77777777" w:rsidR="00AC5B14" w:rsidRDefault="00AC5B14" w:rsidP="00AC5B14">
      <w:pPr>
        <w:spacing w:before="120" w:after="120"/>
      </w:pPr>
    </w:p>
    <w:p w14:paraId="5F4208EB" w14:textId="77777777" w:rsidR="00AC5B14" w:rsidRDefault="00AC5B14" w:rsidP="00AC5B14">
      <w:pPr>
        <w:spacing w:before="120" w:after="120"/>
        <w:jc w:val="center"/>
        <w:rPr>
          <w:b/>
        </w:rPr>
      </w:pPr>
      <w:r>
        <w:rPr>
          <w:b/>
        </w:rPr>
        <w:t>The Hon Greg Hunt</w:t>
      </w:r>
    </w:p>
    <w:p w14:paraId="035D1649" w14:textId="77777777" w:rsidR="00AC5B14" w:rsidRPr="0089473A" w:rsidRDefault="00AC5B14" w:rsidP="00AC5B14">
      <w:pPr>
        <w:spacing w:before="120" w:after="120"/>
        <w:jc w:val="center"/>
        <w:rPr>
          <w:b/>
        </w:rPr>
      </w:pPr>
      <w:r>
        <w:rPr>
          <w:b/>
        </w:rPr>
        <w:t>Minister for Health</w:t>
      </w:r>
    </w:p>
    <w:p w14:paraId="252CAC1D" w14:textId="77777777" w:rsidR="00F03E58" w:rsidRPr="00E74E90" w:rsidRDefault="00F03E58" w:rsidP="00AC5B14">
      <w:pPr>
        <w:spacing w:before="360" w:after="120"/>
        <w:jc w:val="center"/>
        <w:rPr>
          <w:b/>
        </w:rPr>
      </w:pPr>
    </w:p>
    <w:sectPr w:rsidR="00F03E58" w:rsidRPr="00E74E90" w:rsidSect="00EA7B61">
      <w:footerReference w:type="default" r:id="rId12"/>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0ABA4" w14:textId="77777777" w:rsidR="00D5022B" w:rsidRDefault="00D5022B" w:rsidP="004479B5">
      <w:r>
        <w:separator/>
      </w:r>
    </w:p>
  </w:endnote>
  <w:endnote w:type="continuationSeparator" w:id="0">
    <w:p w14:paraId="12DFCA64" w14:textId="77777777" w:rsidR="00D5022B" w:rsidRDefault="00D5022B" w:rsidP="0044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20ED" w14:textId="6B9AA8DA" w:rsidR="004479B5" w:rsidRDefault="004479B5">
    <w:pPr>
      <w:pStyle w:val="Footer"/>
      <w:jc w:val="center"/>
    </w:pPr>
    <w:r>
      <w:fldChar w:fldCharType="begin"/>
    </w:r>
    <w:r>
      <w:instrText xml:space="preserve"> PAGE   \* MERGEFORMAT </w:instrText>
    </w:r>
    <w:r>
      <w:fldChar w:fldCharType="separate"/>
    </w:r>
    <w:r w:rsidR="00CD3CD8">
      <w:rPr>
        <w:noProof/>
      </w:rPr>
      <w:t>1</w:t>
    </w:r>
    <w:r>
      <w:rPr>
        <w:noProof/>
      </w:rPr>
      <w:fldChar w:fldCharType="end"/>
    </w:r>
  </w:p>
  <w:p w14:paraId="25070774" w14:textId="77777777" w:rsidR="004479B5" w:rsidRDefault="0044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067BC" w14:textId="77777777" w:rsidR="00D5022B" w:rsidRDefault="00D5022B" w:rsidP="004479B5">
      <w:r>
        <w:separator/>
      </w:r>
    </w:p>
  </w:footnote>
  <w:footnote w:type="continuationSeparator" w:id="0">
    <w:p w14:paraId="47C4DD2F" w14:textId="77777777" w:rsidR="00D5022B" w:rsidRDefault="00D5022B" w:rsidP="0044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B0B"/>
    <w:multiLevelType w:val="hybridMultilevel"/>
    <w:tmpl w:val="FADA18B8"/>
    <w:lvl w:ilvl="0" w:tplc="CAFCCBBC">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441B5"/>
    <w:multiLevelType w:val="hybridMultilevel"/>
    <w:tmpl w:val="EBDCEB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F11916"/>
    <w:multiLevelType w:val="hybridMultilevel"/>
    <w:tmpl w:val="341A4A90"/>
    <w:lvl w:ilvl="0" w:tplc="B0482640">
      <w:start w:val="1"/>
      <w:numFmt w:val="bullet"/>
      <w:lvlText w:val=""/>
      <w:lvlJc w:val="left"/>
      <w:pPr>
        <w:ind w:left="720" w:hanging="360"/>
      </w:pPr>
      <w:rPr>
        <w:rFonts w:ascii="Symbol" w:hAnsi="Symbol" w:hint="default"/>
      </w:rPr>
    </w:lvl>
    <w:lvl w:ilvl="1" w:tplc="E3FCBD62">
      <w:start w:val="1"/>
      <w:numFmt w:val="bullet"/>
      <w:lvlText w:val="o"/>
      <w:lvlJc w:val="left"/>
      <w:pPr>
        <w:ind w:left="1440" w:hanging="360"/>
      </w:pPr>
      <w:rPr>
        <w:rFonts w:ascii="Courier New" w:hAnsi="Courier New" w:cs="Courier New" w:hint="default"/>
      </w:rPr>
    </w:lvl>
    <w:lvl w:ilvl="2" w:tplc="CCB27AE0">
      <w:start w:val="1"/>
      <w:numFmt w:val="bullet"/>
      <w:lvlText w:val=""/>
      <w:lvlJc w:val="left"/>
      <w:pPr>
        <w:ind w:left="2160" w:hanging="360"/>
      </w:pPr>
      <w:rPr>
        <w:rFonts w:ascii="Wingdings" w:hAnsi="Wingdings" w:hint="default"/>
      </w:rPr>
    </w:lvl>
    <w:lvl w:ilvl="3" w:tplc="69E04DB8">
      <w:start w:val="1"/>
      <w:numFmt w:val="bullet"/>
      <w:lvlText w:val=""/>
      <w:lvlJc w:val="left"/>
      <w:pPr>
        <w:ind w:left="2880" w:hanging="360"/>
      </w:pPr>
      <w:rPr>
        <w:rFonts w:ascii="Symbol" w:hAnsi="Symbol" w:hint="default"/>
      </w:rPr>
    </w:lvl>
    <w:lvl w:ilvl="4" w:tplc="0B66C108">
      <w:start w:val="1"/>
      <w:numFmt w:val="bullet"/>
      <w:lvlText w:val="o"/>
      <w:lvlJc w:val="left"/>
      <w:pPr>
        <w:ind w:left="3600" w:hanging="360"/>
      </w:pPr>
      <w:rPr>
        <w:rFonts w:ascii="Courier New" w:hAnsi="Courier New" w:cs="Courier New" w:hint="default"/>
      </w:rPr>
    </w:lvl>
    <w:lvl w:ilvl="5" w:tplc="C36A2FC8">
      <w:start w:val="1"/>
      <w:numFmt w:val="bullet"/>
      <w:lvlText w:val=""/>
      <w:lvlJc w:val="left"/>
      <w:pPr>
        <w:ind w:left="4320" w:hanging="360"/>
      </w:pPr>
      <w:rPr>
        <w:rFonts w:ascii="Wingdings" w:hAnsi="Wingdings" w:hint="default"/>
      </w:rPr>
    </w:lvl>
    <w:lvl w:ilvl="6" w:tplc="95D6CA56">
      <w:start w:val="1"/>
      <w:numFmt w:val="bullet"/>
      <w:lvlText w:val=""/>
      <w:lvlJc w:val="left"/>
      <w:pPr>
        <w:ind w:left="5040" w:hanging="360"/>
      </w:pPr>
      <w:rPr>
        <w:rFonts w:ascii="Symbol" w:hAnsi="Symbol" w:hint="default"/>
      </w:rPr>
    </w:lvl>
    <w:lvl w:ilvl="7" w:tplc="DBDAD97C">
      <w:start w:val="1"/>
      <w:numFmt w:val="bullet"/>
      <w:lvlText w:val="o"/>
      <w:lvlJc w:val="left"/>
      <w:pPr>
        <w:ind w:left="5760" w:hanging="360"/>
      </w:pPr>
      <w:rPr>
        <w:rFonts w:ascii="Courier New" w:hAnsi="Courier New" w:cs="Courier New" w:hint="default"/>
      </w:rPr>
    </w:lvl>
    <w:lvl w:ilvl="8" w:tplc="286C435C">
      <w:start w:val="1"/>
      <w:numFmt w:val="bullet"/>
      <w:lvlText w:val=""/>
      <w:lvlJc w:val="left"/>
      <w:pPr>
        <w:ind w:left="6480" w:hanging="360"/>
      </w:pPr>
      <w:rPr>
        <w:rFonts w:ascii="Wingdings" w:hAnsi="Wingdings" w:hint="default"/>
      </w:rPr>
    </w:lvl>
  </w:abstractNum>
  <w:abstractNum w:abstractNumId="3" w15:restartNumberingAfterBreak="0">
    <w:nsid w:val="29F83E62"/>
    <w:multiLevelType w:val="hybridMultilevel"/>
    <w:tmpl w:val="D1508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7272E"/>
    <w:multiLevelType w:val="hybridMultilevel"/>
    <w:tmpl w:val="A126D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B693F"/>
    <w:multiLevelType w:val="hybridMultilevel"/>
    <w:tmpl w:val="CAB04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A66E8F"/>
    <w:multiLevelType w:val="hybridMultilevel"/>
    <w:tmpl w:val="78386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EC13FB"/>
    <w:multiLevelType w:val="hybridMultilevel"/>
    <w:tmpl w:val="4FDE5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6B6B6D"/>
    <w:multiLevelType w:val="hybridMultilevel"/>
    <w:tmpl w:val="E50EFE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19796E"/>
    <w:multiLevelType w:val="hybridMultilevel"/>
    <w:tmpl w:val="AD66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14658E"/>
    <w:multiLevelType w:val="hybridMultilevel"/>
    <w:tmpl w:val="803864C6"/>
    <w:lvl w:ilvl="0" w:tplc="6D2CD44C">
      <w:start w:val="1"/>
      <w:numFmt w:val="bullet"/>
      <w:lvlText w:val=""/>
      <w:lvlJc w:val="left"/>
      <w:pPr>
        <w:ind w:left="6" w:hanging="360"/>
      </w:pPr>
      <w:rPr>
        <w:rFonts w:ascii="Symbol" w:hAnsi="Symbol" w:hint="default"/>
      </w:rPr>
    </w:lvl>
    <w:lvl w:ilvl="1" w:tplc="16225CFA">
      <w:numFmt w:val="bullet"/>
      <w:lvlText w:val="•"/>
      <w:lvlJc w:val="left"/>
      <w:pPr>
        <w:ind w:left="756" w:hanging="390"/>
      </w:pPr>
      <w:rPr>
        <w:rFonts w:ascii="Arial" w:eastAsia="Calibri" w:hAnsi="Arial" w:cs="Arial" w:hint="default"/>
      </w:rPr>
    </w:lvl>
    <w:lvl w:ilvl="2" w:tplc="35A41CD6">
      <w:start w:val="1"/>
      <w:numFmt w:val="bullet"/>
      <w:lvlText w:val=""/>
      <w:lvlJc w:val="left"/>
      <w:pPr>
        <w:ind w:left="1446" w:hanging="360"/>
      </w:pPr>
      <w:rPr>
        <w:rFonts w:ascii="Wingdings" w:hAnsi="Wingdings" w:hint="default"/>
      </w:rPr>
    </w:lvl>
    <w:lvl w:ilvl="3" w:tplc="B2CA974E">
      <w:start w:val="1"/>
      <w:numFmt w:val="bullet"/>
      <w:lvlText w:val=""/>
      <w:lvlJc w:val="left"/>
      <w:pPr>
        <w:ind w:left="2166" w:hanging="360"/>
      </w:pPr>
      <w:rPr>
        <w:rFonts w:ascii="Symbol" w:hAnsi="Symbol" w:hint="default"/>
      </w:rPr>
    </w:lvl>
    <w:lvl w:ilvl="4" w:tplc="015A2E6E">
      <w:start w:val="1"/>
      <w:numFmt w:val="bullet"/>
      <w:lvlText w:val="o"/>
      <w:lvlJc w:val="left"/>
      <w:pPr>
        <w:ind w:left="2886" w:hanging="360"/>
      </w:pPr>
      <w:rPr>
        <w:rFonts w:ascii="Courier New" w:hAnsi="Courier New" w:cs="Courier New" w:hint="default"/>
      </w:rPr>
    </w:lvl>
    <w:lvl w:ilvl="5" w:tplc="892025F6">
      <w:start w:val="1"/>
      <w:numFmt w:val="bullet"/>
      <w:lvlText w:val=""/>
      <w:lvlJc w:val="left"/>
      <w:pPr>
        <w:ind w:left="3606" w:hanging="360"/>
      </w:pPr>
      <w:rPr>
        <w:rFonts w:ascii="Wingdings" w:hAnsi="Wingdings" w:hint="default"/>
      </w:rPr>
    </w:lvl>
    <w:lvl w:ilvl="6" w:tplc="BC548E72">
      <w:start w:val="1"/>
      <w:numFmt w:val="bullet"/>
      <w:lvlText w:val=""/>
      <w:lvlJc w:val="left"/>
      <w:pPr>
        <w:ind w:left="4326" w:hanging="360"/>
      </w:pPr>
      <w:rPr>
        <w:rFonts w:ascii="Symbol" w:hAnsi="Symbol" w:hint="default"/>
      </w:rPr>
    </w:lvl>
    <w:lvl w:ilvl="7" w:tplc="2BFCBD2E">
      <w:start w:val="1"/>
      <w:numFmt w:val="bullet"/>
      <w:lvlText w:val="o"/>
      <w:lvlJc w:val="left"/>
      <w:pPr>
        <w:ind w:left="5046" w:hanging="360"/>
      </w:pPr>
      <w:rPr>
        <w:rFonts w:ascii="Courier New" w:hAnsi="Courier New" w:cs="Courier New" w:hint="default"/>
      </w:rPr>
    </w:lvl>
    <w:lvl w:ilvl="8" w:tplc="2212681A">
      <w:start w:val="1"/>
      <w:numFmt w:val="bullet"/>
      <w:lvlText w:val=""/>
      <w:lvlJc w:val="left"/>
      <w:pPr>
        <w:ind w:left="5766" w:hanging="360"/>
      </w:pPr>
      <w:rPr>
        <w:rFonts w:ascii="Wingdings" w:hAnsi="Wingdings" w:hint="default"/>
      </w:rPr>
    </w:lvl>
  </w:abstractNum>
  <w:abstractNum w:abstractNumId="11" w15:restartNumberingAfterBreak="0">
    <w:nsid w:val="537A3F91"/>
    <w:multiLevelType w:val="hybridMultilevel"/>
    <w:tmpl w:val="D1845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29061F"/>
    <w:multiLevelType w:val="hybridMultilevel"/>
    <w:tmpl w:val="1F8CB096"/>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66051747"/>
    <w:multiLevelType w:val="hybridMultilevel"/>
    <w:tmpl w:val="6710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C96F04"/>
    <w:multiLevelType w:val="hybridMultilevel"/>
    <w:tmpl w:val="8712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B01025"/>
    <w:multiLevelType w:val="hybridMultilevel"/>
    <w:tmpl w:val="07C0C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3077A7"/>
    <w:multiLevelType w:val="hybridMultilevel"/>
    <w:tmpl w:val="473E7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3"/>
  </w:num>
  <w:num w:numId="4">
    <w:abstractNumId w:val="6"/>
  </w:num>
  <w:num w:numId="5">
    <w:abstractNumId w:val="15"/>
  </w:num>
  <w:num w:numId="6">
    <w:abstractNumId w:val="17"/>
  </w:num>
  <w:num w:numId="7">
    <w:abstractNumId w:val="8"/>
  </w:num>
  <w:num w:numId="8">
    <w:abstractNumId w:val="5"/>
  </w:num>
  <w:num w:numId="9">
    <w:abstractNumId w:val="13"/>
  </w:num>
  <w:num w:numId="10">
    <w:abstractNumId w:val="7"/>
  </w:num>
  <w:num w:numId="11">
    <w:abstractNumId w:val="1"/>
  </w:num>
  <w:num w:numId="12">
    <w:abstractNumId w:val="4"/>
  </w:num>
  <w:num w:numId="13">
    <w:abstractNumId w:val="9"/>
  </w:num>
  <w:num w:numId="14">
    <w:abstractNumId w:val="10"/>
  </w:num>
  <w:num w:numId="15">
    <w:abstractNumId w:val="2"/>
  </w:num>
  <w:num w:numId="16">
    <w:abstractNumId w:val="12"/>
  </w:num>
  <w:num w:numId="17">
    <w:abstractNumId w:val="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651"/>
    <w:rsid w:val="000107A5"/>
    <w:rsid w:val="00011068"/>
    <w:rsid w:val="000110D5"/>
    <w:rsid w:val="000112F0"/>
    <w:rsid w:val="000113BD"/>
    <w:rsid w:val="00011672"/>
    <w:rsid w:val="00012187"/>
    <w:rsid w:val="000126AA"/>
    <w:rsid w:val="00012B90"/>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8DC"/>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5477"/>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37E0"/>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946"/>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600"/>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4E85"/>
    <w:rsid w:val="000850B6"/>
    <w:rsid w:val="000854C6"/>
    <w:rsid w:val="00085740"/>
    <w:rsid w:val="00086299"/>
    <w:rsid w:val="00086F4B"/>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3BF"/>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E9D"/>
    <w:rsid w:val="000C6F17"/>
    <w:rsid w:val="000C7001"/>
    <w:rsid w:val="000C7454"/>
    <w:rsid w:val="000C750E"/>
    <w:rsid w:val="000C7ABD"/>
    <w:rsid w:val="000C7DDB"/>
    <w:rsid w:val="000C7E8C"/>
    <w:rsid w:val="000C7EFB"/>
    <w:rsid w:val="000D0205"/>
    <w:rsid w:val="000D0673"/>
    <w:rsid w:val="000D090A"/>
    <w:rsid w:val="000D1565"/>
    <w:rsid w:val="000D1683"/>
    <w:rsid w:val="000D1730"/>
    <w:rsid w:val="000D1ACE"/>
    <w:rsid w:val="000D1C51"/>
    <w:rsid w:val="000D1C86"/>
    <w:rsid w:val="000D1F91"/>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4A4"/>
    <w:rsid w:val="000E38DD"/>
    <w:rsid w:val="000E3F6A"/>
    <w:rsid w:val="000E407B"/>
    <w:rsid w:val="000E475B"/>
    <w:rsid w:val="000E4971"/>
    <w:rsid w:val="000E4C37"/>
    <w:rsid w:val="000E4C72"/>
    <w:rsid w:val="000E4DDF"/>
    <w:rsid w:val="000E4E14"/>
    <w:rsid w:val="000E5B0F"/>
    <w:rsid w:val="000E5F62"/>
    <w:rsid w:val="000E630A"/>
    <w:rsid w:val="000E6550"/>
    <w:rsid w:val="000E6724"/>
    <w:rsid w:val="000E6883"/>
    <w:rsid w:val="000E6E16"/>
    <w:rsid w:val="000E795A"/>
    <w:rsid w:val="000E7C65"/>
    <w:rsid w:val="000E7DCD"/>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928"/>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3DDC"/>
    <w:rsid w:val="0011412F"/>
    <w:rsid w:val="0011436A"/>
    <w:rsid w:val="00114657"/>
    <w:rsid w:val="00115309"/>
    <w:rsid w:val="0011530B"/>
    <w:rsid w:val="0011534A"/>
    <w:rsid w:val="00115FBE"/>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4FAF"/>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2C8"/>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07F"/>
    <w:rsid w:val="001429C0"/>
    <w:rsid w:val="00142BE0"/>
    <w:rsid w:val="00142D4C"/>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3FE"/>
    <w:rsid w:val="0017291B"/>
    <w:rsid w:val="00172E0E"/>
    <w:rsid w:val="001730E1"/>
    <w:rsid w:val="00173233"/>
    <w:rsid w:val="001732E5"/>
    <w:rsid w:val="0017372D"/>
    <w:rsid w:val="00173877"/>
    <w:rsid w:val="00173D9F"/>
    <w:rsid w:val="00173E5E"/>
    <w:rsid w:val="00173F3A"/>
    <w:rsid w:val="001750CC"/>
    <w:rsid w:val="00175736"/>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C32"/>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0DB0"/>
    <w:rsid w:val="001A14F4"/>
    <w:rsid w:val="001A15D6"/>
    <w:rsid w:val="001A1B34"/>
    <w:rsid w:val="001A1D88"/>
    <w:rsid w:val="001A1FD9"/>
    <w:rsid w:val="001A2015"/>
    <w:rsid w:val="001A2403"/>
    <w:rsid w:val="001A2504"/>
    <w:rsid w:val="001A25A3"/>
    <w:rsid w:val="001A2A45"/>
    <w:rsid w:val="001A2BD0"/>
    <w:rsid w:val="001A2E7F"/>
    <w:rsid w:val="001A2F7F"/>
    <w:rsid w:val="001A34CC"/>
    <w:rsid w:val="001A34D2"/>
    <w:rsid w:val="001A364F"/>
    <w:rsid w:val="001A396E"/>
    <w:rsid w:val="001A3B8F"/>
    <w:rsid w:val="001A3D6D"/>
    <w:rsid w:val="001A3EB9"/>
    <w:rsid w:val="001A4C2B"/>
    <w:rsid w:val="001A4E29"/>
    <w:rsid w:val="001A5161"/>
    <w:rsid w:val="001A5362"/>
    <w:rsid w:val="001A55DE"/>
    <w:rsid w:val="001A5711"/>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79A"/>
    <w:rsid w:val="001B6BED"/>
    <w:rsid w:val="001B6D59"/>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C4D"/>
    <w:rsid w:val="001D364F"/>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D7BEC"/>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3F58"/>
    <w:rsid w:val="001E4367"/>
    <w:rsid w:val="001E4A66"/>
    <w:rsid w:val="001E503F"/>
    <w:rsid w:val="001E5A52"/>
    <w:rsid w:val="001E5CC2"/>
    <w:rsid w:val="001E5CCB"/>
    <w:rsid w:val="001E6004"/>
    <w:rsid w:val="001E639D"/>
    <w:rsid w:val="001E690B"/>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9F7"/>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6F80"/>
    <w:rsid w:val="0020708A"/>
    <w:rsid w:val="002070A2"/>
    <w:rsid w:val="0020725B"/>
    <w:rsid w:val="002074AE"/>
    <w:rsid w:val="002101F4"/>
    <w:rsid w:val="00210994"/>
    <w:rsid w:val="00211832"/>
    <w:rsid w:val="002121F8"/>
    <w:rsid w:val="00212546"/>
    <w:rsid w:val="00212610"/>
    <w:rsid w:val="00212899"/>
    <w:rsid w:val="002128E0"/>
    <w:rsid w:val="00212AE1"/>
    <w:rsid w:val="00212C97"/>
    <w:rsid w:val="00212C9B"/>
    <w:rsid w:val="00212FFD"/>
    <w:rsid w:val="00213147"/>
    <w:rsid w:val="0021360A"/>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54B"/>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830"/>
    <w:rsid w:val="00255A08"/>
    <w:rsid w:val="00255C0D"/>
    <w:rsid w:val="00255C53"/>
    <w:rsid w:val="00255D51"/>
    <w:rsid w:val="00255EB7"/>
    <w:rsid w:val="0025602E"/>
    <w:rsid w:val="002560BC"/>
    <w:rsid w:val="00256755"/>
    <w:rsid w:val="002567B0"/>
    <w:rsid w:val="002570B1"/>
    <w:rsid w:val="0025720B"/>
    <w:rsid w:val="00257977"/>
    <w:rsid w:val="00260248"/>
    <w:rsid w:val="00260799"/>
    <w:rsid w:val="002607F6"/>
    <w:rsid w:val="00260AF3"/>
    <w:rsid w:val="00260B57"/>
    <w:rsid w:val="00260F0F"/>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58E"/>
    <w:rsid w:val="00272FF2"/>
    <w:rsid w:val="00273132"/>
    <w:rsid w:val="0027321D"/>
    <w:rsid w:val="002733B3"/>
    <w:rsid w:val="002736BD"/>
    <w:rsid w:val="00273CA8"/>
    <w:rsid w:val="00273D25"/>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468"/>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EE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AC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73E"/>
    <w:rsid w:val="002B6C59"/>
    <w:rsid w:val="002B6E2E"/>
    <w:rsid w:val="002B74C0"/>
    <w:rsid w:val="002B74D6"/>
    <w:rsid w:val="002B7824"/>
    <w:rsid w:val="002B788B"/>
    <w:rsid w:val="002B78E3"/>
    <w:rsid w:val="002C006A"/>
    <w:rsid w:val="002C00CD"/>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092"/>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8A"/>
    <w:rsid w:val="002D4DB6"/>
    <w:rsid w:val="002D4ED5"/>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268"/>
    <w:rsid w:val="002E1429"/>
    <w:rsid w:val="002E1556"/>
    <w:rsid w:val="002E21D3"/>
    <w:rsid w:val="002E224B"/>
    <w:rsid w:val="002E2387"/>
    <w:rsid w:val="002E238E"/>
    <w:rsid w:val="002E26B0"/>
    <w:rsid w:val="002E3348"/>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19E"/>
    <w:rsid w:val="003038E9"/>
    <w:rsid w:val="00303AB3"/>
    <w:rsid w:val="00303B59"/>
    <w:rsid w:val="00303CA1"/>
    <w:rsid w:val="003042C0"/>
    <w:rsid w:val="00304947"/>
    <w:rsid w:val="00304BCE"/>
    <w:rsid w:val="00304D99"/>
    <w:rsid w:val="003052E9"/>
    <w:rsid w:val="00305662"/>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1CE9"/>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11A"/>
    <w:rsid w:val="003206B0"/>
    <w:rsid w:val="00320B52"/>
    <w:rsid w:val="00320E41"/>
    <w:rsid w:val="003210D7"/>
    <w:rsid w:val="0032192C"/>
    <w:rsid w:val="003219E8"/>
    <w:rsid w:val="00321E3A"/>
    <w:rsid w:val="00322C9B"/>
    <w:rsid w:val="00322C9C"/>
    <w:rsid w:val="00322CBA"/>
    <w:rsid w:val="00322E83"/>
    <w:rsid w:val="00323192"/>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23"/>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36E"/>
    <w:rsid w:val="00341570"/>
    <w:rsid w:val="003418E6"/>
    <w:rsid w:val="003425A8"/>
    <w:rsid w:val="00342A17"/>
    <w:rsid w:val="00342D10"/>
    <w:rsid w:val="00343053"/>
    <w:rsid w:val="00343113"/>
    <w:rsid w:val="00343490"/>
    <w:rsid w:val="00344029"/>
    <w:rsid w:val="00344ACB"/>
    <w:rsid w:val="00344B4D"/>
    <w:rsid w:val="00344B8B"/>
    <w:rsid w:val="0034552C"/>
    <w:rsid w:val="0034561F"/>
    <w:rsid w:val="0034563B"/>
    <w:rsid w:val="00345B66"/>
    <w:rsid w:val="003462C6"/>
    <w:rsid w:val="003462F9"/>
    <w:rsid w:val="00346A76"/>
    <w:rsid w:val="00346AEB"/>
    <w:rsid w:val="00346B7C"/>
    <w:rsid w:val="00346C57"/>
    <w:rsid w:val="00346C61"/>
    <w:rsid w:val="003471D0"/>
    <w:rsid w:val="003473DB"/>
    <w:rsid w:val="003475F0"/>
    <w:rsid w:val="00350756"/>
    <w:rsid w:val="0035085C"/>
    <w:rsid w:val="00350A7F"/>
    <w:rsid w:val="00350BDE"/>
    <w:rsid w:val="00350D32"/>
    <w:rsid w:val="00350E69"/>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4D5F"/>
    <w:rsid w:val="003756E4"/>
    <w:rsid w:val="00375CE3"/>
    <w:rsid w:val="0037699F"/>
    <w:rsid w:val="00377481"/>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B11"/>
    <w:rsid w:val="00385ED5"/>
    <w:rsid w:val="00386417"/>
    <w:rsid w:val="00386664"/>
    <w:rsid w:val="00387023"/>
    <w:rsid w:val="00387B31"/>
    <w:rsid w:val="00387F18"/>
    <w:rsid w:val="00390378"/>
    <w:rsid w:val="00390E38"/>
    <w:rsid w:val="003913A4"/>
    <w:rsid w:val="003917A1"/>
    <w:rsid w:val="00391BF0"/>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889"/>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2ECC"/>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C31"/>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5F0A"/>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3D3"/>
    <w:rsid w:val="003F46A9"/>
    <w:rsid w:val="003F477C"/>
    <w:rsid w:val="003F4785"/>
    <w:rsid w:val="003F4ACC"/>
    <w:rsid w:val="003F5C68"/>
    <w:rsid w:val="003F5DDF"/>
    <w:rsid w:val="003F612A"/>
    <w:rsid w:val="003F64FC"/>
    <w:rsid w:val="003F701B"/>
    <w:rsid w:val="003F7583"/>
    <w:rsid w:val="003F77CC"/>
    <w:rsid w:val="003F7BCD"/>
    <w:rsid w:val="003F7F52"/>
    <w:rsid w:val="00400A39"/>
    <w:rsid w:val="00400F41"/>
    <w:rsid w:val="0040176F"/>
    <w:rsid w:val="00401F50"/>
    <w:rsid w:val="00401FDE"/>
    <w:rsid w:val="004020F7"/>
    <w:rsid w:val="0040250F"/>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8DF"/>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9FC"/>
    <w:rsid w:val="00425A3C"/>
    <w:rsid w:val="004264E5"/>
    <w:rsid w:val="004265AA"/>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050"/>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9B5"/>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5DB7"/>
    <w:rsid w:val="0045624C"/>
    <w:rsid w:val="0045640D"/>
    <w:rsid w:val="00456D7C"/>
    <w:rsid w:val="00456DE5"/>
    <w:rsid w:val="004573A1"/>
    <w:rsid w:val="00457ACF"/>
    <w:rsid w:val="00457E75"/>
    <w:rsid w:val="00457F14"/>
    <w:rsid w:val="0046015E"/>
    <w:rsid w:val="0046016D"/>
    <w:rsid w:val="004602A3"/>
    <w:rsid w:val="00460AC6"/>
    <w:rsid w:val="0046122C"/>
    <w:rsid w:val="00461562"/>
    <w:rsid w:val="00461875"/>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32F"/>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4B4"/>
    <w:rsid w:val="00474655"/>
    <w:rsid w:val="00474800"/>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95F"/>
    <w:rsid w:val="00490D6A"/>
    <w:rsid w:val="00490F24"/>
    <w:rsid w:val="0049116B"/>
    <w:rsid w:val="004916DD"/>
    <w:rsid w:val="00491728"/>
    <w:rsid w:val="00491D51"/>
    <w:rsid w:val="00491EF9"/>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DBB"/>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304"/>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BEB"/>
    <w:rsid w:val="004D1C16"/>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5AC"/>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1E29"/>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1AED"/>
    <w:rsid w:val="0050241B"/>
    <w:rsid w:val="00502686"/>
    <w:rsid w:val="005031B4"/>
    <w:rsid w:val="00503263"/>
    <w:rsid w:val="00503B36"/>
    <w:rsid w:val="00503CB2"/>
    <w:rsid w:val="00503DC1"/>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1B4"/>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3835"/>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3B5C"/>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BDE"/>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526"/>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2AF3"/>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AB4"/>
    <w:rsid w:val="00565FAA"/>
    <w:rsid w:val="0056631D"/>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7F7"/>
    <w:rsid w:val="00590A01"/>
    <w:rsid w:val="00590C61"/>
    <w:rsid w:val="00591096"/>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1C"/>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08E"/>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028"/>
    <w:rsid w:val="005B455A"/>
    <w:rsid w:val="005B46D2"/>
    <w:rsid w:val="005B4B26"/>
    <w:rsid w:val="005B4DB4"/>
    <w:rsid w:val="005B4DEE"/>
    <w:rsid w:val="005B4F1F"/>
    <w:rsid w:val="005B5082"/>
    <w:rsid w:val="005B5E20"/>
    <w:rsid w:val="005B5E8C"/>
    <w:rsid w:val="005B601A"/>
    <w:rsid w:val="005B617F"/>
    <w:rsid w:val="005B62C8"/>
    <w:rsid w:val="005B6D34"/>
    <w:rsid w:val="005B756C"/>
    <w:rsid w:val="005B757E"/>
    <w:rsid w:val="005B76E0"/>
    <w:rsid w:val="005B7AC2"/>
    <w:rsid w:val="005C06BF"/>
    <w:rsid w:val="005C08CC"/>
    <w:rsid w:val="005C0BE2"/>
    <w:rsid w:val="005C0D05"/>
    <w:rsid w:val="005C0D62"/>
    <w:rsid w:val="005C13C9"/>
    <w:rsid w:val="005C1C2D"/>
    <w:rsid w:val="005C20C0"/>
    <w:rsid w:val="005C2660"/>
    <w:rsid w:val="005C2A07"/>
    <w:rsid w:val="005C2D57"/>
    <w:rsid w:val="005C2DAC"/>
    <w:rsid w:val="005C2FEF"/>
    <w:rsid w:val="005C32A4"/>
    <w:rsid w:val="005C3ACE"/>
    <w:rsid w:val="005C3F74"/>
    <w:rsid w:val="005C4064"/>
    <w:rsid w:val="005C411B"/>
    <w:rsid w:val="005C41BB"/>
    <w:rsid w:val="005C4B8C"/>
    <w:rsid w:val="005C4EB4"/>
    <w:rsid w:val="005C510C"/>
    <w:rsid w:val="005C5151"/>
    <w:rsid w:val="005C5BA4"/>
    <w:rsid w:val="005C5F6E"/>
    <w:rsid w:val="005C600C"/>
    <w:rsid w:val="005C63CD"/>
    <w:rsid w:val="005C65B3"/>
    <w:rsid w:val="005C6ABE"/>
    <w:rsid w:val="005C6B02"/>
    <w:rsid w:val="005C72C6"/>
    <w:rsid w:val="005C7397"/>
    <w:rsid w:val="005C73AD"/>
    <w:rsid w:val="005C7894"/>
    <w:rsid w:val="005C7CEB"/>
    <w:rsid w:val="005C7D85"/>
    <w:rsid w:val="005D048A"/>
    <w:rsid w:val="005D0661"/>
    <w:rsid w:val="005D078A"/>
    <w:rsid w:val="005D0986"/>
    <w:rsid w:val="005D0B78"/>
    <w:rsid w:val="005D0BEE"/>
    <w:rsid w:val="005D0F48"/>
    <w:rsid w:val="005D1839"/>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BB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57D"/>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9E1"/>
    <w:rsid w:val="005F5C0B"/>
    <w:rsid w:val="005F614E"/>
    <w:rsid w:val="005F7220"/>
    <w:rsid w:val="005F74A3"/>
    <w:rsid w:val="005F7641"/>
    <w:rsid w:val="005F772F"/>
    <w:rsid w:val="005F7B8F"/>
    <w:rsid w:val="005F7E17"/>
    <w:rsid w:val="0060061D"/>
    <w:rsid w:val="006015CF"/>
    <w:rsid w:val="00601B6E"/>
    <w:rsid w:val="00601D5D"/>
    <w:rsid w:val="00602280"/>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4D8"/>
    <w:rsid w:val="00627A75"/>
    <w:rsid w:val="00627AF7"/>
    <w:rsid w:val="00627E5E"/>
    <w:rsid w:val="00630022"/>
    <w:rsid w:val="0063061C"/>
    <w:rsid w:val="00630DA1"/>
    <w:rsid w:val="00630FDB"/>
    <w:rsid w:val="0063170C"/>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3A"/>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026"/>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02B"/>
    <w:rsid w:val="006601DE"/>
    <w:rsid w:val="006602CA"/>
    <w:rsid w:val="00660523"/>
    <w:rsid w:val="0066094D"/>
    <w:rsid w:val="006609C0"/>
    <w:rsid w:val="00660A41"/>
    <w:rsid w:val="006610EE"/>
    <w:rsid w:val="006612DD"/>
    <w:rsid w:val="0066153A"/>
    <w:rsid w:val="00661AA2"/>
    <w:rsid w:val="00661C7A"/>
    <w:rsid w:val="00661D4A"/>
    <w:rsid w:val="0066223A"/>
    <w:rsid w:val="00662715"/>
    <w:rsid w:val="00663068"/>
    <w:rsid w:val="00663AE4"/>
    <w:rsid w:val="00663E67"/>
    <w:rsid w:val="0066441C"/>
    <w:rsid w:val="006644F3"/>
    <w:rsid w:val="00664579"/>
    <w:rsid w:val="00664589"/>
    <w:rsid w:val="00664FF3"/>
    <w:rsid w:val="006651DF"/>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6CA4"/>
    <w:rsid w:val="00677126"/>
    <w:rsid w:val="00680185"/>
    <w:rsid w:val="0068061A"/>
    <w:rsid w:val="006806E6"/>
    <w:rsid w:val="00680A0A"/>
    <w:rsid w:val="006813B9"/>
    <w:rsid w:val="00681D3A"/>
    <w:rsid w:val="00681DBF"/>
    <w:rsid w:val="00682113"/>
    <w:rsid w:val="0068225C"/>
    <w:rsid w:val="00682D91"/>
    <w:rsid w:val="00682FF4"/>
    <w:rsid w:val="00683269"/>
    <w:rsid w:val="006832D4"/>
    <w:rsid w:val="006836B3"/>
    <w:rsid w:val="0068396F"/>
    <w:rsid w:val="00684792"/>
    <w:rsid w:val="006850CB"/>
    <w:rsid w:val="00685730"/>
    <w:rsid w:val="0068586A"/>
    <w:rsid w:val="00685A27"/>
    <w:rsid w:val="00685B8D"/>
    <w:rsid w:val="00685BDB"/>
    <w:rsid w:val="0068638B"/>
    <w:rsid w:val="0068640F"/>
    <w:rsid w:val="00686A1A"/>
    <w:rsid w:val="00686DBB"/>
    <w:rsid w:val="006870B6"/>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D37"/>
    <w:rsid w:val="00694EC3"/>
    <w:rsid w:val="0069513E"/>
    <w:rsid w:val="00695376"/>
    <w:rsid w:val="006953D5"/>
    <w:rsid w:val="006959C3"/>
    <w:rsid w:val="00695C8D"/>
    <w:rsid w:val="0069618D"/>
    <w:rsid w:val="00696651"/>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4A1"/>
    <w:rsid w:val="006A5727"/>
    <w:rsid w:val="006A5A0B"/>
    <w:rsid w:val="006A6226"/>
    <w:rsid w:val="006A626D"/>
    <w:rsid w:val="006A69C3"/>
    <w:rsid w:val="006A6C9F"/>
    <w:rsid w:val="006A6DCB"/>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00"/>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D46"/>
    <w:rsid w:val="006E5E21"/>
    <w:rsid w:val="006E5F12"/>
    <w:rsid w:val="006E639B"/>
    <w:rsid w:val="006E65EF"/>
    <w:rsid w:val="006E66B4"/>
    <w:rsid w:val="006E6752"/>
    <w:rsid w:val="006E68BB"/>
    <w:rsid w:val="006E6BC3"/>
    <w:rsid w:val="006E6BE3"/>
    <w:rsid w:val="006E7168"/>
    <w:rsid w:val="006E7424"/>
    <w:rsid w:val="006E7744"/>
    <w:rsid w:val="006F03CA"/>
    <w:rsid w:val="006F0660"/>
    <w:rsid w:val="006F1075"/>
    <w:rsid w:val="006F188C"/>
    <w:rsid w:val="006F1CB0"/>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3E3C"/>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11"/>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20D"/>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C5"/>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5E9"/>
    <w:rsid w:val="007529D4"/>
    <w:rsid w:val="00752BF3"/>
    <w:rsid w:val="007530AE"/>
    <w:rsid w:val="00753243"/>
    <w:rsid w:val="00753355"/>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9A4"/>
    <w:rsid w:val="00757A18"/>
    <w:rsid w:val="00760B37"/>
    <w:rsid w:val="00760BC5"/>
    <w:rsid w:val="00760CC3"/>
    <w:rsid w:val="00760F71"/>
    <w:rsid w:val="00761484"/>
    <w:rsid w:val="007615FE"/>
    <w:rsid w:val="00761AD2"/>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2D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3F69"/>
    <w:rsid w:val="007744E9"/>
    <w:rsid w:val="00774576"/>
    <w:rsid w:val="00774619"/>
    <w:rsid w:val="00774C36"/>
    <w:rsid w:val="00774FF9"/>
    <w:rsid w:val="007750E7"/>
    <w:rsid w:val="007757EA"/>
    <w:rsid w:val="00775880"/>
    <w:rsid w:val="00775E89"/>
    <w:rsid w:val="00776132"/>
    <w:rsid w:val="00776295"/>
    <w:rsid w:val="007765C8"/>
    <w:rsid w:val="00776783"/>
    <w:rsid w:val="00776A7A"/>
    <w:rsid w:val="00777140"/>
    <w:rsid w:val="00777476"/>
    <w:rsid w:val="00777D8A"/>
    <w:rsid w:val="00777ECC"/>
    <w:rsid w:val="00777ED0"/>
    <w:rsid w:val="0078043A"/>
    <w:rsid w:val="00780760"/>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9D1"/>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8E2"/>
    <w:rsid w:val="007A59F8"/>
    <w:rsid w:val="007A5A3A"/>
    <w:rsid w:val="007A61E7"/>
    <w:rsid w:val="007A639E"/>
    <w:rsid w:val="007A6BA1"/>
    <w:rsid w:val="007A6F31"/>
    <w:rsid w:val="007A7316"/>
    <w:rsid w:val="007A76E1"/>
    <w:rsid w:val="007A78ED"/>
    <w:rsid w:val="007A78F5"/>
    <w:rsid w:val="007A7F28"/>
    <w:rsid w:val="007B012C"/>
    <w:rsid w:val="007B0AC9"/>
    <w:rsid w:val="007B0B6C"/>
    <w:rsid w:val="007B111D"/>
    <w:rsid w:val="007B1237"/>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9CF"/>
    <w:rsid w:val="007C7C35"/>
    <w:rsid w:val="007C7FD3"/>
    <w:rsid w:val="007D0192"/>
    <w:rsid w:val="007D0625"/>
    <w:rsid w:val="007D0E96"/>
    <w:rsid w:val="007D15D6"/>
    <w:rsid w:val="007D1932"/>
    <w:rsid w:val="007D1C6D"/>
    <w:rsid w:val="007D1DA0"/>
    <w:rsid w:val="007D288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581"/>
    <w:rsid w:val="007D7BB3"/>
    <w:rsid w:val="007E0289"/>
    <w:rsid w:val="007E06F6"/>
    <w:rsid w:val="007E0906"/>
    <w:rsid w:val="007E091F"/>
    <w:rsid w:val="007E096A"/>
    <w:rsid w:val="007E1E6D"/>
    <w:rsid w:val="007E2134"/>
    <w:rsid w:val="007E241F"/>
    <w:rsid w:val="007E24D9"/>
    <w:rsid w:val="007E2725"/>
    <w:rsid w:val="007E2848"/>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E70"/>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65"/>
    <w:rsid w:val="00804FA0"/>
    <w:rsid w:val="008052E6"/>
    <w:rsid w:val="00805809"/>
    <w:rsid w:val="00806817"/>
    <w:rsid w:val="00806A87"/>
    <w:rsid w:val="00806CEE"/>
    <w:rsid w:val="00806DE4"/>
    <w:rsid w:val="008071E5"/>
    <w:rsid w:val="00807E76"/>
    <w:rsid w:val="008101D5"/>
    <w:rsid w:val="00810266"/>
    <w:rsid w:val="00810393"/>
    <w:rsid w:val="0081069E"/>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C11"/>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BF7"/>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3FA"/>
    <w:rsid w:val="00831724"/>
    <w:rsid w:val="00831843"/>
    <w:rsid w:val="008318C7"/>
    <w:rsid w:val="0083197A"/>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00B"/>
    <w:rsid w:val="008438E7"/>
    <w:rsid w:val="00844592"/>
    <w:rsid w:val="008457DE"/>
    <w:rsid w:val="00845801"/>
    <w:rsid w:val="00845B68"/>
    <w:rsid w:val="00845F84"/>
    <w:rsid w:val="008461A6"/>
    <w:rsid w:val="00846343"/>
    <w:rsid w:val="008469A2"/>
    <w:rsid w:val="00846ACA"/>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3A99"/>
    <w:rsid w:val="008543B0"/>
    <w:rsid w:val="00854878"/>
    <w:rsid w:val="008549B0"/>
    <w:rsid w:val="008550EC"/>
    <w:rsid w:val="00855291"/>
    <w:rsid w:val="0085555F"/>
    <w:rsid w:val="00855708"/>
    <w:rsid w:val="00856137"/>
    <w:rsid w:val="0085632F"/>
    <w:rsid w:val="0085666A"/>
    <w:rsid w:val="008567D0"/>
    <w:rsid w:val="00856839"/>
    <w:rsid w:val="00856BB3"/>
    <w:rsid w:val="00857235"/>
    <w:rsid w:val="0085759B"/>
    <w:rsid w:val="008575E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20"/>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5D9"/>
    <w:rsid w:val="00871DD9"/>
    <w:rsid w:val="00871E9C"/>
    <w:rsid w:val="00872030"/>
    <w:rsid w:val="008722FD"/>
    <w:rsid w:val="00872C0C"/>
    <w:rsid w:val="008733BF"/>
    <w:rsid w:val="00873964"/>
    <w:rsid w:val="00873C02"/>
    <w:rsid w:val="00874C83"/>
    <w:rsid w:val="00874D3B"/>
    <w:rsid w:val="00875171"/>
    <w:rsid w:val="008754BE"/>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1FE2"/>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678"/>
    <w:rsid w:val="008A780F"/>
    <w:rsid w:val="008A7D11"/>
    <w:rsid w:val="008A7F7A"/>
    <w:rsid w:val="008B036E"/>
    <w:rsid w:val="008B05C9"/>
    <w:rsid w:val="008B0928"/>
    <w:rsid w:val="008B0B27"/>
    <w:rsid w:val="008B0D64"/>
    <w:rsid w:val="008B0FC9"/>
    <w:rsid w:val="008B14F1"/>
    <w:rsid w:val="008B15FD"/>
    <w:rsid w:val="008B1B15"/>
    <w:rsid w:val="008B1DBC"/>
    <w:rsid w:val="008B1DD2"/>
    <w:rsid w:val="008B1DFD"/>
    <w:rsid w:val="008B26CF"/>
    <w:rsid w:val="008B2E7D"/>
    <w:rsid w:val="008B3109"/>
    <w:rsid w:val="008B31CF"/>
    <w:rsid w:val="008B3EE4"/>
    <w:rsid w:val="008B45EF"/>
    <w:rsid w:val="008B47CD"/>
    <w:rsid w:val="008B48F4"/>
    <w:rsid w:val="008B4E0B"/>
    <w:rsid w:val="008B52DF"/>
    <w:rsid w:val="008B6024"/>
    <w:rsid w:val="008B628C"/>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4A5"/>
    <w:rsid w:val="008C3846"/>
    <w:rsid w:val="008C3E32"/>
    <w:rsid w:val="008C3F1D"/>
    <w:rsid w:val="008C45D3"/>
    <w:rsid w:val="008C47AC"/>
    <w:rsid w:val="008C4A1D"/>
    <w:rsid w:val="008C4C65"/>
    <w:rsid w:val="008C4EC1"/>
    <w:rsid w:val="008C4ED5"/>
    <w:rsid w:val="008C52B9"/>
    <w:rsid w:val="008C57E8"/>
    <w:rsid w:val="008C5FFE"/>
    <w:rsid w:val="008C62F3"/>
    <w:rsid w:val="008C6352"/>
    <w:rsid w:val="008C650B"/>
    <w:rsid w:val="008C6850"/>
    <w:rsid w:val="008C6D48"/>
    <w:rsid w:val="008C722E"/>
    <w:rsid w:val="008C784E"/>
    <w:rsid w:val="008C7CD1"/>
    <w:rsid w:val="008D02FD"/>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CC2"/>
    <w:rsid w:val="008D6F08"/>
    <w:rsid w:val="008D7769"/>
    <w:rsid w:val="008D77AA"/>
    <w:rsid w:val="008D7A15"/>
    <w:rsid w:val="008D7CBD"/>
    <w:rsid w:val="008D7EDC"/>
    <w:rsid w:val="008E00B3"/>
    <w:rsid w:val="008E00D8"/>
    <w:rsid w:val="008E00E2"/>
    <w:rsid w:val="008E04F8"/>
    <w:rsid w:val="008E10F7"/>
    <w:rsid w:val="008E1785"/>
    <w:rsid w:val="008E19D6"/>
    <w:rsid w:val="008E1E2D"/>
    <w:rsid w:val="008E2491"/>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A6C"/>
    <w:rsid w:val="008F1B3C"/>
    <w:rsid w:val="008F1BCC"/>
    <w:rsid w:val="008F1ED1"/>
    <w:rsid w:val="008F2A74"/>
    <w:rsid w:val="008F2AA8"/>
    <w:rsid w:val="008F3187"/>
    <w:rsid w:val="008F420E"/>
    <w:rsid w:val="008F4689"/>
    <w:rsid w:val="008F49F3"/>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A22"/>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5E8F"/>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3F53"/>
    <w:rsid w:val="0091458F"/>
    <w:rsid w:val="009147E1"/>
    <w:rsid w:val="00914F34"/>
    <w:rsid w:val="00915684"/>
    <w:rsid w:val="00915D91"/>
    <w:rsid w:val="00915DAF"/>
    <w:rsid w:val="00916153"/>
    <w:rsid w:val="00916162"/>
    <w:rsid w:val="00916226"/>
    <w:rsid w:val="00916364"/>
    <w:rsid w:val="00916791"/>
    <w:rsid w:val="0091695E"/>
    <w:rsid w:val="00916D34"/>
    <w:rsid w:val="00916E0F"/>
    <w:rsid w:val="00917231"/>
    <w:rsid w:val="00917A82"/>
    <w:rsid w:val="00917B9B"/>
    <w:rsid w:val="009202F9"/>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A5F"/>
    <w:rsid w:val="00927FF4"/>
    <w:rsid w:val="00930103"/>
    <w:rsid w:val="00930364"/>
    <w:rsid w:val="009306BD"/>
    <w:rsid w:val="00930A9A"/>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9"/>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BF6"/>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881"/>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399"/>
    <w:rsid w:val="009705C4"/>
    <w:rsid w:val="00970CD8"/>
    <w:rsid w:val="00971058"/>
    <w:rsid w:val="00971296"/>
    <w:rsid w:val="009718AE"/>
    <w:rsid w:val="00971DB6"/>
    <w:rsid w:val="0097224A"/>
    <w:rsid w:val="0097298F"/>
    <w:rsid w:val="00972990"/>
    <w:rsid w:val="00972F9D"/>
    <w:rsid w:val="009733C5"/>
    <w:rsid w:val="00973486"/>
    <w:rsid w:val="0097439F"/>
    <w:rsid w:val="00974CD7"/>
    <w:rsid w:val="00975092"/>
    <w:rsid w:val="00975095"/>
    <w:rsid w:val="009756B1"/>
    <w:rsid w:val="00975ABF"/>
    <w:rsid w:val="00976053"/>
    <w:rsid w:val="009762DB"/>
    <w:rsid w:val="00976393"/>
    <w:rsid w:val="00976D41"/>
    <w:rsid w:val="00976E2C"/>
    <w:rsid w:val="00977000"/>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7E1"/>
    <w:rsid w:val="0099588C"/>
    <w:rsid w:val="00995C41"/>
    <w:rsid w:val="00996F7F"/>
    <w:rsid w:val="009971D4"/>
    <w:rsid w:val="00997213"/>
    <w:rsid w:val="0099727D"/>
    <w:rsid w:val="00997434"/>
    <w:rsid w:val="00997511"/>
    <w:rsid w:val="00997872"/>
    <w:rsid w:val="009978B1"/>
    <w:rsid w:val="00997B1B"/>
    <w:rsid w:val="009A008E"/>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6CE"/>
    <w:rsid w:val="009D0730"/>
    <w:rsid w:val="009D0C7A"/>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2FB"/>
    <w:rsid w:val="009F166F"/>
    <w:rsid w:val="009F1B49"/>
    <w:rsid w:val="009F1D3D"/>
    <w:rsid w:val="009F2137"/>
    <w:rsid w:val="009F2B37"/>
    <w:rsid w:val="009F2D60"/>
    <w:rsid w:val="009F3458"/>
    <w:rsid w:val="009F3895"/>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3E19"/>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22E"/>
    <w:rsid w:val="00A22303"/>
    <w:rsid w:val="00A22809"/>
    <w:rsid w:val="00A228E6"/>
    <w:rsid w:val="00A229D0"/>
    <w:rsid w:val="00A22B3F"/>
    <w:rsid w:val="00A22FB0"/>
    <w:rsid w:val="00A2398D"/>
    <w:rsid w:val="00A23D35"/>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1AB"/>
    <w:rsid w:val="00A32211"/>
    <w:rsid w:val="00A3264C"/>
    <w:rsid w:val="00A32E33"/>
    <w:rsid w:val="00A32F79"/>
    <w:rsid w:val="00A33078"/>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6C1"/>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6FE5"/>
    <w:rsid w:val="00A77182"/>
    <w:rsid w:val="00A77613"/>
    <w:rsid w:val="00A7795F"/>
    <w:rsid w:val="00A80BB8"/>
    <w:rsid w:val="00A8131B"/>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977"/>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479"/>
    <w:rsid w:val="00A91816"/>
    <w:rsid w:val="00A92188"/>
    <w:rsid w:val="00A922C3"/>
    <w:rsid w:val="00A92351"/>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652"/>
    <w:rsid w:val="00A97A42"/>
    <w:rsid w:val="00AA0196"/>
    <w:rsid w:val="00AA03D4"/>
    <w:rsid w:val="00AA0435"/>
    <w:rsid w:val="00AA053D"/>
    <w:rsid w:val="00AA0E75"/>
    <w:rsid w:val="00AA119C"/>
    <w:rsid w:val="00AA11E1"/>
    <w:rsid w:val="00AA1525"/>
    <w:rsid w:val="00AA18FB"/>
    <w:rsid w:val="00AA1BA2"/>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3E3D"/>
    <w:rsid w:val="00AB43FA"/>
    <w:rsid w:val="00AB5CA6"/>
    <w:rsid w:val="00AB5E49"/>
    <w:rsid w:val="00AB5F59"/>
    <w:rsid w:val="00AB67BC"/>
    <w:rsid w:val="00AB6E4E"/>
    <w:rsid w:val="00AB70C1"/>
    <w:rsid w:val="00AB7550"/>
    <w:rsid w:val="00AB79C2"/>
    <w:rsid w:val="00AB7C12"/>
    <w:rsid w:val="00AB7D51"/>
    <w:rsid w:val="00AC02A7"/>
    <w:rsid w:val="00AC0CCF"/>
    <w:rsid w:val="00AC0F0D"/>
    <w:rsid w:val="00AC1586"/>
    <w:rsid w:val="00AC1625"/>
    <w:rsid w:val="00AC1638"/>
    <w:rsid w:val="00AC1739"/>
    <w:rsid w:val="00AC1ABA"/>
    <w:rsid w:val="00AC1D1E"/>
    <w:rsid w:val="00AC21DD"/>
    <w:rsid w:val="00AC2267"/>
    <w:rsid w:val="00AC2766"/>
    <w:rsid w:val="00AC34AD"/>
    <w:rsid w:val="00AC38A3"/>
    <w:rsid w:val="00AC41BD"/>
    <w:rsid w:val="00AC509C"/>
    <w:rsid w:val="00AC546D"/>
    <w:rsid w:val="00AC5B14"/>
    <w:rsid w:val="00AC6A53"/>
    <w:rsid w:val="00AC6D4B"/>
    <w:rsid w:val="00AC7388"/>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1B"/>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2FE"/>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1B8"/>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99D"/>
    <w:rsid w:val="00B03B72"/>
    <w:rsid w:val="00B03B94"/>
    <w:rsid w:val="00B03C56"/>
    <w:rsid w:val="00B03EC6"/>
    <w:rsid w:val="00B03F08"/>
    <w:rsid w:val="00B040B7"/>
    <w:rsid w:val="00B047BC"/>
    <w:rsid w:val="00B056E0"/>
    <w:rsid w:val="00B061E6"/>
    <w:rsid w:val="00B062B9"/>
    <w:rsid w:val="00B06B71"/>
    <w:rsid w:val="00B06C13"/>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E3B"/>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1FD9"/>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17"/>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ED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95F"/>
    <w:rsid w:val="00B541B8"/>
    <w:rsid w:val="00B5479E"/>
    <w:rsid w:val="00B54A24"/>
    <w:rsid w:val="00B54FE5"/>
    <w:rsid w:val="00B54FF1"/>
    <w:rsid w:val="00B55A49"/>
    <w:rsid w:val="00B55B06"/>
    <w:rsid w:val="00B55B57"/>
    <w:rsid w:val="00B56242"/>
    <w:rsid w:val="00B56254"/>
    <w:rsid w:val="00B56376"/>
    <w:rsid w:val="00B567D1"/>
    <w:rsid w:val="00B56B1B"/>
    <w:rsid w:val="00B56B9E"/>
    <w:rsid w:val="00B5754F"/>
    <w:rsid w:val="00B576C2"/>
    <w:rsid w:val="00B57765"/>
    <w:rsid w:val="00B5795D"/>
    <w:rsid w:val="00B57D55"/>
    <w:rsid w:val="00B57E2D"/>
    <w:rsid w:val="00B6056A"/>
    <w:rsid w:val="00B606F6"/>
    <w:rsid w:val="00B608CE"/>
    <w:rsid w:val="00B60B81"/>
    <w:rsid w:val="00B6102A"/>
    <w:rsid w:val="00B61537"/>
    <w:rsid w:val="00B616E9"/>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7E4"/>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A00"/>
    <w:rsid w:val="00B82BC2"/>
    <w:rsid w:val="00B837BA"/>
    <w:rsid w:val="00B8384D"/>
    <w:rsid w:val="00B83DA3"/>
    <w:rsid w:val="00B8427D"/>
    <w:rsid w:val="00B8457F"/>
    <w:rsid w:val="00B8467F"/>
    <w:rsid w:val="00B846A2"/>
    <w:rsid w:val="00B84B08"/>
    <w:rsid w:val="00B85178"/>
    <w:rsid w:val="00B86635"/>
    <w:rsid w:val="00B86757"/>
    <w:rsid w:val="00B86C64"/>
    <w:rsid w:val="00B86F5D"/>
    <w:rsid w:val="00B87024"/>
    <w:rsid w:val="00B871BF"/>
    <w:rsid w:val="00B87326"/>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6C3"/>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4B8"/>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9"/>
    <w:rsid w:val="00BC1FBF"/>
    <w:rsid w:val="00BC20AE"/>
    <w:rsid w:val="00BC248C"/>
    <w:rsid w:val="00BC2528"/>
    <w:rsid w:val="00BC2848"/>
    <w:rsid w:val="00BC2C2E"/>
    <w:rsid w:val="00BC2D47"/>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C04"/>
    <w:rsid w:val="00BC7FAF"/>
    <w:rsid w:val="00BD0454"/>
    <w:rsid w:val="00BD0B49"/>
    <w:rsid w:val="00BD1118"/>
    <w:rsid w:val="00BD11FE"/>
    <w:rsid w:val="00BD142E"/>
    <w:rsid w:val="00BD1560"/>
    <w:rsid w:val="00BD196A"/>
    <w:rsid w:val="00BD1B00"/>
    <w:rsid w:val="00BD208E"/>
    <w:rsid w:val="00BD209A"/>
    <w:rsid w:val="00BD24AC"/>
    <w:rsid w:val="00BD2526"/>
    <w:rsid w:val="00BD2E8F"/>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2B6"/>
    <w:rsid w:val="00BE3550"/>
    <w:rsid w:val="00BE3BB3"/>
    <w:rsid w:val="00BE4D15"/>
    <w:rsid w:val="00BE4D54"/>
    <w:rsid w:val="00BE58DB"/>
    <w:rsid w:val="00BE5CC1"/>
    <w:rsid w:val="00BE5D33"/>
    <w:rsid w:val="00BE5D47"/>
    <w:rsid w:val="00BE5DCC"/>
    <w:rsid w:val="00BE5EE9"/>
    <w:rsid w:val="00BE61E3"/>
    <w:rsid w:val="00BE6241"/>
    <w:rsid w:val="00BE6669"/>
    <w:rsid w:val="00BE66F8"/>
    <w:rsid w:val="00BE6A77"/>
    <w:rsid w:val="00BE71B4"/>
    <w:rsid w:val="00BE75CB"/>
    <w:rsid w:val="00BE7612"/>
    <w:rsid w:val="00BE7BF2"/>
    <w:rsid w:val="00BE7DA8"/>
    <w:rsid w:val="00BF0C43"/>
    <w:rsid w:val="00BF105A"/>
    <w:rsid w:val="00BF16BA"/>
    <w:rsid w:val="00BF18F6"/>
    <w:rsid w:val="00BF1D4A"/>
    <w:rsid w:val="00BF1EC9"/>
    <w:rsid w:val="00BF2091"/>
    <w:rsid w:val="00BF3536"/>
    <w:rsid w:val="00BF4091"/>
    <w:rsid w:val="00BF4477"/>
    <w:rsid w:val="00BF491C"/>
    <w:rsid w:val="00BF4982"/>
    <w:rsid w:val="00BF51A9"/>
    <w:rsid w:val="00BF57A4"/>
    <w:rsid w:val="00BF5EFC"/>
    <w:rsid w:val="00BF5F0B"/>
    <w:rsid w:val="00BF5FC7"/>
    <w:rsid w:val="00BF6762"/>
    <w:rsid w:val="00BF7296"/>
    <w:rsid w:val="00BF7674"/>
    <w:rsid w:val="00BF77A7"/>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4FEF"/>
    <w:rsid w:val="00C05126"/>
    <w:rsid w:val="00C05713"/>
    <w:rsid w:val="00C059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0E56"/>
    <w:rsid w:val="00C2175E"/>
    <w:rsid w:val="00C21B3B"/>
    <w:rsid w:val="00C21D34"/>
    <w:rsid w:val="00C21EAD"/>
    <w:rsid w:val="00C223F9"/>
    <w:rsid w:val="00C22420"/>
    <w:rsid w:val="00C227C0"/>
    <w:rsid w:val="00C22DB0"/>
    <w:rsid w:val="00C2300D"/>
    <w:rsid w:val="00C2379B"/>
    <w:rsid w:val="00C23E1C"/>
    <w:rsid w:val="00C24159"/>
    <w:rsid w:val="00C242B3"/>
    <w:rsid w:val="00C24482"/>
    <w:rsid w:val="00C24547"/>
    <w:rsid w:val="00C24ACB"/>
    <w:rsid w:val="00C251CE"/>
    <w:rsid w:val="00C252D7"/>
    <w:rsid w:val="00C25539"/>
    <w:rsid w:val="00C2585B"/>
    <w:rsid w:val="00C2632A"/>
    <w:rsid w:val="00C267F4"/>
    <w:rsid w:val="00C2774F"/>
    <w:rsid w:val="00C27A18"/>
    <w:rsid w:val="00C27FC9"/>
    <w:rsid w:val="00C302B3"/>
    <w:rsid w:val="00C30818"/>
    <w:rsid w:val="00C30955"/>
    <w:rsid w:val="00C30F83"/>
    <w:rsid w:val="00C30FB7"/>
    <w:rsid w:val="00C30FFD"/>
    <w:rsid w:val="00C316F7"/>
    <w:rsid w:val="00C31C92"/>
    <w:rsid w:val="00C31CEB"/>
    <w:rsid w:val="00C322FE"/>
    <w:rsid w:val="00C328BA"/>
    <w:rsid w:val="00C32A89"/>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286"/>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246"/>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B4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52AF"/>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4CE4"/>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06E9"/>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2F51"/>
    <w:rsid w:val="00CA31AE"/>
    <w:rsid w:val="00CA33E0"/>
    <w:rsid w:val="00CA45EE"/>
    <w:rsid w:val="00CA4EE6"/>
    <w:rsid w:val="00CA513B"/>
    <w:rsid w:val="00CA51D4"/>
    <w:rsid w:val="00CA5B83"/>
    <w:rsid w:val="00CA5E5B"/>
    <w:rsid w:val="00CA5EAC"/>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3A9"/>
    <w:rsid w:val="00CC0591"/>
    <w:rsid w:val="00CC0A6F"/>
    <w:rsid w:val="00CC0E63"/>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B6"/>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8B0"/>
    <w:rsid w:val="00CD3A3D"/>
    <w:rsid w:val="00CD3CD8"/>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1E"/>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BD8"/>
    <w:rsid w:val="00CF1170"/>
    <w:rsid w:val="00CF1312"/>
    <w:rsid w:val="00CF1742"/>
    <w:rsid w:val="00CF19B0"/>
    <w:rsid w:val="00CF2982"/>
    <w:rsid w:val="00CF29AC"/>
    <w:rsid w:val="00CF2C03"/>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9CD"/>
    <w:rsid w:val="00D00CC2"/>
    <w:rsid w:val="00D01287"/>
    <w:rsid w:val="00D02577"/>
    <w:rsid w:val="00D02ADA"/>
    <w:rsid w:val="00D02EF5"/>
    <w:rsid w:val="00D03A23"/>
    <w:rsid w:val="00D03C92"/>
    <w:rsid w:val="00D03F97"/>
    <w:rsid w:val="00D043DD"/>
    <w:rsid w:val="00D048B7"/>
    <w:rsid w:val="00D04C61"/>
    <w:rsid w:val="00D04D1D"/>
    <w:rsid w:val="00D05F78"/>
    <w:rsid w:val="00D05F92"/>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8DD"/>
    <w:rsid w:val="00D1595E"/>
    <w:rsid w:val="00D15980"/>
    <w:rsid w:val="00D15C1D"/>
    <w:rsid w:val="00D15C7D"/>
    <w:rsid w:val="00D167AB"/>
    <w:rsid w:val="00D16A73"/>
    <w:rsid w:val="00D17184"/>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5AB"/>
    <w:rsid w:val="00D33A76"/>
    <w:rsid w:val="00D340F1"/>
    <w:rsid w:val="00D345AD"/>
    <w:rsid w:val="00D348C5"/>
    <w:rsid w:val="00D34EBD"/>
    <w:rsid w:val="00D35AEC"/>
    <w:rsid w:val="00D35EDE"/>
    <w:rsid w:val="00D36079"/>
    <w:rsid w:val="00D360AD"/>
    <w:rsid w:val="00D36483"/>
    <w:rsid w:val="00D365B6"/>
    <w:rsid w:val="00D3683A"/>
    <w:rsid w:val="00D36947"/>
    <w:rsid w:val="00D372C6"/>
    <w:rsid w:val="00D374B4"/>
    <w:rsid w:val="00D37738"/>
    <w:rsid w:val="00D37AEC"/>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011"/>
    <w:rsid w:val="00D471FC"/>
    <w:rsid w:val="00D476F7"/>
    <w:rsid w:val="00D4782C"/>
    <w:rsid w:val="00D47B83"/>
    <w:rsid w:val="00D47DA1"/>
    <w:rsid w:val="00D5022B"/>
    <w:rsid w:val="00D50322"/>
    <w:rsid w:val="00D5037A"/>
    <w:rsid w:val="00D510D1"/>
    <w:rsid w:val="00D51289"/>
    <w:rsid w:val="00D51E28"/>
    <w:rsid w:val="00D5200C"/>
    <w:rsid w:val="00D52081"/>
    <w:rsid w:val="00D52494"/>
    <w:rsid w:val="00D524AD"/>
    <w:rsid w:val="00D52958"/>
    <w:rsid w:val="00D529DD"/>
    <w:rsid w:val="00D52A27"/>
    <w:rsid w:val="00D52BB1"/>
    <w:rsid w:val="00D5314B"/>
    <w:rsid w:val="00D53E64"/>
    <w:rsid w:val="00D547A3"/>
    <w:rsid w:val="00D54DE4"/>
    <w:rsid w:val="00D5562E"/>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76"/>
    <w:rsid w:val="00D76BA1"/>
    <w:rsid w:val="00D77063"/>
    <w:rsid w:val="00D77184"/>
    <w:rsid w:val="00D77877"/>
    <w:rsid w:val="00D77D09"/>
    <w:rsid w:val="00D80257"/>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2B8"/>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B28"/>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62F"/>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B42"/>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5A6"/>
    <w:rsid w:val="00DD766F"/>
    <w:rsid w:val="00DD7A8D"/>
    <w:rsid w:val="00DE0184"/>
    <w:rsid w:val="00DE0185"/>
    <w:rsid w:val="00DE0DB7"/>
    <w:rsid w:val="00DE17E2"/>
    <w:rsid w:val="00DE1B65"/>
    <w:rsid w:val="00DE1BB8"/>
    <w:rsid w:val="00DE1DED"/>
    <w:rsid w:val="00DE2EDE"/>
    <w:rsid w:val="00DE31F3"/>
    <w:rsid w:val="00DE3352"/>
    <w:rsid w:val="00DE3361"/>
    <w:rsid w:val="00DE3463"/>
    <w:rsid w:val="00DE3480"/>
    <w:rsid w:val="00DE3506"/>
    <w:rsid w:val="00DE4358"/>
    <w:rsid w:val="00DE45B2"/>
    <w:rsid w:val="00DE4D33"/>
    <w:rsid w:val="00DE4DB3"/>
    <w:rsid w:val="00DE4E7A"/>
    <w:rsid w:val="00DE4FB4"/>
    <w:rsid w:val="00DE5573"/>
    <w:rsid w:val="00DE5F20"/>
    <w:rsid w:val="00DE62CE"/>
    <w:rsid w:val="00DE6538"/>
    <w:rsid w:val="00DE6A7C"/>
    <w:rsid w:val="00DE6B8B"/>
    <w:rsid w:val="00DE7BE8"/>
    <w:rsid w:val="00DE7F13"/>
    <w:rsid w:val="00DE7F94"/>
    <w:rsid w:val="00DF0548"/>
    <w:rsid w:val="00DF08CB"/>
    <w:rsid w:val="00DF1AEC"/>
    <w:rsid w:val="00DF1CF1"/>
    <w:rsid w:val="00DF1D39"/>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78"/>
    <w:rsid w:val="00E01281"/>
    <w:rsid w:val="00E01357"/>
    <w:rsid w:val="00E015B6"/>
    <w:rsid w:val="00E01ABE"/>
    <w:rsid w:val="00E02285"/>
    <w:rsid w:val="00E02B1E"/>
    <w:rsid w:val="00E02C64"/>
    <w:rsid w:val="00E0315D"/>
    <w:rsid w:val="00E032E0"/>
    <w:rsid w:val="00E03AC3"/>
    <w:rsid w:val="00E04A1D"/>
    <w:rsid w:val="00E05322"/>
    <w:rsid w:val="00E057D8"/>
    <w:rsid w:val="00E05BCD"/>
    <w:rsid w:val="00E05D47"/>
    <w:rsid w:val="00E05DF4"/>
    <w:rsid w:val="00E05F8D"/>
    <w:rsid w:val="00E071B0"/>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3DA"/>
    <w:rsid w:val="00E21640"/>
    <w:rsid w:val="00E2166B"/>
    <w:rsid w:val="00E218BA"/>
    <w:rsid w:val="00E21E9C"/>
    <w:rsid w:val="00E21F89"/>
    <w:rsid w:val="00E22138"/>
    <w:rsid w:val="00E22679"/>
    <w:rsid w:val="00E226D1"/>
    <w:rsid w:val="00E22783"/>
    <w:rsid w:val="00E22855"/>
    <w:rsid w:val="00E228EB"/>
    <w:rsid w:val="00E22C42"/>
    <w:rsid w:val="00E22CB7"/>
    <w:rsid w:val="00E22F81"/>
    <w:rsid w:val="00E23A12"/>
    <w:rsid w:val="00E24089"/>
    <w:rsid w:val="00E24343"/>
    <w:rsid w:val="00E243B4"/>
    <w:rsid w:val="00E2468F"/>
    <w:rsid w:val="00E248A7"/>
    <w:rsid w:val="00E24A36"/>
    <w:rsid w:val="00E254A8"/>
    <w:rsid w:val="00E255C1"/>
    <w:rsid w:val="00E25789"/>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3ADC"/>
    <w:rsid w:val="00E445ED"/>
    <w:rsid w:val="00E44ABC"/>
    <w:rsid w:val="00E44AFE"/>
    <w:rsid w:val="00E44C23"/>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674"/>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2632"/>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170"/>
    <w:rsid w:val="00E7250A"/>
    <w:rsid w:val="00E727F6"/>
    <w:rsid w:val="00E72951"/>
    <w:rsid w:val="00E72D6B"/>
    <w:rsid w:val="00E72E88"/>
    <w:rsid w:val="00E72F68"/>
    <w:rsid w:val="00E72FE9"/>
    <w:rsid w:val="00E73453"/>
    <w:rsid w:val="00E735C6"/>
    <w:rsid w:val="00E739CA"/>
    <w:rsid w:val="00E73ABB"/>
    <w:rsid w:val="00E73AF4"/>
    <w:rsid w:val="00E73D19"/>
    <w:rsid w:val="00E73D3F"/>
    <w:rsid w:val="00E745DF"/>
    <w:rsid w:val="00E746B4"/>
    <w:rsid w:val="00E746CB"/>
    <w:rsid w:val="00E74B07"/>
    <w:rsid w:val="00E74DCD"/>
    <w:rsid w:val="00E74E12"/>
    <w:rsid w:val="00E74E90"/>
    <w:rsid w:val="00E75D58"/>
    <w:rsid w:val="00E75D9C"/>
    <w:rsid w:val="00E75E9F"/>
    <w:rsid w:val="00E763C9"/>
    <w:rsid w:val="00E76673"/>
    <w:rsid w:val="00E76825"/>
    <w:rsid w:val="00E768DC"/>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AE"/>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B61"/>
    <w:rsid w:val="00EA7E36"/>
    <w:rsid w:val="00EB01B5"/>
    <w:rsid w:val="00EB0A3C"/>
    <w:rsid w:val="00EB101D"/>
    <w:rsid w:val="00EB15CE"/>
    <w:rsid w:val="00EB1980"/>
    <w:rsid w:val="00EB1C61"/>
    <w:rsid w:val="00EB1E09"/>
    <w:rsid w:val="00EB1F90"/>
    <w:rsid w:val="00EB24F6"/>
    <w:rsid w:val="00EB281E"/>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1D7"/>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406"/>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2FB8"/>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0EEC"/>
    <w:rsid w:val="00EE10F7"/>
    <w:rsid w:val="00EE15D7"/>
    <w:rsid w:val="00EE18AC"/>
    <w:rsid w:val="00EE1A0B"/>
    <w:rsid w:val="00EE20CC"/>
    <w:rsid w:val="00EE2282"/>
    <w:rsid w:val="00EE2367"/>
    <w:rsid w:val="00EE2484"/>
    <w:rsid w:val="00EE24DE"/>
    <w:rsid w:val="00EE3110"/>
    <w:rsid w:val="00EE31E2"/>
    <w:rsid w:val="00EE3405"/>
    <w:rsid w:val="00EE3425"/>
    <w:rsid w:val="00EE3CB0"/>
    <w:rsid w:val="00EE44D7"/>
    <w:rsid w:val="00EE4C40"/>
    <w:rsid w:val="00EE5202"/>
    <w:rsid w:val="00EE5584"/>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1AE"/>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B39"/>
    <w:rsid w:val="00F00B9F"/>
    <w:rsid w:val="00F00C70"/>
    <w:rsid w:val="00F00E26"/>
    <w:rsid w:val="00F01357"/>
    <w:rsid w:val="00F01648"/>
    <w:rsid w:val="00F01986"/>
    <w:rsid w:val="00F025E2"/>
    <w:rsid w:val="00F02B96"/>
    <w:rsid w:val="00F03108"/>
    <w:rsid w:val="00F032B4"/>
    <w:rsid w:val="00F03E14"/>
    <w:rsid w:val="00F03E58"/>
    <w:rsid w:val="00F03F49"/>
    <w:rsid w:val="00F04072"/>
    <w:rsid w:val="00F04AD7"/>
    <w:rsid w:val="00F050B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7D1"/>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6C58"/>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9EA"/>
    <w:rsid w:val="00F43D7E"/>
    <w:rsid w:val="00F43F80"/>
    <w:rsid w:val="00F4440A"/>
    <w:rsid w:val="00F446E4"/>
    <w:rsid w:val="00F447B0"/>
    <w:rsid w:val="00F44BA7"/>
    <w:rsid w:val="00F44DAB"/>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142"/>
    <w:rsid w:val="00F5458E"/>
    <w:rsid w:val="00F54969"/>
    <w:rsid w:val="00F54BF6"/>
    <w:rsid w:val="00F550AC"/>
    <w:rsid w:val="00F554E3"/>
    <w:rsid w:val="00F55DA8"/>
    <w:rsid w:val="00F56B62"/>
    <w:rsid w:val="00F56E26"/>
    <w:rsid w:val="00F56E55"/>
    <w:rsid w:val="00F570C5"/>
    <w:rsid w:val="00F5716B"/>
    <w:rsid w:val="00F57580"/>
    <w:rsid w:val="00F57754"/>
    <w:rsid w:val="00F57EA6"/>
    <w:rsid w:val="00F608CB"/>
    <w:rsid w:val="00F60F72"/>
    <w:rsid w:val="00F61012"/>
    <w:rsid w:val="00F61311"/>
    <w:rsid w:val="00F61570"/>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701"/>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780"/>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596"/>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1A"/>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AC7"/>
    <w:rsid w:val="00FB3DAC"/>
    <w:rsid w:val="00FB4564"/>
    <w:rsid w:val="00FB457D"/>
    <w:rsid w:val="00FB52B8"/>
    <w:rsid w:val="00FB5498"/>
    <w:rsid w:val="00FB5562"/>
    <w:rsid w:val="00FB566E"/>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E3C"/>
    <w:rsid w:val="00FD0F0A"/>
    <w:rsid w:val="00FD1299"/>
    <w:rsid w:val="00FD12A0"/>
    <w:rsid w:val="00FD1621"/>
    <w:rsid w:val="00FD1625"/>
    <w:rsid w:val="00FD19B9"/>
    <w:rsid w:val="00FD1A39"/>
    <w:rsid w:val="00FD23B7"/>
    <w:rsid w:val="00FD23DD"/>
    <w:rsid w:val="00FD2708"/>
    <w:rsid w:val="00FD2776"/>
    <w:rsid w:val="00FD2E9F"/>
    <w:rsid w:val="00FD321E"/>
    <w:rsid w:val="00FD3610"/>
    <w:rsid w:val="00FD3843"/>
    <w:rsid w:val="00FD38CA"/>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B1D"/>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4D1"/>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00793"/>
  <w15:chartTrackingRefBased/>
  <w15:docId w15:val="{CBF0A51F-91CC-454B-98EE-289EBE55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4"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aliases w:val="Heading 2 Cab"/>
    <w:basedOn w:val="Normal"/>
    <w:link w:val="Heading2Char"/>
    <w:uiPriority w:val="4"/>
    <w:semiHidden/>
    <w:unhideWhenUsed/>
    <w:qFormat/>
    <w:rsid w:val="00E22F81"/>
    <w:pPr>
      <w:keepNext/>
      <w:spacing w:before="200"/>
      <w:outlineLvl w:val="1"/>
    </w:pPr>
    <w:rPr>
      <w:rFonts w:ascii="Arial" w:eastAsia="Calibri"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A84977"/>
    <w:rPr>
      <w:sz w:val="16"/>
      <w:szCs w:val="16"/>
    </w:rPr>
  </w:style>
  <w:style w:type="paragraph" w:styleId="CommentText">
    <w:name w:val="annotation text"/>
    <w:basedOn w:val="Normal"/>
    <w:link w:val="CommentTextChar"/>
    <w:rsid w:val="00A84977"/>
    <w:rPr>
      <w:sz w:val="20"/>
      <w:szCs w:val="20"/>
    </w:rPr>
  </w:style>
  <w:style w:type="character" w:customStyle="1" w:styleId="CommentTextChar">
    <w:name w:val="Comment Text Char"/>
    <w:basedOn w:val="DefaultParagraphFont"/>
    <w:link w:val="CommentText"/>
    <w:rsid w:val="00A84977"/>
  </w:style>
  <w:style w:type="paragraph" w:styleId="CommentSubject">
    <w:name w:val="annotation subject"/>
    <w:basedOn w:val="CommentText"/>
    <w:next w:val="CommentText"/>
    <w:link w:val="CommentSubjectChar"/>
    <w:rsid w:val="00A84977"/>
    <w:rPr>
      <w:b/>
      <w:bCs/>
    </w:rPr>
  </w:style>
  <w:style w:type="character" w:customStyle="1" w:styleId="CommentSubjectChar">
    <w:name w:val="Comment Subject Char"/>
    <w:link w:val="CommentSubject"/>
    <w:rsid w:val="00A84977"/>
    <w:rPr>
      <w:b/>
      <w:bCs/>
    </w:rPr>
  </w:style>
  <w:style w:type="character" w:styleId="Hyperlink">
    <w:name w:val="Hyperlink"/>
    <w:rsid w:val="00E768DC"/>
    <w:rPr>
      <w:color w:val="0563C1"/>
      <w:u w:val="single"/>
    </w:rPr>
  </w:style>
  <w:style w:type="paragraph" w:styleId="Header">
    <w:name w:val="header"/>
    <w:basedOn w:val="Normal"/>
    <w:link w:val="HeaderChar"/>
    <w:rsid w:val="004479B5"/>
    <w:pPr>
      <w:tabs>
        <w:tab w:val="center" w:pos="4513"/>
        <w:tab w:val="right" w:pos="9026"/>
      </w:tabs>
    </w:pPr>
  </w:style>
  <w:style w:type="character" w:customStyle="1" w:styleId="HeaderChar">
    <w:name w:val="Header Char"/>
    <w:link w:val="Header"/>
    <w:rsid w:val="004479B5"/>
    <w:rPr>
      <w:sz w:val="24"/>
      <w:szCs w:val="24"/>
    </w:rPr>
  </w:style>
  <w:style w:type="paragraph" w:styleId="Footer">
    <w:name w:val="footer"/>
    <w:basedOn w:val="Normal"/>
    <w:link w:val="FooterChar"/>
    <w:uiPriority w:val="99"/>
    <w:rsid w:val="004479B5"/>
    <w:pPr>
      <w:tabs>
        <w:tab w:val="center" w:pos="4513"/>
        <w:tab w:val="right" w:pos="9026"/>
      </w:tabs>
    </w:pPr>
  </w:style>
  <w:style w:type="character" w:customStyle="1" w:styleId="FooterChar">
    <w:name w:val="Footer Char"/>
    <w:link w:val="Footer"/>
    <w:uiPriority w:val="99"/>
    <w:rsid w:val="004479B5"/>
    <w:rPr>
      <w:sz w:val="24"/>
      <w:szCs w:val="24"/>
    </w:rPr>
  </w:style>
  <w:style w:type="paragraph" w:styleId="Revision">
    <w:name w:val="Revision"/>
    <w:hidden/>
    <w:uiPriority w:val="99"/>
    <w:semiHidden/>
    <w:rsid w:val="004479B5"/>
    <w:rPr>
      <w:sz w:val="24"/>
      <w:szCs w:val="24"/>
    </w:rPr>
  </w:style>
  <w:style w:type="character" w:customStyle="1" w:styleId="Heading2Char">
    <w:name w:val="Heading 2 Char"/>
    <w:aliases w:val="Heading 2 Cab Char"/>
    <w:basedOn w:val="DefaultParagraphFont"/>
    <w:link w:val="Heading2"/>
    <w:uiPriority w:val="4"/>
    <w:semiHidden/>
    <w:rsid w:val="00E22F81"/>
    <w:rPr>
      <w:rFonts w:ascii="Arial" w:eastAsia="Calibri" w:hAnsi="Arial" w:cs="Arial"/>
      <w:sz w:val="24"/>
      <w:szCs w:val="24"/>
      <w:lang w:eastAsia="en-US"/>
    </w:rPr>
  </w:style>
  <w:style w:type="paragraph" w:styleId="ListParagraph">
    <w:name w:val="List Paragraph"/>
    <w:aliases w:val="CAB - List Bullet,List Bullet Cab"/>
    <w:basedOn w:val="Normal"/>
    <w:uiPriority w:val="34"/>
    <w:qFormat/>
    <w:rsid w:val="00E22F81"/>
    <w:pPr>
      <w:ind w:left="851" w:hanging="284"/>
      <w:contextualSpacing/>
    </w:pPr>
    <w:rPr>
      <w:rFonts w:ascii="Arial" w:eastAsia="Calibri" w:hAnsi="Arial" w:cs="Arial"/>
      <w:sz w:val="22"/>
      <w:szCs w:val="22"/>
      <w:lang w:eastAsia="en-US"/>
    </w:rPr>
  </w:style>
  <w:style w:type="character" w:customStyle="1" w:styleId="CABNETParagraphChar">
    <w:name w:val="CABNET Paragraph. Char"/>
    <w:link w:val="CABNETParagraph"/>
    <w:uiPriority w:val="98"/>
    <w:locked/>
    <w:rsid w:val="00E22F81"/>
    <w:rPr>
      <w:rFonts w:ascii="Arial" w:hAnsi="Arial" w:cs="Arial"/>
    </w:rPr>
  </w:style>
  <w:style w:type="paragraph" w:customStyle="1" w:styleId="CABNETParagraph">
    <w:name w:val="CABNET Paragraph."/>
    <w:basedOn w:val="Normal"/>
    <w:link w:val="CABNETParagraphChar"/>
    <w:uiPriority w:val="98"/>
    <w:rsid w:val="00E22F81"/>
    <w:pPr>
      <w:spacing w:before="120" w:after="120"/>
    </w:pPr>
    <w:rPr>
      <w:rFonts w:ascii="Arial" w:hAnsi="Arial" w:cs="Arial"/>
      <w:sz w:val="20"/>
      <w:szCs w:val="20"/>
    </w:rPr>
  </w:style>
  <w:style w:type="paragraph" w:customStyle="1" w:styleId="subsection">
    <w:name w:val="subsection"/>
    <w:basedOn w:val="Normal"/>
    <w:rsid w:val="00CD38B0"/>
    <w:pPr>
      <w:spacing w:before="100" w:beforeAutospacing="1" w:after="100" w:afterAutospacing="1"/>
    </w:pPr>
  </w:style>
  <w:style w:type="paragraph" w:customStyle="1" w:styleId="notemargin">
    <w:name w:val="notemargin"/>
    <w:basedOn w:val="Normal"/>
    <w:rsid w:val="00CD38B0"/>
    <w:pPr>
      <w:spacing w:before="100" w:beforeAutospacing="1" w:after="100" w:afterAutospacing="1"/>
    </w:pPr>
  </w:style>
  <w:style w:type="paragraph" w:customStyle="1" w:styleId="ShortT">
    <w:name w:val="ShortT"/>
    <w:basedOn w:val="Normal"/>
    <w:next w:val="Normal"/>
    <w:qFormat/>
    <w:rsid w:val="004E05AC"/>
    <w:rPr>
      <w:b/>
      <w:sz w:val="40"/>
      <w:szCs w:val="20"/>
    </w:rPr>
  </w:style>
  <w:style w:type="paragraph" w:customStyle="1" w:styleId="Item">
    <w:name w:val="Item"/>
    <w:aliases w:val="i"/>
    <w:basedOn w:val="Normal"/>
    <w:next w:val="ItemHead"/>
    <w:rsid w:val="00D52081"/>
    <w:pPr>
      <w:keepLines/>
      <w:spacing w:before="80"/>
      <w:ind w:left="709"/>
    </w:pPr>
    <w:rPr>
      <w:sz w:val="22"/>
      <w:szCs w:val="20"/>
    </w:rPr>
  </w:style>
  <w:style w:type="paragraph" w:customStyle="1" w:styleId="ItemHead">
    <w:name w:val="ItemHead"/>
    <w:aliases w:val="ih"/>
    <w:basedOn w:val="Normal"/>
    <w:next w:val="Item"/>
    <w:rsid w:val="00D52081"/>
    <w:pPr>
      <w:keepNext/>
      <w:keepLines/>
      <w:spacing w:before="220"/>
      <w:ind w:left="709" w:hanging="709"/>
    </w:pPr>
    <w:rPr>
      <w:rFonts w:ascii="Arial" w:hAnsi="Arial"/>
      <w:b/>
      <w:kern w:val="28"/>
      <w:szCs w:val="20"/>
    </w:rPr>
  </w:style>
  <w:style w:type="paragraph" w:customStyle="1" w:styleId="Definition">
    <w:name w:val="Definition"/>
    <w:aliases w:val="dd"/>
    <w:basedOn w:val="Normal"/>
    <w:rsid w:val="000D1F91"/>
    <w:pPr>
      <w:spacing w:before="180"/>
      <w:ind w:left="1134"/>
    </w:pPr>
    <w:rPr>
      <w:sz w:val="22"/>
      <w:szCs w:val="20"/>
    </w:rPr>
  </w:style>
  <w:style w:type="paragraph" w:customStyle="1" w:styleId="paragraph">
    <w:name w:val="paragraph"/>
    <w:aliases w:val="a"/>
    <w:basedOn w:val="Normal"/>
    <w:rsid w:val="000D1F91"/>
    <w:pPr>
      <w:tabs>
        <w:tab w:val="right" w:pos="1531"/>
      </w:tabs>
      <w:spacing w:before="40"/>
      <w:ind w:left="1644" w:hanging="1644"/>
    </w:pPr>
    <w:rPr>
      <w:sz w:val="22"/>
      <w:szCs w:val="20"/>
    </w:rPr>
  </w:style>
  <w:style w:type="paragraph" w:customStyle="1" w:styleId="subsection2">
    <w:name w:val="subsection2"/>
    <w:aliases w:val="ss2"/>
    <w:basedOn w:val="Normal"/>
    <w:next w:val="Normal"/>
    <w:rsid w:val="00646026"/>
    <w:pPr>
      <w:spacing w:before="40"/>
      <w:ind w:left="113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5739">
      <w:bodyDiv w:val="1"/>
      <w:marLeft w:val="0"/>
      <w:marRight w:val="0"/>
      <w:marTop w:val="0"/>
      <w:marBottom w:val="0"/>
      <w:divBdr>
        <w:top w:val="none" w:sz="0" w:space="0" w:color="auto"/>
        <w:left w:val="none" w:sz="0" w:space="0" w:color="auto"/>
        <w:bottom w:val="none" w:sz="0" w:space="0" w:color="auto"/>
        <w:right w:val="none" w:sz="0" w:space="0" w:color="auto"/>
      </w:divBdr>
    </w:div>
    <w:div w:id="1071197112">
      <w:bodyDiv w:val="1"/>
      <w:marLeft w:val="0"/>
      <w:marRight w:val="0"/>
      <w:marTop w:val="0"/>
      <w:marBottom w:val="0"/>
      <w:divBdr>
        <w:top w:val="none" w:sz="0" w:space="0" w:color="auto"/>
        <w:left w:val="none" w:sz="0" w:space="0" w:color="auto"/>
        <w:bottom w:val="none" w:sz="0" w:space="0" w:color="auto"/>
        <w:right w:val="none" w:sz="0" w:space="0" w:color="auto"/>
      </w:divBdr>
    </w:div>
    <w:div w:id="1403408913">
      <w:bodyDiv w:val="1"/>
      <w:marLeft w:val="0"/>
      <w:marRight w:val="0"/>
      <w:marTop w:val="0"/>
      <w:marBottom w:val="0"/>
      <w:divBdr>
        <w:top w:val="none" w:sz="0" w:space="0" w:color="auto"/>
        <w:left w:val="none" w:sz="0" w:space="0" w:color="auto"/>
        <w:bottom w:val="none" w:sz="0" w:space="0" w:color="auto"/>
        <w:right w:val="none" w:sz="0" w:space="0" w:color="auto"/>
      </w:divBdr>
    </w:div>
    <w:div w:id="2015450783">
      <w:bodyDiv w:val="1"/>
      <w:marLeft w:val="0"/>
      <w:marRight w:val="0"/>
      <w:marTop w:val="0"/>
      <w:marBottom w:val="0"/>
      <w:divBdr>
        <w:top w:val="none" w:sz="0" w:space="0" w:color="auto"/>
        <w:left w:val="none" w:sz="0" w:space="0" w:color="auto"/>
        <w:bottom w:val="none" w:sz="0" w:space="0" w:color="auto"/>
        <w:right w:val="none" w:sz="0" w:space="0" w:color="auto"/>
      </w:divBdr>
    </w:div>
    <w:div w:id="20770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440D957-E2FA-464C-99A8-B4579589DE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1ACEB2B9F6A04288F37A857CC41924" ma:contentTypeVersion="" ma:contentTypeDescription="PDMS Document Site Content Type" ma:contentTypeScope="" ma:versionID="b6903aa0478cf7ffd2128ceadd61d9d7">
  <xsd:schema xmlns:xsd="http://www.w3.org/2001/XMLSchema" xmlns:xs="http://www.w3.org/2001/XMLSchema" xmlns:p="http://schemas.microsoft.com/office/2006/metadata/properties" xmlns:ns2="6440D957-E2FA-464C-99A8-B4579589DEAF" targetNamespace="http://schemas.microsoft.com/office/2006/metadata/properties" ma:root="true" ma:fieldsID="643792708f92146ec0415066a7c8fba3" ns2:_="">
    <xsd:import namespace="6440D957-E2FA-464C-99A8-B4579589DE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D957-E2FA-464C-99A8-B4579589DE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12C6-861A-4E95-A2F4-3117022F155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440D957-E2FA-464C-99A8-B4579589DEAF"/>
    <ds:schemaRef ds:uri="http://www.w3.org/XML/1998/namespace"/>
  </ds:schemaRefs>
</ds:datastoreItem>
</file>

<file path=customXml/itemProps2.xml><?xml version="1.0" encoding="utf-8"?>
<ds:datastoreItem xmlns:ds="http://schemas.openxmlformats.org/officeDocument/2006/customXml" ds:itemID="{79B1FA09-8015-474D-8A0A-9681561D6E70}">
  <ds:schemaRefs>
    <ds:schemaRef ds:uri="http://schemas.microsoft.com/sharepoint/v3/contenttype/forms"/>
  </ds:schemaRefs>
</ds:datastoreItem>
</file>

<file path=customXml/itemProps3.xml><?xml version="1.0" encoding="utf-8"?>
<ds:datastoreItem xmlns:ds="http://schemas.openxmlformats.org/officeDocument/2006/customXml" ds:itemID="{D9C6D58A-DFFB-489D-BCAA-4E34A150979D}">
  <ds:schemaRefs>
    <ds:schemaRef ds:uri="http://schemas.microsoft.com/office/2006/metadata/longProperties"/>
  </ds:schemaRefs>
</ds:datastoreItem>
</file>

<file path=customXml/itemProps4.xml><?xml version="1.0" encoding="utf-8"?>
<ds:datastoreItem xmlns:ds="http://schemas.openxmlformats.org/officeDocument/2006/customXml" ds:itemID="{3E3C6F22-70E3-49B4-8A96-F2D220506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D957-E2FA-464C-99A8-B4579589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46F201-FC98-4763-B81E-48C71944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9069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10639</CharactersWithSpaces>
  <SharedDoc>false</SharedDoc>
  <HLinks>
    <vt:vector size="30" baseType="variant">
      <vt:variant>
        <vt:i4>5046373</vt:i4>
      </vt:variant>
      <vt:variant>
        <vt:i4>12</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262234</vt:i4>
      </vt:variant>
      <vt:variant>
        <vt:i4>9</vt:i4>
      </vt:variant>
      <vt:variant>
        <vt:i4>0</vt:i4>
      </vt:variant>
      <vt:variant>
        <vt:i4>5</vt:i4>
      </vt:variant>
      <vt:variant>
        <vt:lpwstr>http://www.hearingservices.gov.au/wps/portal/hso/site/about/whoarewe/consultations/thematic_review_of_commonwealth_hearing_services_legislation_exposure_ draft_ consultation/!ut/p/a1/lVDLboMwEPyV5MAReU0IjyPKqyRVUJu0FC6WbZxgFTACE5q_L4mqqpemzZ52R7OzO4NS9IbSip7kkWqpKlpc5tQhm6epg0OwNt5rtIQg2L48rpe2BRGgGKUo5ZWudY6SvFUjriotKm1A3bFCcgNyVQoDKFPdAPa5oo3oB2DgtV2hr4daA3QuyqHnpBEnKXqiDoSrslRVL2ihc5IL2sjqSFrRnCQXLSnEUbbFdZ2Ij1q1XSPIKGvoQZPRT_HLgzWXGUoyH2PwMtcUPmOm7WNuMo5907EnDDLPdTIXBsfJ4Bh-qQD-FcgNCky_CDdOJMMPLrG8efDg2ziMFuECgtlqv155obWaT9HuTlO3Bfdwt-D6zxhmKH3GUbzrUTz_buuy9CZn8_2w3ZqUeecwGI8_AZnw1bw!/dl5/d5/L2dBISEvZ0FBIS9nQSEh/</vt:lpwstr>
      </vt:variant>
      <vt:variant>
        <vt:lpwstr/>
      </vt:variant>
      <vt:variant>
        <vt:i4>5046373</vt:i4>
      </vt:variant>
      <vt:variant>
        <vt:i4>6</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5046373</vt:i4>
      </vt:variant>
      <vt:variant>
        <vt:i4>3</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5046373</vt:i4>
      </vt:variant>
      <vt:variant>
        <vt:i4>0</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WHITCOMBE, Diane</cp:lastModifiedBy>
  <cp:revision>2</cp:revision>
  <cp:lastPrinted>2020-06-08T23:52:00Z</cp:lastPrinted>
  <dcterms:created xsi:type="dcterms:W3CDTF">2020-06-15T06:53:00Z</dcterms:created>
  <dcterms:modified xsi:type="dcterms:W3CDTF">2020-06-15T06:53:00Z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PublishingExpirationDate">
    <vt:lpwstr/>
  </property>
  <property fmtid="{D5CDD505-2E9C-101B-9397-08002B2CF9AE}" pid="10" name="PublishingStartDate">
    <vt:lpwstr/>
  </property>
  <property fmtid="{D5CDD505-2E9C-101B-9397-08002B2CF9AE}" pid="11" name="ObjectiveRef">
    <vt:lpwstr>Removed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ContentTypeId">
    <vt:lpwstr>0x010100266966F133664895A6EE3632470D45F500F51ACEB2B9F6A04288F37A857CC41924</vt:lpwstr>
  </property>
</Properties>
</file>