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750" w:rsidRPr="00A85F74" w:rsidRDefault="00DD4B6C" w:rsidP="00192E3F">
      <w:pPr>
        <w:pStyle w:val="NormalBold"/>
        <w:jc w:val="center"/>
        <w:rPr>
          <w:rFonts w:ascii="Times New Roman" w:hAnsi="Times New Roman" w:cs="Times New Roman"/>
          <w:szCs w:val="24"/>
        </w:rPr>
      </w:pPr>
      <w:bookmarkStart w:id="0" w:name="_GoBack"/>
      <w:bookmarkEnd w:id="0"/>
      <w:r w:rsidRPr="00A85F74">
        <w:rPr>
          <w:rFonts w:ascii="Times New Roman" w:hAnsi="Times New Roman" w:cs="Times New Roman"/>
          <w:szCs w:val="24"/>
        </w:rPr>
        <w:t>Explanatory Statement</w:t>
      </w:r>
    </w:p>
    <w:p w:rsidR="000F6AF9" w:rsidRPr="000F6AF9" w:rsidRDefault="000F6AF9" w:rsidP="00192E3F">
      <w:pPr>
        <w:jc w:val="center"/>
        <w:rPr>
          <w:rFonts w:ascii="Times New Roman" w:hAnsi="Times New Roman"/>
          <w:i/>
        </w:rPr>
      </w:pPr>
      <w:r w:rsidRPr="000F6AF9">
        <w:rPr>
          <w:rFonts w:ascii="Times New Roman" w:hAnsi="Times New Roman"/>
          <w:i/>
        </w:rPr>
        <w:t>Telecommunications Act 1997</w:t>
      </w:r>
    </w:p>
    <w:p w:rsidR="000F6AF9" w:rsidRDefault="00AD58C9" w:rsidP="00192E3F">
      <w:pPr>
        <w:jc w:val="center"/>
        <w:rPr>
          <w:rFonts w:ascii="Times New Roman" w:hAnsi="Times New Roman"/>
          <w:b/>
        </w:rPr>
      </w:pPr>
      <w:r w:rsidRPr="00AD58C9">
        <w:rPr>
          <w:rFonts w:ascii="Times New Roman" w:hAnsi="Times New Roman"/>
          <w:b/>
        </w:rPr>
        <w:t>Telecommunications (Carrier Licence Conditions) Amendment (Networks supplying Superfast Carriage Services to Residential Customers) Instrument 2020</w:t>
      </w:r>
    </w:p>
    <w:p w:rsidR="00800AF7" w:rsidRPr="00A85F74" w:rsidRDefault="00800AF7" w:rsidP="00800AF7">
      <w:pPr>
        <w:jc w:val="center"/>
        <w:rPr>
          <w:rFonts w:ascii="Times New Roman" w:hAnsi="Times New Roman"/>
        </w:rPr>
      </w:pPr>
      <w:r w:rsidRPr="00A85F74">
        <w:rPr>
          <w:rFonts w:ascii="Times New Roman" w:hAnsi="Times New Roman"/>
        </w:rPr>
        <w:t xml:space="preserve">Issued by the Authority of </w:t>
      </w:r>
      <w:r w:rsidRPr="000C77D6">
        <w:rPr>
          <w:rFonts w:ascii="Times New Roman" w:hAnsi="Times New Roman"/>
        </w:rPr>
        <w:t xml:space="preserve">the </w:t>
      </w:r>
      <w:r w:rsidRPr="00AD58C9">
        <w:rPr>
          <w:rFonts w:ascii="Times New Roman" w:hAnsi="Times New Roman"/>
        </w:rPr>
        <w:t>Minister for Communications, Cyber Safety and the Arts</w:t>
      </w:r>
      <w:r w:rsidRPr="00313DF5" w:rsidDel="00AD58C9">
        <w:rPr>
          <w:rFonts w:ascii="Times New Roman" w:hAnsi="Times New Roman"/>
        </w:rPr>
        <w:t xml:space="preserve"> </w:t>
      </w:r>
    </w:p>
    <w:p w:rsidR="00ED2856" w:rsidRDefault="00ED2856" w:rsidP="001F73A3">
      <w:pPr>
        <w:rPr>
          <w:rFonts w:ascii="Times New Roman" w:hAnsi="Times New Roman"/>
          <w:b/>
        </w:rPr>
      </w:pPr>
      <w:r>
        <w:rPr>
          <w:rFonts w:ascii="Times New Roman" w:hAnsi="Times New Roman"/>
          <w:b/>
        </w:rPr>
        <w:t>Authority</w:t>
      </w:r>
    </w:p>
    <w:p w:rsidR="00ED2856" w:rsidRPr="0034112F" w:rsidRDefault="00ED2856" w:rsidP="00091E73">
      <w:pPr>
        <w:spacing w:after="200"/>
        <w:rPr>
          <w:rFonts w:ascii="Times New Roman" w:hAnsi="Times New Roman"/>
        </w:rPr>
      </w:pPr>
      <w:r w:rsidRPr="00A85F74">
        <w:rPr>
          <w:rFonts w:ascii="Times New Roman" w:hAnsi="Times New Roman"/>
        </w:rPr>
        <w:t xml:space="preserve">The </w:t>
      </w:r>
      <w:r w:rsidR="00AD58C9" w:rsidRPr="00357EB4">
        <w:rPr>
          <w:rFonts w:ascii="Times New Roman" w:hAnsi="Times New Roman"/>
          <w:i/>
        </w:rPr>
        <w:t>Telecommunications (Carrier Licence Conditions) Amendment (Networks supplying Superfast Carriage Services to Residential Customers) Instrument 2020</w:t>
      </w:r>
      <w:r w:rsidRPr="00357EB4">
        <w:rPr>
          <w:rFonts w:ascii="Times New Roman" w:hAnsi="Times New Roman"/>
          <w:i/>
        </w:rPr>
        <w:t xml:space="preserve"> </w:t>
      </w:r>
      <w:r w:rsidRPr="000F6AF9">
        <w:rPr>
          <w:rFonts w:ascii="Times New Roman" w:hAnsi="Times New Roman"/>
        </w:rPr>
        <w:t>(</w:t>
      </w:r>
      <w:r>
        <w:rPr>
          <w:rFonts w:ascii="Times New Roman" w:hAnsi="Times New Roman"/>
        </w:rPr>
        <w:t>the A</w:t>
      </w:r>
      <w:r w:rsidRPr="000F6AF9">
        <w:rPr>
          <w:rFonts w:ascii="Times New Roman" w:hAnsi="Times New Roman"/>
        </w:rPr>
        <w:t>me</w:t>
      </w:r>
      <w:r>
        <w:rPr>
          <w:rFonts w:ascii="Times New Roman" w:hAnsi="Times New Roman"/>
        </w:rPr>
        <w:t xml:space="preserve">nding </w:t>
      </w:r>
      <w:r w:rsidR="00657FDD">
        <w:rPr>
          <w:rFonts w:ascii="Times New Roman" w:hAnsi="Times New Roman"/>
        </w:rPr>
        <w:t>Instrument</w:t>
      </w:r>
      <w:r w:rsidRPr="000F6AF9">
        <w:rPr>
          <w:rFonts w:ascii="Times New Roman" w:hAnsi="Times New Roman"/>
        </w:rPr>
        <w:t xml:space="preserve">) </w:t>
      </w:r>
      <w:r w:rsidRPr="00A85F74">
        <w:rPr>
          <w:rFonts w:ascii="Times New Roman" w:hAnsi="Times New Roman"/>
        </w:rPr>
        <w:t xml:space="preserve">is made by the </w:t>
      </w:r>
      <w:r w:rsidR="00AD58C9" w:rsidRPr="00AD58C9">
        <w:rPr>
          <w:rFonts w:ascii="Times New Roman" w:hAnsi="Times New Roman"/>
        </w:rPr>
        <w:t>Minister for Communications, Cyber Safety and the Arts</w:t>
      </w:r>
      <w:r w:rsidR="00AD58C9" w:rsidRPr="00A85F74" w:rsidDel="00AD58C9">
        <w:rPr>
          <w:rFonts w:ascii="Times New Roman" w:hAnsi="Times New Roman"/>
        </w:rPr>
        <w:t xml:space="preserve"> </w:t>
      </w:r>
      <w:r w:rsidR="00800AF7">
        <w:rPr>
          <w:rFonts w:ascii="Times New Roman" w:hAnsi="Times New Roman"/>
        </w:rPr>
        <w:t xml:space="preserve">(the Minister) </w:t>
      </w:r>
      <w:r w:rsidRPr="00A85F74">
        <w:rPr>
          <w:rFonts w:ascii="Times New Roman" w:hAnsi="Times New Roman"/>
        </w:rPr>
        <w:t xml:space="preserve">under </w:t>
      </w:r>
      <w:r>
        <w:rPr>
          <w:rFonts w:ascii="Times New Roman" w:hAnsi="Times New Roman"/>
        </w:rPr>
        <w:t>s</w:t>
      </w:r>
      <w:r w:rsidRPr="000F6AF9">
        <w:rPr>
          <w:rFonts w:ascii="Times New Roman" w:hAnsi="Times New Roman"/>
        </w:rPr>
        <w:t xml:space="preserve">ubsection 63(5) of the </w:t>
      </w:r>
      <w:r w:rsidRPr="0034112F">
        <w:rPr>
          <w:rFonts w:ascii="Times New Roman" w:hAnsi="Times New Roman"/>
          <w:i/>
        </w:rPr>
        <w:t>Telecommunications Act 1997</w:t>
      </w:r>
      <w:r>
        <w:rPr>
          <w:rFonts w:ascii="Times New Roman" w:hAnsi="Times New Roman"/>
        </w:rPr>
        <w:t xml:space="preserve"> (the </w:t>
      </w:r>
      <w:r w:rsidRPr="000F6AF9">
        <w:rPr>
          <w:rFonts w:ascii="Times New Roman" w:hAnsi="Times New Roman"/>
        </w:rPr>
        <w:t>Act</w:t>
      </w:r>
      <w:r>
        <w:rPr>
          <w:rFonts w:ascii="Times New Roman" w:hAnsi="Times New Roman"/>
        </w:rPr>
        <w:t>).</w:t>
      </w:r>
      <w:r w:rsidRPr="001F73A3">
        <w:rPr>
          <w:rFonts w:ascii="Times New Roman" w:hAnsi="Times New Roman"/>
        </w:rPr>
        <w:t xml:space="preserve"> </w:t>
      </w:r>
      <w:r>
        <w:rPr>
          <w:rFonts w:ascii="Times New Roman" w:hAnsi="Times New Roman"/>
        </w:rPr>
        <w:t xml:space="preserve">The Amending </w:t>
      </w:r>
      <w:r w:rsidR="00657FDD">
        <w:rPr>
          <w:rFonts w:ascii="Times New Roman" w:hAnsi="Times New Roman"/>
        </w:rPr>
        <w:t>Instrument</w:t>
      </w:r>
      <w:r>
        <w:rPr>
          <w:rFonts w:ascii="Times New Roman" w:hAnsi="Times New Roman"/>
        </w:rPr>
        <w:t xml:space="preserve"> </w:t>
      </w:r>
      <w:r w:rsidRPr="00A85F74">
        <w:rPr>
          <w:rFonts w:ascii="Times New Roman" w:hAnsi="Times New Roman"/>
        </w:rPr>
        <w:t xml:space="preserve">is a legislative instrument for the purposes of the </w:t>
      </w:r>
      <w:r w:rsidRPr="0034112F">
        <w:rPr>
          <w:rFonts w:ascii="Times New Roman" w:hAnsi="Times New Roman"/>
          <w:i/>
        </w:rPr>
        <w:t>Legislation Act 2003</w:t>
      </w:r>
      <w:r w:rsidRPr="0034112F">
        <w:rPr>
          <w:rFonts w:ascii="Times New Roman" w:hAnsi="Times New Roman"/>
        </w:rPr>
        <w:t xml:space="preserve"> </w:t>
      </w:r>
      <w:r w:rsidRPr="00313DF5">
        <w:rPr>
          <w:rFonts w:ascii="Times New Roman" w:hAnsi="Times New Roman"/>
        </w:rPr>
        <w:t>(</w:t>
      </w:r>
      <w:r w:rsidR="00B515C7">
        <w:rPr>
          <w:rFonts w:ascii="Times New Roman" w:hAnsi="Times New Roman"/>
        </w:rPr>
        <w:t>subsection 8(4</w:t>
      </w:r>
      <w:r w:rsidRPr="00313DF5" w:rsidDel="00FF0D32">
        <w:rPr>
          <w:rFonts w:ascii="Times New Roman" w:hAnsi="Times New Roman"/>
        </w:rPr>
        <w:t>)</w:t>
      </w:r>
      <w:r w:rsidRPr="00313DF5" w:rsidDel="00B515C7">
        <w:rPr>
          <w:rFonts w:ascii="Times New Roman" w:hAnsi="Times New Roman"/>
        </w:rPr>
        <w:t>)</w:t>
      </w:r>
      <w:r w:rsidRPr="00313DF5">
        <w:rPr>
          <w:rFonts w:ascii="Times New Roman" w:hAnsi="Times New Roman"/>
        </w:rPr>
        <w:t>.</w:t>
      </w:r>
    </w:p>
    <w:p w:rsidR="001F73A3" w:rsidRPr="003B185C" w:rsidRDefault="001F73A3" w:rsidP="001F73A3">
      <w:pPr>
        <w:rPr>
          <w:rFonts w:ascii="Times New Roman" w:hAnsi="Times New Roman"/>
          <w:b/>
        </w:rPr>
      </w:pPr>
      <w:r w:rsidRPr="003B185C">
        <w:rPr>
          <w:rFonts w:ascii="Times New Roman" w:hAnsi="Times New Roman"/>
          <w:b/>
        </w:rPr>
        <w:t>Purpose</w:t>
      </w:r>
    </w:p>
    <w:p w:rsidR="00466343" w:rsidRDefault="0034112F" w:rsidP="00E208A0">
      <w:pPr>
        <w:rPr>
          <w:rFonts w:ascii="Times New Roman" w:hAnsi="Times New Roman"/>
        </w:rPr>
      </w:pPr>
      <w:r w:rsidRPr="003B185C">
        <w:rPr>
          <w:rFonts w:ascii="Times New Roman" w:hAnsi="Times New Roman"/>
        </w:rPr>
        <w:t xml:space="preserve">The </w:t>
      </w:r>
      <w:r w:rsidR="008A4120">
        <w:rPr>
          <w:rFonts w:ascii="Times New Roman" w:hAnsi="Times New Roman"/>
        </w:rPr>
        <w:t xml:space="preserve">purpose of the </w:t>
      </w:r>
      <w:r w:rsidRPr="003B185C">
        <w:rPr>
          <w:rFonts w:ascii="Times New Roman" w:hAnsi="Times New Roman"/>
        </w:rPr>
        <w:t xml:space="preserve">Amending </w:t>
      </w:r>
      <w:r w:rsidR="00657FDD">
        <w:rPr>
          <w:rFonts w:ascii="Times New Roman" w:hAnsi="Times New Roman"/>
        </w:rPr>
        <w:t>Instrument</w:t>
      </w:r>
      <w:r w:rsidRPr="003B185C">
        <w:rPr>
          <w:rFonts w:ascii="Times New Roman" w:hAnsi="Times New Roman"/>
        </w:rPr>
        <w:t xml:space="preserve"> </w:t>
      </w:r>
      <w:r w:rsidR="008A4120">
        <w:rPr>
          <w:rFonts w:ascii="Times New Roman" w:hAnsi="Times New Roman"/>
        </w:rPr>
        <w:t xml:space="preserve">is to </w:t>
      </w:r>
      <w:r w:rsidR="00DC2EB5" w:rsidRPr="00313DF5">
        <w:rPr>
          <w:rFonts w:ascii="Times New Roman" w:hAnsi="Times New Roman"/>
        </w:rPr>
        <w:t>preserve the operation</w:t>
      </w:r>
      <w:r w:rsidDel="00DC2EB5">
        <w:rPr>
          <w:rFonts w:ascii="Times New Roman" w:hAnsi="Times New Roman"/>
        </w:rPr>
        <w:t xml:space="preserve"> </w:t>
      </w:r>
      <w:r>
        <w:rPr>
          <w:rFonts w:ascii="Times New Roman" w:hAnsi="Times New Roman"/>
        </w:rPr>
        <w:t xml:space="preserve">of the </w:t>
      </w:r>
      <w:r w:rsidRPr="0034112F">
        <w:rPr>
          <w:rFonts w:ascii="Times New Roman" w:hAnsi="Times New Roman"/>
          <w:i/>
        </w:rPr>
        <w:t xml:space="preserve">Carrier Licence Conditions (Networks supplying Superfast Carriage Services to Residential Customers) Declaration 2014 </w:t>
      </w:r>
      <w:r w:rsidR="008A4120">
        <w:rPr>
          <w:rFonts w:ascii="Times New Roman" w:hAnsi="Times New Roman"/>
        </w:rPr>
        <w:t xml:space="preserve">as currently in force </w:t>
      </w:r>
      <w:r w:rsidRPr="00593078">
        <w:rPr>
          <w:rFonts w:ascii="Times New Roman" w:hAnsi="Times New Roman"/>
        </w:rPr>
        <w:t>(the Declaration)</w:t>
      </w:r>
      <w:r w:rsidR="00DC2EB5">
        <w:rPr>
          <w:rFonts w:ascii="Times New Roman" w:hAnsi="Times New Roman"/>
        </w:rPr>
        <w:t xml:space="preserve"> consistent with the </w:t>
      </w:r>
      <w:r w:rsidR="00DC2EB5" w:rsidRPr="00DC2EB5">
        <w:rPr>
          <w:rFonts w:ascii="Times New Roman" w:hAnsi="Times New Roman"/>
        </w:rPr>
        <w:t xml:space="preserve">arrangements </w:t>
      </w:r>
      <w:r w:rsidR="00DC2EB5">
        <w:rPr>
          <w:rFonts w:ascii="Times New Roman" w:hAnsi="Times New Roman"/>
        </w:rPr>
        <w:t xml:space="preserve">for the Declaration under Schedule 2 to the </w:t>
      </w:r>
      <w:r w:rsidR="00DC2EB5" w:rsidRPr="00DC2EB5">
        <w:rPr>
          <w:rFonts w:ascii="Times New Roman" w:hAnsi="Times New Roman"/>
          <w:i/>
        </w:rPr>
        <w:t>Telecommunications Legislation Amendment (Competition and Consumer) Act 2020</w:t>
      </w:r>
      <w:r w:rsidR="00644AB5">
        <w:rPr>
          <w:rFonts w:ascii="Times New Roman" w:hAnsi="Times New Roman"/>
          <w:i/>
        </w:rPr>
        <w:t xml:space="preserve"> </w:t>
      </w:r>
      <w:r w:rsidR="00644AB5" w:rsidRPr="00313DF5">
        <w:rPr>
          <w:rFonts w:ascii="Times New Roman" w:hAnsi="Times New Roman"/>
        </w:rPr>
        <w:t>(</w:t>
      </w:r>
      <w:r w:rsidR="00F27EE1">
        <w:rPr>
          <w:rFonts w:ascii="Times New Roman" w:hAnsi="Times New Roman"/>
        </w:rPr>
        <w:t xml:space="preserve">the </w:t>
      </w:r>
      <w:r w:rsidR="00644AB5" w:rsidRPr="00313DF5">
        <w:rPr>
          <w:rFonts w:ascii="Times New Roman" w:hAnsi="Times New Roman"/>
        </w:rPr>
        <w:t>TLA Ac</w:t>
      </w:r>
      <w:r w:rsidR="00644AB5">
        <w:rPr>
          <w:rFonts w:ascii="Times New Roman" w:hAnsi="Times New Roman"/>
        </w:rPr>
        <w:t>t</w:t>
      </w:r>
      <w:r w:rsidR="00644AB5" w:rsidRPr="00313DF5">
        <w:rPr>
          <w:rFonts w:ascii="Times New Roman" w:hAnsi="Times New Roman"/>
        </w:rPr>
        <w:t>)</w:t>
      </w:r>
      <w:r w:rsidR="00DC2EB5">
        <w:rPr>
          <w:rFonts w:ascii="Times New Roman" w:hAnsi="Times New Roman"/>
        </w:rPr>
        <w:t xml:space="preserve">, which included an amendment to </w:t>
      </w:r>
      <w:r w:rsidR="00DC2EB5" w:rsidRPr="00DC2EB5">
        <w:rPr>
          <w:rFonts w:ascii="Times New Roman" w:hAnsi="Times New Roman"/>
        </w:rPr>
        <w:t>section</w:t>
      </w:r>
      <w:r w:rsidR="00017D44">
        <w:rPr>
          <w:rFonts w:ascii="Times New Roman" w:hAnsi="Times New Roman"/>
        </w:rPr>
        <w:t> </w:t>
      </w:r>
      <w:r w:rsidR="00DC2EB5" w:rsidRPr="00DC2EB5">
        <w:rPr>
          <w:rFonts w:ascii="Times New Roman" w:hAnsi="Times New Roman"/>
        </w:rPr>
        <w:t xml:space="preserve">12 of the </w:t>
      </w:r>
      <w:r w:rsidR="00DC2EB5" w:rsidRPr="00313DF5">
        <w:rPr>
          <w:rFonts w:ascii="Times New Roman" w:hAnsi="Times New Roman"/>
          <w:i/>
        </w:rPr>
        <w:t>Legislation (Exemption and Other Matters) Regulation 2015</w:t>
      </w:r>
      <w:r w:rsidR="00DC2EB5">
        <w:rPr>
          <w:rFonts w:ascii="Times New Roman" w:hAnsi="Times New Roman"/>
        </w:rPr>
        <w:t xml:space="preserve">, exempting </w:t>
      </w:r>
      <w:r w:rsidR="00DC2EB5" w:rsidDel="000F731F">
        <w:rPr>
          <w:rFonts w:ascii="Times New Roman" w:hAnsi="Times New Roman"/>
        </w:rPr>
        <w:t xml:space="preserve">the </w:t>
      </w:r>
      <w:r w:rsidR="000F731F" w:rsidRPr="00DC2EB5">
        <w:rPr>
          <w:rFonts w:ascii="Times New Roman" w:hAnsi="Times New Roman"/>
        </w:rPr>
        <w:t>Decla</w:t>
      </w:r>
      <w:r w:rsidR="000F731F">
        <w:rPr>
          <w:rFonts w:ascii="Times New Roman" w:hAnsi="Times New Roman"/>
        </w:rPr>
        <w:t>ration</w:t>
      </w:r>
      <w:r w:rsidR="00DC2EB5">
        <w:rPr>
          <w:rFonts w:ascii="Times New Roman" w:hAnsi="Times New Roman"/>
        </w:rPr>
        <w:t xml:space="preserve"> from automatic </w:t>
      </w:r>
      <w:proofErr w:type="spellStart"/>
      <w:r w:rsidR="00DC2EB5">
        <w:rPr>
          <w:rFonts w:ascii="Times New Roman" w:hAnsi="Times New Roman"/>
        </w:rPr>
        <w:t>sunsetting</w:t>
      </w:r>
      <w:proofErr w:type="spellEnd"/>
      <w:r w:rsidR="00DC2EB5">
        <w:rPr>
          <w:rFonts w:ascii="Times New Roman" w:hAnsi="Times New Roman"/>
        </w:rPr>
        <w:t>.</w:t>
      </w:r>
    </w:p>
    <w:p w:rsidR="002F1A50" w:rsidRPr="003B185C" w:rsidRDefault="002F1A50" w:rsidP="002F1A50">
      <w:pPr>
        <w:spacing w:after="200"/>
        <w:rPr>
          <w:rFonts w:ascii="Times New Roman" w:hAnsi="Times New Roman"/>
        </w:rPr>
      </w:pPr>
      <w:r w:rsidRPr="003B185C">
        <w:rPr>
          <w:rFonts w:ascii="Times New Roman" w:hAnsi="Times New Roman"/>
        </w:rPr>
        <w:t xml:space="preserve">Details of the accompanying Amending </w:t>
      </w:r>
      <w:r w:rsidR="00657FDD">
        <w:rPr>
          <w:rFonts w:ascii="Times New Roman" w:hAnsi="Times New Roman"/>
        </w:rPr>
        <w:t>Instrument</w:t>
      </w:r>
      <w:r w:rsidRPr="003B185C">
        <w:rPr>
          <w:rFonts w:ascii="Times New Roman" w:hAnsi="Times New Roman"/>
        </w:rPr>
        <w:t xml:space="preserve"> are set out in </w:t>
      </w:r>
      <w:r w:rsidRPr="000B7542">
        <w:rPr>
          <w:rFonts w:ascii="Times New Roman" w:hAnsi="Times New Roman"/>
          <w:color w:val="000000"/>
          <w:u w:val="single"/>
        </w:rPr>
        <w:t>Attachment A</w:t>
      </w:r>
      <w:r w:rsidRPr="0034112F">
        <w:rPr>
          <w:rFonts w:ascii="Times New Roman" w:hAnsi="Times New Roman"/>
        </w:rPr>
        <w:t>.</w:t>
      </w:r>
    </w:p>
    <w:p w:rsidR="00E00750" w:rsidRPr="003B185C" w:rsidRDefault="00E00750" w:rsidP="00192E3F">
      <w:pPr>
        <w:tabs>
          <w:tab w:val="left" w:pos="2448"/>
        </w:tabs>
        <w:rPr>
          <w:rFonts w:ascii="Times New Roman" w:hAnsi="Times New Roman"/>
          <w:b/>
        </w:rPr>
      </w:pPr>
      <w:r w:rsidRPr="003B185C">
        <w:rPr>
          <w:rFonts w:ascii="Times New Roman" w:hAnsi="Times New Roman"/>
          <w:b/>
        </w:rPr>
        <w:t>Background</w:t>
      </w:r>
      <w:r w:rsidR="00BD175A">
        <w:rPr>
          <w:rFonts w:ascii="Times New Roman" w:hAnsi="Times New Roman"/>
          <w:b/>
        </w:rPr>
        <w:tab/>
      </w:r>
    </w:p>
    <w:p w:rsidR="00C87C17" w:rsidRDefault="00AD03A9" w:rsidP="00AE79FE">
      <w:pPr>
        <w:spacing w:after="200"/>
        <w:rPr>
          <w:rFonts w:ascii="Times New Roman" w:hAnsi="Times New Roman"/>
        </w:rPr>
      </w:pPr>
      <w:r>
        <w:rPr>
          <w:rFonts w:ascii="Times New Roman" w:hAnsi="Times New Roman"/>
        </w:rPr>
        <w:t xml:space="preserve">On </w:t>
      </w:r>
      <w:r w:rsidR="007D2C33">
        <w:rPr>
          <w:rFonts w:ascii="Times New Roman" w:hAnsi="Times New Roman"/>
        </w:rPr>
        <w:t xml:space="preserve">14 </w:t>
      </w:r>
      <w:r>
        <w:rPr>
          <w:rFonts w:ascii="Times New Roman" w:hAnsi="Times New Roman"/>
        </w:rPr>
        <w:t xml:space="preserve">December 2014, the </w:t>
      </w:r>
      <w:r w:rsidR="006F5E91">
        <w:rPr>
          <w:rFonts w:ascii="Times New Roman" w:hAnsi="Times New Roman"/>
        </w:rPr>
        <w:t xml:space="preserve">then </w:t>
      </w:r>
      <w:r>
        <w:rPr>
          <w:rFonts w:ascii="Times New Roman" w:hAnsi="Times New Roman"/>
        </w:rPr>
        <w:t xml:space="preserve">Minister for Communications </w:t>
      </w:r>
      <w:r w:rsidR="006F5E91">
        <w:rPr>
          <w:rFonts w:ascii="Times New Roman" w:hAnsi="Times New Roman"/>
        </w:rPr>
        <w:t>m</w:t>
      </w:r>
      <w:r>
        <w:rPr>
          <w:rFonts w:ascii="Times New Roman" w:hAnsi="Times New Roman"/>
        </w:rPr>
        <w:t xml:space="preserve">ade the </w:t>
      </w:r>
      <w:r w:rsidR="000F51C5">
        <w:rPr>
          <w:rFonts w:ascii="Times New Roman" w:hAnsi="Times New Roman"/>
        </w:rPr>
        <w:t xml:space="preserve">Declaration to </w:t>
      </w:r>
      <w:r>
        <w:rPr>
          <w:rFonts w:ascii="Times New Roman" w:hAnsi="Times New Roman"/>
        </w:rPr>
        <w:t xml:space="preserve">impose functional separation and wholesale supply obligations on carriers </w:t>
      </w:r>
      <w:r w:rsidR="001F5A6D">
        <w:rPr>
          <w:rFonts w:ascii="Times New Roman" w:hAnsi="Times New Roman"/>
        </w:rPr>
        <w:t>that</w:t>
      </w:r>
      <w:r>
        <w:rPr>
          <w:rFonts w:ascii="Times New Roman" w:hAnsi="Times New Roman"/>
        </w:rPr>
        <w:t xml:space="preserve"> extend</w:t>
      </w:r>
      <w:r w:rsidR="001F5A6D">
        <w:rPr>
          <w:rFonts w:ascii="Times New Roman" w:hAnsi="Times New Roman"/>
        </w:rPr>
        <w:t>ed</w:t>
      </w:r>
      <w:r>
        <w:rPr>
          <w:rFonts w:ascii="Times New Roman" w:hAnsi="Times New Roman"/>
        </w:rPr>
        <w:t xml:space="preserve"> existing </w:t>
      </w:r>
      <w:r w:rsidR="00695DF1">
        <w:rPr>
          <w:rFonts w:ascii="Times New Roman" w:hAnsi="Times New Roman"/>
        </w:rPr>
        <w:t xml:space="preserve">fixed-line </w:t>
      </w:r>
      <w:r>
        <w:rPr>
          <w:rFonts w:ascii="Times New Roman" w:hAnsi="Times New Roman"/>
        </w:rPr>
        <w:t xml:space="preserve">networks to supply superfast carriage services to residential customers, but were not subject to similar obligations in </w:t>
      </w:r>
      <w:r w:rsidR="00AF72F4">
        <w:rPr>
          <w:rFonts w:ascii="Times New Roman" w:hAnsi="Times New Roman"/>
        </w:rPr>
        <w:t xml:space="preserve">Parts 7 and 8 of </w:t>
      </w:r>
      <w:r>
        <w:rPr>
          <w:rFonts w:ascii="Times New Roman" w:hAnsi="Times New Roman"/>
        </w:rPr>
        <w:t xml:space="preserve">the </w:t>
      </w:r>
      <w:r w:rsidRPr="000F51C5">
        <w:rPr>
          <w:rFonts w:ascii="Times New Roman" w:hAnsi="Times New Roman"/>
          <w:i/>
        </w:rPr>
        <w:t>Telecommunications Act 1997</w:t>
      </w:r>
      <w:r>
        <w:rPr>
          <w:rFonts w:ascii="Times New Roman" w:hAnsi="Times New Roman"/>
        </w:rPr>
        <w:t xml:space="preserve">. </w:t>
      </w:r>
    </w:p>
    <w:p w:rsidR="00E61069" w:rsidRDefault="00E10784" w:rsidP="00AE79FE">
      <w:pPr>
        <w:spacing w:after="200"/>
        <w:rPr>
          <w:rFonts w:ascii="Times New Roman" w:hAnsi="Times New Roman"/>
        </w:rPr>
      </w:pPr>
      <w:r>
        <w:rPr>
          <w:rFonts w:ascii="Times New Roman" w:hAnsi="Times New Roman"/>
        </w:rPr>
        <w:t>The Declaration close</w:t>
      </w:r>
      <w:r w:rsidR="00BD7278">
        <w:rPr>
          <w:rFonts w:ascii="Times New Roman" w:hAnsi="Times New Roman"/>
        </w:rPr>
        <w:t>d</w:t>
      </w:r>
      <w:r>
        <w:rPr>
          <w:rFonts w:ascii="Times New Roman" w:hAnsi="Times New Roman"/>
        </w:rPr>
        <w:t xml:space="preserve"> a loophole that allowed carriers to use </w:t>
      </w:r>
      <w:r w:rsidRPr="00E10784">
        <w:rPr>
          <w:rFonts w:ascii="Times New Roman" w:hAnsi="Times New Roman"/>
        </w:rPr>
        <w:t xml:space="preserve">an exemption </w:t>
      </w:r>
      <w:r>
        <w:rPr>
          <w:rFonts w:ascii="Times New Roman" w:hAnsi="Times New Roman"/>
        </w:rPr>
        <w:t xml:space="preserve">in the Act </w:t>
      </w:r>
      <w:r w:rsidRPr="00E10784">
        <w:rPr>
          <w:rFonts w:ascii="Times New Roman" w:hAnsi="Times New Roman"/>
        </w:rPr>
        <w:t>to extend</w:t>
      </w:r>
      <w:r w:rsidR="00B16135">
        <w:rPr>
          <w:rFonts w:ascii="Times New Roman" w:hAnsi="Times New Roman"/>
        </w:rPr>
        <w:t xml:space="preserve"> business</w:t>
      </w:r>
      <w:r w:rsidRPr="00E10784">
        <w:rPr>
          <w:rFonts w:ascii="Times New Roman" w:hAnsi="Times New Roman"/>
        </w:rPr>
        <w:t xml:space="preserve"> networks by up to </w:t>
      </w:r>
      <w:r w:rsidR="00692D2B">
        <w:rPr>
          <w:rFonts w:ascii="Times New Roman" w:hAnsi="Times New Roman"/>
        </w:rPr>
        <w:t>one kilometre</w:t>
      </w:r>
      <w:r w:rsidR="00B16135">
        <w:rPr>
          <w:rFonts w:ascii="Times New Roman" w:hAnsi="Times New Roman"/>
        </w:rPr>
        <w:t xml:space="preserve"> into residential areas (particularly to multi</w:t>
      </w:r>
      <w:r w:rsidR="00657FDD">
        <w:rPr>
          <w:rFonts w:ascii="Times New Roman" w:hAnsi="Times New Roman"/>
        </w:rPr>
        <w:noBreakHyphen/>
      </w:r>
      <w:r w:rsidR="00B16135">
        <w:rPr>
          <w:rFonts w:ascii="Times New Roman" w:hAnsi="Times New Roman"/>
        </w:rPr>
        <w:t>dwelling units) and offer vertically integrated services</w:t>
      </w:r>
      <w:r w:rsidR="00B16135" w:rsidRPr="00E10784">
        <w:rPr>
          <w:rFonts w:ascii="Times New Roman" w:hAnsi="Times New Roman"/>
        </w:rPr>
        <w:t>.</w:t>
      </w:r>
      <w:r w:rsidR="00B16135">
        <w:rPr>
          <w:rFonts w:ascii="Times New Roman" w:hAnsi="Times New Roman"/>
        </w:rPr>
        <w:t xml:space="preserve"> </w:t>
      </w:r>
      <w:r w:rsidR="00B16135" w:rsidRPr="007C47EA">
        <w:rPr>
          <w:rFonts w:ascii="Times New Roman" w:hAnsi="Times New Roman"/>
        </w:rPr>
        <w:t>The</w:t>
      </w:r>
      <w:r w:rsidR="00B16135">
        <w:rPr>
          <w:rFonts w:ascii="Times New Roman" w:hAnsi="Times New Roman"/>
        </w:rPr>
        <w:t> </w:t>
      </w:r>
      <w:r w:rsidR="00B16135" w:rsidRPr="007C47EA">
        <w:rPr>
          <w:rFonts w:ascii="Times New Roman" w:hAnsi="Times New Roman"/>
        </w:rPr>
        <w:t>Declaration</w:t>
      </w:r>
      <w:r w:rsidR="008A4120">
        <w:rPr>
          <w:rFonts w:ascii="Times New Roman" w:hAnsi="Times New Roman"/>
        </w:rPr>
        <w:t xml:space="preserve"> </w:t>
      </w:r>
      <w:r w:rsidR="00AD03A9">
        <w:rPr>
          <w:rFonts w:ascii="Times New Roman" w:hAnsi="Times New Roman"/>
        </w:rPr>
        <w:t xml:space="preserve">addressed concerns that vertically integrated networks could create local access bottlenecks that impede effective retail competition and that such operations </w:t>
      </w:r>
      <w:r w:rsidR="004A1FAB">
        <w:rPr>
          <w:rFonts w:ascii="Times New Roman" w:hAnsi="Times New Roman"/>
        </w:rPr>
        <w:t xml:space="preserve">therefore have an unfair </w:t>
      </w:r>
      <w:r w:rsidR="00AD03A9">
        <w:rPr>
          <w:rFonts w:ascii="Times New Roman" w:hAnsi="Times New Roman"/>
        </w:rPr>
        <w:t xml:space="preserve">competitive advantage </w:t>
      </w:r>
      <w:r w:rsidR="004A1FAB">
        <w:rPr>
          <w:rFonts w:ascii="Times New Roman" w:hAnsi="Times New Roman"/>
        </w:rPr>
        <w:t>over</w:t>
      </w:r>
      <w:r w:rsidR="00AD03A9">
        <w:rPr>
          <w:rFonts w:ascii="Times New Roman" w:hAnsi="Times New Roman"/>
        </w:rPr>
        <w:t xml:space="preserve"> other networks </w:t>
      </w:r>
      <w:r w:rsidR="004B5474">
        <w:rPr>
          <w:rFonts w:ascii="Times New Roman" w:hAnsi="Times New Roman"/>
        </w:rPr>
        <w:t xml:space="preserve">that </w:t>
      </w:r>
      <w:r w:rsidR="004A1FAB">
        <w:rPr>
          <w:rFonts w:ascii="Times New Roman" w:hAnsi="Times New Roman"/>
        </w:rPr>
        <w:t xml:space="preserve">are </w:t>
      </w:r>
      <w:r w:rsidR="00AD03A9">
        <w:rPr>
          <w:rFonts w:ascii="Times New Roman" w:hAnsi="Times New Roman"/>
        </w:rPr>
        <w:t xml:space="preserve">subject to </w:t>
      </w:r>
      <w:r w:rsidR="004A1FAB">
        <w:rPr>
          <w:rFonts w:ascii="Times New Roman" w:hAnsi="Times New Roman"/>
        </w:rPr>
        <w:t>the rules in</w:t>
      </w:r>
      <w:r w:rsidR="00AF72F4">
        <w:rPr>
          <w:rFonts w:ascii="Times New Roman" w:hAnsi="Times New Roman"/>
        </w:rPr>
        <w:t xml:space="preserve"> </w:t>
      </w:r>
      <w:r w:rsidR="004A1FAB">
        <w:rPr>
          <w:rFonts w:ascii="Times New Roman" w:hAnsi="Times New Roman"/>
        </w:rPr>
        <w:t>the</w:t>
      </w:r>
      <w:r w:rsidR="00DD5F45">
        <w:rPr>
          <w:rFonts w:ascii="Times New Roman" w:hAnsi="Times New Roman"/>
        </w:rPr>
        <w:t xml:space="preserve"> </w:t>
      </w:r>
      <w:r w:rsidR="004A1FAB" w:rsidRPr="005534C1">
        <w:rPr>
          <w:rFonts w:ascii="Times New Roman" w:hAnsi="Times New Roman"/>
        </w:rPr>
        <w:t>Act</w:t>
      </w:r>
      <w:r w:rsidR="00AD03A9" w:rsidRPr="005534C1">
        <w:rPr>
          <w:rFonts w:ascii="Times New Roman" w:hAnsi="Times New Roman"/>
        </w:rPr>
        <w:t>.</w:t>
      </w:r>
      <w:r w:rsidR="00AD03A9">
        <w:rPr>
          <w:rFonts w:ascii="Times New Roman" w:hAnsi="Times New Roman"/>
        </w:rPr>
        <w:t xml:space="preserve"> </w:t>
      </w:r>
    </w:p>
    <w:p w:rsidR="00DD1CD9" w:rsidRDefault="00CF41C7" w:rsidP="004F615E">
      <w:pPr>
        <w:spacing w:after="200"/>
        <w:rPr>
          <w:rFonts w:ascii="Times New Roman" w:hAnsi="Times New Roman"/>
        </w:rPr>
      </w:pPr>
      <w:r>
        <w:rPr>
          <w:rFonts w:ascii="Times New Roman" w:hAnsi="Times New Roman"/>
        </w:rPr>
        <w:t>T</w:t>
      </w:r>
      <w:r w:rsidRPr="00ED2856">
        <w:rPr>
          <w:rFonts w:ascii="Times New Roman" w:hAnsi="Times New Roman"/>
        </w:rPr>
        <w:t xml:space="preserve">he </w:t>
      </w:r>
      <w:r>
        <w:rPr>
          <w:rFonts w:ascii="Times New Roman" w:hAnsi="Times New Roman"/>
        </w:rPr>
        <w:t xml:space="preserve">Amending </w:t>
      </w:r>
      <w:r w:rsidR="00657FDD">
        <w:rPr>
          <w:rFonts w:ascii="Times New Roman" w:hAnsi="Times New Roman"/>
        </w:rPr>
        <w:t>Instrument</w:t>
      </w:r>
      <w:r w:rsidDel="00222B8E">
        <w:rPr>
          <w:rFonts w:ascii="Times New Roman" w:hAnsi="Times New Roman"/>
        </w:rPr>
        <w:t xml:space="preserve"> </w:t>
      </w:r>
      <w:r>
        <w:rPr>
          <w:rFonts w:ascii="Times New Roman" w:hAnsi="Times New Roman"/>
        </w:rPr>
        <w:t>remove</w:t>
      </w:r>
      <w:r w:rsidR="00222B8E">
        <w:rPr>
          <w:rFonts w:ascii="Times New Roman" w:hAnsi="Times New Roman"/>
        </w:rPr>
        <w:t>s</w:t>
      </w:r>
      <w:r>
        <w:rPr>
          <w:rFonts w:ascii="Times New Roman" w:hAnsi="Times New Roman"/>
        </w:rPr>
        <w:t xml:space="preserve"> the expiry date of the Declaration. </w:t>
      </w:r>
      <w:r w:rsidR="00C64A4A">
        <w:rPr>
          <w:rFonts w:ascii="Times New Roman" w:hAnsi="Times New Roman"/>
        </w:rPr>
        <w:t xml:space="preserve">This will prevent the Declaration from lapsing before </w:t>
      </w:r>
      <w:r w:rsidR="00644AB5">
        <w:rPr>
          <w:rFonts w:ascii="Times New Roman" w:hAnsi="Times New Roman"/>
        </w:rPr>
        <w:t xml:space="preserve">the </w:t>
      </w:r>
      <w:r w:rsidR="00C64A4A">
        <w:rPr>
          <w:rFonts w:ascii="Times New Roman" w:hAnsi="Times New Roman"/>
        </w:rPr>
        <w:t>new ar</w:t>
      </w:r>
      <w:r w:rsidR="006A13B3">
        <w:rPr>
          <w:rFonts w:ascii="Times New Roman" w:hAnsi="Times New Roman"/>
        </w:rPr>
        <w:t>rangements in Schedule 2 of the TLA Act</w:t>
      </w:r>
      <w:r w:rsidR="00644AB5">
        <w:rPr>
          <w:rFonts w:ascii="Times New Roman" w:hAnsi="Times New Roman"/>
        </w:rPr>
        <w:t xml:space="preserve"> directed at preserving the operation of the Declaration</w:t>
      </w:r>
      <w:r w:rsidR="00C64A4A">
        <w:rPr>
          <w:rFonts w:ascii="Times New Roman" w:hAnsi="Times New Roman"/>
        </w:rPr>
        <w:t>, commence on 26 August 2020</w:t>
      </w:r>
      <w:r w:rsidR="00C64A4A" w:rsidRPr="007D317C">
        <w:rPr>
          <w:rFonts w:ascii="Times New Roman" w:hAnsi="Times New Roman"/>
        </w:rPr>
        <w:t>.</w:t>
      </w:r>
      <w:r w:rsidR="00DD1CD9">
        <w:rPr>
          <w:rFonts w:ascii="Times New Roman" w:hAnsi="Times New Roman"/>
        </w:rPr>
        <w:t xml:space="preserve"> </w:t>
      </w:r>
    </w:p>
    <w:p w:rsidR="008A2C7A" w:rsidRDefault="00C64A4A" w:rsidP="004F615E">
      <w:pPr>
        <w:spacing w:after="200"/>
        <w:rPr>
          <w:rFonts w:ascii="Times New Roman" w:hAnsi="Times New Roman"/>
        </w:rPr>
      </w:pPr>
      <w:r>
        <w:rPr>
          <w:rFonts w:ascii="Times New Roman" w:hAnsi="Times New Roman"/>
        </w:rPr>
        <w:t xml:space="preserve">In addition, the Amending </w:t>
      </w:r>
      <w:r w:rsidR="00657FDD">
        <w:rPr>
          <w:rFonts w:ascii="Times New Roman" w:hAnsi="Times New Roman"/>
        </w:rPr>
        <w:t>Instrument</w:t>
      </w:r>
      <w:r w:rsidDel="00222B8E">
        <w:rPr>
          <w:rFonts w:ascii="Times New Roman" w:hAnsi="Times New Roman"/>
        </w:rPr>
        <w:t xml:space="preserve"> </w:t>
      </w:r>
      <w:r>
        <w:rPr>
          <w:rFonts w:ascii="Times New Roman" w:hAnsi="Times New Roman"/>
        </w:rPr>
        <w:t>remove</w:t>
      </w:r>
      <w:r w:rsidR="00222B8E">
        <w:rPr>
          <w:rFonts w:ascii="Times New Roman" w:hAnsi="Times New Roman"/>
        </w:rPr>
        <w:t>s</w:t>
      </w:r>
      <w:r>
        <w:rPr>
          <w:rFonts w:ascii="Times New Roman" w:hAnsi="Times New Roman"/>
        </w:rPr>
        <w:t xml:space="preserve"> the expiry date for the </w:t>
      </w:r>
      <w:r w:rsidRPr="00CC1787">
        <w:rPr>
          <w:rFonts w:ascii="Times New Roman" w:hAnsi="Times New Roman"/>
        </w:rPr>
        <w:t xml:space="preserve">functional separation and wholesale supply obligations </w:t>
      </w:r>
      <w:r>
        <w:rPr>
          <w:rFonts w:ascii="Times New Roman" w:hAnsi="Times New Roman"/>
        </w:rPr>
        <w:t xml:space="preserve">in the Declaration to provide for their ongoing operation. The TLA Act will also amend the application of the Declaration so that it applies </w:t>
      </w:r>
      <w:r w:rsidRPr="00AE79FE">
        <w:rPr>
          <w:rFonts w:ascii="Times New Roman" w:hAnsi="Times New Roman"/>
        </w:rPr>
        <w:t xml:space="preserve">indefinitely to </w:t>
      </w:r>
      <w:r>
        <w:rPr>
          <w:rFonts w:ascii="Times New Roman" w:hAnsi="Times New Roman"/>
        </w:rPr>
        <w:t xml:space="preserve">applicable </w:t>
      </w:r>
      <w:r w:rsidRPr="00AE79FE">
        <w:rPr>
          <w:rFonts w:ascii="Times New Roman" w:hAnsi="Times New Roman"/>
        </w:rPr>
        <w:t>networks rolled out between 1</w:t>
      </w:r>
      <w:r>
        <w:rPr>
          <w:rFonts w:ascii="Times New Roman" w:hAnsi="Times New Roman"/>
        </w:rPr>
        <w:t> </w:t>
      </w:r>
      <w:r w:rsidRPr="00AE79FE">
        <w:rPr>
          <w:rFonts w:ascii="Times New Roman" w:hAnsi="Times New Roman"/>
        </w:rPr>
        <w:t xml:space="preserve">January 2015 and </w:t>
      </w:r>
      <w:r>
        <w:rPr>
          <w:rFonts w:ascii="Times New Roman" w:hAnsi="Times New Roman"/>
        </w:rPr>
        <w:t>the commencement of new arrangements in Schedule 2</w:t>
      </w:r>
      <w:r w:rsidR="00657FDD">
        <w:rPr>
          <w:rFonts w:ascii="Times New Roman" w:hAnsi="Times New Roman"/>
        </w:rPr>
        <w:t xml:space="preserve"> (</w:t>
      </w:r>
      <w:r w:rsidR="00657FDD" w:rsidRPr="00313DF5">
        <w:rPr>
          <w:rFonts w:ascii="Times New Roman" w:hAnsi="Times New Roman"/>
        </w:rPr>
        <w:t>on 26 August 2020</w:t>
      </w:r>
      <w:r w:rsidR="00657FDD">
        <w:rPr>
          <w:rFonts w:ascii="Times New Roman" w:hAnsi="Times New Roman"/>
        </w:rPr>
        <w:t>)</w:t>
      </w:r>
      <w:r w:rsidRPr="00313DF5">
        <w:rPr>
          <w:rFonts w:ascii="Times New Roman" w:hAnsi="Times New Roman"/>
        </w:rPr>
        <w:t>.</w:t>
      </w:r>
      <w:r w:rsidRPr="00AE79FE">
        <w:rPr>
          <w:rFonts w:ascii="Times New Roman" w:hAnsi="Times New Roman"/>
        </w:rPr>
        <w:t xml:space="preserve"> </w:t>
      </w:r>
      <w:r w:rsidR="001C6386">
        <w:rPr>
          <w:rFonts w:ascii="Times New Roman" w:hAnsi="Times New Roman"/>
        </w:rPr>
        <w:t xml:space="preserve">The TLA Act will also exempt the </w:t>
      </w:r>
      <w:r w:rsidR="001C6386">
        <w:rPr>
          <w:rFonts w:ascii="Times New Roman" w:hAnsi="Times New Roman"/>
        </w:rPr>
        <w:lastRenderedPageBreak/>
        <w:t xml:space="preserve">Declaration from </w:t>
      </w:r>
      <w:proofErr w:type="spellStart"/>
      <w:r w:rsidR="001C6386">
        <w:rPr>
          <w:rFonts w:ascii="Times New Roman" w:hAnsi="Times New Roman"/>
        </w:rPr>
        <w:t>sunsetting</w:t>
      </w:r>
      <w:proofErr w:type="spellEnd"/>
      <w:r w:rsidR="001C6386">
        <w:rPr>
          <w:rFonts w:ascii="Times New Roman" w:hAnsi="Times New Roman"/>
        </w:rPr>
        <w:t xml:space="preserve">. </w:t>
      </w:r>
      <w:r w:rsidR="003605B4">
        <w:rPr>
          <w:rFonts w:ascii="Times New Roman" w:hAnsi="Times New Roman"/>
        </w:rPr>
        <w:t>Combined, these</w:t>
      </w:r>
      <w:r w:rsidR="001C6386">
        <w:rPr>
          <w:rFonts w:ascii="Times New Roman" w:hAnsi="Times New Roman"/>
        </w:rPr>
        <w:t xml:space="preserve"> changes </w:t>
      </w:r>
      <w:r w:rsidR="003605B4">
        <w:rPr>
          <w:rFonts w:ascii="Times New Roman" w:hAnsi="Times New Roman"/>
        </w:rPr>
        <w:t xml:space="preserve">will effectively </w:t>
      </w:r>
      <w:r w:rsidR="00222B8E">
        <w:rPr>
          <w:rFonts w:ascii="Times New Roman" w:hAnsi="Times New Roman"/>
        </w:rPr>
        <w:t xml:space="preserve">preserve the operation of the conditions set out in the </w:t>
      </w:r>
      <w:r w:rsidR="001C6386">
        <w:rPr>
          <w:rFonts w:ascii="Times New Roman" w:hAnsi="Times New Roman"/>
        </w:rPr>
        <w:t>Declaration</w:t>
      </w:r>
      <w:r w:rsidR="006969F6">
        <w:rPr>
          <w:rFonts w:ascii="Times New Roman" w:hAnsi="Times New Roman"/>
        </w:rPr>
        <w:t>.</w:t>
      </w:r>
    </w:p>
    <w:p w:rsidR="00D76876" w:rsidRDefault="00D76876" w:rsidP="00D76876">
      <w:pPr>
        <w:spacing w:after="200"/>
        <w:rPr>
          <w:rFonts w:ascii="Times New Roman" w:hAnsi="Times New Roman"/>
        </w:rPr>
      </w:pPr>
      <w:r w:rsidRPr="002026F5">
        <w:rPr>
          <w:rFonts w:ascii="Times New Roman" w:hAnsi="Times New Roman"/>
        </w:rPr>
        <w:t xml:space="preserve">The </w:t>
      </w:r>
      <w:r>
        <w:rPr>
          <w:rFonts w:ascii="Times New Roman" w:hAnsi="Times New Roman"/>
        </w:rPr>
        <w:t>extension of the Declaration</w:t>
      </w:r>
      <w:r w:rsidRPr="002026F5">
        <w:rPr>
          <w:rFonts w:ascii="Times New Roman" w:hAnsi="Times New Roman"/>
        </w:rPr>
        <w:t xml:space="preserve"> </w:t>
      </w:r>
      <w:r>
        <w:rPr>
          <w:rFonts w:ascii="Times New Roman" w:hAnsi="Times New Roman"/>
        </w:rPr>
        <w:t xml:space="preserve">is </w:t>
      </w:r>
      <w:r w:rsidRPr="002026F5">
        <w:rPr>
          <w:rFonts w:ascii="Times New Roman" w:hAnsi="Times New Roman"/>
        </w:rPr>
        <w:t xml:space="preserve">also consistent with recent reforms in the </w:t>
      </w:r>
      <w:r>
        <w:rPr>
          <w:rFonts w:ascii="Times New Roman" w:hAnsi="Times New Roman"/>
        </w:rPr>
        <w:t>TLA Act</w:t>
      </w:r>
      <w:r w:rsidRPr="002026F5">
        <w:rPr>
          <w:rFonts w:ascii="Times New Roman" w:hAnsi="Times New Roman"/>
        </w:rPr>
        <w:t xml:space="preserve">, which amended structural separation requirements in the </w:t>
      </w:r>
      <w:r>
        <w:rPr>
          <w:rFonts w:ascii="Times New Roman" w:hAnsi="Times New Roman"/>
        </w:rPr>
        <w:t>Act</w:t>
      </w:r>
      <w:r w:rsidRPr="002026F5">
        <w:rPr>
          <w:rFonts w:ascii="Times New Roman" w:hAnsi="Times New Roman"/>
        </w:rPr>
        <w:t xml:space="preserve"> by inserting a functional separation undertaking process, under which network operators will be able to voluntarily submit undertakings to the ACCC for approval. This creates greater flexibility in the supply of services on an integrated, albeit functionally separated, basis. </w:t>
      </w:r>
    </w:p>
    <w:p w:rsidR="002F1A50" w:rsidRPr="000B7542" w:rsidRDefault="002F1A50" w:rsidP="00D76876">
      <w:pPr>
        <w:keepNext/>
        <w:spacing w:after="200"/>
        <w:rPr>
          <w:rFonts w:ascii="Times New Roman" w:hAnsi="Times New Roman"/>
          <w:b/>
        </w:rPr>
      </w:pPr>
      <w:r w:rsidRPr="000B7542">
        <w:rPr>
          <w:rFonts w:ascii="Times New Roman" w:hAnsi="Times New Roman"/>
          <w:b/>
        </w:rPr>
        <w:t>Regulation Impact Statement</w:t>
      </w:r>
    </w:p>
    <w:p w:rsidR="002F1A50" w:rsidRPr="000B7542" w:rsidRDefault="002F1A50" w:rsidP="000B7542">
      <w:pPr>
        <w:spacing w:after="200"/>
        <w:rPr>
          <w:rFonts w:ascii="Times New Roman" w:hAnsi="Times New Roman"/>
        </w:rPr>
      </w:pPr>
      <w:r w:rsidRPr="000B7542">
        <w:rPr>
          <w:rFonts w:ascii="Times New Roman" w:hAnsi="Times New Roman"/>
        </w:rPr>
        <w:t xml:space="preserve">The Office of Best Practice Regulation (OBPR) has </w:t>
      </w:r>
      <w:r w:rsidR="00F74C60">
        <w:rPr>
          <w:rFonts w:ascii="Times New Roman" w:hAnsi="Times New Roman"/>
        </w:rPr>
        <w:t xml:space="preserve">advised that, as the Amending </w:t>
      </w:r>
      <w:r w:rsidR="00657FDD">
        <w:rPr>
          <w:rFonts w:ascii="Times New Roman" w:hAnsi="Times New Roman"/>
        </w:rPr>
        <w:t>Instrument</w:t>
      </w:r>
      <w:r w:rsidR="00F74C60">
        <w:rPr>
          <w:rFonts w:ascii="Times New Roman" w:hAnsi="Times New Roman"/>
        </w:rPr>
        <w:t xml:space="preserve"> is </w:t>
      </w:r>
      <w:r w:rsidR="00F74C60" w:rsidRPr="00F74C60">
        <w:rPr>
          <w:rFonts w:ascii="Times New Roman" w:hAnsi="Times New Roman"/>
        </w:rPr>
        <w:t>machinery in nature</w:t>
      </w:r>
      <w:r w:rsidR="00F74C60">
        <w:rPr>
          <w:rFonts w:ascii="Times New Roman" w:hAnsi="Times New Roman"/>
        </w:rPr>
        <w:t>, the preparation of</w:t>
      </w:r>
      <w:r w:rsidRPr="000B7542">
        <w:rPr>
          <w:rFonts w:ascii="Times New Roman" w:hAnsi="Times New Roman"/>
        </w:rPr>
        <w:t xml:space="preserve"> a Regulatory Impact Statement is not required. The OBPR reference number is </w:t>
      </w:r>
      <w:r w:rsidR="00F74C60" w:rsidRPr="00F74C60">
        <w:rPr>
          <w:rFonts w:ascii="Times New Roman" w:hAnsi="Times New Roman"/>
        </w:rPr>
        <w:t>42599</w:t>
      </w:r>
      <w:r w:rsidRPr="000B7542">
        <w:rPr>
          <w:rFonts w:ascii="Times New Roman" w:hAnsi="Times New Roman"/>
        </w:rPr>
        <w:t>.</w:t>
      </w:r>
    </w:p>
    <w:p w:rsidR="002131AC" w:rsidRPr="00B551AA" w:rsidRDefault="002131AC" w:rsidP="004F615E">
      <w:pPr>
        <w:spacing w:after="200"/>
        <w:rPr>
          <w:rFonts w:ascii="Times New Roman" w:hAnsi="Times New Roman"/>
          <w:b/>
        </w:rPr>
      </w:pPr>
      <w:r w:rsidRPr="00B551AA">
        <w:rPr>
          <w:rFonts w:ascii="Times New Roman" w:hAnsi="Times New Roman"/>
          <w:b/>
        </w:rPr>
        <w:t>Consultation</w:t>
      </w:r>
    </w:p>
    <w:p w:rsidR="004A1FAB" w:rsidRDefault="001A2AFA" w:rsidP="004F615E">
      <w:pPr>
        <w:spacing w:after="200"/>
        <w:rPr>
          <w:rFonts w:ascii="Times New Roman" w:hAnsi="Times New Roman"/>
        </w:rPr>
      </w:pPr>
      <w:r>
        <w:rPr>
          <w:rFonts w:ascii="Times New Roman" w:hAnsi="Times New Roman"/>
        </w:rPr>
        <w:t xml:space="preserve">Section 64 of the Act requires </w:t>
      </w:r>
      <w:r w:rsidR="000F6AF9" w:rsidRPr="000F6AF9">
        <w:rPr>
          <w:rFonts w:ascii="Times New Roman" w:hAnsi="Times New Roman"/>
        </w:rPr>
        <w:t>that before making an instrument under subsection 63(5) of the Act, the Minister must arrange for a draft version of the instrument to be provided to the licence holder and invite the holder to make a submission to the Minister on the draft.</w:t>
      </w:r>
    </w:p>
    <w:p w:rsidR="00624C47" w:rsidRPr="00624C47" w:rsidRDefault="000F6AF9" w:rsidP="00624C47">
      <w:pPr>
        <w:spacing w:after="200"/>
        <w:rPr>
          <w:rFonts w:ascii="Times New Roman" w:hAnsi="Times New Roman"/>
          <w:b/>
        </w:rPr>
      </w:pPr>
      <w:r w:rsidRPr="000F6AF9">
        <w:rPr>
          <w:rFonts w:ascii="Times New Roman" w:hAnsi="Times New Roman"/>
        </w:rPr>
        <w:t xml:space="preserve">Consistent with this requirement, the </w:t>
      </w:r>
      <w:r w:rsidR="00651D3F" w:rsidRPr="00651D3F">
        <w:rPr>
          <w:rFonts w:ascii="Times New Roman" w:hAnsi="Times New Roman"/>
        </w:rPr>
        <w:t>Department of Infrastructure, Transport, Regional Development and Communications</w:t>
      </w:r>
      <w:r w:rsidR="005962E1">
        <w:rPr>
          <w:rFonts w:ascii="Times New Roman" w:hAnsi="Times New Roman"/>
        </w:rPr>
        <w:t>,</w:t>
      </w:r>
      <w:r w:rsidR="00C90422">
        <w:rPr>
          <w:rFonts w:ascii="Times New Roman" w:hAnsi="Times New Roman"/>
        </w:rPr>
        <w:t xml:space="preserve"> </w:t>
      </w:r>
      <w:r>
        <w:rPr>
          <w:rFonts w:ascii="Times New Roman" w:hAnsi="Times New Roman"/>
        </w:rPr>
        <w:t>on the Minister’s behalf</w:t>
      </w:r>
      <w:r w:rsidR="005962E1">
        <w:rPr>
          <w:rFonts w:ascii="Times New Roman" w:hAnsi="Times New Roman"/>
        </w:rPr>
        <w:t xml:space="preserve">, </w:t>
      </w:r>
      <w:r w:rsidR="00F73F01">
        <w:rPr>
          <w:rFonts w:ascii="Times New Roman" w:hAnsi="Times New Roman"/>
        </w:rPr>
        <w:t>undertook</w:t>
      </w:r>
      <w:r w:rsidR="00D71D3E">
        <w:rPr>
          <w:rFonts w:ascii="Times New Roman" w:hAnsi="Times New Roman"/>
        </w:rPr>
        <w:t xml:space="preserve"> </w:t>
      </w:r>
      <w:r w:rsidR="00651D3F">
        <w:rPr>
          <w:rFonts w:ascii="Times New Roman" w:hAnsi="Times New Roman"/>
        </w:rPr>
        <w:t>public consultation</w:t>
      </w:r>
      <w:r w:rsidR="00F73F01">
        <w:rPr>
          <w:rFonts w:ascii="Times New Roman" w:hAnsi="Times New Roman"/>
        </w:rPr>
        <w:t xml:space="preserve"> between 7 May 2020 and 6 June 2020 via the Department’s website</w:t>
      </w:r>
      <w:r w:rsidR="00D71D3E">
        <w:rPr>
          <w:rFonts w:ascii="Times New Roman" w:hAnsi="Times New Roman"/>
        </w:rPr>
        <w:t xml:space="preserve">. The Department also </w:t>
      </w:r>
      <w:r w:rsidR="00A0648A">
        <w:rPr>
          <w:rFonts w:ascii="Times New Roman" w:hAnsi="Times New Roman"/>
        </w:rPr>
        <w:t>contacted</w:t>
      </w:r>
      <w:r w:rsidR="00D71D3E" w:rsidRPr="000F6AF9">
        <w:rPr>
          <w:rFonts w:ascii="Times New Roman" w:hAnsi="Times New Roman"/>
        </w:rPr>
        <w:t xml:space="preserve"> </w:t>
      </w:r>
      <w:r w:rsidR="00D71D3E">
        <w:rPr>
          <w:rFonts w:ascii="Times New Roman" w:hAnsi="Times New Roman"/>
        </w:rPr>
        <w:t>licensed carriers</w:t>
      </w:r>
      <w:r w:rsidR="00A0648A">
        <w:rPr>
          <w:rFonts w:ascii="Times New Roman" w:hAnsi="Times New Roman"/>
        </w:rPr>
        <w:t>, provid</w:t>
      </w:r>
      <w:r w:rsidR="00765B55">
        <w:rPr>
          <w:rFonts w:ascii="Times New Roman" w:hAnsi="Times New Roman"/>
        </w:rPr>
        <w:t>ed</w:t>
      </w:r>
      <w:r w:rsidR="00A0648A">
        <w:rPr>
          <w:rFonts w:ascii="Times New Roman" w:hAnsi="Times New Roman"/>
        </w:rPr>
        <w:t xml:space="preserve"> them with a link to </w:t>
      </w:r>
      <w:r w:rsidR="00765B55">
        <w:rPr>
          <w:rFonts w:ascii="Times New Roman" w:hAnsi="Times New Roman"/>
        </w:rPr>
        <w:t xml:space="preserve">the </w:t>
      </w:r>
      <w:r w:rsidR="00A0648A">
        <w:rPr>
          <w:rFonts w:ascii="Times New Roman" w:hAnsi="Times New Roman"/>
        </w:rPr>
        <w:t xml:space="preserve">consultation page with the Amending </w:t>
      </w:r>
      <w:r w:rsidR="00657FDD">
        <w:rPr>
          <w:rFonts w:ascii="Times New Roman" w:hAnsi="Times New Roman"/>
        </w:rPr>
        <w:t>Instrument</w:t>
      </w:r>
      <w:r w:rsidR="00A0648A">
        <w:rPr>
          <w:rFonts w:ascii="Times New Roman" w:hAnsi="Times New Roman"/>
        </w:rPr>
        <w:t>,</w:t>
      </w:r>
      <w:r w:rsidR="00D71D3E">
        <w:rPr>
          <w:rFonts w:ascii="Times New Roman" w:hAnsi="Times New Roman"/>
        </w:rPr>
        <w:t xml:space="preserve"> and invited submissions</w:t>
      </w:r>
      <w:r w:rsidR="00AF72F4">
        <w:rPr>
          <w:rFonts w:ascii="Times New Roman" w:hAnsi="Times New Roman"/>
        </w:rPr>
        <w:t xml:space="preserve">. </w:t>
      </w:r>
      <w:r w:rsidR="00AD58C9">
        <w:rPr>
          <w:rFonts w:ascii="Times New Roman" w:hAnsi="Times New Roman"/>
        </w:rPr>
        <w:t>Two organisations provided feedback in support of</w:t>
      </w:r>
      <w:r w:rsidR="005D3C6C" w:rsidRPr="00624C47">
        <w:rPr>
          <w:rFonts w:ascii="Times New Roman" w:hAnsi="Times New Roman"/>
        </w:rPr>
        <w:t xml:space="preserve"> extending the Declaration. </w:t>
      </w:r>
      <w:r w:rsidR="00AD58C9">
        <w:rPr>
          <w:rFonts w:ascii="Times New Roman" w:hAnsi="Times New Roman"/>
        </w:rPr>
        <w:t>The</w:t>
      </w:r>
      <w:r w:rsidR="005D3C6C" w:rsidRPr="00624C47">
        <w:rPr>
          <w:rFonts w:ascii="Times New Roman" w:hAnsi="Times New Roman"/>
        </w:rPr>
        <w:t xml:space="preserve"> </w:t>
      </w:r>
      <w:r w:rsidR="00A0648A">
        <w:rPr>
          <w:rFonts w:ascii="Times New Roman" w:hAnsi="Times New Roman"/>
        </w:rPr>
        <w:t>feedback</w:t>
      </w:r>
      <w:r w:rsidR="005D3C6C" w:rsidRPr="00624C47">
        <w:rPr>
          <w:rFonts w:ascii="Times New Roman" w:hAnsi="Times New Roman"/>
        </w:rPr>
        <w:t xml:space="preserve"> </w:t>
      </w:r>
      <w:r w:rsidR="00A0648A">
        <w:rPr>
          <w:rFonts w:ascii="Times New Roman" w:hAnsi="Times New Roman"/>
        </w:rPr>
        <w:t xml:space="preserve">has </w:t>
      </w:r>
      <w:r w:rsidR="005D3C6C" w:rsidRPr="00624C47">
        <w:rPr>
          <w:rFonts w:ascii="Times New Roman" w:hAnsi="Times New Roman"/>
        </w:rPr>
        <w:t xml:space="preserve">been considered by the Minister as part of the making of the Amending </w:t>
      </w:r>
      <w:r w:rsidR="00657FDD">
        <w:rPr>
          <w:rFonts w:ascii="Times New Roman" w:hAnsi="Times New Roman"/>
        </w:rPr>
        <w:t>Instrument</w:t>
      </w:r>
      <w:r w:rsidR="005D3C6C" w:rsidRPr="00313DF5">
        <w:rPr>
          <w:rFonts w:ascii="Times New Roman" w:hAnsi="Times New Roman"/>
        </w:rPr>
        <w:t>.</w:t>
      </w:r>
      <w:r w:rsidR="005D3C6C" w:rsidRPr="005D3C6C">
        <w:rPr>
          <w:rFonts w:ascii="Times New Roman" w:hAnsi="Times New Roman"/>
          <w:b/>
        </w:rPr>
        <w:t xml:space="preserve"> </w:t>
      </w:r>
      <w:r w:rsidR="00A0648A">
        <w:rPr>
          <w:rFonts w:ascii="Times New Roman" w:hAnsi="Times New Roman"/>
        </w:rPr>
        <w:t xml:space="preserve">One submitter suggested the Declaration is fundamental </w:t>
      </w:r>
      <w:r w:rsidR="00A0648A" w:rsidRPr="004675F5">
        <w:rPr>
          <w:rFonts w:ascii="Times New Roman" w:hAnsi="Times New Roman"/>
        </w:rPr>
        <w:t>to facilitating competition on networks</w:t>
      </w:r>
      <w:r w:rsidR="00F621DF">
        <w:rPr>
          <w:rFonts w:ascii="Times New Roman" w:hAnsi="Times New Roman"/>
        </w:rPr>
        <w:t xml:space="preserve"> other than the National Broadband Network</w:t>
      </w:r>
      <w:r w:rsidR="00A0648A" w:rsidRPr="00313DF5">
        <w:rPr>
          <w:rFonts w:ascii="Times New Roman" w:hAnsi="Times New Roman"/>
        </w:rPr>
        <w:t>,</w:t>
      </w:r>
      <w:r w:rsidR="00A0648A">
        <w:rPr>
          <w:rFonts w:ascii="Times New Roman" w:hAnsi="Times New Roman"/>
        </w:rPr>
        <w:t xml:space="preserve"> </w:t>
      </w:r>
      <w:r w:rsidR="003605B4">
        <w:rPr>
          <w:rFonts w:ascii="Times New Roman" w:hAnsi="Times New Roman"/>
        </w:rPr>
        <w:t xml:space="preserve">and </w:t>
      </w:r>
      <w:r w:rsidR="00A0648A">
        <w:rPr>
          <w:rFonts w:ascii="Times New Roman" w:hAnsi="Times New Roman"/>
        </w:rPr>
        <w:t>not</w:t>
      </w:r>
      <w:r w:rsidR="003605B4">
        <w:rPr>
          <w:rFonts w:ascii="Times New Roman" w:hAnsi="Times New Roman"/>
        </w:rPr>
        <w:t>ed</w:t>
      </w:r>
      <w:r w:rsidR="00A0648A">
        <w:rPr>
          <w:rFonts w:ascii="Times New Roman" w:hAnsi="Times New Roman"/>
        </w:rPr>
        <w:t xml:space="preserve"> </w:t>
      </w:r>
      <w:r w:rsidR="00F621DF">
        <w:rPr>
          <w:rFonts w:ascii="Times New Roman" w:hAnsi="Times New Roman"/>
        </w:rPr>
        <w:t>the Declaration</w:t>
      </w:r>
      <w:r w:rsidR="00A0648A">
        <w:rPr>
          <w:rFonts w:ascii="Times New Roman" w:hAnsi="Times New Roman"/>
        </w:rPr>
        <w:t xml:space="preserve"> allows</w:t>
      </w:r>
      <w:r w:rsidR="00A0648A" w:rsidRPr="004675F5">
        <w:rPr>
          <w:rFonts w:ascii="Times New Roman" w:hAnsi="Times New Roman"/>
        </w:rPr>
        <w:t xml:space="preserve"> providers </w:t>
      </w:r>
      <w:r w:rsidR="00A0648A">
        <w:rPr>
          <w:rFonts w:ascii="Times New Roman" w:hAnsi="Times New Roman"/>
        </w:rPr>
        <w:t>that</w:t>
      </w:r>
      <w:r w:rsidR="00F621DF">
        <w:rPr>
          <w:rFonts w:ascii="Times New Roman" w:hAnsi="Times New Roman"/>
        </w:rPr>
        <w:t xml:space="preserve"> do not operate</w:t>
      </w:r>
      <w:r w:rsidR="00A0648A" w:rsidRPr="004675F5">
        <w:rPr>
          <w:rFonts w:ascii="Times New Roman" w:hAnsi="Times New Roman"/>
        </w:rPr>
        <w:t xml:space="preserve"> </w:t>
      </w:r>
      <w:r w:rsidR="00F621DF">
        <w:rPr>
          <w:rFonts w:ascii="Times New Roman" w:hAnsi="Times New Roman"/>
        </w:rPr>
        <w:t xml:space="preserve">such a </w:t>
      </w:r>
      <w:r w:rsidR="00A0648A" w:rsidRPr="004675F5">
        <w:rPr>
          <w:rFonts w:ascii="Times New Roman" w:hAnsi="Times New Roman"/>
        </w:rPr>
        <w:t>network</w:t>
      </w:r>
      <w:r w:rsidR="00F621DF">
        <w:rPr>
          <w:rFonts w:ascii="Times New Roman" w:hAnsi="Times New Roman"/>
        </w:rPr>
        <w:t>,</w:t>
      </w:r>
      <w:r w:rsidR="00A0648A" w:rsidRPr="004675F5">
        <w:rPr>
          <w:rFonts w:ascii="Times New Roman" w:hAnsi="Times New Roman"/>
        </w:rPr>
        <w:t xml:space="preserve"> to offer services over that network, </w:t>
      </w:r>
      <w:r w:rsidR="00F621DF">
        <w:rPr>
          <w:rFonts w:ascii="Times New Roman" w:hAnsi="Times New Roman"/>
        </w:rPr>
        <w:t>placing</w:t>
      </w:r>
      <w:r w:rsidR="00A0648A" w:rsidRPr="004675F5">
        <w:rPr>
          <w:rFonts w:ascii="Times New Roman" w:hAnsi="Times New Roman"/>
        </w:rPr>
        <w:t xml:space="preserve"> downward pressure on prices.</w:t>
      </w:r>
    </w:p>
    <w:p w:rsidR="00F74C60" w:rsidRPr="000B7542" w:rsidRDefault="00F74C60" w:rsidP="000B7542">
      <w:pPr>
        <w:spacing w:after="200"/>
        <w:rPr>
          <w:rFonts w:ascii="Times New Roman" w:hAnsi="Times New Roman"/>
          <w:b/>
        </w:rPr>
      </w:pPr>
      <w:r w:rsidRPr="000B7542">
        <w:rPr>
          <w:rFonts w:ascii="Times New Roman" w:hAnsi="Times New Roman"/>
          <w:b/>
        </w:rPr>
        <w:t>Statement of compatibility with human rights</w:t>
      </w:r>
    </w:p>
    <w:p w:rsidR="00F74C60" w:rsidRPr="00041213" w:rsidRDefault="00F74C60" w:rsidP="00F74C60">
      <w:pPr>
        <w:spacing w:before="100" w:beforeAutospacing="1" w:after="100" w:afterAutospacing="1"/>
        <w:rPr>
          <w:rFonts w:ascii="Times New Roman" w:hAnsi="Times New Roman"/>
          <w:color w:val="000000"/>
        </w:rPr>
      </w:pPr>
      <w:r>
        <w:rPr>
          <w:rFonts w:ascii="Times New Roman" w:hAnsi="Times New Roman"/>
          <w:color w:val="000000"/>
        </w:rPr>
        <w:t>A</w:t>
      </w:r>
      <w:r w:rsidRPr="00041213">
        <w:rPr>
          <w:rFonts w:ascii="Times New Roman" w:hAnsi="Times New Roman"/>
          <w:color w:val="000000"/>
        </w:rPr>
        <w:t xml:space="preserve"> statement of compatibility </w:t>
      </w:r>
      <w:r>
        <w:rPr>
          <w:rFonts w:ascii="Times New Roman" w:hAnsi="Times New Roman"/>
          <w:color w:val="000000"/>
        </w:rPr>
        <w:t xml:space="preserve">with human rights for the purposes of </w:t>
      </w:r>
      <w:r w:rsidRPr="00313DF5">
        <w:rPr>
          <w:rFonts w:ascii="Times New Roman" w:hAnsi="Times New Roman"/>
          <w:color w:val="000000"/>
        </w:rPr>
        <w:t>Part 3</w:t>
      </w:r>
      <w:r w:rsidRPr="00041213">
        <w:rPr>
          <w:rFonts w:ascii="Times New Roman" w:hAnsi="Times New Roman"/>
          <w:color w:val="000000"/>
        </w:rPr>
        <w:t xml:space="preserve"> of the </w:t>
      </w:r>
      <w:r w:rsidRPr="00041213">
        <w:rPr>
          <w:rFonts w:ascii="Times New Roman" w:hAnsi="Times New Roman"/>
          <w:i/>
          <w:color w:val="000000"/>
        </w:rPr>
        <w:t>Human Rights (Parliamentary Scrutiny) Act 2011</w:t>
      </w:r>
      <w:r>
        <w:rPr>
          <w:rFonts w:ascii="Times New Roman" w:hAnsi="Times New Roman"/>
          <w:i/>
          <w:color w:val="000000"/>
        </w:rPr>
        <w:t xml:space="preserve"> </w:t>
      </w:r>
      <w:r>
        <w:rPr>
          <w:rFonts w:ascii="Times New Roman" w:hAnsi="Times New Roman"/>
          <w:color w:val="000000"/>
        </w:rPr>
        <w:t xml:space="preserve">is set out at </w:t>
      </w:r>
      <w:r w:rsidRPr="00206A46">
        <w:rPr>
          <w:rFonts w:ascii="Times New Roman" w:hAnsi="Times New Roman"/>
          <w:color w:val="000000"/>
          <w:u w:val="single"/>
        </w:rPr>
        <w:t>Attachment B</w:t>
      </w:r>
      <w:r w:rsidRPr="00041213">
        <w:rPr>
          <w:rFonts w:ascii="Times New Roman" w:hAnsi="Times New Roman"/>
          <w:color w:val="000000"/>
        </w:rPr>
        <w:t>.</w:t>
      </w:r>
    </w:p>
    <w:p w:rsidR="003B185C" w:rsidRDefault="003B185C" w:rsidP="00192E3F">
      <w:pPr>
        <w:ind w:right="91"/>
        <w:rPr>
          <w:rFonts w:ascii="Times New Roman" w:hAnsi="Times New Roman"/>
          <w:u w:val="single"/>
        </w:rPr>
      </w:pPr>
    </w:p>
    <w:p w:rsidR="003B185C" w:rsidRPr="003B185C" w:rsidRDefault="003B185C" w:rsidP="00192E3F">
      <w:pPr>
        <w:ind w:right="91"/>
        <w:jc w:val="right"/>
        <w:rPr>
          <w:rFonts w:ascii="Times New Roman" w:hAnsi="Times New Roman"/>
          <w:b/>
        </w:rPr>
      </w:pPr>
      <w:r>
        <w:rPr>
          <w:rFonts w:ascii="Times New Roman" w:hAnsi="Times New Roman"/>
          <w:u w:val="single"/>
        </w:rPr>
        <w:br w:type="column"/>
      </w:r>
      <w:r w:rsidRPr="003B185C">
        <w:rPr>
          <w:rFonts w:ascii="Times New Roman" w:hAnsi="Times New Roman"/>
          <w:b/>
        </w:rPr>
        <w:lastRenderedPageBreak/>
        <w:t xml:space="preserve">Attachment </w:t>
      </w:r>
      <w:r w:rsidR="00651D3F">
        <w:rPr>
          <w:rFonts w:ascii="Times New Roman" w:hAnsi="Times New Roman"/>
          <w:b/>
        </w:rPr>
        <w:t>A</w:t>
      </w:r>
      <w:r w:rsidR="00651D3F" w:rsidRPr="003B185C">
        <w:rPr>
          <w:rFonts w:ascii="Times New Roman" w:hAnsi="Times New Roman"/>
          <w:b/>
        </w:rPr>
        <w:t xml:space="preserve"> </w:t>
      </w:r>
    </w:p>
    <w:p w:rsidR="00E00750" w:rsidRPr="001811FE" w:rsidRDefault="00D54AB9" w:rsidP="00192E3F">
      <w:pPr>
        <w:ind w:right="91"/>
        <w:jc w:val="center"/>
        <w:rPr>
          <w:rFonts w:ascii="Times New Roman" w:hAnsi="Times New Roman"/>
          <w:b/>
        </w:rPr>
      </w:pPr>
      <w:r w:rsidRPr="001811FE">
        <w:rPr>
          <w:rFonts w:ascii="Times New Roman" w:hAnsi="Times New Roman"/>
          <w:b/>
        </w:rPr>
        <w:t>N</w:t>
      </w:r>
      <w:r w:rsidR="00E00750" w:rsidRPr="001811FE">
        <w:rPr>
          <w:rFonts w:ascii="Times New Roman" w:hAnsi="Times New Roman"/>
          <w:b/>
        </w:rPr>
        <w:t xml:space="preserve">otes on </w:t>
      </w:r>
      <w:r w:rsidR="00103DE9" w:rsidRPr="001811FE">
        <w:rPr>
          <w:rFonts w:ascii="Times New Roman" w:hAnsi="Times New Roman"/>
          <w:b/>
        </w:rPr>
        <w:t>Sections</w:t>
      </w:r>
    </w:p>
    <w:p w:rsidR="006E2969" w:rsidRPr="001811FE" w:rsidRDefault="00103DE9" w:rsidP="00E10784">
      <w:pPr>
        <w:spacing w:after="120"/>
        <w:rPr>
          <w:rFonts w:ascii="Times New Roman" w:hAnsi="Times New Roman"/>
          <w:b/>
        </w:rPr>
      </w:pPr>
      <w:r w:rsidRPr="001811FE">
        <w:rPr>
          <w:rFonts w:ascii="Times New Roman" w:hAnsi="Times New Roman"/>
          <w:b/>
        </w:rPr>
        <w:t xml:space="preserve">Section </w:t>
      </w:r>
      <w:r w:rsidR="00E00750" w:rsidRPr="001811FE">
        <w:rPr>
          <w:rFonts w:ascii="Times New Roman" w:hAnsi="Times New Roman"/>
          <w:b/>
        </w:rPr>
        <w:t xml:space="preserve">1 </w:t>
      </w:r>
    </w:p>
    <w:p w:rsidR="006E2969" w:rsidRPr="006E2969" w:rsidRDefault="006E2969" w:rsidP="004F615E">
      <w:pPr>
        <w:spacing w:after="200"/>
        <w:rPr>
          <w:rFonts w:ascii="Times New Roman" w:hAnsi="Times New Roman"/>
        </w:rPr>
      </w:pPr>
      <w:r>
        <w:rPr>
          <w:rFonts w:ascii="Times New Roman" w:hAnsi="Times New Roman"/>
        </w:rPr>
        <w:t xml:space="preserve">Section 1 </w:t>
      </w:r>
      <w:r w:rsidR="00E00750" w:rsidRPr="00A85F74">
        <w:rPr>
          <w:rFonts w:ascii="Times New Roman" w:hAnsi="Times New Roman"/>
        </w:rPr>
        <w:t xml:space="preserve">provides that the name of the </w:t>
      </w:r>
      <w:r w:rsidR="002131AC" w:rsidRPr="00A85F74">
        <w:rPr>
          <w:rFonts w:ascii="Times New Roman" w:hAnsi="Times New Roman"/>
        </w:rPr>
        <w:t xml:space="preserve">instrument </w:t>
      </w:r>
      <w:r w:rsidR="00E00750" w:rsidRPr="00A85F74">
        <w:rPr>
          <w:rFonts w:ascii="Times New Roman" w:hAnsi="Times New Roman"/>
        </w:rPr>
        <w:t xml:space="preserve">is the </w:t>
      </w:r>
      <w:r w:rsidR="00452819" w:rsidRPr="00357EB4">
        <w:rPr>
          <w:rFonts w:ascii="Times New Roman" w:hAnsi="Times New Roman"/>
          <w:i/>
        </w:rPr>
        <w:t>Telecommunications (Carrier Licence Conditions) Amendment (Networks supplying Superfast Carriage Services to Residential Customers) Instrument 2020</w:t>
      </w:r>
      <w:r w:rsidR="003605B4">
        <w:rPr>
          <w:rFonts w:ascii="Times New Roman" w:hAnsi="Times New Roman"/>
        </w:rPr>
        <w:t xml:space="preserve"> (Amending </w:t>
      </w:r>
      <w:r w:rsidR="00657FDD">
        <w:rPr>
          <w:rFonts w:ascii="Times New Roman" w:hAnsi="Times New Roman"/>
        </w:rPr>
        <w:t>Instrument</w:t>
      </w:r>
      <w:r w:rsidR="003605B4">
        <w:rPr>
          <w:rFonts w:ascii="Times New Roman" w:hAnsi="Times New Roman"/>
        </w:rPr>
        <w:t>)</w:t>
      </w:r>
      <w:r w:rsidR="00C87C17">
        <w:rPr>
          <w:rFonts w:ascii="Times New Roman" w:hAnsi="Times New Roman"/>
        </w:rPr>
        <w:t>.</w:t>
      </w:r>
    </w:p>
    <w:p w:rsidR="006E2969" w:rsidRPr="001811FE" w:rsidRDefault="00103DE9" w:rsidP="00E10784">
      <w:pPr>
        <w:spacing w:before="240" w:after="120"/>
        <w:rPr>
          <w:rFonts w:ascii="Times New Roman" w:hAnsi="Times New Roman"/>
          <w:b/>
        </w:rPr>
      </w:pPr>
      <w:r w:rsidRPr="001811FE">
        <w:rPr>
          <w:rFonts w:ascii="Times New Roman" w:hAnsi="Times New Roman"/>
          <w:b/>
        </w:rPr>
        <w:t xml:space="preserve">Section </w:t>
      </w:r>
      <w:r w:rsidR="00E00750" w:rsidRPr="001811FE">
        <w:rPr>
          <w:rFonts w:ascii="Times New Roman" w:hAnsi="Times New Roman"/>
          <w:b/>
        </w:rPr>
        <w:t xml:space="preserve">2 </w:t>
      </w:r>
    </w:p>
    <w:p w:rsidR="00E00750" w:rsidRPr="00A85F74" w:rsidRDefault="006E2969" w:rsidP="004F615E">
      <w:pPr>
        <w:spacing w:after="200"/>
        <w:rPr>
          <w:rFonts w:ascii="Times New Roman" w:hAnsi="Times New Roman"/>
        </w:rPr>
      </w:pPr>
      <w:r>
        <w:rPr>
          <w:rFonts w:ascii="Times New Roman" w:hAnsi="Times New Roman"/>
        </w:rPr>
        <w:t xml:space="preserve">Section 2 </w:t>
      </w:r>
      <w:r w:rsidR="00E00750" w:rsidRPr="00A85F74">
        <w:rPr>
          <w:rFonts w:ascii="Times New Roman" w:hAnsi="Times New Roman"/>
        </w:rPr>
        <w:t xml:space="preserve">provides that the </w:t>
      </w:r>
      <w:r w:rsidR="002131AC" w:rsidRPr="00A85F74">
        <w:rPr>
          <w:rFonts w:ascii="Times New Roman" w:hAnsi="Times New Roman"/>
        </w:rPr>
        <w:t xml:space="preserve">instrument </w:t>
      </w:r>
      <w:r w:rsidR="00E00750" w:rsidRPr="00A85F74">
        <w:rPr>
          <w:rFonts w:ascii="Times New Roman" w:hAnsi="Times New Roman"/>
        </w:rPr>
        <w:t>will commence on</w:t>
      </w:r>
      <w:r>
        <w:rPr>
          <w:rFonts w:ascii="Times New Roman" w:hAnsi="Times New Roman"/>
        </w:rPr>
        <w:t xml:space="preserve"> </w:t>
      </w:r>
      <w:r w:rsidRPr="006E2969">
        <w:rPr>
          <w:rFonts w:ascii="Times New Roman" w:hAnsi="Times New Roman"/>
        </w:rPr>
        <w:t>the day after it is registered on the Federal Register of Legislation.</w:t>
      </w:r>
    </w:p>
    <w:p w:rsidR="006E2969" w:rsidRPr="001811FE" w:rsidRDefault="00103DE9" w:rsidP="00E10784">
      <w:pPr>
        <w:spacing w:before="240" w:after="120"/>
        <w:ind w:right="91"/>
        <w:rPr>
          <w:rFonts w:ascii="Times New Roman" w:hAnsi="Times New Roman"/>
          <w:b/>
        </w:rPr>
      </w:pPr>
      <w:r w:rsidRPr="001811FE">
        <w:rPr>
          <w:rFonts w:ascii="Times New Roman" w:hAnsi="Times New Roman"/>
          <w:b/>
        </w:rPr>
        <w:t xml:space="preserve">Section </w:t>
      </w:r>
      <w:r w:rsidR="00E00750" w:rsidRPr="001811FE">
        <w:rPr>
          <w:rFonts w:ascii="Times New Roman" w:hAnsi="Times New Roman"/>
          <w:b/>
        </w:rPr>
        <w:t>3</w:t>
      </w:r>
      <w:r w:rsidR="006E2969" w:rsidRPr="001811FE">
        <w:rPr>
          <w:rFonts w:ascii="Times New Roman" w:hAnsi="Times New Roman"/>
          <w:b/>
        </w:rPr>
        <w:t xml:space="preserve"> </w:t>
      </w:r>
    </w:p>
    <w:p w:rsidR="00E00750" w:rsidRPr="006E2969" w:rsidRDefault="006E2969" w:rsidP="004F615E">
      <w:pPr>
        <w:spacing w:after="200"/>
        <w:rPr>
          <w:rFonts w:ascii="Times New Roman" w:hAnsi="Times New Roman"/>
        </w:rPr>
      </w:pPr>
      <w:r w:rsidRPr="006E2969">
        <w:rPr>
          <w:rFonts w:ascii="Times New Roman" w:hAnsi="Times New Roman"/>
        </w:rPr>
        <w:t xml:space="preserve">Section 3 provides the legislative authority </w:t>
      </w:r>
      <w:r w:rsidR="00A84164">
        <w:rPr>
          <w:rFonts w:ascii="Times New Roman" w:hAnsi="Times New Roman"/>
        </w:rPr>
        <w:t xml:space="preserve">for the instrument. The Amending </w:t>
      </w:r>
      <w:r w:rsidR="00657FDD">
        <w:rPr>
          <w:rFonts w:ascii="Times New Roman" w:hAnsi="Times New Roman"/>
        </w:rPr>
        <w:t>Instrument</w:t>
      </w:r>
      <w:r w:rsidR="00A84164">
        <w:rPr>
          <w:rFonts w:ascii="Times New Roman" w:hAnsi="Times New Roman"/>
        </w:rPr>
        <w:t xml:space="preserve"> is </w:t>
      </w:r>
      <w:r w:rsidRPr="006E2969">
        <w:rPr>
          <w:rFonts w:ascii="Times New Roman" w:hAnsi="Times New Roman"/>
        </w:rPr>
        <w:t xml:space="preserve">made under subsection 63(5) of the </w:t>
      </w:r>
      <w:r w:rsidRPr="0034112F">
        <w:rPr>
          <w:rFonts w:ascii="Times New Roman" w:hAnsi="Times New Roman"/>
          <w:i/>
        </w:rPr>
        <w:t>Telecommunications Act 1997</w:t>
      </w:r>
      <w:r w:rsidRPr="006E2969">
        <w:rPr>
          <w:rFonts w:ascii="Times New Roman" w:hAnsi="Times New Roman"/>
        </w:rPr>
        <w:t>.</w:t>
      </w:r>
    </w:p>
    <w:p w:rsidR="003B185C" w:rsidRPr="001811FE" w:rsidRDefault="006E2969" w:rsidP="00E10784">
      <w:pPr>
        <w:spacing w:before="240" w:after="120"/>
        <w:ind w:right="91"/>
        <w:rPr>
          <w:rFonts w:ascii="Times New Roman" w:hAnsi="Times New Roman"/>
          <w:b/>
        </w:rPr>
      </w:pPr>
      <w:r w:rsidRPr="001811FE">
        <w:rPr>
          <w:rFonts w:ascii="Times New Roman" w:hAnsi="Times New Roman"/>
          <w:b/>
        </w:rPr>
        <w:t xml:space="preserve">Section </w:t>
      </w:r>
      <w:r w:rsidR="00E00750" w:rsidRPr="001811FE">
        <w:rPr>
          <w:rFonts w:ascii="Times New Roman" w:hAnsi="Times New Roman"/>
          <w:b/>
        </w:rPr>
        <w:t>4</w:t>
      </w:r>
    </w:p>
    <w:p w:rsidR="001811FE" w:rsidRDefault="001811FE" w:rsidP="004F615E">
      <w:pPr>
        <w:spacing w:after="200"/>
        <w:rPr>
          <w:rFonts w:ascii="Times New Roman" w:hAnsi="Times New Roman"/>
        </w:rPr>
      </w:pPr>
      <w:r>
        <w:rPr>
          <w:rFonts w:ascii="Times New Roman" w:hAnsi="Times New Roman"/>
        </w:rPr>
        <w:t>Section 4</w:t>
      </w:r>
      <w:r w:rsidR="006E2969" w:rsidRPr="006E2969">
        <w:rPr>
          <w:rFonts w:ascii="Times New Roman" w:hAnsi="Times New Roman"/>
        </w:rPr>
        <w:t xml:space="preserve"> of the Amending </w:t>
      </w:r>
      <w:r w:rsidR="00657FDD">
        <w:rPr>
          <w:rFonts w:ascii="Times New Roman" w:hAnsi="Times New Roman"/>
        </w:rPr>
        <w:t>Instrument</w:t>
      </w:r>
      <w:r w:rsidR="006E2969" w:rsidRPr="006E2969">
        <w:rPr>
          <w:rFonts w:ascii="Times New Roman" w:hAnsi="Times New Roman"/>
        </w:rPr>
        <w:t xml:space="preserve"> provides that the Declaration is varied in the terms set out in </w:t>
      </w:r>
      <w:r w:rsidR="00644AB5">
        <w:rPr>
          <w:rFonts w:ascii="Times New Roman" w:hAnsi="Times New Roman"/>
        </w:rPr>
        <w:t xml:space="preserve">each </w:t>
      </w:r>
      <w:r w:rsidR="006E2969" w:rsidRPr="006E2969">
        <w:rPr>
          <w:rFonts w:ascii="Times New Roman" w:hAnsi="Times New Roman"/>
        </w:rPr>
        <w:t xml:space="preserve">Schedule to the Amending </w:t>
      </w:r>
      <w:r w:rsidR="00657FDD">
        <w:rPr>
          <w:rFonts w:ascii="Times New Roman" w:hAnsi="Times New Roman"/>
        </w:rPr>
        <w:t>Instrument</w:t>
      </w:r>
      <w:r w:rsidR="006E2969" w:rsidRPr="00313DF5">
        <w:rPr>
          <w:rFonts w:ascii="Times New Roman" w:hAnsi="Times New Roman"/>
        </w:rPr>
        <w:t>.</w:t>
      </w:r>
      <w:r w:rsidR="00644AB5" w:rsidDel="00D14A6B">
        <w:rPr>
          <w:rFonts w:ascii="Times New Roman" w:hAnsi="Times New Roman"/>
        </w:rPr>
        <w:t xml:space="preserve"> </w:t>
      </w:r>
      <w:r w:rsidR="00644AB5">
        <w:rPr>
          <w:rFonts w:ascii="Times New Roman" w:hAnsi="Times New Roman"/>
        </w:rPr>
        <w:t>There is only on</w:t>
      </w:r>
      <w:r w:rsidR="00D14A6B">
        <w:rPr>
          <w:rFonts w:ascii="Times New Roman" w:hAnsi="Times New Roman"/>
        </w:rPr>
        <w:t>e</w:t>
      </w:r>
      <w:r w:rsidR="00644AB5">
        <w:rPr>
          <w:rFonts w:ascii="Times New Roman" w:hAnsi="Times New Roman"/>
        </w:rPr>
        <w:t xml:space="preserve"> Schedule to the Amending </w:t>
      </w:r>
      <w:r w:rsidR="00657FDD">
        <w:rPr>
          <w:rFonts w:ascii="Times New Roman" w:hAnsi="Times New Roman"/>
        </w:rPr>
        <w:t>Instrument</w:t>
      </w:r>
      <w:r w:rsidR="00644AB5" w:rsidRPr="00313DF5">
        <w:rPr>
          <w:rFonts w:ascii="Times New Roman" w:hAnsi="Times New Roman"/>
        </w:rPr>
        <w:t>.</w:t>
      </w:r>
    </w:p>
    <w:p w:rsidR="001811FE" w:rsidRDefault="001811FE" w:rsidP="00E10784">
      <w:pPr>
        <w:spacing w:before="240" w:after="200"/>
        <w:rPr>
          <w:rFonts w:ascii="Times New Roman" w:hAnsi="Times New Roman"/>
          <w:b/>
        </w:rPr>
      </w:pPr>
      <w:r w:rsidRPr="001811FE">
        <w:rPr>
          <w:rFonts w:ascii="Times New Roman" w:hAnsi="Times New Roman"/>
          <w:b/>
        </w:rPr>
        <w:t xml:space="preserve">Schedule </w:t>
      </w:r>
      <w:r w:rsidR="00DB4040">
        <w:rPr>
          <w:rFonts w:ascii="Times New Roman" w:hAnsi="Times New Roman"/>
          <w:b/>
        </w:rPr>
        <w:t xml:space="preserve">1 </w:t>
      </w:r>
      <w:r w:rsidRPr="001811FE">
        <w:rPr>
          <w:rFonts w:ascii="Times New Roman" w:hAnsi="Times New Roman"/>
          <w:b/>
        </w:rPr>
        <w:t xml:space="preserve">to the Amending </w:t>
      </w:r>
      <w:r w:rsidR="00657FDD">
        <w:rPr>
          <w:rFonts w:ascii="Times New Roman" w:hAnsi="Times New Roman"/>
          <w:b/>
        </w:rPr>
        <w:t>Instrument</w:t>
      </w:r>
    </w:p>
    <w:p w:rsidR="005962E1" w:rsidRPr="004F615E" w:rsidRDefault="005962E1" w:rsidP="00E10784">
      <w:pPr>
        <w:spacing w:before="240" w:after="200"/>
        <w:rPr>
          <w:rFonts w:ascii="Times New Roman" w:hAnsi="Times New Roman"/>
          <w:b/>
        </w:rPr>
      </w:pPr>
      <w:r w:rsidRPr="004F615E">
        <w:rPr>
          <w:rFonts w:ascii="Times New Roman" w:hAnsi="Times New Roman"/>
          <w:b/>
        </w:rPr>
        <w:t xml:space="preserve">Item 1 </w:t>
      </w:r>
    </w:p>
    <w:p w:rsidR="00623534" w:rsidRDefault="00623534" w:rsidP="004F615E">
      <w:pPr>
        <w:spacing w:after="200"/>
        <w:rPr>
          <w:rFonts w:ascii="Times New Roman" w:hAnsi="Times New Roman"/>
        </w:rPr>
      </w:pPr>
      <w:r w:rsidRPr="00623534">
        <w:rPr>
          <w:rFonts w:ascii="Times New Roman" w:hAnsi="Times New Roman"/>
        </w:rPr>
        <w:t xml:space="preserve">Item 1 </w:t>
      </w:r>
      <w:r w:rsidR="00452819">
        <w:rPr>
          <w:rFonts w:ascii="Times New Roman" w:hAnsi="Times New Roman"/>
        </w:rPr>
        <w:t xml:space="preserve">repeals section 3 of the Declaration, which contains </w:t>
      </w:r>
      <w:r>
        <w:rPr>
          <w:rFonts w:ascii="Times New Roman" w:hAnsi="Times New Roman"/>
        </w:rPr>
        <w:t>the expiry date.</w:t>
      </w:r>
    </w:p>
    <w:p w:rsidR="005962E1" w:rsidRPr="004F615E" w:rsidRDefault="001834E4" w:rsidP="00E10784">
      <w:pPr>
        <w:spacing w:before="240" w:after="200"/>
        <w:rPr>
          <w:rFonts w:ascii="Times New Roman" w:hAnsi="Times New Roman"/>
          <w:b/>
        </w:rPr>
      </w:pPr>
      <w:r w:rsidRPr="00313DF5">
        <w:rPr>
          <w:rFonts w:ascii="Times New Roman" w:hAnsi="Times New Roman"/>
          <w:b/>
        </w:rPr>
        <w:t>Item</w:t>
      </w:r>
      <w:r>
        <w:rPr>
          <w:rFonts w:ascii="Times New Roman" w:hAnsi="Times New Roman"/>
          <w:b/>
        </w:rPr>
        <w:t xml:space="preserve"> 2</w:t>
      </w:r>
    </w:p>
    <w:p w:rsidR="005962E1" w:rsidRDefault="00623534" w:rsidP="001834E4">
      <w:pPr>
        <w:spacing w:after="200"/>
        <w:rPr>
          <w:rFonts w:ascii="Times New Roman" w:hAnsi="Times New Roman"/>
        </w:rPr>
      </w:pPr>
      <w:r>
        <w:rPr>
          <w:rFonts w:ascii="Times New Roman" w:hAnsi="Times New Roman"/>
        </w:rPr>
        <w:t xml:space="preserve">Item 2 </w:t>
      </w:r>
      <w:r w:rsidR="00640D4F">
        <w:rPr>
          <w:rFonts w:ascii="Times New Roman" w:hAnsi="Times New Roman"/>
        </w:rPr>
        <w:t xml:space="preserve">removes </w:t>
      </w:r>
      <w:r w:rsidR="007D2C33">
        <w:rPr>
          <w:rFonts w:ascii="Times New Roman" w:hAnsi="Times New Roman"/>
        </w:rPr>
        <w:t>the reference date of ‘</w:t>
      </w:r>
      <w:r w:rsidR="001834E4">
        <w:rPr>
          <w:rFonts w:ascii="Times New Roman" w:hAnsi="Times New Roman"/>
        </w:rPr>
        <w:t xml:space="preserve">30 June </w:t>
      </w:r>
      <w:r w:rsidR="00640D4F">
        <w:rPr>
          <w:rFonts w:ascii="Times New Roman" w:hAnsi="Times New Roman"/>
        </w:rPr>
        <w:t>2020</w:t>
      </w:r>
      <w:r w:rsidR="007D2C33">
        <w:rPr>
          <w:rFonts w:ascii="Times New Roman" w:hAnsi="Times New Roman"/>
        </w:rPr>
        <w:t>’</w:t>
      </w:r>
      <w:r w:rsidR="00640D4F">
        <w:rPr>
          <w:rFonts w:ascii="Times New Roman" w:hAnsi="Times New Roman"/>
        </w:rPr>
        <w:t xml:space="preserve"> </w:t>
      </w:r>
      <w:r w:rsidR="007D2C33">
        <w:rPr>
          <w:rFonts w:ascii="Times New Roman" w:hAnsi="Times New Roman"/>
        </w:rPr>
        <w:t>at paragraph 6(1</w:t>
      </w:r>
      <w:proofErr w:type="gramStart"/>
      <w:r w:rsidR="007D2C33">
        <w:rPr>
          <w:rFonts w:ascii="Times New Roman" w:hAnsi="Times New Roman"/>
        </w:rPr>
        <w:t>)(</w:t>
      </w:r>
      <w:proofErr w:type="gramEnd"/>
      <w:r w:rsidR="007D2C33">
        <w:rPr>
          <w:rFonts w:ascii="Times New Roman" w:hAnsi="Times New Roman"/>
        </w:rPr>
        <w:t>c) of the Declaration</w:t>
      </w:r>
      <w:r w:rsidR="00430988" w:rsidRPr="00313DF5">
        <w:rPr>
          <w:rFonts w:ascii="Times New Roman" w:hAnsi="Times New Roman"/>
        </w:rPr>
        <w:t>. The combined effect of Items 1 and 2 and the new arrangements in Schedule 2 of the TLA Act will be</w:t>
      </w:r>
      <w:r w:rsidR="00C87C17">
        <w:rPr>
          <w:rFonts w:ascii="Times New Roman" w:hAnsi="Times New Roman"/>
        </w:rPr>
        <w:t xml:space="preserve"> that the </w:t>
      </w:r>
      <w:r w:rsidR="00C87C17" w:rsidRPr="00CC1787">
        <w:rPr>
          <w:rFonts w:ascii="Times New Roman" w:hAnsi="Times New Roman"/>
        </w:rPr>
        <w:t>functional separation and wholesale supply obligations</w:t>
      </w:r>
      <w:r w:rsidR="00DD1CD9">
        <w:rPr>
          <w:rFonts w:ascii="Times New Roman" w:hAnsi="Times New Roman"/>
        </w:rPr>
        <w:t xml:space="preserve"> are grandfathered indefinitely. </w:t>
      </w:r>
    </w:p>
    <w:p w:rsidR="002C2DBC" w:rsidRDefault="002C2DBC" w:rsidP="007515E8">
      <w:pPr>
        <w:spacing w:after="200"/>
        <w:rPr>
          <w:rFonts w:ascii="Times New Roman" w:hAnsi="Times New Roman"/>
          <w:b/>
        </w:rPr>
      </w:pPr>
      <w:r>
        <w:rPr>
          <w:rFonts w:ascii="Times New Roman" w:hAnsi="Times New Roman"/>
          <w:b/>
        </w:rPr>
        <w:br w:type="page"/>
      </w:r>
    </w:p>
    <w:p w:rsidR="003B185C" w:rsidRPr="003B185C" w:rsidRDefault="003B185C" w:rsidP="002C2DBC">
      <w:pPr>
        <w:spacing w:after="200"/>
        <w:jc w:val="right"/>
        <w:rPr>
          <w:rFonts w:ascii="Times New Roman" w:hAnsi="Times New Roman"/>
          <w:b/>
          <w:bCs/>
        </w:rPr>
      </w:pPr>
      <w:r w:rsidRPr="003B185C">
        <w:rPr>
          <w:rFonts w:ascii="Times New Roman" w:hAnsi="Times New Roman"/>
          <w:b/>
          <w:bCs/>
        </w:rPr>
        <w:lastRenderedPageBreak/>
        <w:t xml:space="preserve">Attachment </w:t>
      </w:r>
      <w:r w:rsidR="00CD16CD">
        <w:rPr>
          <w:rFonts w:ascii="Times New Roman" w:hAnsi="Times New Roman"/>
          <w:b/>
          <w:bCs/>
        </w:rPr>
        <w:t>B</w:t>
      </w:r>
      <w:r w:rsidR="00CD16CD" w:rsidRPr="003B185C">
        <w:rPr>
          <w:rFonts w:ascii="Times New Roman" w:hAnsi="Times New Roman"/>
          <w:b/>
          <w:bCs/>
        </w:rPr>
        <w:t xml:space="preserve"> </w:t>
      </w:r>
    </w:p>
    <w:p w:rsidR="003B185C" w:rsidRPr="003B185C" w:rsidRDefault="003B185C" w:rsidP="00192E3F">
      <w:pPr>
        <w:shd w:val="clear" w:color="auto" w:fill="FFFFFF"/>
        <w:spacing w:before="100" w:beforeAutospacing="1" w:after="100" w:afterAutospacing="1"/>
        <w:jc w:val="center"/>
        <w:rPr>
          <w:rFonts w:ascii="Times New Roman" w:hAnsi="Times New Roman"/>
        </w:rPr>
      </w:pPr>
      <w:r w:rsidRPr="003B185C">
        <w:rPr>
          <w:rFonts w:ascii="Times New Roman" w:hAnsi="Times New Roman"/>
          <w:b/>
          <w:bCs/>
          <w:i/>
          <w:iCs/>
        </w:rPr>
        <w:t>Statement of Compatibility with Human Rights</w:t>
      </w:r>
    </w:p>
    <w:p w:rsidR="003B185C" w:rsidRPr="003B185C" w:rsidRDefault="00452819" w:rsidP="00192E3F">
      <w:pPr>
        <w:jc w:val="center"/>
        <w:rPr>
          <w:rFonts w:ascii="Times New Roman" w:hAnsi="Times New Roman"/>
          <w:b/>
          <w:i/>
        </w:rPr>
      </w:pPr>
      <w:r w:rsidRPr="00452819">
        <w:rPr>
          <w:rFonts w:ascii="Times New Roman" w:hAnsi="Times New Roman"/>
          <w:b/>
          <w:i/>
        </w:rPr>
        <w:t>Telecommunications (Carrier Licence Conditions) Amendment (Networks supplying Superfast Carriage Services to Residential Customers) Instrument 2020</w:t>
      </w:r>
      <w:r w:rsidRPr="00313DF5" w:rsidDel="00452819">
        <w:rPr>
          <w:rFonts w:ascii="Times New Roman" w:hAnsi="Times New Roman"/>
          <w:b/>
          <w:i/>
        </w:rPr>
        <w:t xml:space="preserve"> </w:t>
      </w:r>
    </w:p>
    <w:p w:rsidR="003B185C" w:rsidRPr="003B185C" w:rsidRDefault="00643CEF" w:rsidP="00305944">
      <w:pPr>
        <w:spacing w:after="200"/>
        <w:rPr>
          <w:rFonts w:ascii="Times New Roman" w:hAnsi="Times New Roman"/>
        </w:rPr>
      </w:pPr>
      <w:r w:rsidRPr="0034112F">
        <w:rPr>
          <w:rFonts w:ascii="Times New Roman" w:hAnsi="Times New Roman"/>
        </w:rPr>
        <w:t xml:space="preserve">This statement is prepared in accordance with Part 3 of the </w:t>
      </w:r>
      <w:r w:rsidRPr="0034112F">
        <w:rPr>
          <w:rFonts w:ascii="Times New Roman" w:hAnsi="Times New Roman"/>
          <w:i/>
        </w:rPr>
        <w:t>Human Rights (Parliamentary Scrutiny) Act 2011</w:t>
      </w:r>
      <w:r w:rsidRPr="0034112F">
        <w:rPr>
          <w:rFonts w:ascii="Times New Roman" w:hAnsi="Times New Roman"/>
        </w:rPr>
        <w:t>.</w:t>
      </w:r>
      <w:r w:rsidR="00E10784">
        <w:rPr>
          <w:rFonts w:ascii="Times New Roman" w:hAnsi="Times New Roman"/>
        </w:rPr>
        <w:t xml:space="preserve"> </w:t>
      </w:r>
      <w:r w:rsidR="003B185C" w:rsidRPr="003B185C">
        <w:rPr>
          <w:rFonts w:ascii="Times New Roman" w:hAnsi="Times New Roman"/>
        </w:rPr>
        <w:t xml:space="preserve">The </w:t>
      </w:r>
      <w:r w:rsidR="00452819" w:rsidRPr="00A87F76">
        <w:rPr>
          <w:rFonts w:ascii="Times New Roman" w:hAnsi="Times New Roman"/>
          <w:i/>
        </w:rPr>
        <w:t>Telecommunications (Carrier Licence Conditions) Amendment (Networks supplying Superfast Carriage Services to Residential Customers) Instrument 2020</w:t>
      </w:r>
      <w:r w:rsidR="00452819" w:rsidRPr="00313DF5" w:rsidDel="00452819">
        <w:rPr>
          <w:rFonts w:ascii="Times New Roman" w:hAnsi="Times New Roman"/>
          <w:i/>
        </w:rPr>
        <w:t xml:space="preserve"> </w:t>
      </w:r>
      <w:r w:rsidR="003B185C" w:rsidRPr="003B185C">
        <w:rPr>
          <w:rFonts w:ascii="Times New Roman" w:hAnsi="Times New Roman"/>
        </w:rPr>
        <w:t>(the</w:t>
      </w:r>
      <w:r w:rsidR="00E10784">
        <w:rPr>
          <w:rFonts w:ascii="Times New Roman" w:hAnsi="Times New Roman"/>
        </w:rPr>
        <w:t> </w:t>
      </w:r>
      <w:r w:rsidR="003B185C" w:rsidRPr="003B185C">
        <w:rPr>
          <w:rFonts w:ascii="Times New Roman" w:hAnsi="Times New Roman"/>
        </w:rPr>
        <w:t xml:space="preserve">Amending </w:t>
      </w:r>
      <w:r w:rsidR="00657FDD">
        <w:rPr>
          <w:rFonts w:ascii="Times New Roman" w:hAnsi="Times New Roman"/>
        </w:rPr>
        <w:t>Instrument</w:t>
      </w:r>
      <w:r w:rsidR="003B185C" w:rsidRPr="003B185C">
        <w:rPr>
          <w:rFonts w:ascii="Times New Roman" w:hAnsi="Times New Roman"/>
        </w:rPr>
        <w:t>) is compatible wi</w:t>
      </w:r>
      <w:r w:rsidR="001834E4">
        <w:rPr>
          <w:rFonts w:ascii="Times New Roman" w:hAnsi="Times New Roman"/>
        </w:rPr>
        <w:t xml:space="preserve">th the </w:t>
      </w:r>
      <w:r w:rsidR="00691A23">
        <w:rPr>
          <w:rFonts w:ascii="Times New Roman" w:hAnsi="Times New Roman"/>
        </w:rPr>
        <w:t xml:space="preserve">human </w:t>
      </w:r>
      <w:r w:rsidR="001834E4">
        <w:rPr>
          <w:rFonts w:ascii="Times New Roman" w:hAnsi="Times New Roman"/>
        </w:rPr>
        <w:t xml:space="preserve">rights </w:t>
      </w:r>
      <w:r w:rsidR="00691A23">
        <w:rPr>
          <w:rFonts w:ascii="Times New Roman" w:hAnsi="Times New Roman"/>
        </w:rPr>
        <w:t>and freedoms recognised or declared</w:t>
      </w:r>
      <w:r w:rsidR="003B185C" w:rsidRPr="003B185C">
        <w:rPr>
          <w:rFonts w:ascii="Times New Roman" w:hAnsi="Times New Roman"/>
        </w:rPr>
        <w:t xml:space="preserve"> in the international instruments listed in section 3 of the </w:t>
      </w:r>
      <w:r w:rsidR="001834E4" w:rsidRPr="001834E4">
        <w:rPr>
          <w:rFonts w:ascii="Times New Roman" w:hAnsi="Times New Roman"/>
          <w:i/>
        </w:rPr>
        <w:t>Human Rights (Parliamentary Scrutiny) Act 2011</w:t>
      </w:r>
      <w:r w:rsidR="003B185C" w:rsidRPr="003B185C">
        <w:rPr>
          <w:rFonts w:ascii="Times New Roman" w:hAnsi="Times New Roman"/>
        </w:rPr>
        <w:t>.</w:t>
      </w:r>
    </w:p>
    <w:p w:rsidR="003B185C" w:rsidRPr="003B185C" w:rsidRDefault="003B185C" w:rsidP="004E64D2">
      <w:pPr>
        <w:spacing w:after="120"/>
        <w:rPr>
          <w:rFonts w:ascii="Times New Roman" w:hAnsi="Times New Roman"/>
          <w:b/>
        </w:rPr>
      </w:pPr>
      <w:r w:rsidRPr="003B185C">
        <w:rPr>
          <w:rFonts w:ascii="Times New Roman" w:hAnsi="Times New Roman"/>
          <w:b/>
        </w:rPr>
        <w:t>Overview of the Amend</w:t>
      </w:r>
      <w:r w:rsidR="004A2AE8" w:rsidRPr="0034112F">
        <w:rPr>
          <w:rFonts w:ascii="Times New Roman" w:hAnsi="Times New Roman"/>
          <w:b/>
        </w:rPr>
        <w:t xml:space="preserve">ing </w:t>
      </w:r>
      <w:r w:rsidR="00657FDD">
        <w:rPr>
          <w:rFonts w:ascii="Times New Roman" w:hAnsi="Times New Roman"/>
          <w:b/>
        </w:rPr>
        <w:t>Instrument</w:t>
      </w:r>
      <w:r w:rsidRPr="003B185C">
        <w:rPr>
          <w:rFonts w:ascii="Times New Roman" w:hAnsi="Times New Roman"/>
          <w:b/>
        </w:rPr>
        <w:t xml:space="preserve"> </w:t>
      </w:r>
    </w:p>
    <w:p w:rsidR="003B185C" w:rsidRDefault="00643CEF" w:rsidP="00305944">
      <w:pPr>
        <w:spacing w:after="200"/>
        <w:rPr>
          <w:rFonts w:ascii="Times New Roman" w:hAnsi="Times New Roman"/>
        </w:rPr>
      </w:pPr>
      <w:r>
        <w:rPr>
          <w:rFonts w:ascii="Times New Roman" w:hAnsi="Times New Roman"/>
        </w:rPr>
        <w:t xml:space="preserve">Licensed </w:t>
      </w:r>
      <w:r w:rsidR="00892A79">
        <w:rPr>
          <w:rFonts w:ascii="Times New Roman" w:hAnsi="Times New Roman"/>
        </w:rPr>
        <w:t xml:space="preserve">telecommunications </w:t>
      </w:r>
      <w:r>
        <w:rPr>
          <w:rFonts w:ascii="Times New Roman" w:hAnsi="Times New Roman"/>
        </w:rPr>
        <w:t xml:space="preserve">carriers are </w:t>
      </w:r>
      <w:r w:rsidRPr="003B185C">
        <w:rPr>
          <w:rFonts w:ascii="Times New Roman" w:hAnsi="Times New Roman"/>
        </w:rPr>
        <w:t xml:space="preserve">currently subject to two classes of carrier licence conditions: standard licence conditions under the </w:t>
      </w:r>
      <w:r w:rsidRPr="002C2DBC">
        <w:rPr>
          <w:rFonts w:ascii="Times New Roman" w:hAnsi="Times New Roman"/>
          <w:i/>
        </w:rPr>
        <w:t>Telecommunications Act 1997</w:t>
      </w:r>
      <w:r w:rsidR="003C30A7">
        <w:rPr>
          <w:rFonts w:ascii="Times New Roman" w:hAnsi="Times New Roman"/>
          <w:i/>
        </w:rPr>
        <w:t xml:space="preserve"> </w:t>
      </w:r>
      <w:r w:rsidR="003C30A7">
        <w:rPr>
          <w:rFonts w:ascii="Times New Roman" w:hAnsi="Times New Roman"/>
        </w:rPr>
        <w:t>(the Act)</w:t>
      </w:r>
      <w:r w:rsidRPr="003B185C">
        <w:rPr>
          <w:rFonts w:ascii="Times New Roman" w:hAnsi="Times New Roman"/>
        </w:rPr>
        <w:t xml:space="preserve">; and specific licence conditions </w:t>
      </w:r>
      <w:r>
        <w:rPr>
          <w:rFonts w:ascii="Times New Roman" w:hAnsi="Times New Roman"/>
        </w:rPr>
        <w:t xml:space="preserve">made by the Minister under section 63 of the </w:t>
      </w:r>
      <w:r w:rsidR="003C30A7">
        <w:rPr>
          <w:rFonts w:ascii="Times New Roman" w:hAnsi="Times New Roman"/>
        </w:rPr>
        <w:t>Act</w:t>
      </w:r>
      <w:r w:rsidRPr="003B185C">
        <w:rPr>
          <w:rFonts w:ascii="Times New Roman" w:hAnsi="Times New Roman"/>
        </w:rPr>
        <w:t xml:space="preserve">. </w:t>
      </w:r>
      <w:r w:rsidR="003B185C" w:rsidRPr="003B185C">
        <w:rPr>
          <w:rFonts w:ascii="Times New Roman" w:hAnsi="Times New Roman"/>
        </w:rPr>
        <w:t xml:space="preserve">The purpose of the Amending </w:t>
      </w:r>
      <w:r w:rsidR="00657FDD">
        <w:rPr>
          <w:rFonts w:ascii="Times New Roman" w:hAnsi="Times New Roman"/>
        </w:rPr>
        <w:t>Instrument</w:t>
      </w:r>
      <w:r w:rsidR="003B185C" w:rsidRPr="003B185C">
        <w:rPr>
          <w:rFonts w:ascii="Times New Roman" w:hAnsi="Times New Roman"/>
        </w:rPr>
        <w:t xml:space="preserve"> is to </w:t>
      </w:r>
      <w:r w:rsidR="00A87F76">
        <w:rPr>
          <w:rFonts w:ascii="Times New Roman" w:hAnsi="Times New Roman"/>
        </w:rPr>
        <w:t xml:space="preserve">indefinitely </w:t>
      </w:r>
      <w:r w:rsidR="003B185C">
        <w:rPr>
          <w:rFonts w:ascii="Times New Roman" w:hAnsi="Times New Roman"/>
        </w:rPr>
        <w:t xml:space="preserve">extend the expiry date of the </w:t>
      </w:r>
      <w:r w:rsidR="004E64D2" w:rsidRPr="004E64D2">
        <w:rPr>
          <w:rFonts w:ascii="Times New Roman" w:hAnsi="Times New Roman"/>
          <w:i/>
          <w:iCs/>
        </w:rPr>
        <w:t>Carrier Licence Conditions (Networks supplying</w:t>
      </w:r>
      <w:r w:rsidR="0038351B">
        <w:rPr>
          <w:rFonts w:ascii="Times New Roman" w:hAnsi="Times New Roman"/>
          <w:i/>
          <w:iCs/>
        </w:rPr>
        <w:t xml:space="preserve"> S</w:t>
      </w:r>
      <w:r w:rsidR="004E64D2" w:rsidRPr="004E64D2">
        <w:rPr>
          <w:rFonts w:ascii="Times New Roman" w:hAnsi="Times New Roman"/>
          <w:i/>
          <w:iCs/>
        </w:rPr>
        <w:t xml:space="preserve">uperfast </w:t>
      </w:r>
      <w:r w:rsidR="0038351B">
        <w:rPr>
          <w:rFonts w:ascii="Times New Roman" w:hAnsi="Times New Roman"/>
          <w:i/>
          <w:iCs/>
        </w:rPr>
        <w:t>C</w:t>
      </w:r>
      <w:r w:rsidR="004E64D2" w:rsidRPr="004E64D2">
        <w:rPr>
          <w:rFonts w:ascii="Times New Roman" w:hAnsi="Times New Roman"/>
          <w:i/>
          <w:iCs/>
        </w:rPr>
        <w:t xml:space="preserve">arriage </w:t>
      </w:r>
      <w:r w:rsidR="0038351B">
        <w:rPr>
          <w:rFonts w:ascii="Times New Roman" w:hAnsi="Times New Roman"/>
          <w:i/>
          <w:iCs/>
        </w:rPr>
        <w:t>S</w:t>
      </w:r>
      <w:r w:rsidR="004E64D2" w:rsidRPr="004E64D2">
        <w:rPr>
          <w:rFonts w:ascii="Times New Roman" w:hAnsi="Times New Roman"/>
          <w:i/>
          <w:iCs/>
        </w:rPr>
        <w:t xml:space="preserve">ervices to </w:t>
      </w:r>
      <w:r w:rsidR="0038351B">
        <w:rPr>
          <w:rFonts w:ascii="Times New Roman" w:hAnsi="Times New Roman"/>
          <w:i/>
          <w:iCs/>
        </w:rPr>
        <w:t>R</w:t>
      </w:r>
      <w:r w:rsidR="004E64D2" w:rsidRPr="004E64D2">
        <w:rPr>
          <w:rFonts w:ascii="Times New Roman" w:hAnsi="Times New Roman"/>
          <w:i/>
          <w:iCs/>
        </w:rPr>
        <w:t xml:space="preserve">esidential </w:t>
      </w:r>
      <w:r w:rsidR="0038351B">
        <w:rPr>
          <w:rFonts w:ascii="Times New Roman" w:hAnsi="Times New Roman"/>
          <w:i/>
          <w:iCs/>
        </w:rPr>
        <w:t>C</w:t>
      </w:r>
      <w:r w:rsidR="004E64D2" w:rsidRPr="004E64D2">
        <w:rPr>
          <w:rFonts w:ascii="Times New Roman" w:hAnsi="Times New Roman"/>
          <w:i/>
          <w:iCs/>
        </w:rPr>
        <w:t xml:space="preserve">ustomers) Declaration 2014 </w:t>
      </w:r>
      <w:r w:rsidR="004E64D2" w:rsidRPr="004E64D2">
        <w:rPr>
          <w:rFonts w:ascii="Times New Roman" w:hAnsi="Times New Roman"/>
        </w:rPr>
        <w:t>(</w:t>
      </w:r>
      <w:r w:rsidR="00083910">
        <w:rPr>
          <w:rFonts w:ascii="Times New Roman" w:hAnsi="Times New Roman"/>
        </w:rPr>
        <w:t xml:space="preserve">the </w:t>
      </w:r>
      <w:r w:rsidR="001834E4">
        <w:rPr>
          <w:rFonts w:ascii="Times New Roman" w:hAnsi="Times New Roman"/>
        </w:rPr>
        <w:t>Declaration</w:t>
      </w:r>
      <w:r w:rsidR="004E64D2">
        <w:rPr>
          <w:rFonts w:ascii="Times New Roman" w:hAnsi="Times New Roman"/>
        </w:rPr>
        <w:t>)</w:t>
      </w:r>
      <w:r w:rsidR="003B185C">
        <w:rPr>
          <w:rFonts w:ascii="Times New Roman" w:hAnsi="Times New Roman"/>
        </w:rPr>
        <w:t xml:space="preserve">. </w:t>
      </w:r>
    </w:p>
    <w:p w:rsidR="00DD1CD9" w:rsidRDefault="00DD1CD9" w:rsidP="00DD1CD9">
      <w:pPr>
        <w:spacing w:after="200"/>
        <w:rPr>
          <w:rFonts w:ascii="Times New Roman" w:hAnsi="Times New Roman"/>
        </w:rPr>
      </w:pPr>
      <w:r>
        <w:rPr>
          <w:rFonts w:ascii="Times New Roman" w:hAnsi="Times New Roman"/>
        </w:rPr>
        <w:t xml:space="preserve">The Declaration </w:t>
      </w:r>
      <w:r w:rsidR="00785DE3">
        <w:rPr>
          <w:rFonts w:ascii="Times New Roman" w:hAnsi="Times New Roman"/>
        </w:rPr>
        <w:t xml:space="preserve">imposes </w:t>
      </w:r>
      <w:r w:rsidR="00892A79">
        <w:rPr>
          <w:rFonts w:ascii="Times New Roman" w:hAnsi="Times New Roman"/>
        </w:rPr>
        <w:t xml:space="preserve">carrier </w:t>
      </w:r>
      <w:r w:rsidR="00644AB5">
        <w:rPr>
          <w:rFonts w:ascii="Times New Roman" w:hAnsi="Times New Roman"/>
        </w:rPr>
        <w:t xml:space="preserve">licence conditions </w:t>
      </w:r>
      <w:r w:rsidR="00892A79">
        <w:rPr>
          <w:rFonts w:ascii="Times New Roman" w:hAnsi="Times New Roman"/>
        </w:rPr>
        <w:t xml:space="preserve">in respect of various types of vertically integrated networks </w:t>
      </w:r>
      <w:r w:rsidR="00644AB5">
        <w:rPr>
          <w:rFonts w:ascii="Times New Roman" w:hAnsi="Times New Roman"/>
        </w:rPr>
        <w:t xml:space="preserve">to </w:t>
      </w:r>
      <w:r w:rsidRPr="00313DF5">
        <w:rPr>
          <w:rFonts w:ascii="Times New Roman" w:hAnsi="Times New Roman"/>
        </w:rPr>
        <w:t>address</w:t>
      </w:r>
      <w:r>
        <w:rPr>
          <w:rFonts w:ascii="Times New Roman" w:hAnsi="Times New Roman"/>
        </w:rPr>
        <w:t xml:space="preserve"> concerns that </w:t>
      </w:r>
      <w:r w:rsidR="00892A79">
        <w:rPr>
          <w:rFonts w:ascii="Times New Roman" w:hAnsi="Times New Roman"/>
        </w:rPr>
        <w:t xml:space="preserve">such </w:t>
      </w:r>
      <w:r>
        <w:rPr>
          <w:rFonts w:ascii="Times New Roman" w:hAnsi="Times New Roman"/>
        </w:rPr>
        <w:t>networks</w:t>
      </w:r>
      <w:r w:rsidR="00892A79">
        <w:rPr>
          <w:rFonts w:ascii="Times New Roman" w:hAnsi="Times New Roman"/>
        </w:rPr>
        <w:t xml:space="preserve">, which </w:t>
      </w:r>
      <w:r w:rsidR="00785DE3">
        <w:rPr>
          <w:rFonts w:ascii="Times New Roman" w:hAnsi="Times New Roman"/>
        </w:rPr>
        <w:t>would</w:t>
      </w:r>
      <w:r w:rsidR="00785DE3" w:rsidDel="00892A79">
        <w:rPr>
          <w:rFonts w:ascii="Times New Roman" w:hAnsi="Times New Roman"/>
        </w:rPr>
        <w:t xml:space="preserve"> </w:t>
      </w:r>
      <w:r w:rsidR="00644AB5">
        <w:rPr>
          <w:rFonts w:ascii="Times New Roman" w:hAnsi="Times New Roman"/>
        </w:rPr>
        <w:t xml:space="preserve">not otherwise </w:t>
      </w:r>
      <w:r w:rsidR="00785DE3">
        <w:rPr>
          <w:rFonts w:ascii="Times New Roman" w:hAnsi="Times New Roman"/>
        </w:rPr>
        <w:t xml:space="preserve">be </w:t>
      </w:r>
      <w:r w:rsidR="00644AB5">
        <w:rPr>
          <w:rFonts w:ascii="Times New Roman" w:hAnsi="Times New Roman"/>
        </w:rPr>
        <w:t xml:space="preserve">subject to the Layer 2 </w:t>
      </w:r>
      <w:proofErr w:type="spellStart"/>
      <w:r w:rsidR="00892A79">
        <w:rPr>
          <w:rFonts w:ascii="Times New Roman" w:hAnsi="Times New Roman"/>
        </w:rPr>
        <w:t>bitstream</w:t>
      </w:r>
      <w:proofErr w:type="spellEnd"/>
      <w:r w:rsidR="00644AB5">
        <w:rPr>
          <w:rFonts w:ascii="Times New Roman" w:hAnsi="Times New Roman"/>
        </w:rPr>
        <w:t xml:space="preserve"> service </w:t>
      </w:r>
      <w:r w:rsidR="00892A79">
        <w:rPr>
          <w:rFonts w:ascii="Times New Roman" w:hAnsi="Times New Roman"/>
        </w:rPr>
        <w:t>supply</w:t>
      </w:r>
      <w:r w:rsidR="00C4590A">
        <w:rPr>
          <w:rFonts w:ascii="Times New Roman" w:hAnsi="Times New Roman"/>
        </w:rPr>
        <w:t xml:space="preserve"> requirements</w:t>
      </w:r>
      <w:r w:rsidR="00892A79">
        <w:rPr>
          <w:rFonts w:ascii="Times New Roman" w:hAnsi="Times New Roman"/>
        </w:rPr>
        <w:t xml:space="preserve"> </w:t>
      </w:r>
      <w:r w:rsidR="00C4590A">
        <w:rPr>
          <w:rFonts w:ascii="Times New Roman" w:hAnsi="Times New Roman"/>
        </w:rPr>
        <w:t xml:space="preserve">established under the former Part 7 of the Act </w:t>
      </w:r>
      <w:r w:rsidR="00644AB5">
        <w:rPr>
          <w:rFonts w:ascii="Times New Roman" w:hAnsi="Times New Roman"/>
        </w:rPr>
        <w:t>and structur</w:t>
      </w:r>
      <w:r w:rsidR="00892A79">
        <w:rPr>
          <w:rFonts w:ascii="Times New Roman" w:hAnsi="Times New Roman"/>
        </w:rPr>
        <w:t>al</w:t>
      </w:r>
      <w:r w:rsidR="00644AB5">
        <w:rPr>
          <w:rFonts w:ascii="Times New Roman" w:hAnsi="Times New Roman"/>
        </w:rPr>
        <w:t xml:space="preserve"> separation rules under Part 8 of the Act, </w:t>
      </w:r>
      <w:r>
        <w:rPr>
          <w:rFonts w:ascii="Times New Roman" w:hAnsi="Times New Roman"/>
        </w:rPr>
        <w:t xml:space="preserve">could create local access bottlenecks that impede effective retail competition and that such operations therefore have an unfair competitive advantage over other networks that are subject to the rules in the </w:t>
      </w:r>
      <w:r w:rsidRPr="005534C1">
        <w:rPr>
          <w:rFonts w:ascii="Times New Roman" w:hAnsi="Times New Roman"/>
        </w:rPr>
        <w:t>Act.</w:t>
      </w:r>
      <w:r>
        <w:rPr>
          <w:rFonts w:ascii="Times New Roman" w:hAnsi="Times New Roman"/>
        </w:rPr>
        <w:t xml:space="preserve"> </w:t>
      </w:r>
    </w:p>
    <w:p w:rsidR="006969F6" w:rsidRDefault="006969F6" w:rsidP="006969F6">
      <w:pPr>
        <w:spacing w:after="200"/>
        <w:rPr>
          <w:rFonts w:ascii="Times New Roman" w:hAnsi="Times New Roman"/>
        </w:rPr>
      </w:pPr>
      <w:r>
        <w:rPr>
          <w:rFonts w:ascii="Times New Roman" w:hAnsi="Times New Roman"/>
        </w:rPr>
        <w:t>T</w:t>
      </w:r>
      <w:r w:rsidRPr="00ED2856">
        <w:rPr>
          <w:rFonts w:ascii="Times New Roman" w:hAnsi="Times New Roman"/>
        </w:rPr>
        <w:t xml:space="preserve">he </w:t>
      </w:r>
      <w:r>
        <w:rPr>
          <w:rFonts w:ascii="Times New Roman" w:hAnsi="Times New Roman"/>
        </w:rPr>
        <w:t xml:space="preserve">Amending </w:t>
      </w:r>
      <w:r w:rsidR="00657FDD">
        <w:rPr>
          <w:rFonts w:ascii="Times New Roman" w:hAnsi="Times New Roman"/>
        </w:rPr>
        <w:t>Instrument</w:t>
      </w:r>
      <w:r w:rsidRPr="00ED2856">
        <w:rPr>
          <w:rFonts w:ascii="Times New Roman" w:hAnsi="Times New Roman"/>
        </w:rPr>
        <w:t xml:space="preserve"> </w:t>
      </w:r>
      <w:r>
        <w:rPr>
          <w:rFonts w:ascii="Times New Roman" w:hAnsi="Times New Roman"/>
        </w:rPr>
        <w:t>remove</w:t>
      </w:r>
      <w:r w:rsidR="00785DE3">
        <w:rPr>
          <w:rFonts w:ascii="Times New Roman" w:hAnsi="Times New Roman"/>
        </w:rPr>
        <w:t>s</w:t>
      </w:r>
      <w:r>
        <w:rPr>
          <w:rFonts w:ascii="Times New Roman" w:hAnsi="Times New Roman"/>
        </w:rPr>
        <w:t xml:space="preserve"> the expiry date of the Declaration</w:t>
      </w:r>
      <w:r w:rsidR="00892A79">
        <w:rPr>
          <w:rFonts w:ascii="Times New Roman" w:hAnsi="Times New Roman"/>
        </w:rPr>
        <w:t xml:space="preserve"> at section 3 and the </w:t>
      </w:r>
      <w:r w:rsidR="00785DE3">
        <w:rPr>
          <w:rFonts w:ascii="Times New Roman" w:hAnsi="Times New Roman"/>
        </w:rPr>
        <w:t>30 </w:t>
      </w:r>
      <w:r w:rsidR="00892A79">
        <w:rPr>
          <w:rFonts w:ascii="Times New Roman" w:hAnsi="Times New Roman"/>
        </w:rPr>
        <w:t xml:space="preserve">June 2020 </w:t>
      </w:r>
      <w:r w:rsidR="00594D4E">
        <w:rPr>
          <w:rFonts w:ascii="Times New Roman" w:hAnsi="Times New Roman"/>
        </w:rPr>
        <w:t xml:space="preserve">end </w:t>
      </w:r>
      <w:r w:rsidR="00892A79">
        <w:rPr>
          <w:rFonts w:ascii="Times New Roman" w:hAnsi="Times New Roman"/>
        </w:rPr>
        <w:t xml:space="preserve">date in paragraph 6(1)(c) of the </w:t>
      </w:r>
      <w:r w:rsidR="00746E1B">
        <w:rPr>
          <w:rFonts w:ascii="Times New Roman" w:hAnsi="Times New Roman"/>
        </w:rPr>
        <w:t>Declaration</w:t>
      </w:r>
      <w:r>
        <w:rPr>
          <w:rFonts w:ascii="Times New Roman" w:hAnsi="Times New Roman"/>
        </w:rPr>
        <w:t xml:space="preserve">. This will prevent the Declaration </w:t>
      </w:r>
      <w:r w:rsidR="00892A79">
        <w:rPr>
          <w:rFonts w:ascii="Times New Roman" w:hAnsi="Times New Roman"/>
        </w:rPr>
        <w:t xml:space="preserve">and substantive licence conditions </w:t>
      </w:r>
      <w:r>
        <w:rPr>
          <w:rFonts w:ascii="Times New Roman" w:hAnsi="Times New Roman"/>
        </w:rPr>
        <w:t xml:space="preserve">from lapsing before </w:t>
      </w:r>
      <w:r w:rsidR="00892A79">
        <w:rPr>
          <w:rFonts w:ascii="Times New Roman" w:hAnsi="Times New Roman"/>
        </w:rPr>
        <w:t xml:space="preserve">the </w:t>
      </w:r>
      <w:r>
        <w:rPr>
          <w:rFonts w:ascii="Times New Roman" w:hAnsi="Times New Roman"/>
        </w:rPr>
        <w:t>new arrangements</w:t>
      </w:r>
      <w:r w:rsidR="00892A79">
        <w:rPr>
          <w:rFonts w:ascii="Times New Roman" w:hAnsi="Times New Roman"/>
        </w:rPr>
        <w:t xml:space="preserve"> </w:t>
      </w:r>
      <w:r>
        <w:rPr>
          <w:rFonts w:ascii="Times New Roman" w:hAnsi="Times New Roman"/>
        </w:rPr>
        <w:t xml:space="preserve">in Schedule 2 of the </w:t>
      </w:r>
      <w:r w:rsidRPr="002F1A50">
        <w:rPr>
          <w:rFonts w:ascii="Times New Roman" w:hAnsi="Times New Roman"/>
          <w:i/>
        </w:rPr>
        <w:t>Telecommunications Legislation Amendment (Competition and Consumer) Act 2020</w:t>
      </w:r>
      <w:r w:rsidRPr="00AE79FE">
        <w:rPr>
          <w:rFonts w:ascii="Times New Roman" w:hAnsi="Times New Roman"/>
        </w:rPr>
        <w:t xml:space="preserve"> </w:t>
      </w:r>
      <w:r>
        <w:rPr>
          <w:rFonts w:ascii="Times New Roman" w:hAnsi="Times New Roman"/>
        </w:rPr>
        <w:t>(</w:t>
      </w:r>
      <w:r w:rsidR="00083910">
        <w:rPr>
          <w:rFonts w:ascii="Times New Roman" w:hAnsi="Times New Roman"/>
        </w:rPr>
        <w:t xml:space="preserve">the </w:t>
      </w:r>
      <w:r>
        <w:rPr>
          <w:rFonts w:ascii="Times New Roman" w:hAnsi="Times New Roman"/>
        </w:rPr>
        <w:t>TLA Act</w:t>
      </w:r>
      <w:r w:rsidR="00D14A6B" w:rsidRPr="00313DF5">
        <w:rPr>
          <w:rFonts w:ascii="Times New Roman" w:hAnsi="Times New Roman"/>
        </w:rPr>
        <w:t>)</w:t>
      </w:r>
      <w:r w:rsidRPr="00313DF5">
        <w:rPr>
          <w:rFonts w:ascii="Times New Roman" w:hAnsi="Times New Roman"/>
        </w:rPr>
        <w:t>,</w:t>
      </w:r>
      <w:r>
        <w:rPr>
          <w:rFonts w:ascii="Times New Roman" w:hAnsi="Times New Roman"/>
        </w:rPr>
        <w:t xml:space="preserve"> commence on 26 August 2020</w:t>
      </w:r>
      <w:r w:rsidRPr="007D317C">
        <w:rPr>
          <w:rFonts w:ascii="Times New Roman" w:hAnsi="Times New Roman"/>
        </w:rPr>
        <w:t>.</w:t>
      </w:r>
      <w:r w:rsidR="00D14A6B">
        <w:rPr>
          <w:rFonts w:ascii="Times New Roman" w:hAnsi="Times New Roman"/>
        </w:rPr>
        <w:t xml:space="preserve"> </w:t>
      </w:r>
      <w:r w:rsidR="00892A79">
        <w:rPr>
          <w:rFonts w:ascii="Times New Roman" w:hAnsi="Times New Roman"/>
        </w:rPr>
        <w:t xml:space="preserve">Those new arrangements are directed at preserving the operation of the Declaration so the licence conditions apply </w:t>
      </w:r>
      <w:r w:rsidR="00892A79" w:rsidRPr="00AE79FE">
        <w:rPr>
          <w:rFonts w:ascii="Times New Roman" w:hAnsi="Times New Roman"/>
        </w:rPr>
        <w:t xml:space="preserve">indefinitely to </w:t>
      </w:r>
      <w:r w:rsidR="00892A79">
        <w:rPr>
          <w:rFonts w:ascii="Times New Roman" w:hAnsi="Times New Roman"/>
        </w:rPr>
        <w:t xml:space="preserve">the applicable networks captured by the Declaration and </w:t>
      </w:r>
      <w:r w:rsidR="00746E1B">
        <w:rPr>
          <w:rFonts w:ascii="Times New Roman" w:hAnsi="Times New Roman"/>
        </w:rPr>
        <w:t xml:space="preserve">which </w:t>
      </w:r>
      <w:r w:rsidR="00892A79">
        <w:rPr>
          <w:rFonts w:ascii="Times New Roman" w:hAnsi="Times New Roman"/>
        </w:rPr>
        <w:t>were rolled out between 1</w:t>
      </w:r>
      <w:r w:rsidR="00594D4E">
        <w:rPr>
          <w:rFonts w:ascii="Times New Roman" w:hAnsi="Times New Roman"/>
        </w:rPr>
        <w:t> </w:t>
      </w:r>
      <w:r w:rsidR="00892A79">
        <w:rPr>
          <w:rFonts w:ascii="Times New Roman" w:hAnsi="Times New Roman"/>
        </w:rPr>
        <w:t>January</w:t>
      </w:r>
      <w:r w:rsidR="00594D4E">
        <w:rPr>
          <w:rFonts w:ascii="Times New Roman" w:hAnsi="Times New Roman"/>
        </w:rPr>
        <w:t> </w:t>
      </w:r>
      <w:r w:rsidR="00892A79">
        <w:rPr>
          <w:rFonts w:ascii="Times New Roman" w:hAnsi="Times New Roman"/>
        </w:rPr>
        <w:t xml:space="preserve">2015 and the commencement of </w:t>
      </w:r>
      <w:r w:rsidR="00E13D2A">
        <w:rPr>
          <w:rFonts w:ascii="Times New Roman" w:hAnsi="Times New Roman"/>
        </w:rPr>
        <w:t>Schedule 2</w:t>
      </w:r>
      <w:r w:rsidR="00892A79">
        <w:rPr>
          <w:rFonts w:ascii="Times New Roman" w:hAnsi="Times New Roman"/>
        </w:rPr>
        <w:t xml:space="preserve"> of the </w:t>
      </w:r>
      <w:r w:rsidR="00E13D2A">
        <w:rPr>
          <w:rFonts w:ascii="Times New Roman" w:hAnsi="Times New Roman"/>
        </w:rPr>
        <w:t xml:space="preserve">TLA </w:t>
      </w:r>
      <w:r w:rsidR="00892A79">
        <w:rPr>
          <w:rFonts w:ascii="Times New Roman" w:hAnsi="Times New Roman"/>
        </w:rPr>
        <w:t>Act</w:t>
      </w:r>
      <w:r w:rsidR="00E13D2A">
        <w:rPr>
          <w:rFonts w:ascii="Times New Roman" w:hAnsi="Times New Roman"/>
        </w:rPr>
        <w:t xml:space="preserve"> </w:t>
      </w:r>
      <w:r w:rsidR="00B535D1">
        <w:rPr>
          <w:rFonts w:ascii="Times New Roman" w:hAnsi="Times New Roman"/>
        </w:rPr>
        <w:t>(</w:t>
      </w:r>
      <w:r w:rsidR="00E13D2A">
        <w:rPr>
          <w:rFonts w:ascii="Times New Roman" w:hAnsi="Times New Roman"/>
        </w:rPr>
        <w:t>on 26 August 2020</w:t>
      </w:r>
      <w:r w:rsidR="00B535D1">
        <w:rPr>
          <w:rFonts w:ascii="Times New Roman" w:hAnsi="Times New Roman"/>
        </w:rPr>
        <w:t>)</w:t>
      </w:r>
      <w:r w:rsidR="00892A79" w:rsidRPr="00AE79FE">
        <w:rPr>
          <w:rFonts w:ascii="Times New Roman" w:hAnsi="Times New Roman"/>
        </w:rPr>
        <w:t>.</w:t>
      </w:r>
    </w:p>
    <w:p w:rsidR="006969F6" w:rsidRDefault="006969F6" w:rsidP="006969F6">
      <w:pPr>
        <w:spacing w:after="200"/>
        <w:rPr>
          <w:rFonts w:ascii="Times New Roman" w:hAnsi="Times New Roman"/>
        </w:rPr>
      </w:pPr>
      <w:r w:rsidRPr="00313DF5">
        <w:rPr>
          <w:rFonts w:ascii="Times New Roman" w:hAnsi="Times New Roman"/>
        </w:rPr>
        <w:t>Combined, these changes will effectively ‘grandfather’ the Declaration.</w:t>
      </w:r>
    </w:p>
    <w:p w:rsidR="003B185C" w:rsidRPr="0034112F" w:rsidRDefault="003B185C" w:rsidP="006969F6">
      <w:pPr>
        <w:spacing w:after="120"/>
        <w:rPr>
          <w:rFonts w:ascii="Times New Roman" w:hAnsi="Times New Roman"/>
          <w:b/>
        </w:rPr>
      </w:pPr>
      <w:r w:rsidRPr="003B185C">
        <w:rPr>
          <w:rFonts w:ascii="Times New Roman" w:hAnsi="Times New Roman"/>
          <w:b/>
        </w:rPr>
        <w:t>Human rights implications</w:t>
      </w:r>
    </w:p>
    <w:p w:rsidR="003B185C" w:rsidRPr="003B185C" w:rsidRDefault="003B185C" w:rsidP="00305944">
      <w:pPr>
        <w:spacing w:after="200"/>
        <w:rPr>
          <w:rFonts w:ascii="Times New Roman" w:hAnsi="Times New Roman"/>
        </w:rPr>
      </w:pPr>
      <w:r w:rsidRPr="003B185C">
        <w:rPr>
          <w:rFonts w:ascii="Times New Roman" w:hAnsi="Times New Roman"/>
        </w:rPr>
        <w:t xml:space="preserve">The Amending </w:t>
      </w:r>
      <w:r w:rsidR="00657FDD">
        <w:rPr>
          <w:rFonts w:ascii="Times New Roman" w:hAnsi="Times New Roman"/>
        </w:rPr>
        <w:t>Instrument</w:t>
      </w:r>
      <w:r w:rsidRPr="003B185C">
        <w:rPr>
          <w:rFonts w:ascii="Times New Roman" w:hAnsi="Times New Roman"/>
        </w:rPr>
        <w:t xml:space="preserve"> does not engage any of the</w:t>
      </w:r>
      <w:r w:rsidR="00691A23">
        <w:rPr>
          <w:rFonts w:ascii="Times New Roman" w:hAnsi="Times New Roman"/>
        </w:rPr>
        <w:t xml:space="preserve"> applicable rights or freedoms.</w:t>
      </w:r>
    </w:p>
    <w:p w:rsidR="003B185C" w:rsidRPr="003B185C" w:rsidRDefault="003B185C" w:rsidP="004E64D2">
      <w:pPr>
        <w:keepNext/>
        <w:spacing w:after="120"/>
        <w:rPr>
          <w:rFonts w:ascii="Times New Roman" w:hAnsi="Times New Roman"/>
          <w:b/>
        </w:rPr>
      </w:pPr>
      <w:r w:rsidRPr="003B185C">
        <w:rPr>
          <w:rFonts w:ascii="Times New Roman" w:hAnsi="Times New Roman"/>
          <w:b/>
        </w:rPr>
        <w:t>Conclusion</w:t>
      </w:r>
    </w:p>
    <w:p w:rsidR="003D6754" w:rsidRPr="00A85F74" w:rsidRDefault="003B185C" w:rsidP="00305944">
      <w:pPr>
        <w:spacing w:after="200"/>
        <w:rPr>
          <w:rFonts w:ascii="Times New Roman" w:hAnsi="Times New Roman"/>
        </w:rPr>
      </w:pPr>
      <w:r w:rsidRPr="003B185C">
        <w:rPr>
          <w:rFonts w:ascii="Times New Roman" w:hAnsi="Times New Roman"/>
        </w:rPr>
        <w:t xml:space="preserve">This Amending </w:t>
      </w:r>
      <w:r w:rsidR="00657FDD">
        <w:rPr>
          <w:rFonts w:ascii="Times New Roman" w:hAnsi="Times New Roman"/>
        </w:rPr>
        <w:t>Instrument</w:t>
      </w:r>
      <w:r w:rsidRPr="003B185C">
        <w:rPr>
          <w:rFonts w:ascii="Times New Roman" w:hAnsi="Times New Roman"/>
        </w:rPr>
        <w:t xml:space="preserve"> is compatible with human rights as it does not raise any human rights issues.</w:t>
      </w:r>
    </w:p>
    <w:sectPr w:rsidR="003D6754" w:rsidRPr="00A85F74" w:rsidSect="00691A23">
      <w:headerReference w:type="default" r:id="rId11"/>
      <w:footerReference w:type="first" r:id="rId12"/>
      <w:pgSz w:w="11906" w:h="16838" w:code="9"/>
      <w:pgMar w:top="1418" w:right="1418"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79A" w:rsidRDefault="00ED079A" w:rsidP="009A5536">
      <w:r>
        <w:separator/>
      </w:r>
    </w:p>
  </w:endnote>
  <w:endnote w:type="continuationSeparator" w:id="0">
    <w:p w:rsidR="00ED079A" w:rsidRDefault="00ED079A" w:rsidP="009A5536">
      <w:r>
        <w:continuationSeparator/>
      </w:r>
    </w:p>
  </w:endnote>
  <w:endnote w:type="continuationNotice" w:id="1">
    <w:p w:rsidR="00ED079A" w:rsidRDefault="00ED079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C9D" w:rsidRDefault="00316C9D">
    <w:pPr>
      <w:pStyle w:val="Footer"/>
    </w:pPr>
  </w:p>
  <w:p w:rsidR="00316C9D" w:rsidRDefault="00316C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79A" w:rsidRDefault="00ED079A" w:rsidP="009A5536">
      <w:r>
        <w:separator/>
      </w:r>
    </w:p>
  </w:footnote>
  <w:footnote w:type="continuationSeparator" w:id="0">
    <w:p w:rsidR="00ED079A" w:rsidRDefault="00ED079A" w:rsidP="009A5536">
      <w:r>
        <w:continuationSeparator/>
      </w:r>
    </w:p>
  </w:footnote>
  <w:footnote w:type="continuationNotice" w:id="1">
    <w:p w:rsidR="00ED079A" w:rsidRDefault="00ED079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C9D" w:rsidRPr="00AF72F4" w:rsidRDefault="00316C9D">
    <w:pPr>
      <w:pStyle w:val="Header"/>
      <w:rPr>
        <w:rFonts w:ascii="Times New Roman" w:hAnsi="Times New Roman"/>
      </w:rPr>
    </w:pPr>
    <w:r>
      <w:tab/>
    </w:r>
    <w:r w:rsidRPr="00AF72F4">
      <w:rPr>
        <w:rStyle w:val="PageNumber"/>
        <w:rFonts w:ascii="Times New Roman" w:hAnsi="Times New Roman"/>
      </w:rPr>
      <w:fldChar w:fldCharType="begin"/>
    </w:r>
    <w:r w:rsidRPr="00AF72F4">
      <w:rPr>
        <w:rStyle w:val="PageNumber"/>
        <w:rFonts w:ascii="Times New Roman" w:hAnsi="Times New Roman"/>
      </w:rPr>
      <w:instrText xml:space="preserve"> PAGE </w:instrText>
    </w:r>
    <w:r w:rsidRPr="00AF72F4">
      <w:rPr>
        <w:rStyle w:val="PageNumber"/>
        <w:rFonts w:ascii="Times New Roman" w:hAnsi="Times New Roman"/>
      </w:rPr>
      <w:fldChar w:fldCharType="separate"/>
    </w:r>
    <w:r w:rsidR="00500423">
      <w:rPr>
        <w:rStyle w:val="PageNumber"/>
        <w:rFonts w:ascii="Times New Roman" w:hAnsi="Times New Roman"/>
        <w:noProof/>
      </w:rPr>
      <w:t>4</w:t>
    </w:r>
    <w:r w:rsidRPr="00AF72F4">
      <w:rPr>
        <w:rStyle w:val="PageNumbe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38D485EA"/>
    <w:lvl w:ilvl="0">
      <w:start w:val="1"/>
      <w:numFmt w:val="decimal"/>
      <w:pStyle w:val="ListNumber4"/>
      <w:lvlText w:val="%1."/>
      <w:lvlJc w:val="left"/>
      <w:pPr>
        <w:tabs>
          <w:tab w:val="num" w:pos="1209"/>
        </w:tabs>
        <w:ind w:left="1209" w:hanging="360"/>
      </w:pPr>
      <w:rPr>
        <w:rFonts w:cs="Times New Roman"/>
      </w:rPr>
    </w:lvl>
  </w:abstractNum>
  <w:abstractNum w:abstractNumId="1" w15:restartNumberingAfterBreak="0">
    <w:nsid w:val="FFFFFF7E"/>
    <w:multiLevelType w:val="singleLevel"/>
    <w:tmpl w:val="C0D0A7FA"/>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114A9E00"/>
    <w:lvl w:ilvl="0">
      <w:start w:val="1"/>
      <w:numFmt w:val="decimal"/>
      <w:lvlText w:val="%1."/>
      <w:lvlJc w:val="left"/>
      <w:pPr>
        <w:tabs>
          <w:tab w:val="num" w:pos="643"/>
        </w:tabs>
        <w:ind w:left="643" w:hanging="360"/>
      </w:pPr>
    </w:lvl>
  </w:abstractNum>
  <w:abstractNum w:abstractNumId="3" w15:restartNumberingAfterBreak="0">
    <w:nsid w:val="FFFFFF88"/>
    <w:multiLevelType w:val="singleLevel"/>
    <w:tmpl w:val="D22EB3FC"/>
    <w:lvl w:ilvl="0">
      <w:start w:val="1"/>
      <w:numFmt w:val="decimal"/>
      <w:lvlText w:val="%1."/>
      <w:lvlJc w:val="left"/>
      <w:pPr>
        <w:tabs>
          <w:tab w:val="num" w:pos="360"/>
        </w:tabs>
        <w:ind w:left="360" w:hanging="360"/>
      </w:pPr>
    </w:lvl>
  </w:abstractNum>
  <w:abstractNum w:abstractNumId="4" w15:restartNumberingAfterBreak="0">
    <w:nsid w:val="01FF4EF4"/>
    <w:multiLevelType w:val="hybridMultilevel"/>
    <w:tmpl w:val="E77E52A6"/>
    <w:lvl w:ilvl="0" w:tplc="0C090001">
      <w:start w:val="1"/>
      <w:numFmt w:val="bullet"/>
      <w:lvlText w:val=""/>
      <w:lvlJc w:val="left"/>
      <w:pPr>
        <w:ind w:left="435"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43C1031"/>
    <w:multiLevelType w:val="hybridMultilevel"/>
    <w:tmpl w:val="5C80FD8E"/>
    <w:lvl w:ilvl="0" w:tplc="E37214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5FE012C"/>
    <w:multiLevelType w:val="hybridMultilevel"/>
    <w:tmpl w:val="ABD69B7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6516FF2"/>
    <w:multiLevelType w:val="hybridMultilevel"/>
    <w:tmpl w:val="BEE61C60"/>
    <w:lvl w:ilvl="0" w:tplc="FA84465C">
      <w:start w:val="1"/>
      <w:numFmt w:val="lowerLetter"/>
      <w:pStyle w:val="NumberedListLevel2abc"/>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06952F58"/>
    <w:multiLevelType w:val="multilevel"/>
    <w:tmpl w:val="6E981664"/>
    <w:lvl w:ilvl="0">
      <w:start w:val="1"/>
      <w:numFmt w:val="upperLetter"/>
      <w:pStyle w:val="NumberedListLevel1ABC"/>
      <w:lvlText w:val="%1."/>
      <w:lvlJc w:val="left"/>
      <w:pPr>
        <w:ind w:left="567" w:hanging="567"/>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90E0341"/>
    <w:multiLevelType w:val="hybridMultilevel"/>
    <w:tmpl w:val="F000B57E"/>
    <w:lvl w:ilvl="0" w:tplc="FB4AD232">
      <w:start w:val="1"/>
      <w:numFmt w:val="bullet"/>
      <w:lvlText w:val="•"/>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E8E0E47"/>
    <w:multiLevelType w:val="hybridMultilevel"/>
    <w:tmpl w:val="DD20CD20"/>
    <w:lvl w:ilvl="0" w:tplc="7170326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E981C90"/>
    <w:multiLevelType w:val="hybridMultilevel"/>
    <w:tmpl w:val="ED1AAA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15F1CA2"/>
    <w:multiLevelType w:val="multilevel"/>
    <w:tmpl w:val="7B4EEE58"/>
    <w:styleLink w:val="ListNumberLevel1ABC"/>
    <w:lvl w:ilvl="0">
      <w:start w:val="1"/>
      <w:numFmt w:val="upperLetter"/>
      <w:lvlText w:val="%1."/>
      <w:lvlJc w:val="left"/>
      <w:pPr>
        <w:tabs>
          <w:tab w:val="num" w:pos="1134"/>
        </w:tabs>
        <w:ind w:left="567" w:firstLine="32202"/>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B8E3B6A"/>
    <w:multiLevelType w:val="hybridMultilevel"/>
    <w:tmpl w:val="08D0665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21A60E2D"/>
    <w:multiLevelType w:val="hybridMultilevel"/>
    <w:tmpl w:val="F56CF1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58461FF"/>
    <w:multiLevelType w:val="hybridMultilevel"/>
    <w:tmpl w:val="BB8ED5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B94109C"/>
    <w:multiLevelType w:val="hybridMultilevel"/>
    <w:tmpl w:val="AEC69026"/>
    <w:lvl w:ilvl="0" w:tplc="8144B3D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CA0414C"/>
    <w:multiLevelType w:val="hybridMultilevel"/>
    <w:tmpl w:val="657CC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FC72AC"/>
    <w:multiLevelType w:val="hybridMultilevel"/>
    <w:tmpl w:val="6BE22296"/>
    <w:lvl w:ilvl="0" w:tplc="5EB480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19861AB"/>
    <w:multiLevelType w:val="hybridMultilevel"/>
    <w:tmpl w:val="6D5AA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FD7357"/>
    <w:multiLevelType w:val="hybridMultilevel"/>
    <w:tmpl w:val="BF688D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6A12E4"/>
    <w:multiLevelType w:val="hybridMultilevel"/>
    <w:tmpl w:val="AD04F5A8"/>
    <w:lvl w:ilvl="0" w:tplc="DB5A910E">
      <w:start w:val="1"/>
      <w:numFmt w:val="decimal"/>
      <w:pStyle w:val="ListNumber2"/>
      <w:lvlText w:val="1.%1"/>
      <w:lvlJc w:val="left"/>
      <w:pPr>
        <w:ind w:left="720" w:hanging="360"/>
      </w:pPr>
      <w:rPr>
        <w:rFonts w:ascii="Arial" w:hAnsi="Arial"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EDD6187"/>
    <w:multiLevelType w:val="hybridMultilevel"/>
    <w:tmpl w:val="712E8A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08850A2"/>
    <w:multiLevelType w:val="hybridMultilevel"/>
    <w:tmpl w:val="3306E1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4144D8"/>
    <w:multiLevelType w:val="hybridMultilevel"/>
    <w:tmpl w:val="D0DAB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6737927"/>
    <w:multiLevelType w:val="hybridMultilevel"/>
    <w:tmpl w:val="58A2B5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8C75100"/>
    <w:multiLevelType w:val="multilevel"/>
    <w:tmpl w:val="3B860DB6"/>
    <w:lvl w:ilvl="0">
      <w:start w:val="1"/>
      <w:numFmt w:val="decimal"/>
      <w:pStyle w:val="NumberedListLevel1123"/>
      <w:lvlText w:val="%1."/>
      <w:lvlJc w:val="left"/>
      <w:pPr>
        <w:tabs>
          <w:tab w:val="num" w:pos="720"/>
        </w:tabs>
        <w:ind w:left="567" w:hanging="567"/>
      </w:pPr>
      <w:rPr>
        <w:rFonts w:hint="default"/>
        <w:b/>
      </w:rPr>
    </w:lvl>
    <w:lvl w:ilvl="1">
      <w:start w:val="1"/>
      <w:numFmt w:val="decimal"/>
      <w:pStyle w:val="NumberedListLevel2111213"/>
      <w:isLgl/>
      <w:lvlText w:val="%1.%2"/>
      <w:lvlJc w:val="left"/>
      <w:pPr>
        <w:tabs>
          <w:tab w:val="num" w:pos="720"/>
        </w:tabs>
        <w:ind w:left="567" w:hanging="567"/>
      </w:pPr>
      <w:rPr>
        <w:rFonts w:hint="default"/>
      </w:rPr>
    </w:lvl>
    <w:lvl w:ilvl="2">
      <w:start w:val="1"/>
      <w:numFmt w:val="decimal"/>
      <w:pStyle w:val="NumberedListLevel3111112113"/>
      <w:isLgl/>
      <w:lvlText w:val="%1.%2.%3"/>
      <w:lvlJc w:val="left"/>
      <w:pPr>
        <w:tabs>
          <w:tab w:val="num" w:pos="720"/>
        </w:tabs>
        <w:ind w:left="567" w:hanging="567"/>
      </w:pPr>
      <w:rPr>
        <w:rFonts w:hint="default"/>
        <w:b w:val="0"/>
      </w:rPr>
    </w:lvl>
    <w:lvl w:ilvl="3">
      <w:start w:val="1"/>
      <w:numFmt w:val="decimal"/>
      <w:isLgl/>
      <w:lvlText w:val="%1.%2.%3.%4"/>
      <w:lvlJc w:val="left"/>
      <w:pPr>
        <w:tabs>
          <w:tab w:val="num" w:pos="720"/>
        </w:tabs>
        <w:ind w:left="567" w:hanging="567"/>
      </w:pPr>
      <w:rPr>
        <w:rFonts w:hint="default"/>
      </w:rPr>
    </w:lvl>
    <w:lvl w:ilvl="4">
      <w:start w:val="1"/>
      <w:numFmt w:val="decimal"/>
      <w:isLgl/>
      <w:lvlText w:val="%1.%2.%3.%4.%5"/>
      <w:lvlJc w:val="left"/>
      <w:pPr>
        <w:tabs>
          <w:tab w:val="num" w:pos="720"/>
        </w:tabs>
        <w:ind w:left="567" w:hanging="567"/>
      </w:pPr>
      <w:rPr>
        <w:rFonts w:hint="default"/>
      </w:rPr>
    </w:lvl>
    <w:lvl w:ilvl="5">
      <w:start w:val="1"/>
      <w:numFmt w:val="decimal"/>
      <w:isLgl/>
      <w:lvlText w:val="%1.%2.%3.%4.%5.%6"/>
      <w:lvlJc w:val="left"/>
      <w:pPr>
        <w:tabs>
          <w:tab w:val="num" w:pos="720"/>
        </w:tabs>
        <w:ind w:left="567" w:hanging="567"/>
      </w:pPr>
      <w:rPr>
        <w:rFonts w:hint="default"/>
      </w:rPr>
    </w:lvl>
    <w:lvl w:ilvl="6">
      <w:start w:val="1"/>
      <w:numFmt w:val="decimal"/>
      <w:isLgl/>
      <w:lvlText w:val="%1.%2.%3.%4.%5.%6.%7"/>
      <w:lvlJc w:val="left"/>
      <w:pPr>
        <w:tabs>
          <w:tab w:val="num" w:pos="720"/>
        </w:tabs>
        <w:ind w:left="567" w:hanging="567"/>
      </w:pPr>
      <w:rPr>
        <w:rFonts w:hint="default"/>
      </w:rPr>
    </w:lvl>
    <w:lvl w:ilvl="7">
      <w:start w:val="1"/>
      <w:numFmt w:val="decimal"/>
      <w:isLgl/>
      <w:lvlText w:val="%1.%2.%3.%4.%5.%6.%7.%8"/>
      <w:lvlJc w:val="left"/>
      <w:pPr>
        <w:tabs>
          <w:tab w:val="num" w:pos="720"/>
        </w:tabs>
        <w:ind w:left="567" w:hanging="567"/>
      </w:pPr>
      <w:rPr>
        <w:rFonts w:hint="default"/>
      </w:rPr>
    </w:lvl>
    <w:lvl w:ilvl="8">
      <w:start w:val="1"/>
      <w:numFmt w:val="decimal"/>
      <w:isLgl/>
      <w:lvlText w:val="%1.%2.%3.%4.%5.%6.%7.%8.%9"/>
      <w:lvlJc w:val="left"/>
      <w:pPr>
        <w:tabs>
          <w:tab w:val="num" w:pos="720"/>
        </w:tabs>
        <w:ind w:left="567" w:hanging="567"/>
      </w:pPr>
      <w:rPr>
        <w:rFonts w:hint="default"/>
      </w:rPr>
    </w:lvl>
  </w:abstractNum>
  <w:abstractNum w:abstractNumId="27" w15:restartNumberingAfterBreak="0">
    <w:nsid w:val="4AB00420"/>
    <w:multiLevelType w:val="hybridMultilevel"/>
    <w:tmpl w:val="FBBC2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E9D13A0"/>
    <w:multiLevelType w:val="hybridMultilevel"/>
    <w:tmpl w:val="619295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01902CF"/>
    <w:multiLevelType w:val="hybridMultilevel"/>
    <w:tmpl w:val="E0942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1AF6F10"/>
    <w:multiLevelType w:val="hybridMultilevel"/>
    <w:tmpl w:val="16B6C4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61B04BE"/>
    <w:multiLevelType w:val="hybridMultilevel"/>
    <w:tmpl w:val="D310C0E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58C07611"/>
    <w:multiLevelType w:val="hybridMultilevel"/>
    <w:tmpl w:val="F8AC6FAE"/>
    <w:lvl w:ilvl="0" w:tplc="31B68294">
      <w:start w:val="1"/>
      <w:numFmt w:val="lowerRoman"/>
      <w:pStyle w:val="NumberedListLevel3i"/>
      <w:lvlText w:val="(%1)"/>
      <w:lvlJc w:val="left"/>
      <w:pPr>
        <w:ind w:left="1778" w:hanging="360"/>
      </w:pPr>
      <w:rPr>
        <w:rFonts w:cs="Times New Roman" w:hint="default"/>
      </w:rPr>
    </w:lvl>
    <w:lvl w:ilvl="1" w:tplc="0C090019" w:tentative="1">
      <w:start w:val="1"/>
      <w:numFmt w:val="lowerLetter"/>
      <w:lvlText w:val="%2."/>
      <w:lvlJc w:val="left"/>
      <w:pPr>
        <w:tabs>
          <w:tab w:val="num" w:pos="1112"/>
        </w:tabs>
        <w:ind w:left="1112" w:hanging="360"/>
      </w:pPr>
      <w:rPr>
        <w:rFonts w:cs="Times New Roman"/>
      </w:rPr>
    </w:lvl>
    <w:lvl w:ilvl="2" w:tplc="0C09001B" w:tentative="1">
      <w:start w:val="1"/>
      <w:numFmt w:val="lowerRoman"/>
      <w:lvlText w:val="%3."/>
      <w:lvlJc w:val="right"/>
      <w:pPr>
        <w:tabs>
          <w:tab w:val="num" w:pos="1832"/>
        </w:tabs>
        <w:ind w:left="1832" w:hanging="180"/>
      </w:pPr>
      <w:rPr>
        <w:rFonts w:cs="Times New Roman"/>
      </w:rPr>
    </w:lvl>
    <w:lvl w:ilvl="3" w:tplc="0C09000F" w:tentative="1">
      <w:start w:val="1"/>
      <w:numFmt w:val="decimal"/>
      <w:lvlText w:val="%4."/>
      <w:lvlJc w:val="left"/>
      <w:pPr>
        <w:tabs>
          <w:tab w:val="num" w:pos="2552"/>
        </w:tabs>
        <w:ind w:left="2552" w:hanging="360"/>
      </w:pPr>
      <w:rPr>
        <w:rFonts w:cs="Times New Roman"/>
      </w:rPr>
    </w:lvl>
    <w:lvl w:ilvl="4" w:tplc="0C090019" w:tentative="1">
      <w:start w:val="1"/>
      <w:numFmt w:val="lowerLetter"/>
      <w:lvlText w:val="%5."/>
      <w:lvlJc w:val="left"/>
      <w:pPr>
        <w:tabs>
          <w:tab w:val="num" w:pos="3272"/>
        </w:tabs>
        <w:ind w:left="3272" w:hanging="360"/>
      </w:pPr>
      <w:rPr>
        <w:rFonts w:cs="Times New Roman"/>
      </w:rPr>
    </w:lvl>
    <w:lvl w:ilvl="5" w:tplc="0C09001B" w:tentative="1">
      <w:start w:val="1"/>
      <w:numFmt w:val="lowerRoman"/>
      <w:lvlText w:val="%6."/>
      <w:lvlJc w:val="right"/>
      <w:pPr>
        <w:tabs>
          <w:tab w:val="num" w:pos="3992"/>
        </w:tabs>
        <w:ind w:left="3992" w:hanging="180"/>
      </w:pPr>
      <w:rPr>
        <w:rFonts w:cs="Times New Roman"/>
      </w:rPr>
    </w:lvl>
    <w:lvl w:ilvl="6" w:tplc="0C09000F" w:tentative="1">
      <w:start w:val="1"/>
      <w:numFmt w:val="decimal"/>
      <w:lvlText w:val="%7."/>
      <w:lvlJc w:val="left"/>
      <w:pPr>
        <w:tabs>
          <w:tab w:val="num" w:pos="4712"/>
        </w:tabs>
        <w:ind w:left="4712" w:hanging="360"/>
      </w:pPr>
      <w:rPr>
        <w:rFonts w:cs="Times New Roman"/>
      </w:rPr>
    </w:lvl>
    <w:lvl w:ilvl="7" w:tplc="0C090019" w:tentative="1">
      <w:start w:val="1"/>
      <w:numFmt w:val="lowerLetter"/>
      <w:lvlText w:val="%8."/>
      <w:lvlJc w:val="left"/>
      <w:pPr>
        <w:tabs>
          <w:tab w:val="num" w:pos="5432"/>
        </w:tabs>
        <w:ind w:left="5432" w:hanging="360"/>
      </w:pPr>
      <w:rPr>
        <w:rFonts w:cs="Times New Roman"/>
      </w:rPr>
    </w:lvl>
    <w:lvl w:ilvl="8" w:tplc="0C09001B" w:tentative="1">
      <w:start w:val="1"/>
      <w:numFmt w:val="lowerRoman"/>
      <w:lvlText w:val="%9."/>
      <w:lvlJc w:val="right"/>
      <w:pPr>
        <w:tabs>
          <w:tab w:val="num" w:pos="6152"/>
        </w:tabs>
        <w:ind w:left="6152" w:hanging="180"/>
      </w:pPr>
      <w:rPr>
        <w:rFonts w:cs="Times New Roman"/>
      </w:rPr>
    </w:lvl>
  </w:abstractNum>
  <w:abstractNum w:abstractNumId="33" w15:restartNumberingAfterBreak="0">
    <w:nsid w:val="7CA47F89"/>
    <w:multiLevelType w:val="hybridMultilevel"/>
    <w:tmpl w:val="E5F6C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F9A1C6A"/>
    <w:multiLevelType w:val="multilevel"/>
    <w:tmpl w:val="80DAAD2C"/>
    <w:lvl w:ilvl="0">
      <w:start w:val="1"/>
      <w:numFmt w:val="decimal"/>
      <w:lvlText w:val="%1."/>
      <w:lvlJc w:val="left"/>
      <w:pPr>
        <w:tabs>
          <w:tab w:val="num" w:pos="852"/>
        </w:tabs>
        <w:ind w:left="852" w:hanging="851"/>
      </w:pPr>
      <w:rPr>
        <w:rFonts w:ascii="Arial Bold" w:hAnsi="Arial Bold" w:hint="default"/>
        <w:b/>
        <w:i w:val="0"/>
        <w:caps/>
        <w:sz w:val="28"/>
        <w:u w:val="none"/>
      </w:rPr>
    </w:lvl>
    <w:lvl w:ilvl="1">
      <w:start w:val="1"/>
      <w:numFmt w:val="decimal"/>
      <w:lvlText w:val="%1.%2"/>
      <w:lvlJc w:val="left"/>
      <w:pPr>
        <w:tabs>
          <w:tab w:val="num" w:pos="1731"/>
        </w:tabs>
        <w:ind w:left="1731" w:hanging="851"/>
      </w:pPr>
      <w:rPr>
        <w:rFonts w:ascii="Arial Bold" w:hAnsi="Arial Bold" w:hint="default"/>
        <w:b/>
        <w:i w:val="0"/>
        <w:sz w:val="24"/>
        <w:u w:val="none"/>
      </w:rPr>
    </w:lvl>
    <w:lvl w:ilvl="2">
      <w:start w:val="1"/>
      <w:numFmt w:val="decimal"/>
      <w:pStyle w:val="Heading3"/>
      <w:lvlText w:val="%1.%2.%3"/>
      <w:lvlJc w:val="left"/>
      <w:pPr>
        <w:tabs>
          <w:tab w:val="num" w:pos="851"/>
        </w:tabs>
        <w:ind w:left="851" w:hanging="851"/>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1701"/>
        </w:tabs>
        <w:ind w:left="1701" w:hanging="850"/>
      </w:pPr>
      <w:rPr>
        <w:rFonts w:ascii="Arial" w:hAnsi="Arial" w:hint="default"/>
        <w:b w:val="0"/>
        <w:i w:val="0"/>
        <w:sz w:val="22"/>
        <w:u w:val="none"/>
      </w:rPr>
    </w:lvl>
    <w:lvl w:ilvl="4">
      <w:start w:val="1"/>
      <w:numFmt w:val="lowerRoman"/>
      <w:pStyle w:val="Heading5"/>
      <w:lvlText w:val="(%5)"/>
      <w:lvlJc w:val="left"/>
      <w:pPr>
        <w:tabs>
          <w:tab w:val="num" w:pos="2552"/>
        </w:tabs>
        <w:ind w:left="2552" w:hanging="851"/>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Heading6"/>
      <w:lvlText w:val="%6"/>
      <w:lvlJc w:val="left"/>
      <w:pPr>
        <w:tabs>
          <w:tab w:val="num" w:pos="3402"/>
        </w:tabs>
        <w:ind w:left="3402" w:hanging="85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7)"/>
      <w:lvlJc w:val="left"/>
      <w:pPr>
        <w:tabs>
          <w:tab w:val="num" w:pos="4253"/>
        </w:tabs>
        <w:ind w:left="4253" w:hanging="851"/>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Roman"/>
      <w:pStyle w:val="Heading8"/>
      <w:lvlText w:val="%8"/>
      <w:lvlJc w:val="left"/>
      <w:pPr>
        <w:tabs>
          <w:tab w:val="num" w:pos="5103"/>
        </w:tabs>
        <w:ind w:left="5103" w:hanging="85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Restart w:val="0"/>
      <w:suff w:val="nothing"/>
      <w:lvlText w:val=""/>
      <w:lvlJc w:val="left"/>
      <w:pPr>
        <w:ind w:left="-301" w:firstLine="0"/>
      </w:pPr>
      <w:rPr>
        <w:rFonts w:hint="default"/>
      </w:rPr>
    </w:lvl>
  </w:abstractNum>
  <w:num w:numId="1">
    <w:abstractNumId w:val="34"/>
  </w:num>
  <w:num w:numId="2">
    <w:abstractNumId w:val="34"/>
  </w:num>
  <w:num w:numId="3">
    <w:abstractNumId w:val="34"/>
  </w:num>
  <w:num w:numId="4">
    <w:abstractNumId w:val="34"/>
  </w:num>
  <w:num w:numId="5">
    <w:abstractNumId w:val="34"/>
  </w:num>
  <w:num w:numId="6">
    <w:abstractNumId w:val="34"/>
  </w:num>
  <w:num w:numId="7">
    <w:abstractNumId w:val="3"/>
  </w:num>
  <w:num w:numId="8">
    <w:abstractNumId w:val="2"/>
  </w:num>
  <w:num w:numId="9">
    <w:abstractNumId w:val="1"/>
  </w:num>
  <w:num w:numId="10">
    <w:abstractNumId w:val="21"/>
  </w:num>
  <w:num w:numId="11">
    <w:abstractNumId w:val="0"/>
  </w:num>
  <w:num w:numId="12">
    <w:abstractNumId w:val="0"/>
  </w:num>
  <w:num w:numId="13">
    <w:abstractNumId w:val="12"/>
  </w:num>
  <w:num w:numId="14">
    <w:abstractNumId w:val="26"/>
  </w:num>
  <w:num w:numId="15">
    <w:abstractNumId w:val="8"/>
  </w:num>
  <w:num w:numId="16">
    <w:abstractNumId w:val="7"/>
  </w:num>
  <w:num w:numId="17">
    <w:abstractNumId w:val="26"/>
  </w:num>
  <w:num w:numId="18">
    <w:abstractNumId w:val="26"/>
  </w:num>
  <w:num w:numId="19">
    <w:abstractNumId w:val="32"/>
  </w:num>
  <w:num w:numId="20">
    <w:abstractNumId w:val="5"/>
  </w:num>
  <w:num w:numId="21">
    <w:abstractNumId w:val="9"/>
  </w:num>
  <w:num w:numId="22">
    <w:abstractNumId w:val="6"/>
  </w:num>
  <w:num w:numId="23">
    <w:abstractNumId w:val="25"/>
  </w:num>
  <w:num w:numId="24">
    <w:abstractNumId w:val="11"/>
  </w:num>
  <w:num w:numId="25">
    <w:abstractNumId w:val="23"/>
  </w:num>
  <w:num w:numId="26">
    <w:abstractNumId w:val="33"/>
  </w:num>
  <w:num w:numId="27">
    <w:abstractNumId w:val="19"/>
  </w:num>
  <w:num w:numId="28">
    <w:abstractNumId w:val="13"/>
  </w:num>
  <w:num w:numId="29">
    <w:abstractNumId w:val="27"/>
  </w:num>
  <w:num w:numId="30">
    <w:abstractNumId w:val="24"/>
  </w:num>
  <w:num w:numId="31">
    <w:abstractNumId w:val="31"/>
  </w:num>
  <w:num w:numId="32">
    <w:abstractNumId w:val="29"/>
  </w:num>
  <w:num w:numId="33">
    <w:abstractNumId w:val="20"/>
  </w:num>
  <w:num w:numId="34">
    <w:abstractNumId w:val="4"/>
  </w:num>
  <w:num w:numId="35">
    <w:abstractNumId w:val="28"/>
  </w:num>
  <w:num w:numId="36">
    <w:abstractNumId w:val="17"/>
  </w:num>
  <w:num w:numId="37">
    <w:abstractNumId w:val="22"/>
  </w:num>
  <w:num w:numId="38">
    <w:abstractNumId w:val="30"/>
  </w:num>
  <w:num w:numId="39">
    <w:abstractNumId w:val="14"/>
  </w:num>
  <w:num w:numId="40">
    <w:abstractNumId w:val="10"/>
  </w:num>
  <w:num w:numId="41">
    <w:abstractNumId w:val="16"/>
  </w:num>
  <w:num w:numId="42">
    <w:abstractNumId w:val="18"/>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DE9"/>
    <w:rsid w:val="00005672"/>
    <w:rsid w:val="00011C9A"/>
    <w:rsid w:val="00014BF3"/>
    <w:rsid w:val="00014D0F"/>
    <w:rsid w:val="0001526A"/>
    <w:rsid w:val="00017389"/>
    <w:rsid w:val="00017D44"/>
    <w:rsid w:val="00032A25"/>
    <w:rsid w:val="00040ED3"/>
    <w:rsid w:val="00052478"/>
    <w:rsid w:val="00065CC7"/>
    <w:rsid w:val="00073B4B"/>
    <w:rsid w:val="000748D2"/>
    <w:rsid w:val="000778A7"/>
    <w:rsid w:val="00083910"/>
    <w:rsid w:val="00091E73"/>
    <w:rsid w:val="0009720F"/>
    <w:rsid w:val="000A704C"/>
    <w:rsid w:val="000B7542"/>
    <w:rsid w:val="000C2BDF"/>
    <w:rsid w:val="000C77D6"/>
    <w:rsid w:val="000D3DBB"/>
    <w:rsid w:val="000D6A04"/>
    <w:rsid w:val="000E2948"/>
    <w:rsid w:val="000E68D2"/>
    <w:rsid w:val="000F00D4"/>
    <w:rsid w:val="000F51C5"/>
    <w:rsid w:val="000F6AF9"/>
    <w:rsid w:val="000F731F"/>
    <w:rsid w:val="001013DD"/>
    <w:rsid w:val="001025F0"/>
    <w:rsid w:val="00103DE9"/>
    <w:rsid w:val="00113F27"/>
    <w:rsid w:val="00115911"/>
    <w:rsid w:val="0012015C"/>
    <w:rsid w:val="0012623C"/>
    <w:rsid w:val="001300C4"/>
    <w:rsid w:val="00136308"/>
    <w:rsid w:val="00136D23"/>
    <w:rsid w:val="00142788"/>
    <w:rsid w:val="0014740A"/>
    <w:rsid w:val="0014775C"/>
    <w:rsid w:val="00153B3C"/>
    <w:rsid w:val="00154B96"/>
    <w:rsid w:val="00157720"/>
    <w:rsid w:val="00164819"/>
    <w:rsid w:val="00167F68"/>
    <w:rsid w:val="0017202F"/>
    <w:rsid w:val="00174307"/>
    <w:rsid w:val="0017677A"/>
    <w:rsid w:val="001811FE"/>
    <w:rsid w:val="0018220D"/>
    <w:rsid w:val="001834E4"/>
    <w:rsid w:val="00192E3F"/>
    <w:rsid w:val="001969A7"/>
    <w:rsid w:val="001A0BD9"/>
    <w:rsid w:val="001A13E8"/>
    <w:rsid w:val="001A2605"/>
    <w:rsid w:val="001A2AFA"/>
    <w:rsid w:val="001A4D94"/>
    <w:rsid w:val="001B341A"/>
    <w:rsid w:val="001C1979"/>
    <w:rsid w:val="001C2821"/>
    <w:rsid w:val="001C6386"/>
    <w:rsid w:val="001C6DC2"/>
    <w:rsid w:val="001D3DC9"/>
    <w:rsid w:val="001E18F9"/>
    <w:rsid w:val="001E1FF3"/>
    <w:rsid w:val="001E2EA5"/>
    <w:rsid w:val="001F173F"/>
    <w:rsid w:val="001F5817"/>
    <w:rsid w:val="001F5A6D"/>
    <w:rsid w:val="001F73A3"/>
    <w:rsid w:val="002025A5"/>
    <w:rsid w:val="00203EBE"/>
    <w:rsid w:val="002131AC"/>
    <w:rsid w:val="00221130"/>
    <w:rsid w:val="00222B8E"/>
    <w:rsid w:val="00223A0F"/>
    <w:rsid w:val="002309C5"/>
    <w:rsid w:val="002342B4"/>
    <w:rsid w:val="0023462D"/>
    <w:rsid w:val="00234D7D"/>
    <w:rsid w:val="002568B3"/>
    <w:rsid w:val="0026336A"/>
    <w:rsid w:val="002757A1"/>
    <w:rsid w:val="00280EFD"/>
    <w:rsid w:val="002817A8"/>
    <w:rsid w:val="00290188"/>
    <w:rsid w:val="00297734"/>
    <w:rsid w:val="002A2C10"/>
    <w:rsid w:val="002C0CD5"/>
    <w:rsid w:val="002C2DBC"/>
    <w:rsid w:val="002C53F1"/>
    <w:rsid w:val="002D0F74"/>
    <w:rsid w:val="002D1A77"/>
    <w:rsid w:val="002D38AC"/>
    <w:rsid w:val="002D3F67"/>
    <w:rsid w:val="002E0559"/>
    <w:rsid w:val="002E59BE"/>
    <w:rsid w:val="002F1A50"/>
    <w:rsid w:val="002F2C3B"/>
    <w:rsid w:val="002F4E99"/>
    <w:rsid w:val="002F64C5"/>
    <w:rsid w:val="00300D7D"/>
    <w:rsid w:val="00302B34"/>
    <w:rsid w:val="00305944"/>
    <w:rsid w:val="00313DF5"/>
    <w:rsid w:val="00316C9D"/>
    <w:rsid w:val="003173C2"/>
    <w:rsid w:val="0034112F"/>
    <w:rsid w:val="0034299C"/>
    <w:rsid w:val="003431F5"/>
    <w:rsid w:val="00357EB4"/>
    <w:rsid w:val="003605B4"/>
    <w:rsid w:val="00362FC5"/>
    <w:rsid w:val="0038351B"/>
    <w:rsid w:val="00390DE4"/>
    <w:rsid w:val="003939D3"/>
    <w:rsid w:val="00395FE5"/>
    <w:rsid w:val="003A1A35"/>
    <w:rsid w:val="003A39A2"/>
    <w:rsid w:val="003A6BFE"/>
    <w:rsid w:val="003B185C"/>
    <w:rsid w:val="003C0BE1"/>
    <w:rsid w:val="003C30A7"/>
    <w:rsid w:val="003C39A0"/>
    <w:rsid w:val="003C5EA2"/>
    <w:rsid w:val="003D2CF4"/>
    <w:rsid w:val="003D6754"/>
    <w:rsid w:val="003E2221"/>
    <w:rsid w:val="00401832"/>
    <w:rsid w:val="00405662"/>
    <w:rsid w:val="00411206"/>
    <w:rsid w:val="00413CF4"/>
    <w:rsid w:val="004173E4"/>
    <w:rsid w:val="0041776D"/>
    <w:rsid w:val="004222FE"/>
    <w:rsid w:val="00430988"/>
    <w:rsid w:val="00434763"/>
    <w:rsid w:val="004352DC"/>
    <w:rsid w:val="00442799"/>
    <w:rsid w:val="00442A12"/>
    <w:rsid w:val="00446501"/>
    <w:rsid w:val="00450174"/>
    <w:rsid w:val="00452441"/>
    <w:rsid w:val="00452819"/>
    <w:rsid w:val="00460D5D"/>
    <w:rsid w:val="00463EC0"/>
    <w:rsid w:val="00466343"/>
    <w:rsid w:val="0047601F"/>
    <w:rsid w:val="00477C82"/>
    <w:rsid w:val="00483292"/>
    <w:rsid w:val="00485E9A"/>
    <w:rsid w:val="00493CD6"/>
    <w:rsid w:val="00497F62"/>
    <w:rsid w:val="004A0477"/>
    <w:rsid w:val="004A19EE"/>
    <w:rsid w:val="004A1FAB"/>
    <w:rsid w:val="004A2AE8"/>
    <w:rsid w:val="004B3DAC"/>
    <w:rsid w:val="004B5474"/>
    <w:rsid w:val="004B5A4E"/>
    <w:rsid w:val="004B75EA"/>
    <w:rsid w:val="004C6705"/>
    <w:rsid w:val="004D15C1"/>
    <w:rsid w:val="004D2B01"/>
    <w:rsid w:val="004D5004"/>
    <w:rsid w:val="004E4107"/>
    <w:rsid w:val="004E46E2"/>
    <w:rsid w:val="004E64D2"/>
    <w:rsid w:val="004F615E"/>
    <w:rsid w:val="00500423"/>
    <w:rsid w:val="00501EB5"/>
    <w:rsid w:val="00505490"/>
    <w:rsid w:val="005112E5"/>
    <w:rsid w:val="00511EC2"/>
    <w:rsid w:val="00515A67"/>
    <w:rsid w:val="00517442"/>
    <w:rsid w:val="00517B36"/>
    <w:rsid w:val="00517BA8"/>
    <w:rsid w:val="00521C7B"/>
    <w:rsid w:val="00531F51"/>
    <w:rsid w:val="005405A1"/>
    <w:rsid w:val="00545A5E"/>
    <w:rsid w:val="005469B4"/>
    <w:rsid w:val="0054748A"/>
    <w:rsid w:val="005534C1"/>
    <w:rsid w:val="0055586C"/>
    <w:rsid w:val="005562D0"/>
    <w:rsid w:val="0056157E"/>
    <w:rsid w:val="0056187D"/>
    <w:rsid w:val="005618AE"/>
    <w:rsid w:val="0056237D"/>
    <w:rsid w:val="005627A9"/>
    <w:rsid w:val="00564285"/>
    <w:rsid w:val="00565C39"/>
    <w:rsid w:val="005704CF"/>
    <w:rsid w:val="00573EA4"/>
    <w:rsid w:val="00574850"/>
    <w:rsid w:val="00575896"/>
    <w:rsid w:val="00575985"/>
    <w:rsid w:val="005912EA"/>
    <w:rsid w:val="00593078"/>
    <w:rsid w:val="00594874"/>
    <w:rsid w:val="00594D4E"/>
    <w:rsid w:val="005962E1"/>
    <w:rsid w:val="005A03F1"/>
    <w:rsid w:val="005A16EA"/>
    <w:rsid w:val="005A39C8"/>
    <w:rsid w:val="005A77E8"/>
    <w:rsid w:val="005B1E56"/>
    <w:rsid w:val="005B2634"/>
    <w:rsid w:val="005B34AD"/>
    <w:rsid w:val="005C5940"/>
    <w:rsid w:val="005D3C6C"/>
    <w:rsid w:val="005D6D6F"/>
    <w:rsid w:val="005D7F5D"/>
    <w:rsid w:val="005E26DD"/>
    <w:rsid w:val="005E66A4"/>
    <w:rsid w:val="006131AB"/>
    <w:rsid w:val="00621E12"/>
    <w:rsid w:val="00623534"/>
    <w:rsid w:val="00624C47"/>
    <w:rsid w:val="006302E7"/>
    <w:rsid w:val="0064038B"/>
    <w:rsid w:val="00640D4F"/>
    <w:rsid w:val="00643CEF"/>
    <w:rsid w:val="00644AB5"/>
    <w:rsid w:val="00651D3F"/>
    <w:rsid w:val="006528E9"/>
    <w:rsid w:val="00657FDD"/>
    <w:rsid w:val="00661638"/>
    <w:rsid w:val="006668DC"/>
    <w:rsid w:val="00667D50"/>
    <w:rsid w:val="00686F31"/>
    <w:rsid w:val="00691A23"/>
    <w:rsid w:val="00692565"/>
    <w:rsid w:val="00692D2B"/>
    <w:rsid w:val="00695054"/>
    <w:rsid w:val="00695DF1"/>
    <w:rsid w:val="006969F6"/>
    <w:rsid w:val="00696DED"/>
    <w:rsid w:val="006A13B3"/>
    <w:rsid w:val="006A662A"/>
    <w:rsid w:val="006B0888"/>
    <w:rsid w:val="006C1049"/>
    <w:rsid w:val="006C5D68"/>
    <w:rsid w:val="006D0DDF"/>
    <w:rsid w:val="006D3B19"/>
    <w:rsid w:val="006E201C"/>
    <w:rsid w:val="006E2969"/>
    <w:rsid w:val="006F58CE"/>
    <w:rsid w:val="006F5E91"/>
    <w:rsid w:val="007006BB"/>
    <w:rsid w:val="007058EF"/>
    <w:rsid w:val="0071248B"/>
    <w:rsid w:val="007169A2"/>
    <w:rsid w:val="007206B3"/>
    <w:rsid w:val="007306D4"/>
    <w:rsid w:val="00746C0E"/>
    <w:rsid w:val="00746E1B"/>
    <w:rsid w:val="007515E8"/>
    <w:rsid w:val="00762673"/>
    <w:rsid w:val="00765B55"/>
    <w:rsid w:val="007714ED"/>
    <w:rsid w:val="007744AE"/>
    <w:rsid w:val="007747B8"/>
    <w:rsid w:val="00775701"/>
    <w:rsid w:val="00785DE3"/>
    <w:rsid w:val="00786989"/>
    <w:rsid w:val="00787451"/>
    <w:rsid w:val="0079346D"/>
    <w:rsid w:val="00795426"/>
    <w:rsid w:val="007A6680"/>
    <w:rsid w:val="007B12FF"/>
    <w:rsid w:val="007B78BC"/>
    <w:rsid w:val="007C35A7"/>
    <w:rsid w:val="007C377C"/>
    <w:rsid w:val="007C47EA"/>
    <w:rsid w:val="007C6273"/>
    <w:rsid w:val="007C7496"/>
    <w:rsid w:val="007D0C63"/>
    <w:rsid w:val="007D2C33"/>
    <w:rsid w:val="007D317C"/>
    <w:rsid w:val="007E0BA1"/>
    <w:rsid w:val="007F05F6"/>
    <w:rsid w:val="007F6FF7"/>
    <w:rsid w:val="00800AF7"/>
    <w:rsid w:val="008022DF"/>
    <w:rsid w:val="00803636"/>
    <w:rsid w:val="00806F4C"/>
    <w:rsid w:val="00807748"/>
    <w:rsid w:val="00866F15"/>
    <w:rsid w:val="00867863"/>
    <w:rsid w:val="00870B67"/>
    <w:rsid w:val="00877D61"/>
    <w:rsid w:val="00880EA1"/>
    <w:rsid w:val="00883119"/>
    <w:rsid w:val="00884CA9"/>
    <w:rsid w:val="00890C86"/>
    <w:rsid w:val="00892A79"/>
    <w:rsid w:val="00893980"/>
    <w:rsid w:val="008A2C7A"/>
    <w:rsid w:val="008A4120"/>
    <w:rsid w:val="008B0067"/>
    <w:rsid w:val="008B1988"/>
    <w:rsid w:val="008B6809"/>
    <w:rsid w:val="008C054F"/>
    <w:rsid w:val="008C1030"/>
    <w:rsid w:val="008C219A"/>
    <w:rsid w:val="008C4988"/>
    <w:rsid w:val="008D00DD"/>
    <w:rsid w:val="008D3EF0"/>
    <w:rsid w:val="008D6495"/>
    <w:rsid w:val="008D7B16"/>
    <w:rsid w:val="008E4CCB"/>
    <w:rsid w:val="008E6117"/>
    <w:rsid w:val="008F6219"/>
    <w:rsid w:val="00905707"/>
    <w:rsid w:val="00907575"/>
    <w:rsid w:val="00925446"/>
    <w:rsid w:val="009302AC"/>
    <w:rsid w:val="00931AE8"/>
    <w:rsid w:val="00933FA5"/>
    <w:rsid w:val="0094563E"/>
    <w:rsid w:val="00951AE3"/>
    <w:rsid w:val="00952E77"/>
    <w:rsid w:val="00952EEE"/>
    <w:rsid w:val="0095484A"/>
    <w:rsid w:val="00970017"/>
    <w:rsid w:val="0098035C"/>
    <w:rsid w:val="00980D7B"/>
    <w:rsid w:val="00982C5F"/>
    <w:rsid w:val="009851AC"/>
    <w:rsid w:val="00990F64"/>
    <w:rsid w:val="00994EF4"/>
    <w:rsid w:val="009952E9"/>
    <w:rsid w:val="009A3D85"/>
    <w:rsid w:val="009A49D8"/>
    <w:rsid w:val="009A5536"/>
    <w:rsid w:val="009B4C72"/>
    <w:rsid w:val="009B7338"/>
    <w:rsid w:val="009C1FA2"/>
    <w:rsid w:val="009C3344"/>
    <w:rsid w:val="009D7930"/>
    <w:rsid w:val="009F630F"/>
    <w:rsid w:val="00A04EB8"/>
    <w:rsid w:val="00A0648A"/>
    <w:rsid w:val="00A11F3F"/>
    <w:rsid w:val="00A15647"/>
    <w:rsid w:val="00A229C7"/>
    <w:rsid w:val="00A22D9D"/>
    <w:rsid w:val="00A23A38"/>
    <w:rsid w:val="00A2416B"/>
    <w:rsid w:val="00A315A1"/>
    <w:rsid w:val="00A62394"/>
    <w:rsid w:val="00A63310"/>
    <w:rsid w:val="00A661AA"/>
    <w:rsid w:val="00A7047D"/>
    <w:rsid w:val="00A72D46"/>
    <w:rsid w:val="00A84164"/>
    <w:rsid w:val="00A85F74"/>
    <w:rsid w:val="00A87F76"/>
    <w:rsid w:val="00A9137B"/>
    <w:rsid w:val="00A96997"/>
    <w:rsid w:val="00AA5AEA"/>
    <w:rsid w:val="00AA636D"/>
    <w:rsid w:val="00AB243A"/>
    <w:rsid w:val="00AC00C5"/>
    <w:rsid w:val="00AC0C85"/>
    <w:rsid w:val="00AC7006"/>
    <w:rsid w:val="00AD03A9"/>
    <w:rsid w:val="00AD1746"/>
    <w:rsid w:val="00AD1BB4"/>
    <w:rsid w:val="00AD3C66"/>
    <w:rsid w:val="00AD58C9"/>
    <w:rsid w:val="00AE79FE"/>
    <w:rsid w:val="00AF72F4"/>
    <w:rsid w:val="00B16135"/>
    <w:rsid w:val="00B1639B"/>
    <w:rsid w:val="00B17637"/>
    <w:rsid w:val="00B211FB"/>
    <w:rsid w:val="00B25CF8"/>
    <w:rsid w:val="00B33CFF"/>
    <w:rsid w:val="00B47512"/>
    <w:rsid w:val="00B515C7"/>
    <w:rsid w:val="00B535D1"/>
    <w:rsid w:val="00B551AA"/>
    <w:rsid w:val="00B61477"/>
    <w:rsid w:val="00B663B0"/>
    <w:rsid w:val="00B66537"/>
    <w:rsid w:val="00B74E43"/>
    <w:rsid w:val="00B75824"/>
    <w:rsid w:val="00B818F3"/>
    <w:rsid w:val="00B87E97"/>
    <w:rsid w:val="00B94CF2"/>
    <w:rsid w:val="00BB3ACB"/>
    <w:rsid w:val="00BB5279"/>
    <w:rsid w:val="00BC67E4"/>
    <w:rsid w:val="00BD175A"/>
    <w:rsid w:val="00BD4974"/>
    <w:rsid w:val="00BD7278"/>
    <w:rsid w:val="00BE5BF7"/>
    <w:rsid w:val="00BF4247"/>
    <w:rsid w:val="00BF788E"/>
    <w:rsid w:val="00C03CEA"/>
    <w:rsid w:val="00C1272C"/>
    <w:rsid w:val="00C206DD"/>
    <w:rsid w:val="00C20849"/>
    <w:rsid w:val="00C26BD4"/>
    <w:rsid w:val="00C41BB3"/>
    <w:rsid w:val="00C43C9A"/>
    <w:rsid w:val="00C4590A"/>
    <w:rsid w:val="00C47B40"/>
    <w:rsid w:val="00C47D42"/>
    <w:rsid w:val="00C53D90"/>
    <w:rsid w:val="00C55C56"/>
    <w:rsid w:val="00C55D17"/>
    <w:rsid w:val="00C639BF"/>
    <w:rsid w:val="00C646F6"/>
    <w:rsid w:val="00C64A4A"/>
    <w:rsid w:val="00C7008B"/>
    <w:rsid w:val="00C70E91"/>
    <w:rsid w:val="00C71F0D"/>
    <w:rsid w:val="00C761F8"/>
    <w:rsid w:val="00C87C17"/>
    <w:rsid w:val="00C90422"/>
    <w:rsid w:val="00C9128D"/>
    <w:rsid w:val="00C939A9"/>
    <w:rsid w:val="00CB62BA"/>
    <w:rsid w:val="00CC27D8"/>
    <w:rsid w:val="00CC4BAE"/>
    <w:rsid w:val="00CD16CD"/>
    <w:rsid w:val="00CD2FC9"/>
    <w:rsid w:val="00CD3ECA"/>
    <w:rsid w:val="00CD5B9D"/>
    <w:rsid w:val="00CD722C"/>
    <w:rsid w:val="00CE05BE"/>
    <w:rsid w:val="00CE21C9"/>
    <w:rsid w:val="00CF41C7"/>
    <w:rsid w:val="00CF585A"/>
    <w:rsid w:val="00D021EA"/>
    <w:rsid w:val="00D05644"/>
    <w:rsid w:val="00D062F3"/>
    <w:rsid w:val="00D143D2"/>
    <w:rsid w:val="00D14A6B"/>
    <w:rsid w:val="00D22C68"/>
    <w:rsid w:val="00D22FDE"/>
    <w:rsid w:val="00D2422B"/>
    <w:rsid w:val="00D3051E"/>
    <w:rsid w:val="00D326BF"/>
    <w:rsid w:val="00D43631"/>
    <w:rsid w:val="00D505EA"/>
    <w:rsid w:val="00D54AB9"/>
    <w:rsid w:val="00D70339"/>
    <w:rsid w:val="00D70CA8"/>
    <w:rsid w:val="00D71D3E"/>
    <w:rsid w:val="00D75085"/>
    <w:rsid w:val="00D7685B"/>
    <w:rsid w:val="00D76876"/>
    <w:rsid w:val="00D800FE"/>
    <w:rsid w:val="00D81132"/>
    <w:rsid w:val="00D8622C"/>
    <w:rsid w:val="00D864CB"/>
    <w:rsid w:val="00D92DFD"/>
    <w:rsid w:val="00DA151F"/>
    <w:rsid w:val="00DA371D"/>
    <w:rsid w:val="00DA72D3"/>
    <w:rsid w:val="00DB1D2E"/>
    <w:rsid w:val="00DB4040"/>
    <w:rsid w:val="00DC0F57"/>
    <w:rsid w:val="00DC1947"/>
    <w:rsid w:val="00DC2EB5"/>
    <w:rsid w:val="00DC7CA9"/>
    <w:rsid w:val="00DD1CD9"/>
    <w:rsid w:val="00DD2226"/>
    <w:rsid w:val="00DD4B6C"/>
    <w:rsid w:val="00DD5F45"/>
    <w:rsid w:val="00DF07DC"/>
    <w:rsid w:val="00DF2DAD"/>
    <w:rsid w:val="00E00750"/>
    <w:rsid w:val="00E02107"/>
    <w:rsid w:val="00E02AEF"/>
    <w:rsid w:val="00E1008D"/>
    <w:rsid w:val="00E10784"/>
    <w:rsid w:val="00E11891"/>
    <w:rsid w:val="00E13D2A"/>
    <w:rsid w:val="00E15A44"/>
    <w:rsid w:val="00E208A0"/>
    <w:rsid w:val="00E2167F"/>
    <w:rsid w:val="00E233B7"/>
    <w:rsid w:val="00E24D79"/>
    <w:rsid w:val="00E26122"/>
    <w:rsid w:val="00E272D0"/>
    <w:rsid w:val="00E32F6F"/>
    <w:rsid w:val="00E334E7"/>
    <w:rsid w:val="00E347BC"/>
    <w:rsid w:val="00E47307"/>
    <w:rsid w:val="00E47933"/>
    <w:rsid w:val="00E61069"/>
    <w:rsid w:val="00E62C7D"/>
    <w:rsid w:val="00E65C61"/>
    <w:rsid w:val="00E80C4F"/>
    <w:rsid w:val="00E85A7F"/>
    <w:rsid w:val="00EA0F5C"/>
    <w:rsid w:val="00EA15B8"/>
    <w:rsid w:val="00EA1E2A"/>
    <w:rsid w:val="00EA2482"/>
    <w:rsid w:val="00EA58B4"/>
    <w:rsid w:val="00EA7478"/>
    <w:rsid w:val="00EB02B1"/>
    <w:rsid w:val="00EB258C"/>
    <w:rsid w:val="00EC7A77"/>
    <w:rsid w:val="00ED079A"/>
    <w:rsid w:val="00ED2856"/>
    <w:rsid w:val="00ED3289"/>
    <w:rsid w:val="00ED5535"/>
    <w:rsid w:val="00ED7591"/>
    <w:rsid w:val="00EE4315"/>
    <w:rsid w:val="00F00611"/>
    <w:rsid w:val="00F01F8A"/>
    <w:rsid w:val="00F027EE"/>
    <w:rsid w:val="00F10664"/>
    <w:rsid w:val="00F11773"/>
    <w:rsid w:val="00F13A55"/>
    <w:rsid w:val="00F14779"/>
    <w:rsid w:val="00F17CED"/>
    <w:rsid w:val="00F2250C"/>
    <w:rsid w:val="00F2257C"/>
    <w:rsid w:val="00F27EE1"/>
    <w:rsid w:val="00F43991"/>
    <w:rsid w:val="00F5065D"/>
    <w:rsid w:val="00F54B68"/>
    <w:rsid w:val="00F600C5"/>
    <w:rsid w:val="00F621DF"/>
    <w:rsid w:val="00F670AB"/>
    <w:rsid w:val="00F670CF"/>
    <w:rsid w:val="00F6719D"/>
    <w:rsid w:val="00F73767"/>
    <w:rsid w:val="00F73F01"/>
    <w:rsid w:val="00F74C60"/>
    <w:rsid w:val="00F82F79"/>
    <w:rsid w:val="00F84819"/>
    <w:rsid w:val="00F95342"/>
    <w:rsid w:val="00F95AFA"/>
    <w:rsid w:val="00F97BF2"/>
    <w:rsid w:val="00FA2D6C"/>
    <w:rsid w:val="00FA48FE"/>
    <w:rsid w:val="00FA7522"/>
    <w:rsid w:val="00FC1B28"/>
    <w:rsid w:val="00FC28CC"/>
    <w:rsid w:val="00FC5DAE"/>
    <w:rsid w:val="00FC7C31"/>
    <w:rsid w:val="00FD31F3"/>
    <w:rsid w:val="00FD6285"/>
    <w:rsid w:val="00FE6E75"/>
    <w:rsid w:val="00FF0D32"/>
    <w:rsid w:val="00FF532E"/>
    <w:rsid w:val="00FF73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CD796C1-E701-423F-AE45-F972A6A24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B6C"/>
    <w:pPr>
      <w:spacing w:after="240" w:line="240" w:lineRule="auto"/>
    </w:pPr>
    <w:rPr>
      <w:rFonts w:eastAsia="Times New Roman" w:cs="Times New Roman"/>
      <w:sz w:val="24"/>
      <w:szCs w:val="24"/>
      <w:lang w:eastAsia="en-AU"/>
    </w:rPr>
  </w:style>
  <w:style w:type="paragraph" w:styleId="Heading1">
    <w:name w:val="heading 1"/>
    <w:basedOn w:val="Normal"/>
    <w:next w:val="Normal"/>
    <w:link w:val="Heading1Char"/>
    <w:uiPriority w:val="9"/>
    <w:qFormat/>
    <w:rsid w:val="00DD4B6C"/>
    <w:pPr>
      <w:keepNext/>
      <w:spacing w:before="240"/>
      <w:outlineLvl w:val="0"/>
    </w:pPr>
    <w:rPr>
      <w:b/>
      <w:szCs w:val="20"/>
    </w:rPr>
  </w:style>
  <w:style w:type="paragraph" w:styleId="Heading2">
    <w:name w:val="heading 2"/>
    <w:basedOn w:val="Normal"/>
    <w:next w:val="Heading3"/>
    <w:link w:val="Heading2Char"/>
    <w:uiPriority w:val="9"/>
    <w:qFormat/>
    <w:rsid w:val="00DD4B6C"/>
    <w:pPr>
      <w:keepNext/>
      <w:outlineLvl w:val="1"/>
    </w:pPr>
    <w:rPr>
      <w:b/>
      <w:bCs/>
      <w:iCs/>
      <w:szCs w:val="28"/>
    </w:rPr>
  </w:style>
  <w:style w:type="paragraph" w:styleId="Heading3">
    <w:name w:val="heading 3"/>
    <w:basedOn w:val="Normal"/>
    <w:next w:val="Heading4"/>
    <w:link w:val="Heading3Char"/>
    <w:qFormat/>
    <w:rsid w:val="00DD4B6C"/>
    <w:pPr>
      <w:numPr>
        <w:ilvl w:val="2"/>
        <w:numId w:val="6"/>
      </w:numPr>
      <w:tabs>
        <w:tab w:val="left" w:pos="1701"/>
      </w:tabs>
      <w:outlineLvl w:val="2"/>
    </w:pPr>
    <w:rPr>
      <w:rFonts w:cs="Arial"/>
      <w:bCs/>
      <w:szCs w:val="26"/>
    </w:rPr>
  </w:style>
  <w:style w:type="paragraph" w:styleId="Heading4">
    <w:name w:val="heading 4"/>
    <w:basedOn w:val="Normal"/>
    <w:link w:val="Heading4Char"/>
    <w:qFormat/>
    <w:rsid w:val="00DD4B6C"/>
    <w:pPr>
      <w:numPr>
        <w:ilvl w:val="3"/>
        <w:numId w:val="6"/>
      </w:numPr>
      <w:outlineLvl w:val="3"/>
    </w:pPr>
    <w:rPr>
      <w:bCs/>
      <w:szCs w:val="28"/>
    </w:rPr>
  </w:style>
  <w:style w:type="paragraph" w:styleId="Heading5">
    <w:name w:val="heading 5"/>
    <w:basedOn w:val="Normal"/>
    <w:link w:val="Heading5Char"/>
    <w:qFormat/>
    <w:rsid w:val="00DD4B6C"/>
    <w:pPr>
      <w:numPr>
        <w:ilvl w:val="4"/>
        <w:numId w:val="6"/>
      </w:numPr>
      <w:outlineLvl w:val="4"/>
    </w:pPr>
    <w:rPr>
      <w:bCs/>
      <w:iCs/>
      <w:szCs w:val="26"/>
    </w:rPr>
  </w:style>
  <w:style w:type="paragraph" w:styleId="Heading6">
    <w:name w:val="heading 6"/>
    <w:basedOn w:val="Normal"/>
    <w:link w:val="Heading6Char"/>
    <w:qFormat/>
    <w:rsid w:val="00DD4B6C"/>
    <w:pPr>
      <w:numPr>
        <w:ilvl w:val="5"/>
        <w:numId w:val="6"/>
      </w:numPr>
      <w:tabs>
        <w:tab w:val="left" w:pos="2552"/>
      </w:tabs>
      <w:outlineLvl w:val="5"/>
    </w:pPr>
    <w:rPr>
      <w:bCs/>
      <w:szCs w:val="22"/>
    </w:rPr>
  </w:style>
  <w:style w:type="paragraph" w:styleId="Heading7">
    <w:name w:val="heading 7"/>
    <w:basedOn w:val="Normal"/>
    <w:link w:val="Heading7Char"/>
    <w:qFormat/>
    <w:rsid w:val="00DD4B6C"/>
    <w:pPr>
      <w:numPr>
        <w:ilvl w:val="6"/>
        <w:numId w:val="6"/>
      </w:numPr>
      <w:outlineLvl w:val="6"/>
    </w:pPr>
  </w:style>
  <w:style w:type="paragraph" w:styleId="Heading8">
    <w:name w:val="heading 8"/>
    <w:basedOn w:val="Normal"/>
    <w:next w:val="Normal"/>
    <w:link w:val="Heading8Char"/>
    <w:qFormat/>
    <w:rsid w:val="00DD4B6C"/>
    <w:pPr>
      <w:numPr>
        <w:ilvl w:val="7"/>
        <w:numId w:val="6"/>
      </w:numPr>
      <w:outlineLvl w:val="7"/>
    </w:pPr>
    <w:rPr>
      <w:iCs/>
    </w:rPr>
  </w:style>
  <w:style w:type="paragraph" w:styleId="Heading9">
    <w:name w:val="heading 9"/>
    <w:basedOn w:val="Normal"/>
    <w:next w:val="Normal"/>
    <w:link w:val="Heading9Char"/>
    <w:uiPriority w:val="9"/>
    <w:unhideWhenUsed/>
    <w:qFormat/>
    <w:rsid w:val="00DD4B6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4B6C"/>
    <w:rPr>
      <w:rFonts w:eastAsia="Times New Roman" w:cs="Times New Roman"/>
      <w:b/>
      <w:sz w:val="24"/>
      <w:szCs w:val="20"/>
      <w:lang w:eastAsia="en-AU"/>
    </w:rPr>
  </w:style>
  <w:style w:type="paragraph" w:styleId="Title">
    <w:name w:val="Title"/>
    <w:basedOn w:val="Normal"/>
    <w:link w:val="TitleChar"/>
    <w:qFormat/>
    <w:rsid w:val="00DD4B6C"/>
    <w:pPr>
      <w:spacing w:before="240"/>
      <w:jc w:val="center"/>
    </w:pPr>
    <w:rPr>
      <w:b/>
      <w:caps/>
    </w:rPr>
  </w:style>
  <w:style w:type="character" w:customStyle="1" w:styleId="TitleChar">
    <w:name w:val="Title Char"/>
    <w:basedOn w:val="DefaultParagraphFont"/>
    <w:link w:val="Title"/>
    <w:rsid w:val="00DD4B6C"/>
    <w:rPr>
      <w:rFonts w:eastAsia="Times New Roman" w:cs="Times New Roman"/>
      <w:b/>
      <w:caps/>
      <w:sz w:val="24"/>
      <w:szCs w:val="24"/>
      <w:lang w:eastAsia="en-AU"/>
    </w:rPr>
  </w:style>
  <w:style w:type="paragraph" w:styleId="BodyText3">
    <w:name w:val="Body Text 3"/>
    <w:basedOn w:val="Normal"/>
    <w:link w:val="BodyText3Char"/>
    <w:rsid w:val="002C0CD5"/>
    <w:rPr>
      <w:u w:val="single"/>
      <w:lang w:val="en-GB" w:eastAsia="en-US"/>
    </w:rPr>
  </w:style>
  <w:style w:type="character" w:customStyle="1" w:styleId="BodyText3Char">
    <w:name w:val="Body Text 3 Char"/>
    <w:basedOn w:val="DefaultParagraphFont"/>
    <w:link w:val="BodyText3"/>
    <w:rsid w:val="002C0CD5"/>
    <w:rPr>
      <w:rFonts w:ascii="Times New Roman" w:eastAsia="Times New Roman" w:hAnsi="Times New Roman" w:cs="Times New Roman"/>
      <w:sz w:val="24"/>
      <w:szCs w:val="20"/>
      <w:u w:val="single"/>
      <w:lang w:val="en-GB"/>
    </w:rPr>
  </w:style>
  <w:style w:type="paragraph" w:styleId="BodyText">
    <w:name w:val="Body Text"/>
    <w:basedOn w:val="Normal"/>
    <w:link w:val="BodyTextChar"/>
    <w:uiPriority w:val="99"/>
    <w:unhideWhenUsed/>
    <w:rsid w:val="00DD4B6C"/>
    <w:pPr>
      <w:spacing w:after="120"/>
    </w:pPr>
  </w:style>
  <w:style w:type="character" w:customStyle="1" w:styleId="BodyTextChar">
    <w:name w:val="Body Text Char"/>
    <w:basedOn w:val="DefaultParagraphFont"/>
    <w:link w:val="BodyText"/>
    <w:uiPriority w:val="99"/>
    <w:rsid w:val="00DD4B6C"/>
    <w:rPr>
      <w:rFonts w:eastAsia="Times New Roman" w:cs="Times New Roman"/>
      <w:sz w:val="24"/>
      <w:szCs w:val="24"/>
      <w:lang w:eastAsia="en-AU"/>
    </w:rPr>
  </w:style>
  <w:style w:type="paragraph" w:styleId="Header">
    <w:name w:val="header"/>
    <w:basedOn w:val="Normal"/>
    <w:link w:val="HeaderChar"/>
    <w:uiPriority w:val="99"/>
    <w:unhideWhenUsed/>
    <w:rsid w:val="00DD4B6C"/>
    <w:pPr>
      <w:tabs>
        <w:tab w:val="center" w:pos="4513"/>
        <w:tab w:val="right" w:pos="9026"/>
      </w:tabs>
      <w:spacing w:after="0"/>
    </w:pPr>
    <w:rPr>
      <w:szCs w:val="28"/>
    </w:rPr>
  </w:style>
  <w:style w:type="character" w:customStyle="1" w:styleId="HeaderChar">
    <w:name w:val="Header Char"/>
    <w:basedOn w:val="DefaultParagraphFont"/>
    <w:link w:val="Header"/>
    <w:uiPriority w:val="99"/>
    <w:rsid w:val="00DD4B6C"/>
    <w:rPr>
      <w:rFonts w:eastAsia="Times New Roman" w:cs="Times New Roman"/>
      <w:sz w:val="24"/>
      <w:szCs w:val="28"/>
      <w:lang w:eastAsia="en-AU"/>
    </w:rPr>
  </w:style>
  <w:style w:type="character" w:styleId="PageNumber">
    <w:name w:val="page number"/>
    <w:basedOn w:val="DefaultParagraphFont"/>
    <w:rsid w:val="00DD4B6C"/>
  </w:style>
  <w:style w:type="character" w:styleId="CommentReference">
    <w:name w:val="annotation reference"/>
    <w:basedOn w:val="DefaultParagraphFont"/>
    <w:uiPriority w:val="99"/>
    <w:unhideWhenUsed/>
    <w:rsid w:val="00DD4B6C"/>
    <w:rPr>
      <w:sz w:val="16"/>
      <w:szCs w:val="16"/>
    </w:rPr>
  </w:style>
  <w:style w:type="paragraph" w:styleId="CommentText">
    <w:name w:val="annotation text"/>
    <w:basedOn w:val="Normal"/>
    <w:link w:val="CommentTextChar"/>
    <w:uiPriority w:val="99"/>
    <w:unhideWhenUsed/>
    <w:rsid w:val="00DD4B6C"/>
    <w:rPr>
      <w:sz w:val="20"/>
      <w:szCs w:val="25"/>
    </w:rPr>
  </w:style>
  <w:style w:type="character" w:customStyle="1" w:styleId="CommentTextChar">
    <w:name w:val="Comment Text Char"/>
    <w:basedOn w:val="DefaultParagraphFont"/>
    <w:link w:val="CommentText"/>
    <w:uiPriority w:val="99"/>
    <w:rsid w:val="00DD4B6C"/>
    <w:rPr>
      <w:rFonts w:eastAsia="Times New Roman" w:cs="Times New Roman"/>
      <w:sz w:val="20"/>
      <w:szCs w:val="25"/>
      <w:lang w:eastAsia="en-AU"/>
    </w:rPr>
  </w:style>
  <w:style w:type="paragraph" w:styleId="BalloonText">
    <w:name w:val="Balloon Text"/>
    <w:basedOn w:val="Normal"/>
    <w:link w:val="BalloonTextChar"/>
    <w:uiPriority w:val="99"/>
    <w:semiHidden/>
    <w:unhideWhenUsed/>
    <w:rsid w:val="00DD4B6C"/>
    <w:pPr>
      <w:spacing w:after="0"/>
    </w:pPr>
    <w:rPr>
      <w:rFonts w:ascii="Tahoma" w:hAnsi="Tahoma"/>
      <w:sz w:val="16"/>
      <w:szCs w:val="20"/>
    </w:rPr>
  </w:style>
  <w:style w:type="character" w:customStyle="1" w:styleId="BalloonTextChar">
    <w:name w:val="Balloon Text Char"/>
    <w:basedOn w:val="DefaultParagraphFont"/>
    <w:link w:val="BalloonText"/>
    <w:uiPriority w:val="99"/>
    <w:semiHidden/>
    <w:rsid w:val="00DD4B6C"/>
    <w:rPr>
      <w:rFonts w:ascii="Tahoma" w:eastAsia="Times New Roman" w:hAnsi="Tahoma" w:cs="Times New Roman"/>
      <w:sz w:val="16"/>
      <w:szCs w:val="20"/>
      <w:lang w:eastAsia="en-AU"/>
    </w:rPr>
  </w:style>
  <w:style w:type="paragraph" w:styleId="Footer">
    <w:name w:val="footer"/>
    <w:basedOn w:val="Normal"/>
    <w:link w:val="FooterChar"/>
    <w:uiPriority w:val="99"/>
    <w:rsid w:val="00DD4B6C"/>
    <w:pPr>
      <w:spacing w:after="0"/>
      <w:jc w:val="center"/>
    </w:pPr>
    <w:rPr>
      <w:sz w:val="20"/>
    </w:rPr>
  </w:style>
  <w:style w:type="character" w:customStyle="1" w:styleId="FooterChar">
    <w:name w:val="Footer Char"/>
    <w:basedOn w:val="DefaultParagraphFont"/>
    <w:link w:val="Footer"/>
    <w:uiPriority w:val="99"/>
    <w:rsid w:val="00DD4B6C"/>
    <w:rPr>
      <w:rFonts w:eastAsia="Times New Roman" w:cs="Times New Roman"/>
      <w:sz w:val="20"/>
      <w:szCs w:val="24"/>
      <w:lang w:eastAsia="en-AU"/>
    </w:rPr>
  </w:style>
  <w:style w:type="paragraph" w:styleId="CommentSubject">
    <w:name w:val="annotation subject"/>
    <w:basedOn w:val="Normal"/>
    <w:next w:val="Normal"/>
    <w:link w:val="CommentSubjectChar"/>
    <w:uiPriority w:val="99"/>
    <w:semiHidden/>
    <w:unhideWhenUsed/>
    <w:rsid w:val="00DD4B6C"/>
    <w:rPr>
      <w:b/>
      <w:bCs/>
      <w:sz w:val="20"/>
      <w:szCs w:val="25"/>
    </w:rPr>
  </w:style>
  <w:style w:type="character" w:customStyle="1" w:styleId="CommentSubjectChar">
    <w:name w:val="Comment Subject Char"/>
    <w:basedOn w:val="DefaultParagraphFont"/>
    <w:link w:val="CommentSubject"/>
    <w:uiPriority w:val="99"/>
    <w:semiHidden/>
    <w:rsid w:val="00DD4B6C"/>
    <w:rPr>
      <w:rFonts w:eastAsia="Times New Roman" w:cs="Times New Roman"/>
      <w:b/>
      <w:bCs/>
      <w:sz w:val="20"/>
      <w:szCs w:val="25"/>
      <w:lang w:eastAsia="en-AU"/>
    </w:rPr>
  </w:style>
  <w:style w:type="paragraph" w:styleId="BodyText2">
    <w:name w:val="Body Text 2"/>
    <w:basedOn w:val="Normal"/>
    <w:link w:val="BodyText2Char"/>
    <w:uiPriority w:val="99"/>
    <w:unhideWhenUsed/>
    <w:rsid w:val="002131AC"/>
    <w:pPr>
      <w:spacing w:after="120" w:line="480" w:lineRule="auto"/>
    </w:pPr>
  </w:style>
  <w:style w:type="character" w:customStyle="1" w:styleId="BodyText2Char">
    <w:name w:val="Body Text 2 Char"/>
    <w:basedOn w:val="DefaultParagraphFont"/>
    <w:link w:val="BodyText2"/>
    <w:uiPriority w:val="99"/>
    <w:rsid w:val="002131AC"/>
    <w:rPr>
      <w:rFonts w:ascii="Times New Roman" w:eastAsia="Times New Roman" w:hAnsi="Times New Roman" w:cs="Times New Roman"/>
      <w:sz w:val="20"/>
      <w:szCs w:val="20"/>
      <w:lang w:eastAsia="en-AU"/>
    </w:rPr>
  </w:style>
  <w:style w:type="paragraph" w:customStyle="1" w:styleId="Address">
    <w:name w:val="Address"/>
    <w:basedOn w:val="Footer"/>
    <w:link w:val="AddressChar"/>
    <w:qFormat/>
    <w:rsid w:val="00DD4B6C"/>
    <w:pPr>
      <w:spacing w:after="240"/>
      <w:contextualSpacing/>
      <w:jc w:val="left"/>
    </w:pPr>
    <w:rPr>
      <w:lang w:val="en-GB"/>
    </w:rPr>
  </w:style>
  <w:style w:type="character" w:customStyle="1" w:styleId="AddressChar">
    <w:name w:val="Address Char"/>
    <w:basedOn w:val="FooterChar"/>
    <w:link w:val="Address"/>
    <w:rsid w:val="00DD4B6C"/>
    <w:rPr>
      <w:rFonts w:eastAsia="Times New Roman" w:cs="Times New Roman"/>
      <w:sz w:val="20"/>
      <w:szCs w:val="24"/>
      <w:lang w:val="en-GB" w:eastAsia="en-AU"/>
    </w:rPr>
  </w:style>
  <w:style w:type="paragraph" w:styleId="Caption">
    <w:name w:val="caption"/>
    <w:basedOn w:val="Normal"/>
    <w:next w:val="Normal"/>
    <w:qFormat/>
    <w:rsid w:val="00DD4B6C"/>
    <w:pPr>
      <w:jc w:val="center"/>
    </w:pPr>
  </w:style>
  <w:style w:type="paragraph" w:customStyle="1" w:styleId="CommercialSensitiveSensitivePersonalSensitiveLegalSensitiveCabinet">
    <w:name w:val="Commercial / Sensitive / Sensitive: Personal / Sensitive: Legal / Sensitive: Cabinet"/>
    <w:basedOn w:val="Normal"/>
    <w:link w:val="CommercialSensitiveSensitivePersonalSensitiveLegalSensitiveCabinetChar"/>
    <w:qFormat/>
    <w:rsid w:val="00DD4B6C"/>
    <w:pPr>
      <w:spacing w:after="0"/>
      <w:jc w:val="center"/>
    </w:pPr>
    <w:rPr>
      <w:rFonts w:cstheme="minorHAnsi"/>
      <w:color w:val="FF0000"/>
    </w:rPr>
  </w:style>
  <w:style w:type="character" w:customStyle="1" w:styleId="CommercialSensitiveSensitivePersonalSensitiveLegalSensitiveCabinetChar">
    <w:name w:val="Commercial / Sensitive / Sensitive: Personal / Sensitive: Legal / Sensitive: Cabinet Char"/>
    <w:basedOn w:val="DefaultParagraphFont"/>
    <w:link w:val="CommercialSensitiveSensitivePersonalSensitiveLegalSensitiveCabinet"/>
    <w:rsid w:val="00DD4B6C"/>
    <w:rPr>
      <w:rFonts w:eastAsia="Times New Roman" w:cstheme="minorHAnsi"/>
      <w:color w:val="FF0000"/>
      <w:sz w:val="24"/>
      <w:szCs w:val="24"/>
      <w:lang w:eastAsia="en-AU"/>
    </w:rPr>
  </w:style>
  <w:style w:type="character" w:styleId="FollowedHyperlink">
    <w:name w:val="FollowedHyperlink"/>
    <w:basedOn w:val="DefaultParagraphFont"/>
    <w:uiPriority w:val="99"/>
    <w:semiHidden/>
    <w:unhideWhenUsed/>
    <w:rsid w:val="00DD4B6C"/>
    <w:rPr>
      <w:color w:val="800080" w:themeColor="followedHyperlink"/>
      <w:u w:val="single"/>
    </w:rPr>
  </w:style>
  <w:style w:type="paragraph" w:customStyle="1" w:styleId="FOROFFICIALUSEONLY">
    <w:name w:val="FOR OFFICIAL USE ONLY"/>
    <w:basedOn w:val="Normal"/>
    <w:link w:val="FOROFFICIALUSEONLYChar"/>
    <w:qFormat/>
    <w:rsid w:val="00DD4B6C"/>
    <w:pPr>
      <w:spacing w:after="0"/>
      <w:jc w:val="center"/>
    </w:pPr>
    <w:rPr>
      <w:rFonts w:cstheme="minorHAnsi"/>
      <w:caps/>
      <w:color w:val="FF0000"/>
    </w:rPr>
  </w:style>
  <w:style w:type="character" w:customStyle="1" w:styleId="FOROFFICIALUSEONLYChar">
    <w:name w:val="FOR OFFICIAL USE ONLY Char"/>
    <w:basedOn w:val="DefaultParagraphFont"/>
    <w:link w:val="FOROFFICIALUSEONLY"/>
    <w:rsid w:val="00DD4B6C"/>
    <w:rPr>
      <w:rFonts w:eastAsia="Times New Roman" w:cstheme="minorHAnsi"/>
      <w:caps/>
      <w:color w:val="FF0000"/>
      <w:sz w:val="24"/>
      <w:szCs w:val="24"/>
      <w:lang w:eastAsia="en-AU"/>
    </w:rPr>
  </w:style>
  <w:style w:type="paragraph" w:customStyle="1" w:styleId="FullAddress">
    <w:name w:val="FullAddress"/>
    <w:basedOn w:val="Normal"/>
    <w:link w:val="FullAddressChar"/>
    <w:qFormat/>
    <w:rsid w:val="00DD4B6C"/>
    <w:pPr>
      <w:jc w:val="center"/>
    </w:pPr>
    <w:rPr>
      <w:sz w:val="20"/>
      <w:szCs w:val="20"/>
    </w:rPr>
  </w:style>
  <w:style w:type="character" w:customStyle="1" w:styleId="FullAddressChar">
    <w:name w:val="FullAddress Char"/>
    <w:basedOn w:val="DefaultParagraphFont"/>
    <w:link w:val="FullAddress"/>
    <w:rsid w:val="00DD4B6C"/>
    <w:rPr>
      <w:rFonts w:eastAsia="Times New Roman" w:cs="Times New Roman"/>
      <w:sz w:val="20"/>
      <w:szCs w:val="20"/>
      <w:lang w:eastAsia="en-AU"/>
    </w:rPr>
  </w:style>
  <w:style w:type="table" w:customStyle="1" w:styleId="GridTable1Light-Accent11">
    <w:name w:val="Grid Table 1 Light - Accent 11"/>
    <w:basedOn w:val="TableNormal"/>
    <w:uiPriority w:val="46"/>
    <w:rsid w:val="00DD4B6C"/>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DD4B6C"/>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rsid w:val="00DD4B6C"/>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2Char">
    <w:name w:val="Heading 2 Char"/>
    <w:basedOn w:val="DefaultParagraphFont"/>
    <w:link w:val="Heading2"/>
    <w:uiPriority w:val="9"/>
    <w:rsid w:val="00DD4B6C"/>
    <w:rPr>
      <w:rFonts w:eastAsia="Times New Roman" w:cs="Times New Roman"/>
      <w:b/>
      <w:bCs/>
      <w:iCs/>
      <w:sz w:val="24"/>
      <w:szCs w:val="28"/>
      <w:lang w:eastAsia="en-AU"/>
    </w:rPr>
  </w:style>
  <w:style w:type="character" w:customStyle="1" w:styleId="Heading3Char">
    <w:name w:val="Heading 3 Char"/>
    <w:basedOn w:val="DefaultParagraphFont"/>
    <w:link w:val="Heading3"/>
    <w:rsid w:val="00DD4B6C"/>
    <w:rPr>
      <w:rFonts w:eastAsia="Times New Roman" w:cs="Arial"/>
      <w:bCs/>
      <w:sz w:val="24"/>
      <w:szCs w:val="26"/>
      <w:lang w:eastAsia="en-AU"/>
    </w:rPr>
  </w:style>
  <w:style w:type="character" w:customStyle="1" w:styleId="Heading4Char">
    <w:name w:val="Heading 4 Char"/>
    <w:basedOn w:val="DefaultParagraphFont"/>
    <w:link w:val="Heading4"/>
    <w:rsid w:val="00DD4B6C"/>
    <w:rPr>
      <w:rFonts w:eastAsia="Times New Roman" w:cs="Times New Roman"/>
      <w:bCs/>
      <w:sz w:val="24"/>
      <w:szCs w:val="28"/>
      <w:lang w:eastAsia="en-AU"/>
    </w:rPr>
  </w:style>
  <w:style w:type="character" w:customStyle="1" w:styleId="Heading5Char">
    <w:name w:val="Heading 5 Char"/>
    <w:basedOn w:val="DefaultParagraphFont"/>
    <w:link w:val="Heading5"/>
    <w:rsid w:val="00DD4B6C"/>
    <w:rPr>
      <w:rFonts w:eastAsia="Times New Roman" w:cs="Times New Roman"/>
      <w:bCs/>
      <w:iCs/>
      <w:sz w:val="24"/>
      <w:szCs w:val="26"/>
      <w:lang w:eastAsia="en-AU"/>
    </w:rPr>
  </w:style>
  <w:style w:type="character" w:customStyle="1" w:styleId="Heading6Char">
    <w:name w:val="Heading 6 Char"/>
    <w:basedOn w:val="DefaultParagraphFont"/>
    <w:link w:val="Heading6"/>
    <w:rsid w:val="00DD4B6C"/>
    <w:rPr>
      <w:rFonts w:eastAsia="Times New Roman" w:cs="Times New Roman"/>
      <w:bCs/>
      <w:sz w:val="24"/>
      <w:lang w:eastAsia="en-AU"/>
    </w:rPr>
  </w:style>
  <w:style w:type="character" w:customStyle="1" w:styleId="Heading7Char">
    <w:name w:val="Heading 7 Char"/>
    <w:basedOn w:val="DefaultParagraphFont"/>
    <w:link w:val="Heading7"/>
    <w:rsid w:val="00DD4B6C"/>
    <w:rPr>
      <w:rFonts w:eastAsia="Times New Roman" w:cs="Times New Roman"/>
      <w:sz w:val="24"/>
      <w:szCs w:val="24"/>
      <w:lang w:eastAsia="en-AU"/>
    </w:rPr>
  </w:style>
  <w:style w:type="character" w:customStyle="1" w:styleId="Heading8Char">
    <w:name w:val="Heading 8 Char"/>
    <w:basedOn w:val="DefaultParagraphFont"/>
    <w:link w:val="Heading8"/>
    <w:rsid w:val="00DD4B6C"/>
    <w:rPr>
      <w:rFonts w:eastAsia="Times New Roman" w:cs="Times New Roman"/>
      <w:iCs/>
      <w:sz w:val="24"/>
      <w:szCs w:val="24"/>
      <w:lang w:eastAsia="en-AU"/>
    </w:rPr>
  </w:style>
  <w:style w:type="character" w:customStyle="1" w:styleId="Heading9Char">
    <w:name w:val="Heading 9 Char"/>
    <w:basedOn w:val="DefaultParagraphFont"/>
    <w:link w:val="Heading9"/>
    <w:uiPriority w:val="9"/>
    <w:rsid w:val="00DD4B6C"/>
    <w:rPr>
      <w:rFonts w:asciiTheme="majorHAnsi" w:eastAsiaTheme="majorEastAsia" w:hAnsiTheme="majorHAnsi" w:cstheme="majorBidi"/>
      <w:i/>
      <w:iCs/>
      <w:color w:val="272727" w:themeColor="text1" w:themeTint="D8"/>
      <w:sz w:val="21"/>
      <w:szCs w:val="21"/>
      <w:lang w:eastAsia="en-AU"/>
    </w:rPr>
  </w:style>
  <w:style w:type="character" w:styleId="Hyperlink">
    <w:name w:val="Hyperlink"/>
    <w:basedOn w:val="DefaultParagraphFont"/>
    <w:uiPriority w:val="99"/>
    <w:unhideWhenUsed/>
    <w:rsid w:val="00DD4B6C"/>
    <w:rPr>
      <w:color w:val="0000FF"/>
      <w:u w:val="single"/>
    </w:rPr>
  </w:style>
  <w:style w:type="paragraph" w:customStyle="1" w:styleId="Instructions">
    <w:name w:val="Instructions"/>
    <w:basedOn w:val="Normal"/>
    <w:link w:val="InstructionsChar"/>
    <w:qFormat/>
    <w:rsid w:val="00DD4B6C"/>
    <w:rPr>
      <w:b/>
      <w:caps/>
      <w:color w:val="FF0000"/>
    </w:rPr>
  </w:style>
  <w:style w:type="character" w:customStyle="1" w:styleId="InstructionsChar">
    <w:name w:val="Instructions Char"/>
    <w:basedOn w:val="DefaultParagraphFont"/>
    <w:link w:val="Instructions"/>
    <w:rsid w:val="00DD4B6C"/>
    <w:rPr>
      <w:rFonts w:eastAsia="Times New Roman" w:cs="Times New Roman"/>
      <w:b/>
      <w:caps/>
      <w:color w:val="FF0000"/>
      <w:sz w:val="24"/>
      <w:szCs w:val="24"/>
      <w:lang w:eastAsia="en-AU"/>
    </w:rPr>
  </w:style>
  <w:style w:type="paragraph" w:styleId="ListNumber">
    <w:name w:val="List Number"/>
    <w:basedOn w:val="Normal"/>
    <w:uiPriority w:val="99"/>
    <w:unhideWhenUsed/>
    <w:rsid w:val="00DD4B6C"/>
    <w:pPr>
      <w:keepNext/>
      <w:pBdr>
        <w:bottom w:val="single" w:sz="4" w:space="1" w:color="auto"/>
      </w:pBdr>
      <w:spacing w:before="360" w:after="120"/>
      <w:ind w:left="360" w:hanging="360"/>
    </w:pPr>
    <w:rPr>
      <w:rFonts w:eastAsia="Times" w:cs="Arial"/>
      <w:b/>
      <w:caps/>
      <w:color w:val="000000"/>
      <w:szCs w:val="22"/>
    </w:rPr>
  </w:style>
  <w:style w:type="paragraph" w:styleId="ListNumber2">
    <w:name w:val="List Number 2"/>
    <w:basedOn w:val="Normal"/>
    <w:next w:val="ListNumber3"/>
    <w:uiPriority w:val="99"/>
    <w:unhideWhenUsed/>
    <w:rsid w:val="00DD4B6C"/>
    <w:pPr>
      <w:numPr>
        <w:numId w:val="10"/>
      </w:numPr>
      <w:spacing w:before="120" w:after="100" w:afterAutospacing="1" w:line="300" w:lineRule="atLeast"/>
    </w:pPr>
    <w:rPr>
      <w:rFonts w:cs="Arial"/>
      <w:color w:val="000000"/>
      <w:szCs w:val="22"/>
    </w:rPr>
  </w:style>
  <w:style w:type="paragraph" w:styleId="ListNumber3">
    <w:name w:val="List Number 3"/>
    <w:basedOn w:val="Normal"/>
    <w:uiPriority w:val="99"/>
    <w:unhideWhenUsed/>
    <w:rsid w:val="00DD4B6C"/>
    <w:pPr>
      <w:tabs>
        <w:tab w:val="left" w:pos="709"/>
      </w:tabs>
      <w:spacing w:before="120" w:after="100" w:afterAutospacing="1" w:line="300" w:lineRule="atLeast"/>
      <w:ind w:left="709" w:hanging="709"/>
      <w:outlineLvl w:val="3"/>
    </w:pPr>
    <w:rPr>
      <w:rFonts w:cs="Arial"/>
      <w:color w:val="000000"/>
      <w:szCs w:val="22"/>
    </w:rPr>
  </w:style>
  <w:style w:type="paragraph" w:styleId="ListNumber4">
    <w:name w:val="List Number 4"/>
    <w:basedOn w:val="Normal"/>
    <w:uiPriority w:val="99"/>
    <w:unhideWhenUsed/>
    <w:rsid w:val="00DD4B6C"/>
    <w:pPr>
      <w:numPr>
        <w:numId w:val="12"/>
      </w:numPr>
      <w:contextualSpacing/>
    </w:pPr>
  </w:style>
  <w:style w:type="numbering" w:customStyle="1" w:styleId="ListNumberLevel1ABC">
    <w:name w:val="List Number Level 1 (A.  B.  C.)"/>
    <w:basedOn w:val="NoList"/>
    <w:uiPriority w:val="99"/>
    <w:rsid w:val="00DD4B6C"/>
    <w:pPr>
      <w:numPr>
        <w:numId w:val="13"/>
      </w:numPr>
    </w:pPr>
  </w:style>
  <w:style w:type="paragraph" w:styleId="ListParagraph">
    <w:name w:val="List Paragraph"/>
    <w:basedOn w:val="Normal"/>
    <w:uiPriority w:val="34"/>
    <w:qFormat/>
    <w:rsid w:val="00DD4B6C"/>
    <w:pPr>
      <w:ind w:left="720"/>
      <w:contextualSpacing/>
    </w:pPr>
  </w:style>
  <w:style w:type="paragraph" w:customStyle="1" w:styleId="Logo">
    <w:name w:val="Logo"/>
    <w:basedOn w:val="Normal"/>
    <w:qFormat/>
    <w:rsid w:val="00DD4B6C"/>
    <w:pPr>
      <w:spacing w:after="480"/>
      <w:jc w:val="center"/>
    </w:pPr>
    <w:rPr>
      <w:noProof/>
    </w:rPr>
  </w:style>
  <w:style w:type="paragraph" w:styleId="NoSpacing">
    <w:name w:val="No Spacing"/>
    <w:basedOn w:val="Normal"/>
    <w:next w:val="Normal"/>
    <w:uiPriority w:val="1"/>
    <w:qFormat/>
    <w:rsid w:val="00DD4B6C"/>
    <w:pPr>
      <w:spacing w:after="480"/>
      <w:contextualSpacing/>
    </w:pPr>
  </w:style>
  <w:style w:type="paragraph" w:customStyle="1" w:styleId="NormalBold">
    <w:name w:val="Normal Bold"/>
    <w:basedOn w:val="Normal"/>
    <w:link w:val="NormalBoldChar"/>
    <w:qFormat/>
    <w:rsid w:val="00DD4B6C"/>
    <w:rPr>
      <w:rFonts w:cs="Arial"/>
      <w:b/>
      <w:szCs w:val="22"/>
    </w:rPr>
  </w:style>
  <w:style w:type="character" w:customStyle="1" w:styleId="NormalBoldChar">
    <w:name w:val="Normal Bold Char"/>
    <w:basedOn w:val="DefaultParagraphFont"/>
    <w:link w:val="NormalBold"/>
    <w:rsid w:val="00DD4B6C"/>
    <w:rPr>
      <w:rFonts w:eastAsia="Times New Roman" w:cs="Arial"/>
      <w:b/>
      <w:sz w:val="24"/>
      <w:lang w:eastAsia="en-AU"/>
    </w:rPr>
  </w:style>
  <w:style w:type="paragraph" w:customStyle="1" w:styleId="NormalIndentedLeft">
    <w:name w:val="Normal Indented Left"/>
    <w:basedOn w:val="Normal"/>
    <w:qFormat/>
    <w:rsid w:val="00DD4B6C"/>
    <w:pPr>
      <w:ind w:left="567"/>
    </w:pPr>
  </w:style>
  <w:style w:type="paragraph" w:customStyle="1" w:styleId="NormalItalics">
    <w:name w:val="Normal Italics"/>
    <w:basedOn w:val="Normal"/>
    <w:link w:val="NormalItalicsChar"/>
    <w:qFormat/>
    <w:rsid w:val="00DD4B6C"/>
    <w:rPr>
      <w:rFonts w:cs="Arial"/>
      <w:i/>
      <w:szCs w:val="22"/>
    </w:rPr>
  </w:style>
  <w:style w:type="character" w:customStyle="1" w:styleId="NormalItalicsChar">
    <w:name w:val="Normal Italics Char"/>
    <w:basedOn w:val="DefaultParagraphFont"/>
    <w:link w:val="NormalItalics"/>
    <w:rsid w:val="00DD4B6C"/>
    <w:rPr>
      <w:rFonts w:eastAsia="Times New Roman" w:cs="Arial"/>
      <w:i/>
      <w:sz w:val="24"/>
      <w:lang w:eastAsia="en-AU"/>
    </w:rPr>
  </w:style>
  <w:style w:type="paragraph" w:customStyle="1" w:styleId="NormalRed">
    <w:name w:val="Normal Red"/>
    <w:basedOn w:val="Normal"/>
    <w:link w:val="NormalRedChar"/>
    <w:qFormat/>
    <w:rsid w:val="00DD4B6C"/>
    <w:rPr>
      <w:b/>
      <w:caps/>
      <w:color w:val="FF0000"/>
    </w:rPr>
  </w:style>
  <w:style w:type="character" w:customStyle="1" w:styleId="NormalRedChar">
    <w:name w:val="Normal Red Char"/>
    <w:basedOn w:val="DefaultParagraphFont"/>
    <w:link w:val="NormalRed"/>
    <w:rsid w:val="00DD4B6C"/>
    <w:rPr>
      <w:rFonts w:eastAsia="Times New Roman" w:cs="Times New Roman"/>
      <w:b/>
      <w:caps/>
      <w:color w:val="FF0000"/>
      <w:sz w:val="24"/>
      <w:szCs w:val="24"/>
      <w:lang w:eastAsia="en-AU"/>
    </w:rPr>
  </w:style>
  <w:style w:type="paragraph" w:customStyle="1" w:styleId="NormalUnderline">
    <w:name w:val="Normal Underline"/>
    <w:basedOn w:val="Normal"/>
    <w:link w:val="NormalUnderlineChar"/>
    <w:qFormat/>
    <w:rsid w:val="00DD4B6C"/>
    <w:rPr>
      <w:u w:val="single"/>
    </w:rPr>
  </w:style>
  <w:style w:type="character" w:customStyle="1" w:styleId="NormalUnderlineChar">
    <w:name w:val="Normal Underline Char"/>
    <w:basedOn w:val="DefaultParagraphFont"/>
    <w:link w:val="NormalUnderline"/>
    <w:rsid w:val="00DD4B6C"/>
    <w:rPr>
      <w:rFonts w:eastAsia="Times New Roman" w:cs="Times New Roman"/>
      <w:sz w:val="24"/>
      <w:szCs w:val="24"/>
      <w:u w:val="single"/>
      <w:lang w:eastAsia="en-AU"/>
    </w:rPr>
  </w:style>
  <w:style w:type="paragraph" w:customStyle="1" w:styleId="NormalRed0">
    <w:name w:val="NormalRed"/>
    <w:basedOn w:val="Normal"/>
    <w:link w:val="NormalRedChar0"/>
    <w:qFormat/>
    <w:rsid w:val="00DD4B6C"/>
    <w:rPr>
      <w:b/>
      <w:caps/>
      <w:color w:val="FF0000"/>
    </w:rPr>
  </w:style>
  <w:style w:type="character" w:customStyle="1" w:styleId="NormalRedChar0">
    <w:name w:val="NormalRed Char"/>
    <w:basedOn w:val="DefaultParagraphFont"/>
    <w:link w:val="NormalRed0"/>
    <w:rsid w:val="00DD4B6C"/>
    <w:rPr>
      <w:rFonts w:eastAsia="Times New Roman" w:cs="Times New Roman"/>
      <w:b/>
      <w:caps/>
      <w:color w:val="FF0000"/>
      <w:sz w:val="24"/>
      <w:szCs w:val="24"/>
      <w:lang w:eastAsia="en-AU"/>
    </w:rPr>
  </w:style>
  <w:style w:type="paragraph" w:customStyle="1" w:styleId="Note">
    <w:name w:val="Note"/>
    <w:basedOn w:val="Normal"/>
    <w:link w:val="NoteChar"/>
    <w:qFormat/>
    <w:rsid w:val="00DD4B6C"/>
    <w:rPr>
      <w:i/>
      <w:color w:val="244061" w:themeColor="accent1" w:themeShade="80"/>
      <w:sz w:val="20"/>
    </w:rPr>
  </w:style>
  <w:style w:type="character" w:customStyle="1" w:styleId="NoteChar">
    <w:name w:val="Note Char"/>
    <w:basedOn w:val="DefaultParagraphFont"/>
    <w:link w:val="Note"/>
    <w:rsid w:val="00DD4B6C"/>
    <w:rPr>
      <w:rFonts w:eastAsia="Times New Roman" w:cs="Times New Roman"/>
      <w:i/>
      <w:color w:val="244061" w:themeColor="accent1" w:themeShade="80"/>
      <w:sz w:val="20"/>
      <w:szCs w:val="24"/>
      <w:lang w:eastAsia="en-AU"/>
    </w:rPr>
  </w:style>
  <w:style w:type="paragraph" w:customStyle="1" w:styleId="NoteSuperScript">
    <w:name w:val="NoteSuperScript"/>
    <w:basedOn w:val="Normal"/>
    <w:link w:val="NoteSuperScriptChar"/>
    <w:qFormat/>
    <w:rsid w:val="00DD4B6C"/>
    <w:rPr>
      <w:b/>
      <w:i/>
      <w:color w:val="1F497D" w:themeColor="text2"/>
      <w:sz w:val="20"/>
      <w:vertAlign w:val="superscript"/>
    </w:rPr>
  </w:style>
  <w:style w:type="character" w:customStyle="1" w:styleId="NoteSuperScriptChar">
    <w:name w:val="NoteSuperScript Char"/>
    <w:basedOn w:val="DefaultParagraphFont"/>
    <w:link w:val="NoteSuperScript"/>
    <w:rsid w:val="00DD4B6C"/>
    <w:rPr>
      <w:rFonts w:eastAsia="Times New Roman" w:cs="Times New Roman"/>
      <w:b/>
      <w:i/>
      <w:color w:val="1F497D" w:themeColor="text2"/>
      <w:sz w:val="20"/>
      <w:szCs w:val="24"/>
      <w:vertAlign w:val="superscript"/>
      <w:lang w:eastAsia="en-AU"/>
    </w:rPr>
  </w:style>
  <w:style w:type="paragraph" w:customStyle="1" w:styleId="NumberedListLevel1123">
    <w:name w:val="Numbered List Level 1 (1. 2. 3. )"/>
    <w:basedOn w:val="Normal"/>
    <w:link w:val="NumberedListLevel1123Char"/>
    <w:qFormat/>
    <w:rsid w:val="00DD4B6C"/>
    <w:pPr>
      <w:numPr>
        <w:numId w:val="18"/>
      </w:numPr>
    </w:pPr>
    <w:rPr>
      <w:rFonts w:ascii="Arial Bold" w:hAnsi="Arial Bold" w:cs="Arial"/>
      <w:b/>
      <w:szCs w:val="22"/>
    </w:rPr>
  </w:style>
  <w:style w:type="character" w:customStyle="1" w:styleId="NumberedListLevel1123Char">
    <w:name w:val="Numbered List Level 1 (1. 2. 3. ) Char"/>
    <w:basedOn w:val="DefaultParagraphFont"/>
    <w:link w:val="NumberedListLevel1123"/>
    <w:rsid w:val="00DD4B6C"/>
    <w:rPr>
      <w:rFonts w:ascii="Arial Bold" w:eastAsia="Times New Roman" w:hAnsi="Arial Bold" w:cs="Arial"/>
      <w:b/>
      <w:sz w:val="24"/>
      <w:lang w:eastAsia="en-AU"/>
    </w:rPr>
  </w:style>
  <w:style w:type="paragraph" w:customStyle="1" w:styleId="NumberedListLevel1ABC">
    <w:name w:val="Numbered List Level 1 (A. B. C.)"/>
    <w:basedOn w:val="Normal"/>
    <w:link w:val="NumberedListLevel1ABCChar"/>
    <w:qFormat/>
    <w:rsid w:val="00DD4B6C"/>
    <w:pPr>
      <w:numPr>
        <w:numId w:val="15"/>
      </w:numPr>
      <w:tabs>
        <w:tab w:val="left" w:pos="8505"/>
      </w:tabs>
    </w:pPr>
    <w:rPr>
      <w:rFonts w:cs="Arial"/>
    </w:rPr>
  </w:style>
  <w:style w:type="character" w:customStyle="1" w:styleId="NumberedListLevel1ABCChar">
    <w:name w:val="Numbered List Level 1 (A. B. C.) Char"/>
    <w:basedOn w:val="DefaultParagraphFont"/>
    <w:link w:val="NumberedListLevel1ABC"/>
    <w:rsid w:val="00DD4B6C"/>
    <w:rPr>
      <w:rFonts w:eastAsia="Times New Roman" w:cs="Arial"/>
      <w:sz w:val="24"/>
      <w:szCs w:val="24"/>
      <w:lang w:eastAsia="en-AU"/>
    </w:rPr>
  </w:style>
  <w:style w:type="paragraph" w:customStyle="1" w:styleId="NumberedListLevel2abc">
    <w:name w:val="Numbered List Level 2 (  a)  b)  c)  )"/>
    <w:basedOn w:val="Normal"/>
    <w:link w:val="NumberedListLevel2abcChar"/>
    <w:qFormat/>
    <w:rsid w:val="00DD4B6C"/>
    <w:pPr>
      <w:numPr>
        <w:numId w:val="16"/>
      </w:numPr>
    </w:pPr>
  </w:style>
  <w:style w:type="character" w:customStyle="1" w:styleId="NumberedListLevel2abcChar">
    <w:name w:val="Numbered List Level 2 (  a)  b)  c)  ) Char"/>
    <w:basedOn w:val="DefaultParagraphFont"/>
    <w:link w:val="NumberedListLevel2abc"/>
    <w:rsid w:val="00DD4B6C"/>
    <w:rPr>
      <w:rFonts w:eastAsia="Times New Roman" w:cs="Times New Roman"/>
      <w:sz w:val="24"/>
      <w:szCs w:val="24"/>
      <w:lang w:eastAsia="en-AU"/>
    </w:rPr>
  </w:style>
  <w:style w:type="paragraph" w:customStyle="1" w:styleId="NumberedListLevel2111213">
    <w:name w:val="Numbered List Level 2 (1.1   1.2   1.3)"/>
    <w:basedOn w:val="Normal"/>
    <w:link w:val="NumberedListLevel2111213Char"/>
    <w:qFormat/>
    <w:rsid w:val="00DD4B6C"/>
    <w:pPr>
      <w:numPr>
        <w:ilvl w:val="1"/>
        <w:numId w:val="18"/>
      </w:numPr>
    </w:pPr>
    <w:rPr>
      <w:rFonts w:cs="Arial"/>
      <w:szCs w:val="22"/>
    </w:rPr>
  </w:style>
  <w:style w:type="character" w:customStyle="1" w:styleId="NumberedListLevel2111213Char">
    <w:name w:val="Numbered List Level 2 (1.1   1.2   1.3) Char"/>
    <w:basedOn w:val="DefaultParagraphFont"/>
    <w:link w:val="NumberedListLevel2111213"/>
    <w:rsid w:val="00DD4B6C"/>
    <w:rPr>
      <w:rFonts w:eastAsia="Times New Roman" w:cs="Arial"/>
      <w:sz w:val="24"/>
      <w:lang w:eastAsia="en-AU"/>
    </w:rPr>
  </w:style>
  <w:style w:type="paragraph" w:customStyle="1" w:styleId="NumberedListLevel3111112113">
    <w:name w:val="Numbered List Level 3 (1.1.1   1.1.2   1.1.3)"/>
    <w:basedOn w:val="Normal"/>
    <w:link w:val="NumberedListLevel3111112113Char"/>
    <w:qFormat/>
    <w:rsid w:val="00DD4B6C"/>
    <w:pPr>
      <w:numPr>
        <w:ilvl w:val="2"/>
        <w:numId w:val="18"/>
      </w:numPr>
      <w:tabs>
        <w:tab w:val="left" w:pos="8505"/>
      </w:tabs>
    </w:pPr>
    <w:rPr>
      <w:rFonts w:cs="Arial"/>
      <w:szCs w:val="22"/>
    </w:rPr>
  </w:style>
  <w:style w:type="character" w:customStyle="1" w:styleId="NumberedListLevel3111112113Char">
    <w:name w:val="Numbered List Level 3 (1.1.1   1.1.2   1.1.3) Char"/>
    <w:basedOn w:val="DefaultParagraphFont"/>
    <w:link w:val="NumberedListLevel3111112113"/>
    <w:rsid w:val="00DD4B6C"/>
    <w:rPr>
      <w:rFonts w:eastAsia="Times New Roman" w:cs="Arial"/>
      <w:sz w:val="24"/>
      <w:lang w:eastAsia="en-AU"/>
    </w:rPr>
  </w:style>
  <w:style w:type="paragraph" w:customStyle="1" w:styleId="NumberedListLevel3i">
    <w:name w:val="Numbered List Level 3 (i"/>
    <w:aliases w:val="ii,iii)"/>
    <w:basedOn w:val="Normal"/>
    <w:link w:val="NumberedListLevel3iChar"/>
    <w:qFormat/>
    <w:rsid w:val="00DD4B6C"/>
    <w:pPr>
      <w:numPr>
        <w:numId w:val="19"/>
      </w:numPr>
    </w:pPr>
  </w:style>
  <w:style w:type="character" w:customStyle="1" w:styleId="NumberedListLevel3iChar">
    <w:name w:val="Numbered List Level 3 (i Char"/>
    <w:aliases w:val="ii Char,iii) Char"/>
    <w:basedOn w:val="DefaultParagraphFont"/>
    <w:link w:val="NumberedListLevel3i"/>
    <w:rsid w:val="00DD4B6C"/>
    <w:rPr>
      <w:rFonts w:eastAsia="Times New Roman" w:cs="Times New Roman"/>
      <w:sz w:val="24"/>
      <w:szCs w:val="24"/>
      <w:lang w:eastAsia="en-AU"/>
    </w:rPr>
  </w:style>
  <w:style w:type="character" w:styleId="PlaceholderText">
    <w:name w:val="Placeholder Text"/>
    <w:basedOn w:val="DefaultParagraphFont"/>
    <w:uiPriority w:val="99"/>
    <w:semiHidden/>
    <w:rsid w:val="00DD4B6C"/>
    <w:rPr>
      <w:color w:val="808080"/>
    </w:rPr>
  </w:style>
  <w:style w:type="paragraph" w:customStyle="1" w:styleId="ProtectedConfidentialSecretTopSecret">
    <w:name w:val="Protected / Confidential / Secret / Top Secret"/>
    <w:basedOn w:val="Normal"/>
    <w:link w:val="ProtectedConfidentialSecretTopSecretChar"/>
    <w:qFormat/>
    <w:rsid w:val="00DD4B6C"/>
    <w:pPr>
      <w:spacing w:after="0"/>
      <w:jc w:val="center"/>
    </w:pPr>
    <w:rPr>
      <w:rFonts w:cstheme="minorHAnsi"/>
      <w:caps/>
      <w:color w:val="FF0000"/>
    </w:rPr>
  </w:style>
  <w:style w:type="character" w:customStyle="1" w:styleId="ProtectedConfidentialSecretTopSecretChar">
    <w:name w:val="Protected / Confidential / Secret / Top Secret Char"/>
    <w:basedOn w:val="DefaultParagraphFont"/>
    <w:link w:val="ProtectedConfidentialSecretTopSecret"/>
    <w:rsid w:val="00DD4B6C"/>
    <w:rPr>
      <w:rFonts w:eastAsia="Times New Roman" w:cstheme="minorHAnsi"/>
      <w:caps/>
      <w:color w:val="FF0000"/>
      <w:sz w:val="24"/>
      <w:szCs w:val="24"/>
      <w:lang w:eastAsia="en-AU"/>
    </w:rPr>
  </w:style>
  <w:style w:type="paragraph" w:styleId="Signature">
    <w:name w:val="Signature"/>
    <w:basedOn w:val="Normal"/>
    <w:link w:val="SignatureChar"/>
    <w:uiPriority w:val="99"/>
    <w:unhideWhenUsed/>
    <w:rsid w:val="00DD4B6C"/>
    <w:pPr>
      <w:spacing w:before="720" w:after="0"/>
    </w:pPr>
  </w:style>
  <w:style w:type="character" w:customStyle="1" w:styleId="SignatureChar">
    <w:name w:val="Signature Char"/>
    <w:basedOn w:val="DefaultParagraphFont"/>
    <w:link w:val="Signature"/>
    <w:uiPriority w:val="99"/>
    <w:rsid w:val="00DD4B6C"/>
    <w:rPr>
      <w:rFonts w:eastAsia="Times New Roman" w:cs="Times New Roman"/>
      <w:sz w:val="24"/>
      <w:szCs w:val="24"/>
      <w:lang w:eastAsia="en-AU"/>
    </w:rPr>
  </w:style>
  <w:style w:type="paragraph" w:customStyle="1" w:styleId="StaffLegalCommercial">
    <w:name w:val="Staff / Legal / Commercial"/>
    <w:basedOn w:val="Normal"/>
    <w:link w:val="StaffLegalCommercialChar"/>
    <w:qFormat/>
    <w:rsid w:val="00DD4B6C"/>
    <w:pPr>
      <w:spacing w:after="360"/>
      <w:jc w:val="center"/>
    </w:pPr>
    <w:rPr>
      <w:rFonts w:cstheme="minorHAnsi"/>
      <w:color w:val="FF0000"/>
    </w:rPr>
  </w:style>
  <w:style w:type="character" w:customStyle="1" w:styleId="StaffLegalCommercialChar">
    <w:name w:val="Staff / Legal / Commercial Char"/>
    <w:basedOn w:val="DefaultParagraphFont"/>
    <w:link w:val="StaffLegalCommercial"/>
    <w:rsid w:val="00DD4B6C"/>
    <w:rPr>
      <w:rFonts w:eastAsia="Times New Roman" w:cstheme="minorHAnsi"/>
      <w:color w:val="FF0000"/>
      <w:sz w:val="24"/>
      <w:szCs w:val="24"/>
      <w:lang w:eastAsia="en-AU"/>
    </w:rPr>
  </w:style>
  <w:style w:type="paragraph" w:styleId="Subtitle">
    <w:name w:val="Subtitle"/>
    <w:basedOn w:val="Normal"/>
    <w:link w:val="SubtitleChar"/>
    <w:qFormat/>
    <w:rsid w:val="00DD4B6C"/>
    <w:pPr>
      <w:jc w:val="center"/>
    </w:pPr>
    <w:rPr>
      <w:b/>
      <w:szCs w:val="20"/>
    </w:rPr>
  </w:style>
  <w:style w:type="character" w:customStyle="1" w:styleId="SubtitleChar">
    <w:name w:val="Subtitle Char"/>
    <w:basedOn w:val="DefaultParagraphFont"/>
    <w:link w:val="Subtitle"/>
    <w:rsid w:val="00DD4B6C"/>
    <w:rPr>
      <w:rFonts w:eastAsia="Times New Roman" w:cs="Times New Roman"/>
      <w:b/>
      <w:sz w:val="24"/>
      <w:szCs w:val="20"/>
      <w:lang w:eastAsia="en-AU"/>
    </w:rPr>
  </w:style>
  <w:style w:type="table" w:styleId="TableGrid">
    <w:name w:val="Table Grid"/>
    <w:basedOn w:val="TableNormal"/>
    <w:uiPriority w:val="39"/>
    <w:rsid w:val="00DD4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D03A9"/>
    <w:pPr>
      <w:spacing w:after="0"/>
    </w:pPr>
    <w:rPr>
      <w:rFonts w:eastAsia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AD03A9"/>
    <w:rPr>
      <w:sz w:val="20"/>
      <w:szCs w:val="20"/>
    </w:rPr>
  </w:style>
  <w:style w:type="character" w:styleId="FootnoteReference">
    <w:name w:val="footnote reference"/>
    <w:basedOn w:val="DefaultParagraphFont"/>
    <w:uiPriority w:val="99"/>
    <w:semiHidden/>
    <w:unhideWhenUsed/>
    <w:rsid w:val="00AD03A9"/>
    <w:rPr>
      <w:vertAlign w:val="superscript"/>
    </w:rPr>
  </w:style>
  <w:style w:type="table" w:customStyle="1" w:styleId="ListTable3-Accent11">
    <w:name w:val="List Table 3 - Accent 11"/>
    <w:basedOn w:val="TableNormal"/>
    <w:uiPriority w:val="48"/>
    <w:rsid w:val="006302E7"/>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Emphasis">
    <w:name w:val="Emphasis"/>
    <w:basedOn w:val="DefaultParagraphFont"/>
    <w:uiPriority w:val="20"/>
    <w:qFormat/>
    <w:rsid w:val="006302E7"/>
    <w:rPr>
      <w:i/>
      <w:iCs/>
    </w:rPr>
  </w:style>
  <w:style w:type="paragraph" w:styleId="NormalWeb">
    <w:name w:val="Normal (Web)"/>
    <w:basedOn w:val="Normal"/>
    <w:uiPriority w:val="99"/>
    <w:semiHidden/>
    <w:unhideWhenUsed/>
    <w:rsid w:val="006302E7"/>
    <w:pPr>
      <w:spacing w:after="150"/>
    </w:pPr>
    <w:rPr>
      <w:rFonts w:ascii="Times New Roman" w:hAnsi="Times New Roman"/>
    </w:rPr>
  </w:style>
  <w:style w:type="paragraph" w:styleId="Revision">
    <w:name w:val="Revision"/>
    <w:hidden/>
    <w:uiPriority w:val="99"/>
    <w:semiHidden/>
    <w:rsid w:val="006302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39264">
      <w:bodyDiv w:val="1"/>
      <w:marLeft w:val="0"/>
      <w:marRight w:val="0"/>
      <w:marTop w:val="0"/>
      <w:marBottom w:val="0"/>
      <w:divBdr>
        <w:top w:val="none" w:sz="0" w:space="0" w:color="auto"/>
        <w:left w:val="none" w:sz="0" w:space="0" w:color="auto"/>
        <w:bottom w:val="none" w:sz="0" w:space="0" w:color="auto"/>
        <w:right w:val="none" w:sz="0" w:space="0" w:color="auto"/>
      </w:divBdr>
      <w:divsChild>
        <w:div w:id="713502113">
          <w:marLeft w:val="0"/>
          <w:marRight w:val="0"/>
          <w:marTop w:val="0"/>
          <w:marBottom w:val="0"/>
          <w:divBdr>
            <w:top w:val="none" w:sz="0" w:space="0" w:color="auto"/>
            <w:left w:val="none" w:sz="0" w:space="0" w:color="auto"/>
            <w:bottom w:val="none" w:sz="0" w:space="0" w:color="auto"/>
            <w:right w:val="none" w:sz="0" w:space="0" w:color="auto"/>
          </w:divBdr>
          <w:divsChild>
            <w:div w:id="523322184">
              <w:marLeft w:val="0"/>
              <w:marRight w:val="0"/>
              <w:marTop w:val="0"/>
              <w:marBottom w:val="0"/>
              <w:divBdr>
                <w:top w:val="none" w:sz="0" w:space="0" w:color="auto"/>
                <w:left w:val="none" w:sz="0" w:space="0" w:color="auto"/>
                <w:bottom w:val="none" w:sz="0" w:space="0" w:color="auto"/>
                <w:right w:val="none" w:sz="0" w:space="0" w:color="auto"/>
              </w:divBdr>
              <w:divsChild>
                <w:div w:id="2022970951">
                  <w:marLeft w:val="0"/>
                  <w:marRight w:val="0"/>
                  <w:marTop w:val="0"/>
                  <w:marBottom w:val="0"/>
                  <w:divBdr>
                    <w:top w:val="none" w:sz="0" w:space="0" w:color="auto"/>
                    <w:left w:val="none" w:sz="0" w:space="0" w:color="auto"/>
                    <w:bottom w:val="none" w:sz="0" w:space="0" w:color="auto"/>
                    <w:right w:val="none" w:sz="0" w:space="0" w:color="auto"/>
                  </w:divBdr>
                  <w:divsChild>
                    <w:div w:id="985008065">
                      <w:marLeft w:val="0"/>
                      <w:marRight w:val="0"/>
                      <w:marTop w:val="0"/>
                      <w:marBottom w:val="0"/>
                      <w:divBdr>
                        <w:top w:val="none" w:sz="0" w:space="0" w:color="auto"/>
                        <w:left w:val="none" w:sz="0" w:space="0" w:color="auto"/>
                        <w:bottom w:val="none" w:sz="0" w:space="0" w:color="auto"/>
                        <w:right w:val="none" w:sz="0" w:space="0" w:color="auto"/>
                      </w:divBdr>
                      <w:divsChild>
                        <w:div w:id="906913080">
                          <w:marLeft w:val="0"/>
                          <w:marRight w:val="0"/>
                          <w:marTop w:val="0"/>
                          <w:marBottom w:val="0"/>
                          <w:divBdr>
                            <w:top w:val="none" w:sz="0" w:space="0" w:color="auto"/>
                            <w:left w:val="none" w:sz="0" w:space="0" w:color="auto"/>
                            <w:bottom w:val="none" w:sz="0" w:space="0" w:color="auto"/>
                            <w:right w:val="none" w:sz="0" w:space="0" w:color="auto"/>
                          </w:divBdr>
                          <w:divsChild>
                            <w:div w:id="674504264">
                              <w:marLeft w:val="0"/>
                              <w:marRight w:val="0"/>
                              <w:marTop w:val="0"/>
                              <w:marBottom w:val="0"/>
                              <w:divBdr>
                                <w:top w:val="none" w:sz="0" w:space="0" w:color="auto"/>
                                <w:left w:val="none" w:sz="0" w:space="0" w:color="auto"/>
                                <w:bottom w:val="none" w:sz="0" w:space="0" w:color="auto"/>
                                <w:right w:val="none" w:sz="0" w:space="0" w:color="auto"/>
                              </w:divBdr>
                              <w:divsChild>
                                <w:div w:id="2023824630">
                                  <w:marLeft w:val="0"/>
                                  <w:marRight w:val="0"/>
                                  <w:marTop w:val="0"/>
                                  <w:marBottom w:val="0"/>
                                  <w:divBdr>
                                    <w:top w:val="none" w:sz="0" w:space="0" w:color="auto"/>
                                    <w:left w:val="none" w:sz="0" w:space="0" w:color="auto"/>
                                    <w:bottom w:val="none" w:sz="0" w:space="0" w:color="auto"/>
                                    <w:right w:val="none" w:sz="0" w:space="0" w:color="auto"/>
                                  </w:divBdr>
                                  <w:divsChild>
                                    <w:div w:id="1888953430">
                                      <w:marLeft w:val="0"/>
                                      <w:marRight w:val="0"/>
                                      <w:marTop w:val="0"/>
                                      <w:marBottom w:val="0"/>
                                      <w:divBdr>
                                        <w:top w:val="none" w:sz="0" w:space="0" w:color="auto"/>
                                        <w:left w:val="none" w:sz="0" w:space="0" w:color="auto"/>
                                        <w:bottom w:val="none" w:sz="0" w:space="0" w:color="auto"/>
                                        <w:right w:val="none" w:sz="0" w:space="0" w:color="auto"/>
                                      </w:divBdr>
                                      <w:divsChild>
                                        <w:div w:id="1200437839">
                                          <w:marLeft w:val="0"/>
                                          <w:marRight w:val="0"/>
                                          <w:marTop w:val="0"/>
                                          <w:marBottom w:val="0"/>
                                          <w:divBdr>
                                            <w:top w:val="none" w:sz="0" w:space="0" w:color="auto"/>
                                            <w:left w:val="none" w:sz="0" w:space="0" w:color="auto"/>
                                            <w:bottom w:val="none" w:sz="0" w:space="0" w:color="auto"/>
                                            <w:right w:val="none" w:sz="0" w:space="0" w:color="auto"/>
                                          </w:divBdr>
                                          <w:divsChild>
                                            <w:div w:id="2039431968">
                                              <w:marLeft w:val="0"/>
                                              <w:marRight w:val="0"/>
                                              <w:marTop w:val="0"/>
                                              <w:marBottom w:val="0"/>
                                              <w:divBdr>
                                                <w:top w:val="none" w:sz="0" w:space="0" w:color="auto"/>
                                                <w:left w:val="none" w:sz="0" w:space="0" w:color="auto"/>
                                                <w:bottom w:val="none" w:sz="0" w:space="0" w:color="auto"/>
                                                <w:right w:val="none" w:sz="0" w:space="0" w:color="auto"/>
                                              </w:divBdr>
                                              <w:divsChild>
                                                <w:div w:id="233318242">
                                                  <w:marLeft w:val="0"/>
                                                  <w:marRight w:val="0"/>
                                                  <w:marTop w:val="0"/>
                                                  <w:marBottom w:val="0"/>
                                                  <w:divBdr>
                                                    <w:top w:val="none" w:sz="0" w:space="0" w:color="auto"/>
                                                    <w:left w:val="none" w:sz="0" w:space="0" w:color="auto"/>
                                                    <w:bottom w:val="none" w:sz="0" w:space="0" w:color="auto"/>
                                                    <w:right w:val="none" w:sz="0" w:space="0" w:color="auto"/>
                                                  </w:divBdr>
                                                  <w:divsChild>
                                                    <w:div w:id="632755689">
                                                      <w:marLeft w:val="0"/>
                                                      <w:marRight w:val="0"/>
                                                      <w:marTop w:val="0"/>
                                                      <w:marBottom w:val="0"/>
                                                      <w:divBdr>
                                                        <w:top w:val="none" w:sz="0" w:space="0" w:color="auto"/>
                                                        <w:left w:val="none" w:sz="0" w:space="0" w:color="auto"/>
                                                        <w:bottom w:val="none" w:sz="0" w:space="0" w:color="auto"/>
                                                        <w:right w:val="none" w:sz="0" w:space="0" w:color="auto"/>
                                                      </w:divBdr>
                                                      <w:divsChild>
                                                        <w:div w:id="23057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815927">
      <w:bodyDiv w:val="1"/>
      <w:marLeft w:val="0"/>
      <w:marRight w:val="0"/>
      <w:marTop w:val="0"/>
      <w:marBottom w:val="0"/>
      <w:divBdr>
        <w:top w:val="none" w:sz="0" w:space="0" w:color="auto"/>
        <w:left w:val="none" w:sz="0" w:space="0" w:color="auto"/>
        <w:bottom w:val="none" w:sz="0" w:space="0" w:color="auto"/>
        <w:right w:val="none" w:sz="0" w:space="0" w:color="auto"/>
      </w:divBdr>
    </w:div>
    <w:div w:id="368259625">
      <w:bodyDiv w:val="1"/>
      <w:marLeft w:val="0"/>
      <w:marRight w:val="0"/>
      <w:marTop w:val="0"/>
      <w:marBottom w:val="0"/>
      <w:divBdr>
        <w:top w:val="none" w:sz="0" w:space="0" w:color="auto"/>
        <w:left w:val="none" w:sz="0" w:space="0" w:color="auto"/>
        <w:bottom w:val="none" w:sz="0" w:space="0" w:color="auto"/>
        <w:right w:val="none" w:sz="0" w:space="0" w:color="auto"/>
      </w:divBdr>
      <w:divsChild>
        <w:div w:id="1157965464">
          <w:marLeft w:val="0"/>
          <w:marRight w:val="0"/>
          <w:marTop w:val="0"/>
          <w:marBottom w:val="0"/>
          <w:divBdr>
            <w:top w:val="none" w:sz="0" w:space="0" w:color="auto"/>
            <w:left w:val="none" w:sz="0" w:space="0" w:color="auto"/>
            <w:bottom w:val="none" w:sz="0" w:space="0" w:color="auto"/>
            <w:right w:val="none" w:sz="0" w:space="0" w:color="auto"/>
          </w:divBdr>
          <w:divsChild>
            <w:div w:id="1206334266">
              <w:marLeft w:val="0"/>
              <w:marRight w:val="0"/>
              <w:marTop w:val="0"/>
              <w:marBottom w:val="0"/>
              <w:divBdr>
                <w:top w:val="none" w:sz="0" w:space="0" w:color="auto"/>
                <w:left w:val="none" w:sz="0" w:space="0" w:color="auto"/>
                <w:bottom w:val="none" w:sz="0" w:space="0" w:color="auto"/>
                <w:right w:val="none" w:sz="0" w:space="0" w:color="auto"/>
              </w:divBdr>
              <w:divsChild>
                <w:div w:id="2129541199">
                  <w:marLeft w:val="0"/>
                  <w:marRight w:val="0"/>
                  <w:marTop w:val="0"/>
                  <w:marBottom w:val="0"/>
                  <w:divBdr>
                    <w:top w:val="none" w:sz="0" w:space="0" w:color="auto"/>
                    <w:left w:val="none" w:sz="0" w:space="0" w:color="auto"/>
                    <w:bottom w:val="none" w:sz="0" w:space="0" w:color="auto"/>
                    <w:right w:val="none" w:sz="0" w:space="0" w:color="auto"/>
                  </w:divBdr>
                  <w:divsChild>
                    <w:div w:id="1722050547">
                      <w:marLeft w:val="0"/>
                      <w:marRight w:val="0"/>
                      <w:marTop w:val="0"/>
                      <w:marBottom w:val="0"/>
                      <w:divBdr>
                        <w:top w:val="none" w:sz="0" w:space="0" w:color="auto"/>
                        <w:left w:val="none" w:sz="0" w:space="0" w:color="auto"/>
                        <w:bottom w:val="none" w:sz="0" w:space="0" w:color="auto"/>
                        <w:right w:val="none" w:sz="0" w:space="0" w:color="auto"/>
                      </w:divBdr>
                      <w:divsChild>
                        <w:div w:id="739518319">
                          <w:marLeft w:val="0"/>
                          <w:marRight w:val="0"/>
                          <w:marTop w:val="0"/>
                          <w:marBottom w:val="0"/>
                          <w:divBdr>
                            <w:top w:val="none" w:sz="0" w:space="0" w:color="auto"/>
                            <w:left w:val="none" w:sz="0" w:space="0" w:color="auto"/>
                            <w:bottom w:val="none" w:sz="0" w:space="0" w:color="auto"/>
                            <w:right w:val="none" w:sz="0" w:space="0" w:color="auto"/>
                          </w:divBdr>
                          <w:divsChild>
                            <w:div w:id="515311798">
                              <w:marLeft w:val="0"/>
                              <w:marRight w:val="0"/>
                              <w:marTop w:val="0"/>
                              <w:marBottom w:val="0"/>
                              <w:divBdr>
                                <w:top w:val="none" w:sz="0" w:space="0" w:color="auto"/>
                                <w:left w:val="none" w:sz="0" w:space="0" w:color="auto"/>
                                <w:bottom w:val="none" w:sz="0" w:space="0" w:color="auto"/>
                                <w:right w:val="none" w:sz="0" w:space="0" w:color="auto"/>
                              </w:divBdr>
                              <w:divsChild>
                                <w:div w:id="699166608">
                                  <w:marLeft w:val="0"/>
                                  <w:marRight w:val="0"/>
                                  <w:marTop w:val="0"/>
                                  <w:marBottom w:val="0"/>
                                  <w:divBdr>
                                    <w:top w:val="none" w:sz="0" w:space="0" w:color="auto"/>
                                    <w:left w:val="none" w:sz="0" w:space="0" w:color="auto"/>
                                    <w:bottom w:val="none" w:sz="0" w:space="0" w:color="auto"/>
                                    <w:right w:val="none" w:sz="0" w:space="0" w:color="auto"/>
                                  </w:divBdr>
                                  <w:divsChild>
                                    <w:div w:id="274096416">
                                      <w:marLeft w:val="0"/>
                                      <w:marRight w:val="0"/>
                                      <w:marTop w:val="0"/>
                                      <w:marBottom w:val="0"/>
                                      <w:divBdr>
                                        <w:top w:val="none" w:sz="0" w:space="0" w:color="auto"/>
                                        <w:left w:val="none" w:sz="0" w:space="0" w:color="auto"/>
                                        <w:bottom w:val="none" w:sz="0" w:space="0" w:color="auto"/>
                                        <w:right w:val="none" w:sz="0" w:space="0" w:color="auto"/>
                                      </w:divBdr>
                                      <w:divsChild>
                                        <w:div w:id="1305815333">
                                          <w:marLeft w:val="0"/>
                                          <w:marRight w:val="0"/>
                                          <w:marTop w:val="0"/>
                                          <w:marBottom w:val="0"/>
                                          <w:divBdr>
                                            <w:top w:val="none" w:sz="0" w:space="0" w:color="auto"/>
                                            <w:left w:val="none" w:sz="0" w:space="0" w:color="auto"/>
                                            <w:bottom w:val="none" w:sz="0" w:space="0" w:color="auto"/>
                                            <w:right w:val="none" w:sz="0" w:space="0" w:color="auto"/>
                                          </w:divBdr>
                                          <w:divsChild>
                                            <w:div w:id="1440682611">
                                              <w:marLeft w:val="0"/>
                                              <w:marRight w:val="0"/>
                                              <w:marTop w:val="0"/>
                                              <w:marBottom w:val="0"/>
                                              <w:divBdr>
                                                <w:top w:val="none" w:sz="0" w:space="0" w:color="auto"/>
                                                <w:left w:val="none" w:sz="0" w:space="0" w:color="auto"/>
                                                <w:bottom w:val="none" w:sz="0" w:space="0" w:color="auto"/>
                                                <w:right w:val="none" w:sz="0" w:space="0" w:color="auto"/>
                                              </w:divBdr>
                                              <w:divsChild>
                                                <w:div w:id="1775402565">
                                                  <w:marLeft w:val="0"/>
                                                  <w:marRight w:val="0"/>
                                                  <w:marTop w:val="0"/>
                                                  <w:marBottom w:val="0"/>
                                                  <w:divBdr>
                                                    <w:top w:val="none" w:sz="0" w:space="0" w:color="auto"/>
                                                    <w:left w:val="none" w:sz="0" w:space="0" w:color="auto"/>
                                                    <w:bottom w:val="none" w:sz="0" w:space="0" w:color="auto"/>
                                                    <w:right w:val="none" w:sz="0" w:space="0" w:color="auto"/>
                                                  </w:divBdr>
                                                  <w:divsChild>
                                                    <w:div w:id="2133548838">
                                                      <w:marLeft w:val="0"/>
                                                      <w:marRight w:val="0"/>
                                                      <w:marTop w:val="0"/>
                                                      <w:marBottom w:val="0"/>
                                                      <w:divBdr>
                                                        <w:top w:val="none" w:sz="0" w:space="0" w:color="auto"/>
                                                        <w:left w:val="none" w:sz="0" w:space="0" w:color="auto"/>
                                                        <w:bottom w:val="none" w:sz="0" w:space="0" w:color="auto"/>
                                                        <w:right w:val="none" w:sz="0" w:space="0" w:color="auto"/>
                                                      </w:divBdr>
                                                      <w:divsChild>
                                                        <w:div w:id="81607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02568081">
      <w:bodyDiv w:val="1"/>
      <w:marLeft w:val="0"/>
      <w:marRight w:val="0"/>
      <w:marTop w:val="0"/>
      <w:marBottom w:val="0"/>
      <w:divBdr>
        <w:top w:val="none" w:sz="0" w:space="0" w:color="auto"/>
        <w:left w:val="none" w:sz="0" w:space="0" w:color="auto"/>
        <w:bottom w:val="none" w:sz="0" w:space="0" w:color="auto"/>
        <w:right w:val="none" w:sz="0" w:space="0" w:color="auto"/>
      </w:divBdr>
    </w:div>
    <w:div w:id="981084461">
      <w:bodyDiv w:val="1"/>
      <w:marLeft w:val="0"/>
      <w:marRight w:val="0"/>
      <w:marTop w:val="0"/>
      <w:marBottom w:val="0"/>
      <w:divBdr>
        <w:top w:val="none" w:sz="0" w:space="0" w:color="auto"/>
        <w:left w:val="none" w:sz="0" w:space="0" w:color="auto"/>
        <w:bottom w:val="none" w:sz="0" w:space="0" w:color="auto"/>
        <w:right w:val="none" w:sz="0" w:space="0" w:color="auto"/>
      </w:divBdr>
    </w:div>
    <w:div w:id="1066025525">
      <w:bodyDiv w:val="1"/>
      <w:marLeft w:val="0"/>
      <w:marRight w:val="0"/>
      <w:marTop w:val="0"/>
      <w:marBottom w:val="0"/>
      <w:divBdr>
        <w:top w:val="none" w:sz="0" w:space="0" w:color="auto"/>
        <w:left w:val="none" w:sz="0" w:space="0" w:color="auto"/>
        <w:bottom w:val="none" w:sz="0" w:space="0" w:color="auto"/>
        <w:right w:val="none" w:sz="0" w:space="0" w:color="auto"/>
      </w:divBdr>
      <w:divsChild>
        <w:div w:id="1893731994">
          <w:marLeft w:val="0"/>
          <w:marRight w:val="0"/>
          <w:marTop w:val="0"/>
          <w:marBottom w:val="0"/>
          <w:divBdr>
            <w:top w:val="none" w:sz="0" w:space="0" w:color="auto"/>
            <w:left w:val="none" w:sz="0" w:space="0" w:color="auto"/>
            <w:bottom w:val="none" w:sz="0" w:space="0" w:color="auto"/>
            <w:right w:val="none" w:sz="0" w:space="0" w:color="auto"/>
          </w:divBdr>
          <w:divsChild>
            <w:div w:id="1890260309">
              <w:marLeft w:val="0"/>
              <w:marRight w:val="0"/>
              <w:marTop w:val="0"/>
              <w:marBottom w:val="0"/>
              <w:divBdr>
                <w:top w:val="none" w:sz="0" w:space="0" w:color="auto"/>
                <w:left w:val="none" w:sz="0" w:space="0" w:color="auto"/>
                <w:bottom w:val="none" w:sz="0" w:space="0" w:color="auto"/>
                <w:right w:val="none" w:sz="0" w:space="0" w:color="auto"/>
              </w:divBdr>
              <w:divsChild>
                <w:div w:id="650867583">
                  <w:marLeft w:val="0"/>
                  <w:marRight w:val="0"/>
                  <w:marTop w:val="0"/>
                  <w:marBottom w:val="0"/>
                  <w:divBdr>
                    <w:top w:val="none" w:sz="0" w:space="0" w:color="auto"/>
                    <w:left w:val="none" w:sz="0" w:space="0" w:color="auto"/>
                    <w:bottom w:val="none" w:sz="0" w:space="0" w:color="auto"/>
                    <w:right w:val="none" w:sz="0" w:space="0" w:color="auto"/>
                  </w:divBdr>
                  <w:divsChild>
                    <w:div w:id="318507597">
                      <w:marLeft w:val="0"/>
                      <w:marRight w:val="0"/>
                      <w:marTop w:val="0"/>
                      <w:marBottom w:val="0"/>
                      <w:divBdr>
                        <w:top w:val="none" w:sz="0" w:space="0" w:color="auto"/>
                        <w:left w:val="none" w:sz="0" w:space="0" w:color="auto"/>
                        <w:bottom w:val="none" w:sz="0" w:space="0" w:color="auto"/>
                        <w:right w:val="none" w:sz="0" w:space="0" w:color="auto"/>
                      </w:divBdr>
                      <w:divsChild>
                        <w:div w:id="1830250370">
                          <w:marLeft w:val="0"/>
                          <w:marRight w:val="0"/>
                          <w:marTop w:val="0"/>
                          <w:marBottom w:val="0"/>
                          <w:divBdr>
                            <w:top w:val="none" w:sz="0" w:space="0" w:color="auto"/>
                            <w:left w:val="none" w:sz="0" w:space="0" w:color="auto"/>
                            <w:bottom w:val="none" w:sz="0" w:space="0" w:color="auto"/>
                            <w:right w:val="none" w:sz="0" w:space="0" w:color="auto"/>
                          </w:divBdr>
                          <w:divsChild>
                            <w:div w:id="915434900">
                              <w:marLeft w:val="0"/>
                              <w:marRight w:val="0"/>
                              <w:marTop w:val="0"/>
                              <w:marBottom w:val="0"/>
                              <w:divBdr>
                                <w:top w:val="none" w:sz="0" w:space="0" w:color="auto"/>
                                <w:left w:val="none" w:sz="0" w:space="0" w:color="auto"/>
                                <w:bottom w:val="none" w:sz="0" w:space="0" w:color="auto"/>
                                <w:right w:val="none" w:sz="0" w:space="0" w:color="auto"/>
                              </w:divBdr>
                              <w:divsChild>
                                <w:div w:id="1624388610">
                                  <w:marLeft w:val="0"/>
                                  <w:marRight w:val="0"/>
                                  <w:marTop w:val="0"/>
                                  <w:marBottom w:val="0"/>
                                  <w:divBdr>
                                    <w:top w:val="none" w:sz="0" w:space="0" w:color="auto"/>
                                    <w:left w:val="none" w:sz="0" w:space="0" w:color="auto"/>
                                    <w:bottom w:val="none" w:sz="0" w:space="0" w:color="auto"/>
                                    <w:right w:val="none" w:sz="0" w:space="0" w:color="auto"/>
                                  </w:divBdr>
                                  <w:divsChild>
                                    <w:div w:id="1884706431">
                                      <w:marLeft w:val="0"/>
                                      <w:marRight w:val="0"/>
                                      <w:marTop w:val="0"/>
                                      <w:marBottom w:val="0"/>
                                      <w:divBdr>
                                        <w:top w:val="none" w:sz="0" w:space="0" w:color="auto"/>
                                        <w:left w:val="none" w:sz="0" w:space="0" w:color="auto"/>
                                        <w:bottom w:val="none" w:sz="0" w:space="0" w:color="auto"/>
                                        <w:right w:val="none" w:sz="0" w:space="0" w:color="auto"/>
                                      </w:divBdr>
                                      <w:divsChild>
                                        <w:div w:id="1434859900">
                                          <w:marLeft w:val="0"/>
                                          <w:marRight w:val="0"/>
                                          <w:marTop w:val="0"/>
                                          <w:marBottom w:val="0"/>
                                          <w:divBdr>
                                            <w:top w:val="none" w:sz="0" w:space="0" w:color="auto"/>
                                            <w:left w:val="none" w:sz="0" w:space="0" w:color="auto"/>
                                            <w:bottom w:val="none" w:sz="0" w:space="0" w:color="auto"/>
                                            <w:right w:val="none" w:sz="0" w:space="0" w:color="auto"/>
                                          </w:divBdr>
                                          <w:divsChild>
                                            <w:div w:id="1426995339">
                                              <w:marLeft w:val="0"/>
                                              <w:marRight w:val="0"/>
                                              <w:marTop w:val="0"/>
                                              <w:marBottom w:val="0"/>
                                              <w:divBdr>
                                                <w:top w:val="none" w:sz="0" w:space="0" w:color="auto"/>
                                                <w:left w:val="none" w:sz="0" w:space="0" w:color="auto"/>
                                                <w:bottom w:val="none" w:sz="0" w:space="0" w:color="auto"/>
                                                <w:right w:val="none" w:sz="0" w:space="0" w:color="auto"/>
                                              </w:divBdr>
                                              <w:divsChild>
                                                <w:div w:id="1365323054">
                                                  <w:marLeft w:val="0"/>
                                                  <w:marRight w:val="0"/>
                                                  <w:marTop w:val="0"/>
                                                  <w:marBottom w:val="0"/>
                                                  <w:divBdr>
                                                    <w:top w:val="none" w:sz="0" w:space="0" w:color="auto"/>
                                                    <w:left w:val="none" w:sz="0" w:space="0" w:color="auto"/>
                                                    <w:bottom w:val="none" w:sz="0" w:space="0" w:color="auto"/>
                                                    <w:right w:val="none" w:sz="0" w:space="0" w:color="auto"/>
                                                  </w:divBdr>
                                                  <w:divsChild>
                                                    <w:div w:id="941494162">
                                                      <w:marLeft w:val="0"/>
                                                      <w:marRight w:val="0"/>
                                                      <w:marTop w:val="0"/>
                                                      <w:marBottom w:val="0"/>
                                                      <w:divBdr>
                                                        <w:top w:val="none" w:sz="0" w:space="0" w:color="auto"/>
                                                        <w:left w:val="none" w:sz="0" w:space="0" w:color="auto"/>
                                                        <w:bottom w:val="none" w:sz="0" w:space="0" w:color="auto"/>
                                                        <w:right w:val="none" w:sz="0" w:space="0" w:color="auto"/>
                                                      </w:divBdr>
                                                      <w:divsChild>
                                                        <w:div w:id="89786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7530984">
      <w:bodyDiv w:val="1"/>
      <w:marLeft w:val="0"/>
      <w:marRight w:val="0"/>
      <w:marTop w:val="0"/>
      <w:marBottom w:val="0"/>
      <w:divBdr>
        <w:top w:val="none" w:sz="0" w:space="0" w:color="auto"/>
        <w:left w:val="none" w:sz="0" w:space="0" w:color="auto"/>
        <w:bottom w:val="none" w:sz="0" w:space="0" w:color="auto"/>
        <w:right w:val="none" w:sz="0" w:space="0" w:color="auto"/>
      </w:divBdr>
    </w:div>
    <w:div w:id="1540975500">
      <w:bodyDiv w:val="1"/>
      <w:marLeft w:val="0"/>
      <w:marRight w:val="0"/>
      <w:marTop w:val="0"/>
      <w:marBottom w:val="0"/>
      <w:divBdr>
        <w:top w:val="none" w:sz="0" w:space="0" w:color="auto"/>
        <w:left w:val="none" w:sz="0" w:space="0" w:color="auto"/>
        <w:bottom w:val="none" w:sz="0" w:space="0" w:color="auto"/>
        <w:right w:val="none" w:sz="0" w:space="0" w:color="auto"/>
      </w:divBdr>
    </w:div>
    <w:div w:id="157011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2A361CF9-F434-4F40-98B8-D7BA0655222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96F24B05A8D7E4A8AC6747FEA22123E" ma:contentTypeVersion="" ma:contentTypeDescription="PDMS Document Site Content Type" ma:contentTypeScope="" ma:versionID="b826d0a51e0873b0247321473635895f">
  <xsd:schema xmlns:xsd="http://www.w3.org/2001/XMLSchema" xmlns:xs="http://www.w3.org/2001/XMLSchema" xmlns:p="http://schemas.microsoft.com/office/2006/metadata/properties" xmlns:ns2="2A361CF9-F434-4F40-98B8-D7BA06552221" targetNamespace="http://schemas.microsoft.com/office/2006/metadata/properties" ma:root="true" ma:fieldsID="e7d7fd0777078a39f4d797191fe352e0" ns2:_="">
    <xsd:import namespace="2A361CF9-F434-4F40-98B8-D7BA0655222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61CF9-F434-4F40-98B8-D7BA0655222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D91F81-EDC5-4074-B316-3AF94D2137FB}">
  <ds:schemaRefs>
    <ds:schemaRef ds:uri="http://schemas.microsoft.com/sharepoint/v3/contenttype/forms"/>
  </ds:schemaRefs>
</ds:datastoreItem>
</file>

<file path=customXml/itemProps2.xml><?xml version="1.0" encoding="utf-8"?>
<ds:datastoreItem xmlns:ds="http://schemas.openxmlformats.org/officeDocument/2006/customXml" ds:itemID="{25A2C832-9A17-4DE8-9EE5-78F12A2A5F24}">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2A361CF9-F434-4F40-98B8-D7BA06552221"/>
    <ds:schemaRef ds:uri="http://www.w3.org/XML/1998/namespace"/>
  </ds:schemaRefs>
</ds:datastoreItem>
</file>

<file path=customXml/itemProps3.xml><?xml version="1.0" encoding="utf-8"?>
<ds:datastoreItem xmlns:ds="http://schemas.openxmlformats.org/officeDocument/2006/customXml" ds:itemID="{7463B100-3286-4634-BD34-6012526CF1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361CF9-F434-4F40-98B8-D7BA065522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C820ED-6F89-4D6F-AD90-E66884B6D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1361</Words>
  <Characters>7761</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F2018L00787ES.docx</vt:lpstr>
    </vt:vector>
  </TitlesOfParts>
  <Company>DBCDE</Company>
  <LinksUpToDate>false</LinksUpToDate>
  <CharactersWithSpaces>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F2018L00787ES.docx</dc:title>
  <dc:creator>OGC</dc:creator>
  <cp:lastModifiedBy>O'DEA Michael</cp:lastModifiedBy>
  <cp:revision>2</cp:revision>
  <cp:lastPrinted>2020-06-24T02:52:00Z</cp:lastPrinted>
  <dcterms:created xsi:type="dcterms:W3CDTF">2020-06-24T02:52:00Z</dcterms:created>
  <dcterms:modified xsi:type="dcterms:W3CDTF">2020-06-24T02:52:00Z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0x010100266966F133664895A6EE3632470D45F500596F24B05A8D7E4A8AC6747FEA22123E</vt:lpwstr>
  </property>
  <property fmtid="{D5CDD505-2E9C-101B-9397-08002B2CF9AE}" pid="3" name="trimRootDocClassification">
    <vt:lpwstr/>
  </property>
  <property fmtid="{D5CDD505-2E9C-101B-9397-08002B2CF9AE}" pid="4" name="trimRootDocAssigneeLocation">
    <vt:lpwstr>1375;#Metschke, Bernadette [Person - BMETSCHKE] [internal] [23089]|14c4c4ea-7d5b-42a0-88f0-64aed0c65d50</vt:lpwstr>
  </property>
  <property fmtid="{D5CDD505-2E9C-101B-9397-08002B2CF9AE}" pid="5" name="trimRootDocOtherContactLocation">
    <vt:lpwstr/>
  </property>
  <property fmtid="{D5CDD505-2E9C-101B-9397-08002B2CF9AE}" pid="6" name="trimRootDocACLCanUpdateMetadata_List">
    <vt:lpwstr/>
  </property>
  <property fmtid="{D5CDD505-2E9C-101B-9397-08002B2CF9AE}" pid="7" name="trimRootDocACLCanModifyAccess_List">
    <vt:lpwstr/>
  </property>
  <property fmtid="{D5CDD505-2E9C-101B-9397-08002B2CF9AE}" pid="8" name="trimRootDocACLCanUpdateDocument_List">
    <vt:lpwstr/>
  </property>
  <property fmtid="{D5CDD505-2E9C-101B-9397-08002B2CF9AE}" pid="9" name="trimRootDocACLCanViewMetadata_List">
    <vt:lpwstr/>
  </property>
  <property fmtid="{D5CDD505-2E9C-101B-9397-08002B2CF9AE}" pid="10" name="uri">
    <vt:lpwstr>2948986</vt:lpwstr>
  </property>
  <property fmtid="{D5CDD505-2E9C-101B-9397-08002B2CF9AE}" pid="11" name="trimRootDocACLCanViewDocument_List">
    <vt:lpwstr/>
  </property>
  <property fmtid="{D5CDD505-2E9C-101B-9397-08002B2CF9AE}" pid="12" name="trimRootDocOwnerLocation">
    <vt:lpwstr>54;#Legal Practice Unit [Organization] [internal] [39804]|3601d318-3562-4026-bcf3-e3d37a91abed</vt:lpwstr>
  </property>
  <property fmtid="{D5CDD505-2E9C-101B-9397-08002B2CF9AE}" pid="13" name="trimRootDocACLCanContributeDocuments_List">
    <vt:lpwstr/>
  </property>
  <property fmtid="{D5CDD505-2E9C-101B-9397-08002B2CF9AE}" pid="14" name="ie56bdfdc4a44ef997c05b4ed8c67594">
    <vt:lpwstr/>
  </property>
  <property fmtid="{D5CDD505-2E9C-101B-9397-08002B2CF9AE}" pid="15" name="dd9c7627a75f4720a6ccce58a35e4d75">
    <vt:lpwstr/>
  </property>
  <property fmtid="{D5CDD505-2E9C-101B-9397-08002B2CF9AE}" pid="16" name="TaxCatchAll">
    <vt:lpwstr>1375;#Metschke, Bernadette [Person - BMETSCHKE] [internal] [23089]|14c4c4ea-7d5b-42a0-88f0-64aed0c65d50;#54;#Legal Practice Unit [Organization] [internal] [39804]|3601d318-3562-4026-bcf3-e3d37a91abed</vt:lpwstr>
  </property>
  <property fmtid="{D5CDD505-2E9C-101B-9397-08002B2CF9AE}" pid="17" name="me786d0e3c9949dc83d6a9826d3f7afb">
    <vt:lpwstr>Legal Practice Unit [Organization] [internal] [39804]|3601d318-3562-4026-bcf3-e3d37a91abed</vt:lpwstr>
  </property>
  <property fmtid="{D5CDD505-2E9C-101B-9397-08002B2CF9AE}" pid="18" name="a26f7cb41fae41ebb6c8e377b7c30d71">
    <vt:lpwstr/>
  </property>
  <property fmtid="{D5CDD505-2E9C-101B-9397-08002B2CF9AE}" pid="19" name="e74c999a0f514bafbaad1ae53c56eac2">
    <vt:lpwstr/>
  </property>
  <property fmtid="{D5CDD505-2E9C-101B-9397-08002B2CF9AE}" pid="20" name="l30152c64bc5409cb0d6af5fc7998329">
    <vt:lpwstr/>
  </property>
  <property fmtid="{D5CDD505-2E9C-101B-9397-08002B2CF9AE}" pid="21" name="hab31d4ae2264d5c8e77fd86c07e7635">
    <vt:lpwstr/>
  </property>
  <property fmtid="{D5CDD505-2E9C-101B-9397-08002B2CF9AE}" pid="22" name="l7f7762656034748af4098221ba10b64">
    <vt:lpwstr>Metschke, Bernadette [Person - BMETSCHKE] [internal] [23089]|14c4c4ea-7d5b-42a0-88f0-64aed0c65d50</vt:lpwstr>
  </property>
  <property fmtid="{D5CDD505-2E9C-101B-9397-08002B2CF9AE}" pid="23" name="e65fcc6ef396426b9c231bd6b3bc54de">
    <vt:lpwstr/>
  </property>
  <property fmtid="{D5CDD505-2E9C-101B-9397-08002B2CF9AE}" pid="24" name="c1aa94c1bcce43cc9138ccb9c7bf6e69">
    <vt:lpwstr/>
  </property>
  <property fmtid="{D5CDD505-2E9C-101B-9397-08002B2CF9AE}" pid="25" name="TrimRevisionNumber">
    <vt:i4>57</vt:i4>
  </property>
</Properties>
</file>