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70895" w14:textId="77777777" w:rsidR="0052091A" w:rsidRDefault="0052091A" w:rsidP="0052091A">
      <w:pPr>
        <w:spacing w:after="0" w:line="240" w:lineRule="auto"/>
        <w:jc w:val="center"/>
        <w:rPr>
          <w:rFonts w:ascii="Times New Roman" w:hAnsi="Times New Roman" w:cs="Times New Roman"/>
          <w:b/>
          <w:caps/>
          <w:sz w:val="24"/>
          <w:szCs w:val="24"/>
          <w:u w:val="single"/>
        </w:rPr>
      </w:pPr>
    </w:p>
    <w:p w14:paraId="0B070896" w14:textId="77777777" w:rsidR="0052091A" w:rsidRPr="005D1ABF" w:rsidRDefault="005456F7" w:rsidP="0052091A">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E</w:t>
      </w:r>
      <w:r w:rsidRPr="005D1ABF">
        <w:rPr>
          <w:rFonts w:ascii="Times New Roman" w:hAnsi="Times New Roman" w:cs="Times New Roman"/>
          <w:b/>
          <w:caps/>
          <w:sz w:val="24"/>
          <w:szCs w:val="24"/>
          <w:u w:val="single"/>
        </w:rPr>
        <w:t>xplanatory Statement</w:t>
      </w:r>
    </w:p>
    <w:p w14:paraId="0B070897" w14:textId="77777777" w:rsidR="0052091A" w:rsidRPr="005D1ABF" w:rsidRDefault="0052091A" w:rsidP="0052091A">
      <w:pPr>
        <w:spacing w:after="0" w:line="240" w:lineRule="auto"/>
        <w:jc w:val="center"/>
        <w:rPr>
          <w:rFonts w:ascii="Times New Roman" w:hAnsi="Times New Roman" w:cs="Times New Roman"/>
          <w:b/>
          <w:caps/>
          <w:sz w:val="24"/>
          <w:szCs w:val="24"/>
          <w:u w:val="single"/>
        </w:rPr>
      </w:pPr>
    </w:p>
    <w:p w14:paraId="0B070898" w14:textId="77777777" w:rsidR="0052091A" w:rsidRPr="005D1ABF" w:rsidRDefault="005456F7" w:rsidP="0052091A">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Pr>
          <w:rFonts w:ascii="Times New Roman" w:hAnsi="Times New Roman" w:cs="Times New Roman"/>
          <w:sz w:val="24"/>
          <w:szCs w:val="24"/>
          <w:u w:val="single"/>
        </w:rPr>
        <w:t>Minister for Resources, Water and Northern Australia</w:t>
      </w:r>
    </w:p>
    <w:p w14:paraId="0B070899" w14:textId="77777777" w:rsidR="0052091A" w:rsidRPr="005D1ABF" w:rsidRDefault="0052091A" w:rsidP="0052091A">
      <w:pPr>
        <w:spacing w:after="0" w:line="240" w:lineRule="auto"/>
        <w:jc w:val="center"/>
        <w:rPr>
          <w:rFonts w:ascii="Times New Roman" w:hAnsi="Times New Roman" w:cs="Times New Roman"/>
          <w:sz w:val="24"/>
          <w:szCs w:val="24"/>
        </w:rPr>
      </w:pPr>
    </w:p>
    <w:p w14:paraId="0B07089A" w14:textId="77777777" w:rsidR="0052091A" w:rsidRPr="00354BE8" w:rsidRDefault="005456F7" w:rsidP="0052091A">
      <w:pPr>
        <w:spacing w:after="0" w:line="240" w:lineRule="auto"/>
        <w:jc w:val="center"/>
        <w:rPr>
          <w:rFonts w:ascii="Times New Roman" w:hAnsi="Times New Roman" w:cs="Times New Roman"/>
          <w:i/>
          <w:snapToGrid w:val="0"/>
          <w:sz w:val="24"/>
          <w:szCs w:val="24"/>
        </w:rPr>
      </w:pPr>
      <w:r w:rsidRPr="00354BE8">
        <w:rPr>
          <w:rFonts w:ascii="Times New Roman" w:hAnsi="Times New Roman" w:cs="Times New Roman"/>
          <w:i/>
          <w:snapToGrid w:val="0"/>
          <w:sz w:val="24"/>
          <w:szCs w:val="24"/>
        </w:rPr>
        <w:t xml:space="preserve">Water </w:t>
      </w:r>
      <w:r w:rsidRPr="005D1ABF">
        <w:rPr>
          <w:rFonts w:ascii="Times New Roman" w:hAnsi="Times New Roman" w:cs="Times New Roman"/>
          <w:i/>
          <w:snapToGrid w:val="0"/>
          <w:sz w:val="24"/>
          <w:szCs w:val="24"/>
        </w:rPr>
        <w:t>Act </w:t>
      </w:r>
      <w:r w:rsidRPr="00354BE8">
        <w:rPr>
          <w:rFonts w:ascii="Times New Roman" w:hAnsi="Times New Roman" w:cs="Times New Roman"/>
          <w:i/>
          <w:snapToGrid w:val="0"/>
          <w:sz w:val="24"/>
          <w:szCs w:val="24"/>
        </w:rPr>
        <w:t>2007</w:t>
      </w:r>
    </w:p>
    <w:p w14:paraId="0B07089B" w14:textId="77777777" w:rsidR="0052091A" w:rsidRPr="005D1ABF" w:rsidRDefault="0052091A" w:rsidP="0052091A">
      <w:pPr>
        <w:spacing w:after="0" w:line="240" w:lineRule="auto"/>
        <w:jc w:val="center"/>
        <w:rPr>
          <w:rFonts w:ascii="Times New Roman" w:hAnsi="Times New Roman" w:cs="Times New Roman"/>
          <w:sz w:val="24"/>
          <w:szCs w:val="24"/>
        </w:rPr>
      </w:pPr>
    </w:p>
    <w:p w14:paraId="0B07089C" w14:textId="77777777" w:rsidR="0052091A" w:rsidRDefault="005456F7" w:rsidP="0052091A">
      <w:pPr>
        <w:spacing w:after="0" w:line="240" w:lineRule="auto"/>
        <w:jc w:val="center"/>
        <w:rPr>
          <w:rFonts w:ascii="Times New Roman" w:hAnsi="Times New Roman" w:cs="Times New Roman"/>
          <w:i/>
          <w:color w:val="FF0000"/>
          <w:sz w:val="24"/>
          <w:szCs w:val="24"/>
        </w:rPr>
      </w:pPr>
      <w:r>
        <w:rPr>
          <w:rFonts w:ascii="Times New Roman" w:hAnsi="Times New Roman" w:cs="Times New Roman"/>
          <w:i/>
          <w:sz w:val="24"/>
          <w:szCs w:val="24"/>
        </w:rPr>
        <w:t>Water Charge Amendment (Termination Fees) Rules 2020</w:t>
      </w:r>
    </w:p>
    <w:p w14:paraId="0B07089D" w14:textId="77777777" w:rsidR="0052091A" w:rsidRDefault="0052091A" w:rsidP="0052091A">
      <w:pPr>
        <w:tabs>
          <w:tab w:val="left" w:pos="1701"/>
          <w:tab w:val="right" w:pos="9072"/>
        </w:tabs>
        <w:spacing w:after="0" w:line="240" w:lineRule="auto"/>
        <w:rPr>
          <w:rFonts w:ascii="Times New Roman" w:eastAsia="Times New Roman" w:hAnsi="Times New Roman" w:cs="Times New Roman"/>
          <w:i/>
          <w:color w:val="FF0000"/>
          <w:sz w:val="24"/>
          <w:szCs w:val="24"/>
        </w:rPr>
      </w:pPr>
    </w:p>
    <w:p w14:paraId="0B07089E" w14:textId="77777777" w:rsidR="0052091A" w:rsidRPr="00354BE8" w:rsidRDefault="005456F7" w:rsidP="0052091A">
      <w:pPr>
        <w:tabs>
          <w:tab w:val="left" w:pos="1701"/>
          <w:tab w:val="right" w:pos="9072"/>
        </w:tabs>
        <w:spacing w:after="0" w:line="240" w:lineRule="auto"/>
        <w:rPr>
          <w:rFonts w:ascii="Times New Roman" w:hAnsi="Times New Roman" w:cs="Times New Roman"/>
          <w:sz w:val="24"/>
          <w:szCs w:val="24"/>
        </w:rPr>
      </w:pPr>
      <w:r w:rsidRPr="00354BE8">
        <w:rPr>
          <w:rFonts w:ascii="Times New Roman" w:hAnsi="Times New Roman" w:cs="Times New Roman"/>
          <w:b/>
          <w:sz w:val="24"/>
          <w:szCs w:val="24"/>
        </w:rPr>
        <w:t>Legislative Authority</w:t>
      </w:r>
    </w:p>
    <w:p w14:paraId="0B07089F" w14:textId="77777777" w:rsidR="0052091A" w:rsidRPr="00354BE8" w:rsidRDefault="0052091A" w:rsidP="0052091A">
      <w:pPr>
        <w:tabs>
          <w:tab w:val="right" w:pos="9072"/>
        </w:tabs>
        <w:spacing w:after="0" w:line="240" w:lineRule="auto"/>
        <w:rPr>
          <w:rFonts w:ascii="Times New Roman" w:hAnsi="Times New Roman" w:cs="Times New Roman"/>
          <w:sz w:val="24"/>
          <w:szCs w:val="24"/>
        </w:rPr>
      </w:pPr>
    </w:p>
    <w:p w14:paraId="0B0708A0" w14:textId="77777777" w:rsidR="0052091A" w:rsidRPr="00F53C70" w:rsidRDefault="005456F7" w:rsidP="0052091A">
      <w:pPr>
        <w:tabs>
          <w:tab w:val="left" w:pos="1701"/>
          <w:tab w:val="right" w:pos="9072"/>
        </w:tabs>
        <w:spacing w:after="0" w:line="240" w:lineRule="auto"/>
        <w:rPr>
          <w:rFonts w:ascii="Times New Roman" w:hAnsi="Times New Roman" w:cs="Times New Roman"/>
          <w:sz w:val="24"/>
        </w:rPr>
      </w:pPr>
      <w:r w:rsidRPr="00354BE8">
        <w:rPr>
          <w:rFonts w:ascii="Times New Roman" w:hAnsi="Times New Roman" w:cs="Times New Roman"/>
          <w:sz w:val="24"/>
        </w:rPr>
        <w:t xml:space="preserve">The </w:t>
      </w:r>
      <w:r w:rsidRPr="00354BE8">
        <w:rPr>
          <w:rFonts w:ascii="Times New Roman" w:hAnsi="Times New Roman" w:cs="Times New Roman"/>
          <w:i/>
          <w:sz w:val="24"/>
        </w:rPr>
        <w:t>Water Act 2007</w:t>
      </w:r>
      <w:r w:rsidRPr="00354BE8">
        <w:rPr>
          <w:rFonts w:ascii="Times New Roman" w:hAnsi="Times New Roman" w:cs="Times New Roman"/>
          <w:sz w:val="24"/>
        </w:rPr>
        <w:t xml:space="preserve"> (the</w:t>
      </w:r>
      <w:r>
        <w:rPr>
          <w:rFonts w:ascii="Times New Roman" w:hAnsi="Times New Roman" w:cs="Times New Roman"/>
          <w:sz w:val="24"/>
        </w:rPr>
        <w:t xml:space="preserve"> Water</w:t>
      </w:r>
      <w:r w:rsidRPr="00354BE8">
        <w:rPr>
          <w:rFonts w:ascii="Times New Roman" w:hAnsi="Times New Roman" w:cs="Times New Roman"/>
          <w:sz w:val="24"/>
        </w:rPr>
        <w:t xml:space="preserve"> Act) makes provision for the management of the water resources of the Murray-Darling Basin, and for other matters of national interest in relation to water and water information, and for related purposes.</w:t>
      </w:r>
    </w:p>
    <w:p w14:paraId="0B0708A1" w14:textId="77777777" w:rsidR="0052091A" w:rsidRPr="00F53C70" w:rsidRDefault="0052091A" w:rsidP="0052091A">
      <w:pPr>
        <w:tabs>
          <w:tab w:val="left" w:pos="1701"/>
          <w:tab w:val="right" w:pos="9072"/>
        </w:tabs>
        <w:spacing w:after="0" w:line="240" w:lineRule="auto"/>
        <w:rPr>
          <w:rFonts w:ascii="Times New Roman" w:hAnsi="Times New Roman" w:cs="Times New Roman"/>
          <w:sz w:val="24"/>
        </w:rPr>
      </w:pPr>
    </w:p>
    <w:p w14:paraId="0B0708A2" w14:textId="1CACC1F4" w:rsidR="0052091A" w:rsidRPr="00F53C70" w:rsidRDefault="005456F7" w:rsidP="0052091A">
      <w:pPr>
        <w:tabs>
          <w:tab w:val="left" w:pos="1701"/>
          <w:tab w:val="right" w:pos="9072"/>
        </w:tabs>
        <w:spacing w:after="0" w:line="240" w:lineRule="auto"/>
        <w:rPr>
          <w:rFonts w:ascii="Times New Roman" w:hAnsi="Times New Roman" w:cs="Times New Roman"/>
          <w:sz w:val="24"/>
        </w:rPr>
      </w:pPr>
      <w:r w:rsidRPr="00F53C70">
        <w:rPr>
          <w:rFonts w:ascii="Times New Roman" w:hAnsi="Times New Roman" w:cs="Times New Roman"/>
          <w:sz w:val="24"/>
        </w:rPr>
        <w:t xml:space="preserve">The </w:t>
      </w:r>
      <w:r>
        <w:rPr>
          <w:rFonts w:ascii="Times New Roman" w:hAnsi="Times New Roman" w:cs="Times New Roman"/>
          <w:i/>
          <w:sz w:val="24"/>
        </w:rPr>
        <w:t xml:space="preserve">Water Charge Amendment (Termination Fees) Rules 2020 </w:t>
      </w:r>
      <w:r w:rsidRPr="00F53C70">
        <w:rPr>
          <w:rFonts w:ascii="Times New Roman" w:hAnsi="Times New Roman" w:cs="Times New Roman"/>
          <w:sz w:val="24"/>
        </w:rPr>
        <w:t>(</w:t>
      </w:r>
      <w:r>
        <w:rPr>
          <w:rFonts w:ascii="Times New Roman" w:hAnsi="Times New Roman" w:cs="Times New Roman"/>
          <w:sz w:val="24"/>
        </w:rPr>
        <w:t>Amendment Rules</w:t>
      </w:r>
      <w:r w:rsidRPr="00F53C70">
        <w:rPr>
          <w:rFonts w:ascii="Times New Roman" w:hAnsi="Times New Roman" w:cs="Times New Roman"/>
          <w:sz w:val="24"/>
        </w:rPr>
        <w:t xml:space="preserve">) </w:t>
      </w:r>
      <w:r w:rsidR="00365A73">
        <w:rPr>
          <w:rFonts w:ascii="Times New Roman" w:hAnsi="Times New Roman" w:cs="Times New Roman"/>
          <w:sz w:val="24"/>
        </w:rPr>
        <w:t>are</w:t>
      </w:r>
      <w:r w:rsidRPr="00F53C70">
        <w:rPr>
          <w:rFonts w:ascii="Times New Roman" w:hAnsi="Times New Roman" w:cs="Times New Roman"/>
          <w:sz w:val="24"/>
        </w:rPr>
        <w:t xml:space="preserve"> made under s</w:t>
      </w:r>
      <w:r w:rsidR="00365A73">
        <w:rPr>
          <w:rFonts w:ascii="Times New Roman" w:hAnsi="Times New Roman" w:cs="Times New Roman"/>
          <w:sz w:val="24"/>
        </w:rPr>
        <w:t>ubs</w:t>
      </w:r>
      <w:r w:rsidRPr="00354BE8">
        <w:rPr>
          <w:rFonts w:ascii="Times New Roman" w:hAnsi="Times New Roman" w:cs="Times New Roman"/>
          <w:sz w:val="24"/>
        </w:rPr>
        <w:t xml:space="preserve">ection </w:t>
      </w:r>
      <w:r>
        <w:rPr>
          <w:rFonts w:ascii="Times New Roman" w:hAnsi="Times New Roman" w:cs="Times New Roman"/>
          <w:sz w:val="24"/>
        </w:rPr>
        <w:t xml:space="preserve">92(1) </w:t>
      </w:r>
      <w:r w:rsidRPr="00F53C70">
        <w:rPr>
          <w:rFonts w:ascii="Times New Roman" w:hAnsi="Times New Roman" w:cs="Times New Roman"/>
          <w:sz w:val="24"/>
        </w:rPr>
        <w:t xml:space="preserve">of the </w:t>
      </w:r>
      <w:r>
        <w:rPr>
          <w:rFonts w:ascii="Times New Roman" w:hAnsi="Times New Roman" w:cs="Times New Roman"/>
          <w:sz w:val="24"/>
        </w:rPr>
        <w:t xml:space="preserve">Water </w:t>
      </w:r>
      <w:r w:rsidRPr="00F53C70">
        <w:rPr>
          <w:rFonts w:ascii="Times New Roman" w:hAnsi="Times New Roman" w:cs="Times New Roman"/>
          <w:sz w:val="24"/>
        </w:rPr>
        <w:t>Act.</w:t>
      </w:r>
    </w:p>
    <w:p w14:paraId="0B0708A3" w14:textId="77777777" w:rsidR="0052091A" w:rsidRDefault="0052091A" w:rsidP="0052091A">
      <w:pPr>
        <w:tabs>
          <w:tab w:val="left" w:pos="1701"/>
          <w:tab w:val="right" w:pos="9072"/>
        </w:tabs>
        <w:spacing w:after="0" w:line="240" w:lineRule="auto"/>
        <w:rPr>
          <w:rFonts w:ascii="Times New Roman" w:hAnsi="Times New Roman" w:cs="Times New Roman"/>
          <w:sz w:val="24"/>
        </w:rPr>
      </w:pPr>
    </w:p>
    <w:p w14:paraId="0B0708A4" w14:textId="5D3C56D4" w:rsidR="0052091A" w:rsidRPr="00354BE8" w:rsidRDefault="005456F7" w:rsidP="0052091A">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w:t>
      </w:r>
      <w:r w:rsidR="00CE1C18">
        <w:rPr>
          <w:rFonts w:ascii="Times New Roman" w:hAnsi="Times New Roman" w:cs="Times New Roman"/>
          <w:sz w:val="24"/>
        </w:rPr>
        <w:t>ubs</w:t>
      </w:r>
      <w:r>
        <w:rPr>
          <w:rFonts w:ascii="Times New Roman" w:hAnsi="Times New Roman" w:cs="Times New Roman"/>
          <w:sz w:val="24"/>
        </w:rPr>
        <w:t xml:space="preserve">ection 92(1) of the Water Act provides that the Minister may make rules (to be called </w:t>
      </w:r>
      <w:r w:rsidRPr="003D7394">
        <w:rPr>
          <w:rFonts w:ascii="Times New Roman" w:hAnsi="Times New Roman" w:cs="Times New Roman"/>
          <w:b/>
          <w:i/>
          <w:sz w:val="24"/>
        </w:rPr>
        <w:t>water charge rules</w:t>
      </w:r>
      <w:r>
        <w:rPr>
          <w:rFonts w:ascii="Times New Roman" w:hAnsi="Times New Roman" w:cs="Times New Roman"/>
          <w:sz w:val="24"/>
        </w:rPr>
        <w:t>) that apply in Basin States that regulate and deal with water charges, and contribute to achieving the Basin water charging objectives and principles.</w:t>
      </w:r>
    </w:p>
    <w:p w14:paraId="0B0708A5" w14:textId="77777777" w:rsidR="0052091A" w:rsidRPr="00354BE8" w:rsidRDefault="0052091A" w:rsidP="0052091A">
      <w:pPr>
        <w:tabs>
          <w:tab w:val="left" w:pos="1701"/>
          <w:tab w:val="right" w:pos="9072"/>
        </w:tabs>
        <w:spacing w:after="0" w:line="240" w:lineRule="auto"/>
        <w:rPr>
          <w:rFonts w:ascii="Times New Roman" w:hAnsi="Times New Roman" w:cs="Times New Roman"/>
          <w:sz w:val="24"/>
        </w:rPr>
      </w:pPr>
    </w:p>
    <w:p w14:paraId="0B0708A6" w14:textId="5D368DEA" w:rsidR="0052091A" w:rsidRPr="00F53C70" w:rsidRDefault="005456F7" w:rsidP="0052091A">
      <w:pPr>
        <w:tabs>
          <w:tab w:val="left" w:pos="1701"/>
          <w:tab w:val="right" w:pos="9072"/>
        </w:tabs>
        <w:spacing w:after="0" w:line="240" w:lineRule="auto"/>
        <w:rPr>
          <w:rFonts w:ascii="Times New Roman" w:hAnsi="Times New Roman" w:cs="Times New Roman"/>
          <w:sz w:val="24"/>
        </w:rPr>
      </w:pPr>
      <w:r w:rsidRPr="00F53C70">
        <w:rPr>
          <w:rFonts w:ascii="Times New Roman" w:hAnsi="Times New Roman" w:cs="Times New Roman"/>
          <w:sz w:val="24"/>
        </w:rPr>
        <w:t>The</w:t>
      </w:r>
      <w:r>
        <w:rPr>
          <w:rFonts w:ascii="Times New Roman" w:hAnsi="Times New Roman" w:cs="Times New Roman"/>
          <w:sz w:val="24"/>
        </w:rPr>
        <w:t xml:space="preserve"> Amendment Rules</w:t>
      </w:r>
      <w:r w:rsidRPr="00F53C70">
        <w:rPr>
          <w:rFonts w:ascii="Times New Roman" w:hAnsi="Times New Roman" w:cs="Times New Roman"/>
          <w:sz w:val="24"/>
        </w:rPr>
        <w:t xml:space="preserve"> </w:t>
      </w:r>
      <w:r>
        <w:rPr>
          <w:rFonts w:ascii="Times New Roman" w:hAnsi="Times New Roman" w:cs="Times New Roman"/>
          <w:sz w:val="24"/>
        </w:rPr>
        <w:t xml:space="preserve">insert </w:t>
      </w:r>
      <w:proofErr w:type="spellStart"/>
      <w:r w:rsidRPr="006D62E7">
        <w:rPr>
          <w:rFonts w:ascii="Times New Roman" w:hAnsi="Times New Roman"/>
          <w:color w:val="000000" w:themeColor="text1"/>
          <w:sz w:val="24"/>
          <w:szCs w:val="24"/>
        </w:rPr>
        <w:t>subrule</w:t>
      </w:r>
      <w:proofErr w:type="spellEnd"/>
      <w:r w:rsidRPr="006D62E7">
        <w:rPr>
          <w:rFonts w:ascii="Times New Roman" w:hAnsi="Times New Roman"/>
          <w:color w:val="000000" w:themeColor="text1"/>
          <w:sz w:val="24"/>
          <w:szCs w:val="24"/>
        </w:rPr>
        <w:t xml:space="preserve"> 74(6) in the</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Water Charge Amendment Rules 2019</w:t>
      </w:r>
      <w:r w:rsidRPr="006D62E7">
        <w:rPr>
          <w:rFonts w:ascii="Times New Roman" w:hAnsi="Times New Roman"/>
          <w:color w:val="000000" w:themeColor="text1"/>
          <w:sz w:val="24"/>
          <w:szCs w:val="24"/>
        </w:rPr>
        <w:t xml:space="preserve"> </w:t>
      </w:r>
      <w:r w:rsidRPr="00E70FEF">
        <w:rPr>
          <w:rFonts w:ascii="Times New Roman" w:hAnsi="Times New Roman"/>
          <w:color w:val="000000" w:themeColor="text1"/>
          <w:sz w:val="24"/>
          <w:szCs w:val="24"/>
        </w:rPr>
        <w:t>(</w:t>
      </w:r>
      <w:r w:rsidR="0083602B">
        <w:rPr>
          <w:rFonts w:ascii="Times New Roman" w:hAnsi="Times New Roman"/>
          <w:color w:val="000000" w:themeColor="text1"/>
          <w:sz w:val="24"/>
          <w:szCs w:val="24"/>
        </w:rPr>
        <w:t xml:space="preserve">2019 </w:t>
      </w:r>
      <w:r w:rsidRPr="00E70FEF">
        <w:rPr>
          <w:rStyle w:val="Emphasis"/>
          <w:rFonts w:ascii="Times New Roman" w:hAnsi="Times New Roman"/>
          <w:i w:val="0"/>
          <w:color w:val="000000" w:themeColor="text1"/>
          <w:sz w:val="24"/>
          <w:szCs w:val="24"/>
          <w:lang w:val="en"/>
        </w:rPr>
        <w:t>Amend</w:t>
      </w:r>
      <w:r w:rsidR="0083602B">
        <w:rPr>
          <w:rStyle w:val="Emphasis"/>
          <w:rFonts w:ascii="Times New Roman" w:hAnsi="Times New Roman"/>
          <w:i w:val="0"/>
          <w:color w:val="000000" w:themeColor="text1"/>
          <w:sz w:val="24"/>
          <w:szCs w:val="24"/>
          <w:lang w:val="en"/>
        </w:rPr>
        <w:t xml:space="preserve">ment </w:t>
      </w:r>
      <w:r w:rsidRPr="00E70FEF">
        <w:rPr>
          <w:rStyle w:val="Emphasis"/>
          <w:rFonts w:ascii="Times New Roman" w:hAnsi="Times New Roman"/>
          <w:i w:val="0"/>
          <w:color w:val="000000" w:themeColor="text1"/>
          <w:sz w:val="24"/>
          <w:szCs w:val="24"/>
          <w:lang w:val="en"/>
        </w:rPr>
        <w:t>Water Charge Rules)</w:t>
      </w:r>
      <w:r w:rsidR="00365A73">
        <w:rPr>
          <w:rStyle w:val="Emphasis"/>
          <w:rFonts w:ascii="Times New Roman" w:hAnsi="Times New Roman"/>
          <w:i w:val="0"/>
          <w:color w:val="000000" w:themeColor="text1"/>
          <w:sz w:val="24"/>
          <w:szCs w:val="24"/>
          <w:lang w:val="en"/>
        </w:rPr>
        <w:t xml:space="preserve">, which will in turn include that provision in the </w:t>
      </w:r>
      <w:r w:rsidR="00365A73" w:rsidRPr="00365A73">
        <w:rPr>
          <w:rStyle w:val="Emphasis"/>
          <w:rFonts w:ascii="Times New Roman" w:hAnsi="Times New Roman"/>
          <w:color w:val="000000" w:themeColor="text1"/>
          <w:sz w:val="24"/>
          <w:szCs w:val="24"/>
          <w:lang w:val="en"/>
        </w:rPr>
        <w:t>Water Charge Rules 2010</w:t>
      </w:r>
      <w:r w:rsidR="0083602B">
        <w:rPr>
          <w:rStyle w:val="Emphasis"/>
          <w:rFonts w:ascii="Times New Roman" w:hAnsi="Times New Roman"/>
          <w:i w:val="0"/>
          <w:color w:val="000000" w:themeColor="text1"/>
          <w:sz w:val="24"/>
          <w:szCs w:val="24"/>
          <w:lang w:val="en"/>
        </w:rPr>
        <w:t xml:space="preserve"> with effect from 1 July 2020</w:t>
      </w:r>
      <w:r w:rsidRPr="00E70FEF">
        <w:rPr>
          <w:rFonts w:ascii="Times New Roman" w:hAnsi="Times New Roman"/>
          <w:i/>
          <w:color w:val="000000" w:themeColor="text1"/>
          <w:sz w:val="24"/>
          <w:szCs w:val="24"/>
        </w:rPr>
        <w:t>.</w:t>
      </w:r>
    </w:p>
    <w:p w14:paraId="0B0708A7" w14:textId="77777777" w:rsidR="0052091A" w:rsidRPr="00F53C70" w:rsidRDefault="0052091A" w:rsidP="0052091A">
      <w:pPr>
        <w:tabs>
          <w:tab w:val="left" w:pos="1701"/>
          <w:tab w:val="right" w:pos="9072"/>
        </w:tabs>
        <w:spacing w:after="0" w:line="240" w:lineRule="auto"/>
        <w:rPr>
          <w:rFonts w:ascii="Times New Roman" w:hAnsi="Times New Roman" w:cs="Times New Roman"/>
          <w:sz w:val="24"/>
        </w:rPr>
      </w:pPr>
    </w:p>
    <w:p w14:paraId="0B0708A8" w14:textId="77777777" w:rsidR="0052091A" w:rsidRPr="00354BE8" w:rsidRDefault="005456F7" w:rsidP="0052091A">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szCs w:val="24"/>
        </w:rPr>
        <w:t>Purpose</w:t>
      </w:r>
    </w:p>
    <w:p w14:paraId="0B0708A9" w14:textId="77777777" w:rsidR="0052091A" w:rsidRPr="00354BE8" w:rsidRDefault="0052091A" w:rsidP="0052091A">
      <w:pPr>
        <w:tabs>
          <w:tab w:val="right" w:pos="9072"/>
        </w:tabs>
        <w:spacing w:after="0" w:line="240" w:lineRule="auto"/>
        <w:rPr>
          <w:rFonts w:ascii="Times New Roman" w:hAnsi="Times New Roman" w:cs="Times New Roman"/>
          <w:sz w:val="24"/>
          <w:szCs w:val="24"/>
        </w:rPr>
      </w:pPr>
    </w:p>
    <w:p w14:paraId="0B0708AA" w14:textId="77777777" w:rsidR="0052091A" w:rsidRPr="002E2412" w:rsidRDefault="005456F7" w:rsidP="0052091A">
      <w:pPr>
        <w:tabs>
          <w:tab w:val="left" w:pos="1701"/>
          <w:tab w:val="right" w:pos="9072"/>
        </w:tabs>
        <w:spacing w:after="0" w:line="240" w:lineRule="auto"/>
        <w:rPr>
          <w:rFonts w:ascii="Times New Roman" w:hAnsi="Times New Roman" w:cs="Times New Roman"/>
          <w:sz w:val="24"/>
        </w:rPr>
      </w:pPr>
      <w:r w:rsidRPr="00354BE8">
        <w:rPr>
          <w:rFonts w:ascii="Times New Roman" w:hAnsi="Times New Roman" w:cs="Times New Roman"/>
          <w:sz w:val="24"/>
        </w:rPr>
        <w:t xml:space="preserve">The purpose of the </w:t>
      </w:r>
      <w:r>
        <w:rPr>
          <w:rFonts w:ascii="Times New Roman" w:hAnsi="Times New Roman" w:cs="Times New Roman"/>
          <w:sz w:val="24"/>
        </w:rPr>
        <w:t>Amendment Rules</w:t>
      </w:r>
      <w:r w:rsidRPr="00354BE8">
        <w:rPr>
          <w:rFonts w:ascii="Times New Roman" w:hAnsi="Times New Roman" w:cs="Times New Roman"/>
          <w:sz w:val="24"/>
        </w:rPr>
        <w:t xml:space="preserve"> is to </w:t>
      </w:r>
      <w:r>
        <w:rPr>
          <w:rFonts w:ascii="Times New Roman" w:hAnsi="Times New Roman" w:cs="Times New Roman"/>
          <w:sz w:val="24"/>
        </w:rPr>
        <w:t xml:space="preserve">make a minor or technical amendment to clarify the limit on termination fees under certain circumstances. This has the effect of imposing a quantitative cap on termination fees in the circumstances set out in </w:t>
      </w:r>
      <w:proofErr w:type="spellStart"/>
      <w:r>
        <w:rPr>
          <w:rFonts w:ascii="Times New Roman" w:hAnsi="Times New Roman" w:cs="Times New Roman"/>
          <w:sz w:val="24"/>
        </w:rPr>
        <w:t>subrules</w:t>
      </w:r>
      <w:proofErr w:type="spellEnd"/>
      <w:r>
        <w:rPr>
          <w:rFonts w:ascii="Times New Roman" w:hAnsi="Times New Roman" w:cs="Times New Roman"/>
          <w:sz w:val="24"/>
        </w:rPr>
        <w:t xml:space="preserve"> 71(2)(a) and (c), including where a customer gives less than 6 months’ notice of exit to the relevant infrastructure operators</w:t>
      </w:r>
      <w:r w:rsidRPr="00292885">
        <w:rPr>
          <w:rFonts w:ascii="Times New Roman" w:hAnsi="Times New Roman"/>
          <w:color w:val="000000" w:themeColor="text1"/>
          <w:sz w:val="24"/>
          <w:szCs w:val="24"/>
        </w:rPr>
        <w:t xml:space="preserve">. </w:t>
      </w:r>
    </w:p>
    <w:p w14:paraId="0B0708AB" w14:textId="77777777" w:rsidR="0052091A" w:rsidRPr="00354BE8" w:rsidRDefault="0052091A" w:rsidP="0052091A">
      <w:pPr>
        <w:tabs>
          <w:tab w:val="left" w:pos="1701"/>
          <w:tab w:val="right" w:pos="9072"/>
        </w:tabs>
        <w:spacing w:after="0" w:line="240" w:lineRule="auto"/>
        <w:rPr>
          <w:rFonts w:ascii="Times New Roman" w:hAnsi="Times New Roman" w:cs="Times New Roman"/>
          <w:sz w:val="24"/>
        </w:rPr>
      </w:pPr>
    </w:p>
    <w:p w14:paraId="0B0708AC" w14:textId="77777777" w:rsidR="0052091A" w:rsidRPr="00354BE8" w:rsidRDefault="005456F7" w:rsidP="0052091A">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szCs w:val="24"/>
        </w:rPr>
        <w:t>Background</w:t>
      </w:r>
    </w:p>
    <w:p w14:paraId="0B0708AD" w14:textId="77777777" w:rsidR="0052091A" w:rsidRPr="00354BE8" w:rsidRDefault="0052091A" w:rsidP="0052091A">
      <w:pPr>
        <w:tabs>
          <w:tab w:val="right" w:pos="9072"/>
        </w:tabs>
        <w:spacing w:after="0" w:line="240" w:lineRule="auto"/>
        <w:rPr>
          <w:rFonts w:ascii="Times New Roman" w:hAnsi="Times New Roman" w:cs="Times New Roman"/>
          <w:sz w:val="24"/>
          <w:szCs w:val="24"/>
        </w:rPr>
      </w:pPr>
    </w:p>
    <w:p w14:paraId="0B0708AF" w14:textId="07BAB1EB" w:rsidR="0052091A" w:rsidRDefault="005456F7" w:rsidP="00D326B6">
      <w:pPr>
        <w:pStyle w:val="ListNumber"/>
      </w:pPr>
      <w:r w:rsidRPr="00D326B6">
        <w:t xml:space="preserve">On 21 September 2016, the Australian Competition and Consumer Commission (ACCC) provided its </w:t>
      </w:r>
      <w:r w:rsidRPr="00D326B6">
        <w:rPr>
          <w:i/>
        </w:rPr>
        <w:t>Review of the Water Charge Rules: Final Advice</w:t>
      </w:r>
      <w:r w:rsidRPr="00D326B6">
        <w:t xml:space="preserve"> to the then </w:t>
      </w:r>
      <w:r w:rsidR="005318FB">
        <w:t>Minister for Water</w:t>
      </w:r>
      <w:r w:rsidRPr="00D326B6">
        <w:t>, including proposed amendments to the water charge rules.</w:t>
      </w:r>
    </w:p>
    <w:p w14:paraId="0B0708B0" w14:textId="20484230" w:rsidR="0052091A" w:rsidRPr="00D326B6" w:rsidRDefault="005456F7" w:rsidP="00490D09">
      <w:pPr>
        <w:pStyle w:val="ListNumber"/>
        <w:rPr>
          <w:rStyle w:val="Emphasis"/>
          <w:i w:val="0"/>
          <w:color w:val="000000" w:themeColor="text1"/>
        </w:rPr>
      </w:pPr>
      <w:r w:rsidRPr="00D326B6">
        <w:t xml:space="preserve">On 3 April 2019, pursuant to the ACCC’s advice, the former </w:t>
      </w:r>
      <w:r w:rsidR="005318FB">
        <w:t>Minister for Water</w:t>
      </w:r>
      <w:r w:rsidR="005318FB" w:rsidRPr="00D326B6" w:rsidDel="005318FB">
        <w:t xml:space="preserve"> </w:t>
      </w:r>
      <w:r w:rsidRPr="00D326B6">
        <w:t xml:space="preserve">then made the </w:t>
      </w:r>
      <w:r w:rsidRPr="00D326B6">
        <w:rPr>
          <w:rStyle w:val="Emphasis"/>
          <w:i w:val="0"/>
          <w:color w:val="000000" w:themeColor="text1"/>
        </w:rPr>
        <w:t>Amended Water Charge Rules</w:t>
      </w:r>
      <w:r w:rsidRPr="00D326B6">
        <w:rPr>
          <w:i/>
        </w:rPr>
        <w:t xml:space="preserve"> </w:t>
      </w:r>
      <w:r w:rsidRPr="00D326B6">
        <w:t xml:space="preserve">to combine the three sets of rules (the </w:t>
      </w:r>
      <w:r w:rsidRPr="00D326B6">
        <w:rPr>
          <w:i/>
        </w:rPr>
        <w:t>Water Charge (Infrastructure) Rules 2010</w:t>
      </w:r>
      <w:r w:rsidRPr="00D326B6">
        <w:t xml:space="preserve">, the </w:t>
      </w:r>
      <w:r w:rsidRPr="00D326B6">
        <w:rPr>
          <w:i/>
        </w:rPr>
        <w:t xml:space="preserve">Water Charge (Planning and Management Information) Rules 2010 </w:t>
      </w:r>
      <w:r w:rsidRPr="00D326B6">
        <w:t xml:space="preserve">and the </w:t>
      </w:r>
      <w:r w:rsidRPr="00D326B6">
        <w:rPr>
          <w:i/>
        </w:rPr>
        <w:t>Water Charge (Termination Fees) Rules 2009</w:t>
      </w:r>
      <w:r w:rsidRPr="00D326B6">
        <w:t>)</w:t>
      </w:r>
      <w:r w:rsidRPr="00D326B6">
        <w:rPr>
          <w:rStyle w:val="Emphasis"/>
          <w:color w:val="000000" w:themeColor="text1"/>
        </w:rPr>
        <w:t xml:space="preserve">. </w:t>
      </w:r>
      <w:r w:rsidR="003E6DA3" w:rsidRPr="00D326B6">
        <w:rPr>
          <w:rStyle w:val="Emphasis"/>
          <w:i w:val="0"/>
          <w:color w:val="000000" w:themeColor="text1"/>
        </w:rPr>
        <w:t xml:space="preserve">The rules, as amended, will be known as the </w:t>
      </w:r>
      <w:r w:rsidR="003E6DA3" w:rsidRPr="00D326B6">
        <w:rPr>
          <w:rStyle w:val="Emphasis"/>
          <w:color w:val="000000" w:themeColor="text1"/>
        </w:rPr>
        <w:t>Water Charge Rules 2010</w:t>
      </w:r>
      <w:r w:rsidR="003E6DA3" w:rsidRPr="00D326B6">
        <w:rPr>
          <w:rStyle w:val="Emphasis"/>
          <w:i w:val="0"/>
          <w:color w:val="000000" w:themeColor="text1"/>
        </w:rPr>
        <w:t xml:space="preserve">. </w:t>
      </w:r>
      <w:r w:rsidRPr="00D326B6">
        <w:rPr>
          <w:rStyle w:val="Emphasis"/>
          <w:i w:val="0"/>
          <w:color w:val="000000" w:themeColor="text1"/>
        </w:rPr>
        <w:t>To allow operators time to prepare for commencement, the Amended Water Charge Rules are due to commence on 1 July 2020.</w:t>
      </w:r>
    </w:p>
    <w:p w14:paraId="19914E25" w14:textId="2C583350" w:rsidR="00E87CAA" w:rsidRPr="00D326B6" w:rsidRDefault="00E87CAA" w:rsidP="00490D09">
      <w:pPr>
        <w:pStyle w:val="ListNumber"/>
        <w:rPr>
          <w:color w:val="000000" w:themeColor="text1"/>
        </w:rPr>
      </w:pPr>
      <w:r w:rsidRPr="00D326B6">
        <w:rPr>
          <w:rStyle w:val="Emphasis"/>
          <w:i w:val="0"/>
          <w:color w:val="000000" w:themeColor="text1"/>
        </w:rPr>
        <w:t xml:space="preserve">The </w:t>
      </w:r>
      <w:r w:rsidR="00CE1C18">
        <w:rPr>
          <w:color w:val="000000" w:themeColor="text1"/>
        </w:rPr>
        <w:t xml:space="preserve">2019 </w:t>
      </w:r>
      <w:r w:rsidR="00CE1C18" w:rsidRPr="00E70FEF">
        <w:rPr>
          <w:rStyle w:val="Emphasis"/>
          <w:i w:val="0"/>
          <w:color w:val="000000" w:themeColor="text1"/>
        </w:rPr>
        <w:t>Amend</w:t>
      </w:r>
      <w:r w:rsidR="00CE1C18">
        <w:rPr>
          <w:rStyle w:val="Emphasis"/>
          <w:i w:val="0"/>
          <w:color w:val="000000" w:themeColor="text1"/>
        </w:rPr>
        <w:t xml:space="preserve">ment </w:t>
      </w:r>
      <w:r w:rsidR="00CE1C18" w:rsidRPr="00E70FEF">
        <w:rPr>
          <w:rStyle w:val="Emphasis"/>
          <w:i w:val="0"/>
          <w:color w:val="000000" w:themeColor="text1"/>
        </w:rPr>
        <w:t>Water Charge Rules</w:t>
      </w:r>
      <w:r w:rsidR="00CE1C18" w:rsidRPr="00D326B6" w:rsidDel="00CE1C18">
        <w:rPr>
          <w:rStyle w:val="Emphasis"/>
          <w:i w:val="0"/>
          <w:color w:val="000000" w:themeColor="text1"/>
        </w:rPr>
        <w:t xml:space="preserve"> </w:t>
      </w:r>
      <w:r w:rsidRPr="00D326B6">
        <w:rPr>
          <w:rStyle w:val="Emphasis"/>
          <w:i w:val="0"/>
          <w:color w:val="000000" w:themeColor="text1"/>
        </w:rPr>
        <w:t xml:space="preserve">relevantly amend the current </w:t>
      </w:r>
      <w:r w:rsidRPr="00D326B6">
        <w:rPr>
          <w:i/>
        </w:rPr>
        <w:t>Water Charge (Infrastructure) Rules 2010</w:t>
      </w:r>
      <w:r w:rsidRPr="00D326B6">
        <w:t xml:space="preserve"> to repeal Part 9 and replace it with new Part 10 which deals with termination fees. </w:t>
      </w:r>
      <w:r w:rsidR="0083602B" w:rsidRPr="00D326B6">
        <w:t xml:space="preserve"> </w:t>
      </w:r>
      <w:r w:rsidRPr="00D326B6">
        <w:t xml:space="preserve">The Amendment Rules will, by amending the </w:t>
      </w:r>
      <w:r w:rsidR="00CE1C18">
        <w:rPr>
          <w:color w:val="000000" w:themeColor="text1"/>
        </w:rPr>
        <w:t xml:space="preserve">2019 </w:t>
      </w:r>
      <w:r w:rsidR="00CE1C18" w:rsidRPr="00E70FEF">
        <w:rPr>
          <w:rStyle w:val="Emphasis"/>
          <w:i w:val="0"/>
          <w:color w:val="000000" w:themeColor="text1"/>
        </w:rPr>
        <w:t>Amend</w:t>
      </w:r>
      <w:r w:rsidR="00CE1C18">
        <w:rPr>
          <w:rStyle w:val="Emphasis"/>
          <w:i w:val="0"/>
          <w:color w:val="000000" w:themeColor="text1"/>
        </w:rPr>
        <w:t xml:space="preserve">ment </w:t>
      </w:r>
      <w:r w:rsidR="00CE1C18" w:rsidRPr="00E70FEF">
        <w:rPr>
          <w:rStyle w:val="Emphasis"/>
          <w:i w:val="0"/>
          <w:color w:val="000000" w:themeColor="text1"/>
        </w:rPr>
        <w:t>Water Charge Rules</w:t>
      </w:r>
      <w:r w:rsidRPr="00D326B6">
        <w:t>, make minor amendments to new Part 10.</w:t>
      </w:r>
    </w:p>
    <w:p w14:paraId="0B0708B1" w14:textId="77777777" w:rsidR="0052091A" w:rsidRPr="004A3248" w:rsidRDefault="0052091A" w:rsidP="00490D09">
      <w:pPr>
        <w:pStyle w:val="ListNumber"/>
      </w:pPr>
    </w:p>
    <w:p w14:paraId="0B0708B2" w14:textId="77777777" w:rsidR="0052091A" w:rsidRPr="00490D09" w:rsidRDefault="005456F7" w:rsidP="00D326B6">
      <w:pPr>
        <w:pStyle w:val="ListNumber"/>
      </w:pPr>
      <w:r w:rsidRPr="00D326B6">
        <w:lastRenderedPageBreak/>
        <w:t xml:space="preserve">The </w:t>
      </w:r>
      <w:r w:rsidRPr="00D326B6">
        <w:rPr>
          <w:rStyle w:val="Emphasis"/>
          <w:i w:val="0"/>
          <w:color w:val="000000" w:themeColor="text1"/>
        </w:rPr>
        <w:t>Amended Water Charge Rules</w:t>
      </w:r>
      <w:r w:rsidRPr="00D326B6">
        <w:rPr>
          <w:rStyle w:val="Emphasis"/>
          <w:color w:val="000000" w:themeColor="text1"/>
        </w:rPr>
        <w:t xml:space="preserve"> </w:t>
      </w:r>
      <w:r w:rsidRPr="00D326B6">
        <w:t xml:space="preserve">are designed to improve pricing transparency and make it easier for operators to comply. </w:t>
      </w:r>
      <w:r w:rsidRPr="00490D09">
        <w:t xml:space="preserve">The broad intent of the amendments </w:t>
      </w:r>
      <w:proofErr w:type="gramStart"/>
      <w:r w:rsidRPr="00490D09">
        <w:t>are</w:t>
      </w:r>
      <w:proofErr w:type="gramEnd"/>
      <w:r w:rsidRPr="00490D09">
        <w:t xml:space="preserve"> to:</w:t>
      </w:r>
    </w:p>
    <w:p w14:paraId="0B0708B3" w14:textId="77777777" w:rsidR="0052091A" w:rsidRPr="004A3248" w:rsidRDefault="005456F7" w:rsidP="0052091A">
      <w:pPr>
        <w:pStyle w:val="ListNumber2"/>
        <w:numPr>
          <w:ilvl w:val="1"/>
          <w:numId w:val="2"/>
        </w:numPr>
        <w:shd w:val="clear" w:color="auto" w:fill="FFFFFF"/>
        <w:spacing w:after="0" w:line="240" w:lineRule="auto"/>
        <w:ind w:right="-450"/>
        <w:rPr>
          <w:rFonts w:ascii="Times New Roman" w:hAnsi="Times New Roman"/>
          <w:color w:val="000000" w:themeColor="text1"/>
          <w:sz w:val="24"/>
          <w:szCs w:val="24"/>
        </w:rPr>
      </w:pPr>
      <w:r w:rsidRPr="004A3248">
        <w:rPr>
          <w:rFonts w:ascii="Times New Roman" w:hAnsi="Times New Roman"/>
          <w:color w:val="000000" w:themeColor="text1"/>
          <w:sz w:val="24"/>
          <w:szCs w:val="24"/>
        </w:rPr>
        <w:t>make schedule of charges requirements clearer</w:t>
      </w:r>
    </w:p>
    <w:p w14:paraId="0B0708B4" w14:textId="77777777" w:rsidR="0052091A" w:rsidRPr="004A3248" w:rsidRDefault="005456F7" w:rsidP="0052091A">
      <w:pPr>
        <w:pStyle w:val="ListNumber2"/>
        <w:numPr>
          <w:ilvl w:val="1"/>
          <w:numId w:val="2"/>
        </w:numPr>
        <w:shd w:val="clear" w:color="auto" w:fill="FFFFFF"/>
        <w:spacing w:after="0" w:line="240" w:lineRule="auto"/>
        <w:ind w:right="-450"/>
        <w:rPr>
          <w:rFonts w:ascii="Times New Roman" w:hAnsi="Times New Roman"/>
          <w:color w:val="000000" w:themeColor="text1"/>
          <w:sz w:val="24"/>
          <w:szCs w:val="24"/>
        </w:rPr>
      </w:pPr>
      <w:r w:rsidRPr="004A3248">
        <w:rPr>
          <w:rFonts w:ascii="Times New Roman" w:hAnsi="Times New Roman"/>
          <w:color w:val="000000" w:themeColor="text1"/>
          <w:sz w:val="24"/>
          <w:szCs w:val="24"/>
        </w:rPr>
        <w:t>simplify the calculation of termination fees, and</w:t>
      </w:r>
    </w:p>
    <w:p w14:paraId="0B0708B5" w14:textId="77777777" w:rsidR="0052091A" w:rsidRDefault="005456F7" w:rsidP="0052091A">
      <w:pPr>
        <w:pStyle w:val="ListNumber2"/>
        <w:numPr>
          <w:ilvl w:val="1"/>
          <w:numId w:val="2"/>
        </w:numPr>
        <w:shd w:val="clear" w:color="auto" w:fill="FFFFFF"/>
        <w:spacing w:after="0" w:line="240" w:lineRule="auto"/>
        <w:ind w:right="-450"/>
        <w:rPr>
          <w:rFonts w:ascii="Times New Roman" w:hAnsi="Times New Roman"/>
          <w:color w:val="000000" w:themeColor="text1"/>
          <w:sz w:val="24"/>
          <w:szCs w:val="24"/>
        </w:rPr>
      </w:pPr>
      <w:r w:rsidRPr="004A3248">
        <w:rPr>
          <w:rFonts w:ascii="Times New Roman" w:hAnsi="Times New Roman"/>
          <w:color w:val="000000" w:themeColor="text1"/>
          <w:sz w:val="24"/>
          <w:szCs w:val="24"/>
        </w:rPr>
        <w:t xml:space="preserve">simplify the regulatory framework by largely returning the regulation of water infrastructure charges levied by on-river infrastructure </w:t>
      </w:r>
      <w:r w:rsidRPr="00C05208">
        <w:rPr>
          <w:rFonts w:ascii="Times New Roman" w:hAnsi="Times New Roman"/>
          <w:color w:val="000000" w:themeColor="text1"/>
          <w:sz w:val="24"/>
          <w:szCs w:val="24"/>
        </w:rPr>
        <w:t>operators back to Basin States.</w:t>
      </w:r>
    </w:p>
    <w:p w14:paraId="0B0708B6" w14:textId="77777777" w:rsidR="0052091A" w:rsidRDefault="0052091A" w:rsidP="0052091A">
      <w:pPr>
        <w:tabs>
          <w:tab w:val="right" w:pos="9072"/>
        </w:tabs>
        <w:spacing w:after="0" w:line="240" w:lineRule="auto"/>
        <w:rPr>
          <w:rFonts w:ascii="Times New Roman" w:hAnsi="Times New Roman" w:cs="Times New Roman"/>
          <w:sz w:val="24"/>
          <w:szCs w:val="24"/>
        </w:rPr>
      </w:pPr>
    </w:p>
    <w:p w14:paraId="0B0708B7" w14:textId="77777777" w:rsidR="0052091A" w:rsidRPr="00354BE8" w:rsidRDefault="005456F7" w:rsidP="0052091A">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szCs w:val="24"/>
        </w:rPr>
        <w:t>Impact and Effect</w:t>
      </w:r>
    </w:p>
    <w:p w14:paraId="0B0708B8" w14:textId="77777777" w:rsidR="0052091A" w:rsidRPr="00E76AB5" w:rsidRDefault="0052091A" w:rsidP="0052091A">
      <w:pPr>
        <w:tabs>
          <w:tab w:val="right" w:pos="9072"/>
        </w:tabs>
        <w:spacing w:after="0" w:line="240" w:lineRule="auto"/>
        <w:rPr>
          <w:rFonts w:ascii="Times New Roman" w:hAnsi="Times New Roman" w:cs="Times New Roman"/>
          <w:color w:val="FF0000"/>
          <w:sz w:val="24"/>
          <w:szCs w:val="24"/>
        </w:rPr>
      </w:pPr>
    </w:p>
    <w:p w14:paraId="0B0708B9" w14:textId="6F0D84B7" w:rsidR="0052091A" w:rsidRDefault="005456F7" w:rsidP="0052091A">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not anticipated that the Amendment Rules will have any </w:t>
      </w:r>
      <w:r w:rsidR="00D326B6">
        <w:rPr>
          <w:rFonts w:ascii="Times New Roman" w:hAnsi="Times New Roman" w:cs="Times New Roman"/>
          <w:sz w:val="24"/>
          <w:szCs w:val="24"/>
        </w:rPr>
        <w:t xml:space="preserve">adverse </w:t>
      </w:r>
      <w:r>
        <w:rPr>
          <w:rFonts w:ascii="Times New Roman" w:hAnsi="Times New Roman" w:cs="Times New Roman"/>
          <w:sz w:val="24"/>
          <w:szCs w:val="24"/>
        </w:rPr>
        <w:t xml:space="preserve">implications for stakeholders, as the Amendment Rules are technical in nature. The Amendment Rules will have the effect of providing greater certainty for water users and infrastructure operators. </w:t>
      </w:r>
    </w:p>
    <w:p w14:paraId="0B0708BA" w14:textId="77777777" w:rsidR="0052091A" w:rsidRPr="00354BE8" w:rsidRDefault="0052091A" w:rsidP="0052091A">
      <w:pPr>
        <w:tabs>
          <w:tab w:val="right" w:pos="9072"/>
        </w:tabs>
        <w:spacing w:after="0" w:line="240" w:lineRule="auto"/>
        <w:rPr>
          <w:rFonts w:ascii="Times New Roman" w:hAnsi="Times New Roman" w:cs="Times New Roman"/>
          <w:sz w:val="24"/>
          <w:szCs w:val="24"/>
        </w:rPr>
      </w:pPr>
    </w:p>
    <w:p w14:paraId="0B0708BB" w14:textId="77777777" w:rsidR="0052091A" w:rsidRPr="00354BE8" w:rsidRDefault="005456F7" w:rsidP="0052091A">
      <w:pPr>
        <w:tabs>
          <w:tab w:val="left" w:pos="1701"/>
          <w:tab w:val="right" w:pos="9072"/>
        </w:tabs>
        <w:spacing w:after="0" w:line="240" w:lineRule="auto"/>
        <w:rPr>
          <w:rFonts w:ascii="Times New Roman" w:hAnsi="Times New Roman" w:cs="Times New Roman"/>
          <w:sz w:val="24"/>
          <w:szCs w:val="24"/>
        </w:rPr>
      </w:pPr>
      <w:r w:rsidRPr="00354BE8">
        <w:rPr>
          <w:rFonts w:ascii="Times New Roman" w:hAnsi="Times New Roman" w:cs="Times New Roman"/>
          <w:b/>
          <w:sz w:val="24"/>
          <w:szCs w:val="24"/>
        </w:rPr>
        <w:t>Consultation</w:t>
      </w:r>
    </w:p>
    <w:p w14:paraId="0B0708BC" w14:textId="77777777" w:rsidR="0052091A" w:rsidRPr="00E76AB5" w:rsidRDefault="0052091A" w:rsidP="0052091A">
      <w:pPr>
        <w:tabs>
          <w:tab w:val="left" w:pos="1701"/>
          <w:tab w:val="right" w:pos="9072"/>
        </w:tabs>
        <w:spacing w:after="0" w:line="240" w:lineRule="auto"/>
        <w:rPr>
          <w:rFonts w:ascii="Times New Roman" w:hAnsi="Times New Roman" w:cs="Times New Roman"/>
          <w:color w:val="FF0000"/>
          <w:sz w:val="24"/>
          <w:szCs w:val="24"/>
        </w:rPr>
      </w:pPr>
    </w:p>
    <w:p w14:paraId="0B0708BD" w14:textId="1FC169E1" w:rsidR="0052091A" w:rsidRDefault="005456F7" w:rsidP="0052091A">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Department of Agriculture, Water and the Environment has consulted with the ACCC on the development of the proposed Amendment Rules. Basin States, infrastructure operators within the Murray-Darling Basin and the public have been invited to make submissions. </w:t>
      </w:r>
      <w:r w:rsidR="00CE1C18">
        <w:rPr>
          <w:rFonts w:ascii="Times New Roman" w:hAnsi="Times New Roman"/>
          <w:color w:val="000000" w:themeColor="text1"/>
          <w:sz w:val="24"/>
          <w:szCs w:val="24"/>
        </w:rPr>
        <w:t>A</w:t>
      </w:r>
      <w:r w:rsidR="00CE1C18" w:rsidRPr="00177F7B">
        <w:rPr>
          <w:rFonts w:ascii="Times New Roman" w:hAnsi="Times New Roman"/>
          <w:color w:val="000000" w:themeColor="text1"/>
          <w:sz w:val="24"/>
          <w:szCs w:val="24"/>
        </w:rPr>
        <w:t xml:space="preserve"> </w:t>
      </w:r>
      <w:r w:rsidR="005318FB" w:rsidRPr="00177F7B">
        <w:rPr>
          <w:rFonts w:ascii="Times New Roman" w:hAnsi="Times New Roman"/>
          <w:color w:val="000000" w:themeColor="text1"/>
          <w:sz w:val="24"/>
          <w:szCs w:val="24"/>
        </w:rPr>
        <w:t xml:space="preserve">public notice </w:t>
      </w:r>
      <w:r w:rsidR="005318FB">
        <w:rPr>
          <w:rFonts w:ascii="Times New Roman" w:hAnsi="Times New Roman"/>
          <w:color w:val="000000" w:themeColor="text1"/>
          <w:sz w:val="24"/>
          <w:szCs w:val="24"/>
        </w:rPr>
        <w:t xml:space="preserve">was published </w:t>
      </w:r>
      <w:r w:rsidR="005318FB" w:rsidRPr="00177F7B">
        <w:rPr>
          <w:rFonts w:ascii="Times New Roman" w:hAnsi="Times New Roman"/>
          <w:color w:val="000000" w:themeColor="text1"/>
          <w:sz w:val="24"/>
          <w:szCs w:val="24"/>
        </w:rPr>
        <w:t>on the department’s website</w:t>
      </w:r>
      <w:r w:rsidR="005318FB">
        <w:rPr>
          <w:rFonts w:ascii="Times New Roman" w:hAnsi="Times New Roman"/>
          <w:color w:val="000000" w:themeColor="text1"/>
          <w:sz w:val="24"/>
          <w:szCs w:val="24"/>
        </w:rPr>
        <w:t xml:space="preserve"> on 27 May 2020</w:t>
      </w:r>
      <w:r w:rsidR="005318FB" w:rsidRPr="005318FB">
        <w:t xml:space="preserve"> </w:t>
      </w:r>
      <w:r w:rsidR="005318FB">
        <w:t>(</w:t>
      </w:r>
      <w:r w:rsidR="005318FB" w:rsidRPr="005318FB">
        <w:rPr>
          <w:rFonts w:ascii="Times New Roman" w:hAnsi="Times New Roman"/>
          <w:color w:val="000000" w:themeColor="text1"/>
          <w:sz w:val="24"/>
          <w:szCs w:val="24"/>
        </w:rPr>
        <w:t>www.agriculture.gov.au/water/markets</w:t>
      </w:r>
      <w:r w:rsidR="005318FB">
        <w:rPr>
          <w:rFonts w:ascii="Times New Roman" w:hAnsi="Times New Roman"/>
          <w:color w:val="000000" w:themeColor="text1"/>
          <w:sz w:val="24"/>
          <w:szCs w:val="24"/>
        </w:rPr>
        <w:t>)</w:t>
      </w:r>
      <w:r w:rsidR="005318FB" w:rsidRPr="00177F7B">
        <w:rPr>
          <w:rFonts w:ascii="Times New Roman" w:hAnsi="Times New Roman"/>
          <w:color w:val="000000" w:themeColor="text1"/>
          <w:sz w:val="24"/>
          <w:szCs w:val="24"/>
        </w:rPr>
        <w:t xml:space="preserve">, </w:t>
      </w:r>
      <w:r w:rsidR="005318FB">
        <w:rPr>
          <w:rFonts w:ascii="Times New Roman" w:hAnsi="Times New Roman"/>
          <w:color w:val="000000" w:themeColor="text1"/>
          <w:sz w:val="24"/>
          <w:szCs w:val="24"/>
        </w:rPr>
        <w:t xml:space="preserve">and </w:t>
      </w:r>
      <w:r w:rsidR="005318FB" w:rsidRPr="00177F7B">
        <w:rPr>
          <w:rFonts w:ascii="Times New Roman" w:hAnsi="Times New Roman"/>
          <w:color w:val="000000" w:themeColor="text1"/>
          <w:sz w:val="24"/>
          <w:szCs w:val="24"/>
        </w:rPr>
        <w:t>in a na</w:t>
      </w:r>
      <w:r w:rsidR="005318FB">
        <w:rPr>
          <w:rFonts w:ascii="Times New Roman" w:hAnsi="Times New Roman"/>
          <w:color w:val="000000" w:themeColor="text1"/>
          <w:sz w:val="24"/>
          <w:szCs w:val="24"/>
        </w:rPr>
        <w:t>tionally circulating newspaper</w:t>
      </w:r>
      <w:r w:rsidR="005318FB" w:rsidRPr="00177F7B">
        <w:rPr>
          <w:rFonts w:ascii="Times New Roman" w:hAnsi="Times New Roman"/>
          <w:color w:val="000000" w:themeColor="text1"/>
          <w:sz w:val="24"/>
          <w:szCs w:val="24"/>
        </w:rPr>
        <w:t>, a</w:t>
      </w:r>
      <w:r w:rsidR="005318FB">
        <w:rPr>
          <w:rFonts w:ascii="Times New Roman" w:hAnsi="Times New Roman"/>
          <w:color w:val="000000" w:themeColor="text1"/>
          <w:sz w:val="24"/>
          <w:szCs w:val="24"/>
        </w:rPr>
        <w:t>s well as a</w:t>
      </w:r>
      <w:r w:rsidR="005318FB" w:rsidRPr="00177F7B">
        <w:rPr>
          <w:rFonts w:ascii="Times New Roman" w:hAnsi="Times New Roman"/>
          <w:color w:val="000000" w:themeColor="text1"/>
          <w:sz w:val="24"/>
          <w:szCs w:val="24"/>
        </w:rPr>
        <w:t xml:space="preserve"> newspaper with an agribusiness focus circulating in </w:t>
      </w:r>
      <w:r w:rsidR="005318FB">
        <w:rPr>
          <w:rFonts w:ascii="Times New Roman" w:hAnsi="Times New Roman"/>
          <w:color w:val="000000" w:themeColor="text1"/>
          <w:sz w:val="24"/>
          <w:szCs w:val="24"/>
        </w:rPr>
        <w:t>all</w:t>
      </w:r>
      <w:r w:rsidR="005318FB" w:rsidRPr="00177F7B">
        <w:rPr>
          <w:rFonts w:ascii="Times New Roman" w:hAnsi="Times New Roman"/>
          <w:color w:val="000000" w:themeColor="text1"/>
          <w:sz w:val="24"/>
          <w:szCs w:val="24"/>
        </w:rPr>
        <w:t xml:space="preserve"> Basin State</w:t>
      </w:r>
      <w:r w:rsidR="005318FB">
        <w:rPr>
          <w:rFonts w:ascii="Times New Roman" w:hAnsi="Times New Roman"/>
          <w:color w:val="000000" w:themeColor="text1"/>
          <w:sz w:val="24"/>
          <w:szCs w:val="24"/>
        </w:rPr>
        <w:t>s</w:t>
      </w:r>
      <w:r w:rsidR="005E4F41">
        <w:rPr>
          <w:rFonts w:ascii="Times New Roman" w:hAnsi="Times New Roman"/>
          <w:color w:val="000000" w:themeColor="text1"/>
          <w:sz w:val="24"/>
          <w:szCs w:val="24"/>
        </w:rPr>
        <w:t>, consistent with the</w:t>
      </w:r>
      <w:r w:rsidR="005E4F41" w:rsidRPr="00177F7B">
        <w:rPr>
          <w:rFonts w:ascii="Times New Roman" w:hAnsi="Times New Roman"/>
          <w:color w:val="000000" w:themeColor="text1"/>
          <w:sz w:val="24"/>
          <w:szCs w:val="24"/>
        </w:rPr>
        <w:t xml:space="preserve"> requirements in the </w:t>
      </w:r>
      <w:r w:rsidR="005E4F41" w:rsidRPr="00177F7B">
        <w:rPr>
          <w:rFonts w:ascii="Times New Roman" w:hAnsi="Times New Roman"/>
          <w:i/>
          <w:color w:val="000000" w:themeColor="text1"/>
          <w:sz w:val="24"/>
          <w:szCs w:val="24"/>
        </w:rPr>
        <w:t>Water Regulations 2008</w:t>
      </w:r>
      <w:r w:rsidR="005318FB">
        <w:rPr>
          <w:rFonts w:ascii="Times New Roman" w:hAnsi="Times New Roman"/>
          <w:color w:val="000000" w:themeColor="text1"/>
          <w:sz w:val="24"/>
          <w:szCs w:val="24"/>
        </w:rPr>
        <w:t>.</w:t>
      </w:r>
      <w:r w:rsidR="00CE1C18">
        <w:rPr>
          <w:rFonts w:ascii="Times New Roman" w:hAnsi="Times New Roman"/>
          <w:color w:val="000000" w:themeColor="text1"/>
          <w:sz w:val="24"/>
          <w:szCs w:val="24"/>
        </w:rPr>
        <w:t xml:space="preserve"> No submissions were received during the </w:t>
      </w:r>
      <w:proofErr w:type="gramStart"/>
      <w:r w:rsidR="00CE1C18">
        <w:rPr>
          <w:rFonts w:ascii="Times New Roman" w:hAnsi="Times New Roman"/>
          <w:color w:val="000000" w:themeColor="text1"/>
          <w:sz w:val="24"/>
          <w:szCs w:val="24"/>
        </w:rPr>
        <w:t>four week</w:t>
      </w:r>
      <w:proofErr w:type="gramEnd"/>
      <w:r w:rsidR="00CE1C18">
        <w:rPr>
          <w:rFonts w:ascii="Times New Roman" w:hAnsi="Times New Roman"/>
          <w:color w:val="000000" w:themeColor="text1"/>
          <w:sz w:val="24"/>
          <w:szCs w:val="24"/>
        </w:rPr>
        <w:t xml:space="preserve"> public notice period.</w:t>
      </w:r>
    </w:p>
    <w:p w14:paraId="0B0708BE" w14:textId="77777777" w:rsidR="0052091A" w:rsidRDefault="0052091A" w:rsidP="0052091A">
      <w:pPr>
        <w:tabs>
          <w:tab w:val="left" w:pos="1701"/>
          <w:tab w:val="right" w:pos="9072"/>
        </w:tabs>
        <w:spacing w:after="0" w:line="240" w:lineRule="auto"/>
        <w:rPr>
          <w:rFonts w:ascii="Times New Roman" w:hAnsi="Times New Roman" w:cs="Times New Roman"/>
          <w:sz w:val="24"/>
          <w:szCs w:val="24"/>
        </w:rPr>
      </w:pPr>
    </w:p>
    <w:p w14:paraId="0B0708BF" w14:textId="77777777" w:rsidR="0052091A" w:rsidRPr="00354BE8" w:rsidRDefault="005456F7" w:rsidP="0052091A">
      <w:pPr>
        <w:tabs>
          <w:tab w:val="left" w:pos="1701"/>
          <w:tab w:val="right" w:pos="9072"/>
        </w:tabs>
        <w:spacing w:after="0" w:line="240" w:lineRule="auto"/>
        <w:rPr>
          <w:rFonts w:ascii="Times New Roman" w:hAnsi="Times New Roman" w:cs="Times New Roman"/>
          <w:sz w:val="24"/>
          <w:szCs w:val="24"/>
        </w:rPr>
      </w:pPr>
      <w:r w:rsidRPr="009C083B">
        <w:rPr>
          <w:rFonts w:ascii="Times New Roman" w:hAnsi="Times New Roman" w:cs="Times New Roman"/>
          <w:sz w:val="24"/>
          <w:szCs w:val="24"/>
        </w:rPr>
        <w:t xml:space="preserve">The Office of Best Practice Regulation (OBPR) was consulted by the ACCC </w:t>
      </w:r>
      <w:r>
        <w:rPr>
          <w:rFonts w:ascii="Times New Roman" w:hAnsi="Times New Roman" w:cs="Times New Roman"/>
          <w:sz w:val="24"/>
          <w:szCs w:val="24"/>
        </w:rPr>
        <w:t xml:space="preserve">to inform the </w:t>
      </w:r>
      <w:r w:rsidRPr="00AB5D44">
        <w:rPr>
          <w:rFonts w:ascii="Times New Roman" w:hAnsi="Times New Roman"/>
          <w:i/>
          <w:color w:val="000000" w:themeColor="text1"/>
          <w:sz w:val="24"/>
          <w:szCs w:val="24"/>
        </w:rPr>
        <w:t>Review of the Water Charge Rules: Final Advice</w:t>
      </w:r>
      <w:r>
        <w:rPr>
          <w:rFonts w:ascii="Times New Roman" w:hAnsi="Times New Roman"/>
          <w:i/>
          <w:color w:val="000000" w:themeColor="text1"/>
          <w:sz w:val="24"/>
          <w:szCs w:val="24"/>
        </w:rPr>
        <w:t>.</w:t>
      </w:r>
      <w:r w:rsidRPr="00AB5D44">
        <w:rPr>
          <w:rFonts w:ascii="Times New Roman" w:hAnsi="Times New Roman"/>
          <w:i/>
          <w:color w:val="000000" w:themeColor="text1"/>
          <w:sz w:val="24"/>
          <w:szCs w:val="24"/>
        </w:rPr>
        <w:t xml:space="preserve"> </w:t>
      </w:r>
      <w:r w:rsidRPr="009C083B">
        <w:rPr>
          <w:rFonts w:ascii="Times New Roman" w:hAnsi="Times New Roman" w:cs="Times New Roman"/>
          <w:sz w:val="24"/>
          <w:szCs w:val="24"/>
        </w:rPr>
        <w:t>The ACCC certified that the Final Advice meets the OBPR’s requirements for a process and analysis equivalent to a Regulation Impact Statement (RIS). The estimated change in regulatory costs to business, community and organisations were agreed by the OBPR (ID: 19056).</w:t>
      </w:r>
    </w:p>
    <w:p w14:paraId="0B0708C0" w14:textId="77777777" w:rsidR="0052091A" w:rsidRPr="005D1ABF" w:rsidRDefault="0052091A" w:rsidP="0052091A">
      <w:pPr>
        <w:tabs>
          <w:tab w:val="right" w:pos="9072"/>
        </w:tabs>
        <w:spacing w:after="0" w:line="240" w:lineRule="auto"/>
        <w:rPr>
          <w:rFonts w:ascii="Times New Roman" w:hAnsi="Times New Roman" w:cs="Times New Roman"/>
          <w:sz w:val="24"/>
          <w:szCs w:val="24"/>
        </w:rPr>
      </w:pPr>
    </w:p>
    <w:p w14:paraId="0B0708C1" w14:textId="77777777" w:rsidR="0052091A" w:rsidRPr="00354BE8" w:rsidRDefault="005456F7" w:rsidP="0052091A">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rPr>
        <w:t>Details/ Operation</w:t>
      </w:r>
    </w:p>
    <w:p w14:paraId="0B0708C2" w14:textId="77777777" w:rsidR="0052091A" w:rsidRPr="0033250E" w:rsidRDefault="0052091A" w:rsidP="0052091A">
      <w:pPr>
        <w:tabs>
          <w:tab w:val="left" w:pos="1701"/>
          <w:tab w:val="right" w:pos="9072"/>
        </w:tabs>
        <w:spacing w:after="0" w:line="240" w:lineRule="auto"/>
        <w:rPr>
          <w:rFonts w:ascii="Times New Roman" w:hAnsi="Times New Roman" w:cs="Times New Roman"/>
          <w:sz w:val="24"/>
          <w:szCs w:val="24"/>
        </w:rPr>
      </w:pPr>
    </w:p>
    <w:p w14:paraId="0B0708C3" w14:textId="74A95E5B" w:rsidR="0052091A" w:rsidRPr="00272247" w:rsidRDefault="005456F7" w:rsidP="0052091A">
      <w:pPr>
        <w:tabs>
          <w:tab w:val="left" w:pos="1701"/>
          <w:tab w:val="right" w:pos="9072"/>
        </w:tabs>
        <w:spacing w:after="0" w:line="240" w:lineRule="auto"/>
        <w:rPr>
          <w:rFonts w:ascii="Times New Roman" w:hAnsi="Times New Roman"/>
          <w:color w:val="FF0000"/>
          <w:sz w:val="24"/>
          <w:szCs w:val="24"/>
        </w:rPr>
      </w:pPr>
      <w:r>
        <w:rPr>
          <w:rFonts w:ascii="Times New Roman" w:hAnsi="Times New Roman"/>
          <w:sz w:val="24"/>
          <w:szCs w:val="24"/>
        </w:rPr>
        <w:t xml:space="preserve">The </w:t>
      </w:r>
      <w:r w:rsidRPr="002E2412">
        <w:rPr>
          <w:rFonts w:ascii="Times New Roman" w:hAnsi="Times New Roman"/>
          <w:i/>
          <w:sz w:val="24"/>
          <w:szCs w:val="24"/>
        </w:rPr>
        <w:t>Water Charge Amendment Rules 2019</w:t>
      </w:r>
      <w:r w:rsidR="00E87CAA">
        <w:rPr>
          <w:rFonts w:ascii="Times New Roman" w:hAnsi="Times New Roman"/>
          <w:sz w:val="24"/>
          <w:szCs w:val="24"/>
        </w:rPr>
        <w:t xml:space="preserve">, and therefore the </w:t>
      </w:r>
      <w:r w:rsidR="00E87CAA">
        <w:rPr>
          <w:rFonts w:ascii="Times New Roman" w:hAnsi="Times New Roman"/>
          <w:i/>
          <w:sz w:val="24"/>
          <w:szCs w:val="24"/>
        </w:rPr>
        <w:t>Water Charge Rules 2010</w:t>
      </w:r>
      <w:r w:rsidR="00E87CAA">
        <w:rPr>
          <w:rFonts w:ascii="Times New Roman" w:hAnsi="Times New Roman"/>
          <w:sz w:val="24"/>
          <w:szCs w:val="24"/>
        </w:rPr>
        <w:t xml:space="preserve">, </w:t>
      </w:r>
      <w:r>
        <w:rPr>
          <w:rFonts w:ascii="Times New Roman" w:hAnsi="Times New Roman"/>
          <w:sz w:val="24"/>
          <w:szCs w:val="24"/>
        </w:rPr>
        <w:t>are amended to prescribe the limit on termination fees under certain circumstances for the purpose of the Water Act</w:t>
      </w:r>
      <w:r w:rsidRPr="0033250E">
        <w:rPr>
          <w:rFonts w:ascii="Times New Roman" w:hAnsi="Times New Roman"/>
          <w:sz w:val="24"/>
          <w:szCs w:val="24"/>
        </w:rPr>
        <w:t xml:space="preserve">. </w:t>
      </w:r>
    </w:p>
    <w:p w14:paraId="0B0708C4" w14:textId="77777777" w:rsidR="0052091A" w:rsidRDefault="0052091A" w:rsidP="0052091A">
      <w:pPr>
        <w:tabs>
          <w:tab w:val="left" w:pos="1701"/>
          <w:tab w:val="right" w:pos="9072"/>
        </w:tabs>
        <w:spacing w:after="0" w:line="240" w:lineRule="auto"/>
        <w:rPr>
          <w:rFonts w:ascii="Times New Roman" w:hAnsi="Times New Roman" w:cs="Times New Roman"/>
          <w:b/>
          <w:sz w:val="24"/>
        </w:rPr>
      </w:pPr>
    </w:p>
    <w:p w14:paraId="0B0708C5" w14:textId="77777777" w:rsidR="0052091A" w:rsidRPr="00473C98" w:rsidRDefault="005456F7" w:rsidP="0052091A">
      <w:pPr>
        <w:tabs>
          <w:tab w:val="left" w:pos="1701"/>
          <w:tab w:val="right" w:pos="9072"/>
        </w:tabs>
        <w:spacing w:after="0" w:line="240" w:lineRule="auto"/>
        <w:rPr>
          <w:rFonts w:ascii="Times New Roman" w:hAnsi="Times New Roman" w:cs="Times New Roman"/>
          <w:sz w:val="24"/>
          <w:szCs w:val="24"/>
        </w:rPr>
      </w:pPr>
      <w:r w:rsidRPr="00C56064">
        <w:rPr>
          <w:rFonts w:ascii="Times New Roman" w:hAnsi="Times New Roman" w:cs="Times New Roman"/>
          <w:b/>
          <w:sz w:val="24"/>
        </w:rPr>
        <w:t>Other</w:t>
      </w:r>
    </w:p>
    <w:p w14:paraId="0B0708C6" w14:textId="77777777" w:rsidR="0052091A" w:rsidRPr="00E76AB5" w:rsidRDefault="0052091A" w:rsidP="0052091A">
      <w:pPr>
        <w:tabs>
          <w:tab w:val="left" w:pos="1701"/>
          <w:tab w:val="right" w:pos="9072"/>
        </w:tabs>
        <w:spacing w:after="0" w:line="240" w:lineRule="auto"/>
        <w:rPr>
          <w:rFonts w:ascii="Times New Roman" w:hAnsi="Times New Roman" w:cs="Times New Roman"/>
          <w:sz w:val="24"/>
          <w:szCs w:val="24"/>
        </w:rPr>
      </w:pPr>
    </w:p>
    <w:p w14:paraId="0B0708C7" w14:textId="77777777" w:rsidR="0052091A" w:rsidRPr="00E76AB5" w:rsidRDefault="005456F7" w:rsidP="0052091A">
      <w:pPr>
        <w:tabs>
          <w:tab w:val="left" w:pos="1701"/>
          <w:tab w:val="right" w:pos="9072"/>
        </w:tabs>
        <w:spacing w:after="0" w:line="240" w:lineRule="auto"/>
        <w:rPr>
          <w:rFonts w:ascii="Times New Roman" w:hAnsi="Times New Roman" w:cs="Times New Roman"/>
          <w:sz w:val="24"/>
          <w:szCs w:val="24"/>
        </w:rPr>
      </w:pPr>
      <w:r w:rsidRPr="00F53C70">
        <w:rPr>
          <w:rFonts w:ascii="Times New Roman" w:hAnsi="Times New Roman" w:cs="Times New Roman"/>
          <w:sz w:val="24"/>
          <w:szCs w:val="24"/>
        </w:rPr>
        <w:t xml:space="preserve">The </w:t>
      </w:r>
      <w:r>
        <w:rPr>
          <w:rFonts w:ascii="Times New Roman" w:hAnsi="Times New Roman" w:cs="Times New Roman"/>
          <w:sz w:val="24"/>
          <w:szCs w:val="24"/>
        </w:rPr>
        <w:t>Amendment Rules</w:t>
      </w:r>
      <w:r w:rsidRPr="00354BE8">
        <w:rPr>
          <w:rFonts w:ascii="Times New Roman" w:hAnsi="Times New Roman" w:cs="Times New Roman"/>
          <w:sz w:val="24"/>
          <w:szCs w:val="24"/>
        </w:rPr>
        <w:t xml:space="preserve"> </w:t>
      </w:r>
      <w:r>
        <w:rPr>
          <w:rFonts w:ascii="Times New Roman" w:hAnsi="Times New Roman" w:cs="Times New Roman"/>
          <w:sz w:val="24"/>
          <w:szCs w:val="24"/>
        </w:rPr>
        <w:t>are compatible</w:t>
      </w:r>
      <w:r w:rsidRPr="00354BE8">
        <w:rPr>
          <w:rFonts w:ascii="Times New Roman" w:hAnsi="Times New Roman" w:cs="Times New Roman"/>
          <w:sz w:val="24"/>
          <w:szCs w:val="24"/>
        </w:rPr>
        <w:t xml:space="preserve"> with the human rights and freedoms recognised or declared under section 3 of the </w:t>
      </w:r>
      <w:r w:rsidRPr="00F53C70">
        <w:rPr>
          <w:rFonts w:ascii="Times New Roman" w:hAnsi="Times New Roman" w:cs="Times New Roman"/>
          <w:i/>
          <w:sz w:val="24"/>
          <w:szCs w:val="24"/>
        </w:rPr>
        <w:t xml:space="preserve">Human </w:t>
      </w:r>
      <w:r w:rsidRPr="00E76AB5">
        <w:rPr>
          <w:rFonts w:ascii="Times New Roman" w:hAnsi="Times New Roman" w:cs="Times New Roman"/>
          <w:i/>
          <w:sz w:val="24"/>
          <w:szCs w:val="24"/>
        </w:rPr>
        <w:t>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0B0708C8" w14:textId="77777777" w:rsidR="0052091A" w:rsidRPr="00E76AB5" w:rsidRDefault="0052091A" w:rsidP="0052091A">
      <w:pPr>
        <w:tabs>
          <w:tab w:val="left" w:pos="1701"/>
          <w:tab w:val="right" w:pos="9072"/>
        </w:tabs>
        <w:spacing w:after="0" w:line="240" w:lineRule="auto"/>
        <w:rPr>
          <w:rFonts w:ascii="Times New Roman" w:hAnsi="Times New Roman" w:cs="Times New Roman"/>
          <w:sz w:val="24"/>
          <w:szCs w:val="24"/>
        </w:rPr>
      </w:pPr>
    </w:p>
    <w:p w14:paraId="0B0708C9" w14:textId="77777777" w:rsidR="0052091A" w:rsidRDefault="005456F7" w:rsidP="0052091A">
      <w:pPr>
        <w:tabs>
          <w:tab w:val="left" w:pos="1701"/>
          <w:tab w:val="right" w:pos="9072"/>
        </w:tabs>
        <w:spacing w:after="0" w:line="240" w:lineRule="auto"/>
        <w:rPr>
          <w:rFonts w:ascii="Times New Roman" w:eastAsia="Times New Roman" w:hAnsi="Times New Roman" w:cs="Times New Roman"/>
          <w:b/>
          <w:caps/>
          <w:color w:val="000000"/>
          <w:sz w:val="24"/>
          <w:szCs w:val="24"/>
          <w:u w:val="single"/>
        </w:rPr>
      </w:pPr>
      <w:r w:rsidRPr="00F53C70">
        <w:rPr>
          <w:rFonts w:ascii="Times New Roman" w:hAnsi="Times New Roman" w:cs="Times New Roman"/>
          <w:sz w:val="24"/>
          <w:szCs w:val="24"/>
        </w:rPr>
        <w:t xml:space="preserve">The </w:t>
      </w:r>
      <w:r>
        <w:rPr>
          <w:rFonts w:ascii="Times New Roman" w:hAnsi="Times New Roman" w:cs="Times New Roman"/>
          <w:sz w:val="24"/>
          <w:szCs w:val="24"/>
        </w:rPr>
        <w:t>Amendment Rules are</w:t>
      </w:r>
      <w:r w:rsidRPr="00F53C70">
        <w:rPr>
          <w:rFonts w:ascii="Times New Roman" w:hAnsi="Times New Roman" w:cs="Times New Roman"/>
          <w:sz w:val="24"/>
          <w:szCs w:val="24"/>
        </w:rPr>
        <w:t xml:space="preserve"> </w:t>
      </w:r>
      <w:r w:rsidRPr="00E661B7">
        <w:rPr>
          <w:rFonts w:ascii="Times New Roman" w:hAnsi="Times New Roman" w:cs="Times New Roman"/>
          <w:sz w:val="24"/>
          <w:szCs w:val="24"/>
        </w:rPr>
        <w:t xml:space="preserve">a legislative </w:t>
      </w:r>
      <w:r w:rsidRPr="00E76AB5">
        <w:rPr>
          <w:rFonts w:ascii="Times New Roman" w:hAnsi="Times New Roman" w:cs="Times New Roman"/>
          <w:sz w:val="24"/>
          <w:szCs w:val="24"/>
        </w:rPr>
        <w:t xml:space="preserve">instrument for the purposes of the </w:t>
      </w:r>
      <w:r>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r>
        <w:rPr>
          <w:b/>
          <w:caps/>
          <w:szCs w:val="24"/>
          <w:u w:val="single"/>
        </w:rPr>
        <w:br w:type="page"/>
      </w:r>
    </w:p>
    <w:p w14:paraId="0B0708CB" w14:textId="77777777" w:rsidR="0052091A" w:rsidRPr="005D1ABF" w:rsidRDefault="005456F7" w:rsidP="0052091A">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A</w:t>
      </w:r>
    </w:p>
    <w:p w14:paraId="0B0708CC" w14:textId="77777777" w:rsidR="0052091A" w:rsidRPr="005D1ABF" w:rsidRDefault="0052091A" w:rsidP="0052091A">
      <w:pPr>
        <w:pStyle w:val="Normal-em"/>
        <w:spacing w:after="0" w:line="240" w:lineRule="auto"/>
        <w:rPr>
          <w:color w:val="auto"/>
          <w:szCs w:val="24"/>
        </w:rPr>
      </w:pPr>
    </w:p>
    <w:p w14:paraId="0B0708CD" w14:textId="77777777" w:rsidR="0052091A" w:rsidRPr="00354BE8" w:rsidRDefault="005456F7" w:rsidP="0052091A">
      <w:pPr>
        <w:pStyle w:val="Normal-em"/>
        <w:spacing w:after="0" w:line="240" w:lineRule="auto"/>
        <w:rPr>
          <w:b/>
          <w:i/>
          <w:color w:val="auto"/>
          <w:szCs w:val="24"/>
          <w:u w:val="single"/>
        </w:rPr>
      </w:pPr>
      <w:r w:rsidRPr="005D1ABF">
        <w:rPr>
          <w:b/>
          <w:iCs/>
          <w:color w:val="auto"/>
          <w:szCs w:val="24"/>
          <w:u w:val="single"/>
        </w:rPr>
        <w:t xml:space="preserve">Details of </w:t>
      </w:r>
      <w:r w:rsidRPr="00F53C70">
        <w:rPr>
          <w:b/>
          <w:iCs/>
          <w:color w:val="auto"/>
          <w:szCs w:val="24"/>
          <w:u w:val="single"/>
        </w:rPr>
        <w:t xml:space="preserve">the </w:t>
      </w:r>
      <w:r w:rsidRPr="00354BE8">
        <w:rPr>
          <w:b/>
          <w:i/>
          <w:color w:val="auto"/>
          <w:szCs w:val="24"/>
          <w:u w:val="single"/>
        </w:rPr>
        <w:t xml:space="preserve">Water </w:t>
      </w:r>
      <w:r>
        <w:rPr>
          <w:b/>
          <w:i/>
          <w:color w:val="auto"/>
          <w:szCs w:val="24"/>
          <w:u w:val="single"/>
        </w:rPr>
        <w:t>Charge Amendment (Termination Fees) Rules 2020</w:t>
      </w:r>
      <w:r w:rsidRPr="00354BE8">
        <w:rPr>
          <w:b/>
          <w:i/>
          <w:color w:val="auto"/>
          <w:szCs w:val="24"/>
          <w:u w:val="single"/>
        </w:rPr>
        <w:t xml:space="preserve"> </w:t>
      </w:r>
    </w:p>
    <w:p w14:paraId="0B0708CE" w14:textId="77777777" w:rsidR="0052091A" w:rsidRPr="005D1ABF" w:rsidRDefault="0052091A" w:rsidP="0052091A">
      <w:pPr>
        <w:pStyle w:val="Normal-em"/>
        <w:spacing w:after="0" w:line="240" w:lineRule="auto"/>
        <w:rPr>
          <w:color w:val="auto"/>
          <w:szCs w:val="24"/>
        </w:rPr>
      </w:pPr>
    </w:p>
    <w:p w14:paraId="0B0708CF" w14:textId="77777777" w:rsidR="0052091A" w:rsidRPr="005D1ABF" w:rsidRDefault="005456F7" w:rsidP="0052091A">
      <w:pPr>
        <w:pStyle w:val="Normal-em"/>
        <w:spacing w:after="0" w:line="240" w:lineRule="auto"/>
        <w:ind w:left="1440" w:hanging="1440"/>
        <w:rPr>
          <w:color w:val="auto"/>
          <w:szCs w:val="24"/>
          <w:u w:val="single"/>
        </w:rPr>
      </w:pPr>
      <w:r w:rsidRPr="005D1ABF">
        <w:rPr>
          <w:color w:val="auto"/>
          <w:szCs w:val="24"/>
          <w:u w:val="single"/>
        </w:rPr>
        <w:t>Section 1 – Name</w:t>
      </w:r>
    </w:p>
    <w:p w14:paraId="0B0708D0" w14:textId="77777777" w:rsidR="0052091A" w:rsidRPr="005D1ABF" w:rsidRDefault="0052091A" w:rsidP="0052091A">
      <w:pPr>
        <w:pStyle w:val="Normal-em"/>
        <w:spacing w:after="0" w:line="240" w:lineRule="auto"/>
        <w:ind w:left="1440" w:hanging="1440"/>
        <w:rPr>
          <w:b/>
          <w:color w:val="auto"/>
          <w:szCs w:val="24"/>
        </w:rPr>
      </w:pPr>
    </w:p>
    <w:p w14:paraId="0B0708D1" w14:textId="77777777" w:rsidR="0052091A" w:rsidRPr="00F53C70" w:rsidRDefault="005456F7" w:rsidP="0052091A">
      <w:pPr>
        <w:pStyle w:val="Normal-em"/>
        <w:spacing w:after="0" w:line="240" w:lineRule="auto"/>
        <w:rPr>
          <w:i/>
          <w:iCs/>
          <w:color w:val="auto"/>
          <w:szCs w:val="24"/>
        </w:rPr>
      </w:pPr>
      <w:r w:rsidRPr="00F53C70">
        <w:rPr>
          <w:color w:val="auto"/>
          <w:szCs w:val="24"/>
        </w:rPr>
        <w:t xml:space="preserve">This section provides </w:t>
      </w:r>
      <w:r>
        <w:rPr>
          <w:color w:val="auto"/>
          <w:szCs w:val="24"/>
        </w:rPr>
        <w:t xml:space="preserve">that the name of the Amendment Rules </w:t>
      </w:r>
      <w:r w:rsidRPr="00F53C70">
        <w:rPr>
          <w:color w:val="auto"/>
          <w:szCs w:val="24"/>
        </w:rPr>
        <w:t xml:space="preserve">is the </w:t>
      </w:r>
      <w:r>
        <w:rPr>
          <w:i/>
          <w:color w:val="auto"/>
          <w:szCs w:val="24"/>
        </w:rPr>
        <w:t xml:space="preserve">Water Charge Amendment </w:t>
      </w:r>
      <w:r>
        <w:rPr>
          <w:i/>
        </w:rPr>
        <w:t xml:space="preserve">(Termination Fees) </w:t>
      </w:r>
      <w:r>
        <w:rPr>
          <w:i/>
          <w:color w:val="auto"/>
          <w:szCs w:val="24"/>
        </w:rPr>
        <w:t>Rules 2020</w:t>
      </w:r>
      <w:r w:rsidRPr="00F53C70">
        <w:rPr>
          <w:color w:val="auto"/>
          <w:szCs w:val="24"/>
        </w:rPr>
        <w:t>.</w:t>
      </w:r>
    </w:p>
    <w:p w14:paraId="0B0708D2" w14:textId="77777777" w:rsidR="0052091A" w:rsidRPr="001D5C49" w:rsidRDefault="0052091A" w:rsidP="0052091A">
      <w:pPr>
        <w:pStyle w:val="Normal-em"/>
        <w:spacing w:after="0" w:line="240" w:lineRule="auto"/>
        <w:rPr>
          <w:color w:val="auto"/>
          <w:szCs w:val="24"/>
        </w:rPr>
      </w:pPr>
    </w:p>
    <w:p w14:paraId="0B0708D3" w14:textId="77777777" w:rsidR="0052091A" w:rsidRPr="001D5C49" w:rsidRDefault="005456F7" w:rsidP="0052091A">
      <w:pPr>
        <w:pStyle w:val="Normal-em"/>
        <w:spacing w:after="0" w:line="240" w:lineRule="auto"/>
        <w:rPr>
          <w:color w:val="auto"/>
          <w:szCs w:val="24"/>
          <w:u w:val="single"/>
        </w:rPr>
      </w:pPr>
      <w:r w:rsidRPr="001D5C49">
        <w:rPr>
          <w:color w:val="auto"/>
          <w:szCs w:val="24"/>
          <w:u w:val="single"/>
        </w:rPr>
        <w:t>Section 2 – Commencement</w:t>
      </w:r>
    </w:p>
    <w:p w14:paraId="0B0708D4" w14:textId="77777777" w:rsidR="0052091A" w:rsidRPr="001D5C49" w:rsidRDefault="0052091A" w:rsidP="0052091A">
      <w:pPr>
        <w:pStyle w:val="Normal-em"/>
        <w:spacing w:after="0" w:line="240" w:lineRule="auto"/>
        <w:rPr>
          <w:color w:val="auto"/>
          <w:szCs w:val="24"/>
        </w:rPr>
      </w:pPr>
    </w:p>
    <w:p w14:paraId="0B0708D5" w14:textId="77777777" w:rsidR="0052091A" w:rsidRPr="00F53C70" w:rsidRDefault="005456F7" w:rsidP="0052091A">
      <w:pPr>
        <w:pStyle w:val="Normal-em"/>
        <w:spacing w:after="0" w:line="240" w:lineRule="auto"/>
        <w:rPr>
          <w:color w:val="auto"/>
          <w:szCs w:val="24"/>
          <w:highlight w:val="yellow"/>
        </w:rPr>
      </w:pPr>
      <w:r w:rsidRPr="001D5C49">
        <w:rPr>
          <w:color w:val="auto"/>
          <w:szCs w:val="24"/>
        </w:rPr>
        <w:t xml:space="preserve">This section provides for the </w:t>
      </w:r>
      <w:r>
        <w:rPr>
          <w:color w:val="auto"/>
          <w:szCs w:val="24"/>
        </w:rPr>
        <w:t xml:space="preserve">Amendment Rules </w:t>
      </w:r>
      <w:r w:rsidRPr="00F53C70">
        <w:rPr>
          <w:color w:val="auto"/>
          <w:szCs w:val="24"/>
        </w:rPr>
        <w:t xml:space="preserve">to </w:t>
      </w:r>
      <w:r>
        <w:rPr>
          <w:color w:val="auto"/>
          <w:szCs w:val="24"/>
        </w:rPr>
        <w:t>commence the day after the instrument is registered</w:t>
      </w:r>
      <w:r w:rsidRPr="00F53C70">
        <w:rPr>
          <w:color w:val="auto"/>
          <w:szCs w:val="24"/>
        </w:rPr>
        <w:t>.</w:t>
      </w:r>
    </w:p>
    <w:p w14:paraId="0B0708D6" w14:textId="77777777" w:rsidR="0052091A" w:rsidRPr="005D1ABF" w:rsidRDefault="0052091A" w:rsidP="0052091A">
      <w:pPr>
        <w:pStyle w:val="Normal-em"/>
        <w:spacing w:after="0" w:line="240" w:lineRule="auto"/>
        <w:rPr>
          <w:color w:val="auto"/>
          <w:szCs w:val="24"/>
        </w:rPr>
      </w:pPr>
    </w:p>
    <w:p w14:paraId="0B0708D7" w14:textId="77777777" w:rsidR="0052091A" w:rsidRPr="005D1ABF" w:rsidRDefault="005456F7" w:rsidP="0052091A">
      <w:pPr>
        <w:pStyle w:val="Normal-em"/>
        <w:spacing w:after="0" w:line="240" w:lineRule="auto"/>
        <w:ind w:left="1440" w:hanging="1440"/>
        <w:rPr>
          <w:color w:val="auto"/>
          <w:szCs w:val="24"/>
          <w:u w:val="single"/>
        </w:rPr>
      </w:pPr>
      <w:r w:rsidRPr="005D1ABF">
        <w:rPr>
          <w:color w:val="auto"/>
          <w:szCs w:val="24"/>
          <w:u w:val="single"/>
        </w:rPr>
        <w:t xml:space="preserve">Section 3 – Authority </w:t>
      </w:r>
    </w:p>
    <w:p w14:paraId="0B0708D8" w14:textId="77777777" w:rsidR="0052091A" w:rsidRPr="00F53C70" w:rsidRDefault="0052091A" w:rsidP="0052091A">
      <w:pPr>
        <w:pStyle w:val="Normal-em"/>
        <w:spacing w:after="0" w:line="240" w:lineRule="auto"/>
        <w:rPr>
          <w:color w:val="auto"/>
          <w:szCs w:val="24"/>
        </w:rPr>
      </w:pPr>
    </w:p>
    <w:p w14:paraId="72487BF2" w14:textId="4F5EF0B7" w:rsidR="008A7E70" w:rsidRPr="008A7E70" w:rsidRDefault="005456F7" w:rsidP="008A7E70">
      <w:pPr>
        <w:pStyle w:val="Normal-em"/>
        <w:spacing w:after="0" w:line="240" w:lineRule="auto"/>
        <w:rPr>
          <w:color w:val="auto"/>
          <w:szCs w:val="24"/>
        </w:rPr>
      </w:pPr>
      <w:r w:rsidRPr="00F53C70">
        <w:rPr>
          <w:color w:val="auto"/>
          <w:szCs w:val="24"/>
        </w:rPr>
        <w:t xml:space="preserve">This section provides </w:t>
      </w:r>
      <w:r w:rsidRPr="001D5C49">
        <w:rPr>
          <w:color w:val="auto"/>
          <w:szCs w:val="24"/>
        </w:rPr>
        <w:t xml:space="preserve">that the </w:t>
      </w:r>
      <w:r>
        <w:rPr>
          <w:color w:val="auto"/>
          <w:szCs w:val="24"/>
        </w:rPr>
        <w:t>Amendment Rules are</w:t>
      </w:r>
      <w:r w:rsidRPr="00F53C70">
        <w:rPr>
          <w:color w:val="auto"/>
          <w:szCs w:val="24"/>
        </w:rPr>
        <w:t xml:space="preserve"> made </w:t>
      </w:r>
      <w:r w:rsidR="008A7E70" w:rsidRPr="00F53C70">
        <w:rPr>
          <w:color w:val="auto"/>
          <w:szCs w:val="24"/>
        </w:rPr>
        <w:t>und</w:t>
      </w:r>
      <w:r w:rsidR="008A7E70" w:rsidRPr="005D1ABF">
        <w:rPr>
          <w:color w:val="auto"/>
          <w:szCs w:val="24"/>
        </w:rPr>
        <w:t>er</w:t>
      </w:r>
      <w:r w:rsidR="008A7E70">
        <w:rPr>
          <w:color w:val="auto"/>
          <w:szCs w:val="24"/>
        </w:rPr>
        <w:t xml:space="preserve"> section 92 of</w:t>
      </w:r>
      <w:r w:rsidR="008A7E70" w:rsidRPr="005D1ABF">
        <w:rPr>
          <w:color w:val="auto"/>
          <w:szCs w:val="24"/>
        </w:rPr>
        <w:t xml:space="preserve"> the</w:t>
      </w:r>
      <w:r w:rsidR="008A7E70">
        <w:rPr>
          <w:color w:val="auto"/>
          <w:szCs w:val="24"/>
        </w:rPr>
        <w:t xml:space="preserve"> </w:t>
      </w:r>
      <w:r w:rsidR="008A7E70" w:rsidRPr="00404F29">
        <w:rPr>
          <w:i/>
          <w:iCs/>
          <w:color w:val="auto"/>
          <w:szCs w:val="24"/>
        </w:rPr>
        <w:t>Water Act 2007</w:t>
      </w:r>
      <w:r w:rsidR="008A7E70">
        <w:rPr>
          <w:color w:val="auto"/>
          <w:szCs w:val="24"/>
        </w:rPr>
        <w:t>.</w:t>
      </w:r>
      <w:r w:rsidR="008A7E70" w:rsidRPr="005D1ABF">
        <w:rPr>
          <w:color w:val="auto"/>
          <w:szCs w:val="24"/>
        </w:rPr>
        <w:t xml:space="preserve"> </w:t>
      </w:r>
    </w:p>
    <w:p w14:paraId="0B0708DA" w14:textId="77777777" w:rsidR="0052091A" w:rsidRPr="005D1ABF" w:rsidRDefault="0052091A" w:rsidP="0052091A">
      <w:pPr>
        <w:pStyle w:val="Normal-em"/>
        <w:spacing w:after="0" w:line="240" w:lineRule="auto"/>
        <w:rPr>
          <w:iCs/>
          <w:color w:val="auto"/>
          <w:szCs w:val="24"/>
        </w:rPr>
      </w:pPr>
    </w:p>
    <w:p w14:paraId="0B0708DB" w14:textId="77777777" w:rsidR="0052091A" w:rsidRPr="005D1ABF" w:rsidRDefault="005456F7" w:rsidP="0052091A">
      <w:pPr>
        <w:pStyle w:val="Normal-em"/>
        <w:spacing w:after="0" w:line="240" w:lineRule="auto"/>
        <w:rPr>
          <w:color w:val="auto"/>
          <w:szCs w:val="24"/>
          <w:u w:val="single"/>
        </w:rPr>
      </w:pPr>
      <w:r w:rsidRPr="005D1ABF">
        <w:rPr>
          <w:color w:val="auto"/>
          <w:szCs w:val="24"/>
          <w:u w:val="single"/>
        </w:rPr>
        <w:t>Section 4 – Schedules</w:t>
      </w:r>
    </w:p>
    <w:p w14:paraId="0B0708DC" w14:textId="77777777" w:rsidR="0052091A" w:rsidRDefault="0052091A" w:rsidP="0052091A">
      <w:pPr>
        <w:pStyle w:val="Normal-em"/>
        <w:spacing w:after="0" w:line="240" w:lineRule="auto"/>
        <w:rPr>
          <w:color w:val="auto"/>
          <w:szCs w:val="24"/>
        </w:rPr>
      </w:pPr>
    </w:p>
    <w:p w14:paraId="0B0708DD" w14:textId="599FB02A" w:rsidR="0052091A" w:rsidRDefault="005456F7" w:rsidP="0052091A">
      <w:pPr>
        <w:pStyle w:val="Normal-em"/>
        <w:spacing w:after="0" w:line="240" w:lineRule="auto"/>
        <w:rPr>
          <w:color w:val="auto"/>
          <w:szCs w:val="24"/>
        </w:rPr>
      </w:pPr>
      <w:r w:rsidRPr="009A22EA">
        <w:rPr>
          <w:color w:val="auto"/>
          <w:szCs w:val="24"/>
        </w:rPr>
        <w:t>This section provides that each instrument specified in a Schedule</w:t>
      </w:r>
      <w:r>
        <w:rPr>
          <w:color w:val="auto"/>
          <w:szCs w:val="24"/>
        </w:rPr>
        <w:t xml:space="preserve"> to this instrument</w:t>
      </w:r>
      <w:r w:rsidRPr="009A22EA">
        <w:rPr>
          <w:color w:val="auto"/>
          <w:szCs w:val="24"/>
        </w:rPr>
        <w:t xml:space="preserve"> is amended or repealed</w:t>
      </w:r>
      <w:r w:rsidR="008A7E70">
        <w:rPr>
          <w:color w:val="auto"/>
          <w:szCs w:val="24"/>
        </w:rPr>
        <w:t xml:space="preserve"> </w:t>
      </w:r>
      <w:r w:rsidR="008A7E70" w:rsidRPr="008A7E70">
        <w:rPr>
          <w:color w:val="auto"/>
          <w:szCs w:val="24"/>
        </w:rPr>
        <w:t xml:space="preserve">as set out in the applicable items in the Schedule concerned. This is the formal enabling provision for the amendments to the 2019 Amendment Water Charge Rules made by </w:t>
      </w:r>
      <w:r w:rsidR="008A7E70">
        <w:rPr>
          <w:color w:val="auto"/>
          <w:szCs w:val="24"/>
        </w:rPr>
        <w:t>Schedule 1 of this instrument.</w:t>
      </w:r>
    </w:p>
    <w:p w14:paraId="0B0708E0" w14:textId="77777777" w:rsidR="0052091A" w:rsidRPr="00C35FD8" w:rsidRDefault="0052091A" w:rsidP="0052091A">
      <w:pPr>
        <w:pStyle w:val="Normal-em"/>
        <w:spacing w:after="0" w:line="240" w:lineRule="auto"/>
        <w:rPr>
          <w:color w:val="auto"/>
          <w:szCs w:val="24"/>
          <w:u w:val="single"/>
        </w:rPr>
      </w:pPr>
    </w:p>
    <w:p w14:paraId="0B0708E1" w14:textId="77777777" w:rsidR="0052091A" w:rsidRPr="009A22EA" w:rsidRDefault="005456F7" w:rsidP="0052091A">
      <w:pPr>
        <w:pStyle w:val="Normal-em"/>
        <w:spacing w:after="0" w:line="240" w:lineRule="auto"/>
        <w:rPr>
          <w:i/>
          <w:color w:val="FF0000"/>
          <w:szCs w:val="24"/>
        </w:rPr>
      </w:pPr>
      <w:r w:rsidRPr="00002C49">
        <w:rPr>
          <w:color w:val="auto"/>
          <w:szCs w:val="24"/>
          <w:u w:val="single"/>
        </w:rPr>
        <w:t xml:space="preserve">Schedule 1 – Amendments to the </w:t>
      </w:r>
      <w:r w:rsidRPr="00002C49">
        <w:rPr>
          <w:i/>
          <w:color w:val="auto"/>
          <w:szCs w:val="24"/>
          <w:u w:val="single"/>
        </w:rPr>
        <w:t xml:space="preserve">Water Charge Amendment </w:t>
      </w:r>
      <w:r w:rsidRPr="00C35FD8">
        <w:rPr>
          <w:i/>
          <w:color w:val="auto"/>
          <w:szCs w:val="24"/>
          <w:u w:val="single"/>
        </w:rPr>
        <w:t>Rules</w:t>
      </w:r>
      <w:r w:rsidRPr="009A22EA">
        <w:rPr>
          <w:i/>
          <w:color w:val="auto"/>
          <w:szCs w:val="24"/>
          <w:u w:val="single"/>
        </w:rPr>
        <w:t xml:space="preserve"> 2019</w:t>
      </w:r>
    </w:p>
    <w:p w14:paraId="0B0708E2" w14:textId="77777777" w:rsidR="0052091A" w:rsidRPr="009A22EA" w:rsidRDefault="0052091A" w:rsidP="0052091A">
      <w:pPr>
        <w:pStyle w:val="Normal-em"/>
        <w:spacing w:after="0" w:line="240" w:lineRule="auto"/>
        <w:rPr>
          <w:iCs/>
          <w:color w:val="FF0000"/>
          <w:szCs w:val="24"/>
        </w:rPr>
      </w:pPr>
    </w:p>
    <w:p w14:paraId="44C7D0C7" w14:textId="1FE9C14A" w:rsidR="008A7E70" w:rsidRDefault="008A7E70" w:rsidP="0052091A">
      <w:pPr>
        <w:pStyle w:val="Normal-em"/>
        <w:spacing w:after="0" w:line="240" w:lineRule="auto"/>
        <w:rPr>
          <w:b/>
          <w:color w:val="auto"/>
          <w:szCs w:val="24"/>
        </w:rPr>
      </w:pPr>
      <w:r>
        <w:rPr>
          <w:color w:val="auto"/>
          <w:szCs w:val="24"/>
        </w:rPr>
        <w:t xml:space="preserve">A termination fee is a fee levied in accordance with </w:t>
      </w:r>
      <w:proofErr w:type="spellStart"/>
      <w:r>
        <w:rPr>
          <w:color w:val="auto"/>
          <w:szCs w:val="24"/>
        </w:rPr>
        <w:t>subrule</w:t>
      </w:r>
      <w:proofErr w:type="spellEnd"/>
      <w:r>
        <w:rPr>
          <w:color w:val="auto"/>
          <w:szCs w:val="24"/>
        </w:rPr>
        <w:t xml:space="preserve"> 71(1) of </w:t>
      </w:r>
      <w:r>
        <w:rPr>
          <w:i/>
          <w:color w:val="auto"/>
          <w:szCs w:val="24"/>
        </w:rPr>
        <w:t xml:space="preserve">Water Charge Rules </w:t>
      </w:r>
      <w:r w:rsidRPr="00E87CAA">
        <w:rPr>
          <w:i/>
          <w:color w:val="auto"/>
          <w:szCs w:val="24"/>
        </w:rPr>
        <w:t>2010</w:t>
      </w:r>
      <w:r>
        <w:rPr>
          <w:color w:val="auto"/>
          <w:szCs w:val="24"/>
        </w:rPr>
        <w:t xml:space="preserve">, to be included by </w:t>
      </w:r>
      <w:r w:rsidRPr="00E87CAA">
        <w:rPr>
          <w:color w:val="auto"/>
          <w:szCs w:val="24"/>
        </w:rPr>
        <w:t>the</w:t>
      </w:r>
      <w:r>
        <w:rPr>
          <w:color w:val="auto"/>
          <w:szCs w:val="24"/>
        </w:rPr>
        <w:t xml:space="preserve"> 2019 Amendment Water Charge Rules. Paragraphs (a) to (c) of </w:t>
      </w:r>
      <w:proofErr w:type="spellStart"/>
      <w:r>
        <w:rPr>
          <w:color w:val="auto"/>
          <w:szCs w:val="24"/>
        </w:rPr>
        <w:t>subrule</w:t>
      </w:r>
      <w:proofErr w:type="spellEnd"/>
      <w:r>
        <w:rPr>
          <w:color w:val="auto"/>
          <w:szCs w:val="24"/>
        </w:rPr>
        <w:t xml:space="preserve"> 71(2) outline the circumstances in which an infrastructure operator may levy a termination fee if a person who holds a right of access terminates or surrenders the whole or any part of that right by notice in writing given to the operator. Rule 72 provides </w:t>
      </w:r>
      <w:r w:rsidRPr="00424FDC">
        <w:rPr>
          <w:color w:val="auto"/>
          <w:szCs w:val="24"/>
        </w:rPr>
        <w:t xml:space="preserve">details of the method </w:t>
      </w:r>
      <w:r>
        <w:rPr>
          <w:color w:val="auto"/>
          <w:szCs w:val="24"/>
        </w:rPr>
        <w:t>for calculating the maximum general termination fee</w:t>
      </w:r>
    </w:p>
    <w:p w14:paraId="40A139E2" w14:textId="77777777" w:rsidR="008A7E70" w:rsidRDefault="008A7E70" w:rsidP="0052091A">
      <w:pPr>
        <w:pStyle w:val="Normal-em"/>
        <w:spacing w:after="0" w:line="240" w:lineRule="auto"/>
        <w:rPr>
          <w:b/>
          <w:color w:val="auto"/>
          <w:szCs w:val="24"/>
        </w:rPr>
      </w:pPr>
    </w:p>
    <w:p w14:paraId="0B0708E3" w14:textId="130C73A4" w:rsidR="0052091A" w:rsidRPr="008C4642" w:rsidRDefault="005456F7" w:rsidP="0052091A">
      <w:pPr>
        <w:pStyle w:val="Normal-em"/>
        <w:spacing w:after="0" w:line="240" w:lineRule="auto"/>
        <w:rPr>
          <w:szCs w:val="24"/>
        </w:rPr>
      </w:pPr>
      <w:r w:rsidRPr="009C083B">
        <w:rPr>
          <w:b/>
          <w:color w:val="auto"/>
          <w:szCs w:val="24"/>
        </w:rPr>
        <w:t>Item </w:t>
      </w:r>
      <w:r w:rsidR="008A7E70" w:rsidRPr="009C083B">
        <w:rPr>
          <w:b/>
          <w:color w:val="auto"/>
          <w:szCs w:val="24"/>
        </w:rPr>
        <w:t xml:space="preserve">1 </w:t>
      </w:r>
      <w:r w:rsidR="00D603B8">
        <w:rPr>
          <w:b/>
          <w:color w:val="auto"/>
          <w:szCs w:val="24"/>
        </w:rPr>
        <w:t>-</w:t>
      </w:r>
      <w:r w:rsidR="008A7E70" w:rsidRPr="009C083B">
        <w:rPr>
          <w:b/>
          <w:color w:val="auto"/>
          <w:szCs w:val="24"/>
        </w:rPr>
        <w:t xml:space="preserve"> </w:t>
      </w:r>
      <w:r w:rsidR="008A7E70">
        <w:rPr>
          <w:b/>
          <w:color w:val="auto"/>
          <w:szCs w:val="24"/>
        </w:rPr>
        <w:t xml:space="preserve">Item </w:t>
      </w:r>
      <w:r w:rsidRPr="009C083B">
        <w:rPr>
          <w:b/>
          <w:color w:val="auto"/>
          <w:szCs w:val="24"/>
        </w:rPr>
        <w:t>85 of Schedule 1 (</w:t>
      </w:r>
      <w:proofErr w:type="spellStart"/>
      <w:r w:rsidRPr="009C083B">
        <w:rPr>
          <w:b/>
          <w:color w:val="auto"/>
          <w:szCs w:val="24"/>
        </w:rPr>
        <w:t>subrule</w:t>
      </w:r>
      <w:bookmarkStart w:id="0" w:name="BK_S3P2L4C34"/>
      <w:bookmarkEnd w:id="0"/>
      <w:proofErr w:type="spellEnd"/>
      <w:r w:rsidRPr="009C083B">
        <w:rPr>
          <w:b/>
          <w:color w:val="auto"/>
          <w:szCs w:val="24"/>
        </w:rPr>
        <w:t xml:space="preserve"> 72(1))</w:t>
      </w:r>
    </w:p>
    <w:p w14:paraId="0B0708E4" w14:textId="5C164EC7" w:rsidR="0052091A" w:rsidRDefault="005456F7" w:rsidP="0052091A">
      <w:pPr>
        <w:pStyle w:val="Item"/>
        <w:ind w:left="0"/>
        <w:rPr>
          <w:sz w:val="24"/>
          <w:szCs w:val="24"/>
        </w:rPr>
      </w:pPr>
      <w:r w:rsidRPr="00D603B8">
        <w:rPr>
          <w:sz w:val="24"/>
          <w:szCs w:val="24"/>
        </w:rPr>
        <w:t>Item 1</w:t>
      </w:r>
      <w:r>
        <w:rPr>
          <w:b/>
          <w:sz w:val="24"/>
          <w:szCs w:val="24"/>
        </w:rPr>
        <w:t xml:space="preserve"> </w:t>
      </w:r>
      <w:r>
        <w:rPr>
          <w:sz w:val="24"/>
          <w:szCs w:val="24"/>
        </w:rPr>
        <w:t xml:space="preserve">inserts </w:t>
      </w:r>
      <w:proofErr w:type="spellStart"/>
      <w:r>
        <w:rPr>
          <w:sz w:val="24"/>
          <w:szCs w:val="24"/>
        </w:rPr>
        <w:t>subrule</w:t>
      </w:r>
      <w:proofErr w:type="spellEnd"/>
      <w:r>
        <w:rPr>
          <w:sz w:val="24"/>
          <w:szCs w:val="24"/>
        </w:rPr>
        <w:t xml:space="preserve"> 74(6) a</w:t>
      </w:r>
      <w:r w:rsidRPr="009C083B">
        <w:rPr>
          <w:sz w:val="24"/>
          <w:szCs w:val="24"/>
        </w:rPr>
        <w:t xml:space="preserve">fter </w:t>
      </w:r>
      <w:proofErr w:type="spellStart"/>
      <w:r w:rsidRPr="009C083B">
        <w:rPr>
          <w:sz w:val="24"/>
          <w:szCs w:val="24"/>
        </w:rPr>
        <w:t>subrules</w:t>
      </w:r>
      <w:proofErr w:type="spellEnd"/>
      <w:r w:rsidRPr="009C083B">
        <w:rPr>
          <w:sz w:val="24"/>
          <w:szCs w:val="24"/>
        </w:rPr>
        <w:t xml:space="preserve"> 71(6) and (7)</w:t>
      </w:r>
      <w:r>
        <w:rPr>
          <w:sz w:val="24"/>
          <w:szCs w:val="24"/>
        </w:rPr>
        <w:t xml:space="preserve">. </w:t>
      </w:r>
    </w:p>
    <w:p w14:paraId="0B0708E5" w14:textId="3648CF70" w:rsidR="0052091A" w:rsidRDefault="005456F7" w:rsidP="0052091A">
      <w:pPr>
        <w:pStyle w:val="Item"/>
        <w:ind w:left="0"/>
        <w:rPr>
          <w:sz w:val="24"/>
          <w:szCs w:val="24"/>
        </w:rPr>
      </w:pPr>
      <w:proofErr w:type="spellStart"/>
      <w:r>
        <w:rPr>
          <w:sz w:val="24"/>
          <w:szCs w:val="24"/>
        </w:rPr>
        <w:t>Subrules</w:t>
      </w:r>
      <w:proofErr w:type="spellEnd"/>
      <w:r>
        <w:rPr>
          <w:sz w:val="24"/>
          <w:szCs w:val="24"/>
        </w:rPr>
        <w:t xml:space="preserve"> 71(6) and (7) provide that the general termination fee must not exceed the amount set out in the termination information statement or by the amount set by rule 72. Inserting </w:t>
      </w:r>
      <w:r w:rsidR="0083602B">
        <w:rPr>
          <w:sz w:val="24"/>
          <w:szCs w:val="24"/>
        </w:rPr>
        <w:t xml:space="preserve">a </w:t>
      </w:r>
      <w:r>
        <w:rPr>
          <w:sz w:val="24"/>
          <w:szCs w:val="24"/>
        </w:rPr>
        <w:t xml:space="preserve">reference to </w:t>
      </w:r>
      <w:proofErr w:type="spellStart"/>
      <w:r>
        <w:rPr>
          <w:sz w:val="24"/>
          <w:szCs w:val="24"/>
        </w:rPr>
        <w:t>subrule</w:t>
      </w:r>
      <w:proofErr w:type="spellEnd"/>
      <w:r>
        <w:rPr>
          <w:sz w:val="24"/>
          <w:szCs w:val="24"/>
        </w:rPr>
        <w:t xml:space="preserve"> 74(6) </w:t>
      </w:r>
      <w:r w:rsidR="0083602B">
        <w:rPr>
          <w:sz w:val="24"/>
          <w:szCs w:val="24"/>
        </w:rPr>
        <w:t xml:space="preserve">makes it clear that rule 72 also sets out how </w:t>
      </w:r>
      <w:r w:rsidR="00385DDA">
        <w:rPr>
          <w:sz w:val="24"/>
          <w:szCs w:val="24"/>
        </w:rPr>
        <w:t xml:space="preserve">the </w:t>
      </w:r>
      <w:r w:rsidR="0083602B">
        <w:rPr>
          <w:sz w:val="24"/>
          <w:szCs w:val="24"/>
        </w:rPr>
        <w:t xml:space="preserve">maximum general termination fee is calculated for the purposes of </w:t>
      </w:r>
      <w:proofErr w:type="spellStart"/>
      <w:r w:rsidR="0083602B">
        <w:rPr>
          <w:sz w:val="24"/>
          <w:szCs w:val="24"/>
        </w:rPr>
        <w:t>subrule</w:t>
      </w:r>
      <w:proofErr w:type="spellEnd"/>
      <w:r w:rsidR="0083602B">
        <w:rPr>
          <w:sz w:val="24"/>
          <w:szCs w:val="24"/>
        </w:rPr>
        <w:t xml:space="preserve"> 74(6)</w:t>
      </w:r>
      <w:r>
        <w:rPr>
          <w:sz w:val="24"/>
          <w:szCs w:val="24"/>
        </w:rPr>
        <w:t xml:space="preserve">. </w:t>
      </w:r>
    </w:p>
    <w:p w14:paraId="0B0708E6" w14:textId="74B9AAC5" w:rsidR="0052091A" w:rsidRPr="009C083B" w:rsidRDefault="008A7E70" w:rsidP="00D326B6">
      <w:pPr>
        <w:pStyle w:val="Item"/>
        <w:spacing w:before="220"/>
        <w:ind w:left="0"/>
        <w:rPr>
          <w:szCs w:val="24"/>
          <w:lang w:eastAsia="en-US"/>
        </w:rPr>
      </w:pPr>
      <w:r w:rsidRPr="009C083B">
        <w:rPr>
          <w:b/>
          <w:sz w:val="24"/>
          <w:szCs w:val="24"/>
          <w:lang w:eastAsia="en-US"/>
        </w:rPr>
        <w:t xml:space="preserve">Item </w:t>
      </w:r>
      <w:r w:rsidR="005456F7" w:rsidRPr="009C083B">
        <w:rPr>
          <w:b/>
          <w:sz w:val="24"/>
          <w:szCs w:val="24"/>
          <w:lang w:eastAsia="en-US"/>
        </w:rPr>
        <w:t xml:space="preserve">2 </w:t>
      </w:r>
      <w:r>
        <w:rPr>
          <w:b/>
          <w:sz w:val="24"/>
          <w:szCs w:val="24"/>
          <w:lang w:eastAsia="en-US"/>
        </w:rPr>
        <w:t>-</w:t>
      </w:r>
      <w:r w:rsidR="005456F7" w:rsidRPr="009C083B">
        <w:rPr>
          <w:b/>
          <w:sz w:val="24"/>
          <w:szCs w:val="24"/>
          <w:lang w:eastAsia="en-US"/>
        </w:rPr>
        <w:t xml:space="preserve"> </w:t>
      </w:r>
      <w:r>
        <w:rPr>
          <w:b/>
          <w:sz w:val="24"/>
          <w:szCs w:val="24"/>
          <w:lang w:eastAsia="en-US"/>
        </w:rPr>
        <w:t xml:space="preserve">Item </w:t>
      </w:r>
      <w:r w:rsidR="005456F7" w:rsidRPr="009C083B">
        <w:rPr>
          <w:b/>
          <w:sz w:val="24"/>
          <w:szCs w:val="24"/>
          <w:lang w:eastAsia="en-US"/>
        </w:rPr>
        <w:t xml:space="preserve">85 of Schedule 1 (at the end of note 3 to </w:t>
      </w:r>
      <w:proofErr w:type="spellStart"/>
      <w:r w:rsidR="005456F7" w:rsidRPr="009C083B">
        <w:rPr>
          <w:b/>
          <w:sz w:val="24"/>
          <w:szCs w:val="24"/>
          <w:lang w:eastAsia="en-US"/>
        </w:rPr>
        <w:t>subrule</w:t>
      </w:r>
      <w:proofErr w:type="spellEnd"/>
      <w:r w:rsidR="005456F7" w:rsidRPr="009C083B">
        <w:rPr>
          <w:b/>
          <w:sz w:val="24"/>
          <w:szCs w:val="24"/>
          <w:lang w:eastAsia="en-US"/>
        </w:rPr>
        <w:t xml:space="preserve"> 74(5))</w:t>
      </w:r>
    </w:p>
    <w:p w14:paraId="0B0708E7" w14:textId="1B3B9299" w:rsidR="0052091A" w:rsidRDefault="005456F7" w:rsidP="0052091A">
      <w:pPr>
        <w:pStyle w:val="Item"/>
        <w:ind w:left="0"/>
        <w:rPr>
          <w:sz w:val="24"/>
          <w:szCs w:val="24"/>
        </w:rPr>
      </w:pPr>
      <w:r w:rsidRPr="00D603B8">
        <w:rPr>
          <w:sz w:val="24"/>
          <w:szCs w:val="24"/>
        </w:rPr>
        <w:t>Item 2</w:t>
      </w:r>
      <w:r>
        <w:rPr>
          <w:b/>
          <w:sz w:val="24"/>
          <w:szCs w:val="24"/>
        </w:rPr>
        <w:t xml:space="preserve"> </w:t>
      </w:r>
      <w:r>
        <w:rPr>
          <w:sz w:val="24"/>
          <w:szCs w:val="24"/>
        </w:rPr>
        <w:t xml:space="preserve">inserts the reference to </w:t>
      </w:r>
      <w:proofErr w:type="spellStart"/>
      <w:r w:rsidRPr="009C083B">
        <w:rPr>
          <w:sz w:val="24"/>
          <w:szCs w:val="24"/>
        </w:rPr>
        <w:t>subrule</w:t>
      </w:r>
      <w:proofErr w:type="spellEnd"/>
      <w:r w:rsidRPr="009C083B">
        <w:rPr>
          <w:sz w:val="24"/>
          <w:szCs w:val="24"/>
        </w:rPr>
        <w:t xml:space="preserve"> (6) </w:t>
      </w:r>
      <w:r w:rsidR="0083602B">
        <w:rPr>
          <w:sz w:val="24"/>
          <w:szCs w:val="24"/>
        </w:rPr>
        <w:t xml:space="preserve">of rule 74 </w:t>
      </w:r>
      <w:r>
        <w:rPr>
          <w:sz w:val="24"/>
          <w:szCs w:val="24"/>
        </w:rPr>
        <w:t xml:space="preserve">at the end of note 3 to </w:t>
      </w:r>
      <w:proofErr w:type="spellStart"/>
      <w:r>
        <w:rPr>
          <w:sz w:val="24"/>
          <w:szCs w:val="24"/>
        </w:rPr>
        <w:t>subrule</w:t>
      </w:r>
      <w:proofErr w:type="spellEnd"/>
      <w:r>
        <w:rPr>
          <w:sz w:val="24"/>
          <w:szCs w:val="24"/>
        </w:rPr>
        <w:t xml:space="preserve"> 74(5). As note 3 </w:t>
      </w:r>
      <w:proofErr w:type="gramStart"/>
      <w:r>
        <w:rPr>
          <w:sz w:val="24"/>
          <w:szCs w:val="24"/>
        </w:rPr>
        <w:t>makes reference</w:t>
      </w:r>
      <w:proofErr w:type="gramEnd"/>
      <w:r>
        <w:rPr>
          <w:sz w:val="24"/>
          <w:szCs w:val="24"/>
        </w:rPr>
        <w:t xml:space="preserve"> to the maximum amounts that may be levied as general termination fees or additional termination fees, this note should also refer to </w:t>
      </w:r>
      <w:proofErr w:type="spellStart"/>
      <w:r>
        <w:rPr>
          <w:sz w:val="24"/>
          <w:szCs w:val="24"/>
        </w:rPr>
        <w:t>subrule</w:t>
      </w:r>
      <w:proofErr w:type="spellEnd"/>
      <w:r>
        <w:rPr>
          <w:sz w:val="24"/>
          <w:szCs w:val="24"/>
        </w:rPr>
        <w:t xml:space="preserve"> 74(6).</w:t>
      </w:r>
    </w:p>
    <w:p w14:paraId="0B0708E8" w14:textId="5FBD1ACA" w:rsidR="0052091A" w:rsidRPr="009C083B" w:rsidRDefault="008A7E70" w:rsidP="0052091A">
      <w:pPr>
        <w:pStyle w:val="ItemHead"/>
        <w:rPr>
          <w:rFonts w:ascii="Times New Roman" w:hAnsi="Times New Roman"/>
          <w:kern w:val="0"/>
          <w:szCs w:val="24"/>
          <w:lang w:eastAsia="en-US"/>
        </w:rPr>
      </w:pPr>
      <w:r w:rsidRPr="009C083B">
        <w:rPr>
          <w:rFonts w:ascii="Times New Roman" w:hAnsi="Times New Roman"/>
          <w:kern w:val="0"/>
          <w:szCs w:val="24"/>
          <w:lang w:eastAsia="en-US"/>
        </w:rPr>
        <w:t xml:space="preserve">Item </w:t>
      </w:r>
      <w:r w:rsidR="005456F7" w:rsidRPr="009C083B">
        <w:rPr>
          <w:rFonts w:ascii="Times New Roman" w:hAnsi="Times New Roman"/>
          <w:kern w:val="0"/>
          <w:szCs w:val="24"/>
          <w:lang w:eastAsia="en-US"/>
        </w:rPr>
        <w:t xml:space="preserve">3 </w:t>
      </w:r>
      <w:r>
        <w:rPr>
          <w:rFonts w:ascii="Times New Roman" w:hAnsi="Times New Roman"/>
          <w:kern w:val="0"/>
          <w:szCs w:val="24"/>
          <w:lang w:eastAsia="en-US"/>
        </w:rPr>
        <w:t>-</w:t>
      </w:r>
      <w:r w:rsidR="005456F7" w:rsidRPr="009C083B">
        <w:rPr>
          <w:rFonts w:ascii="Times New Roman" w:hAnsi="Times New Roman"/>
          <w:kern w:val="0"/>
          <w:szCs w:val="24"/>
          <w:lang w:eastAsia="en-US"/>
        </w:rPr>
        <w:t> </w:t>
      </w:r>
      <w:r>
        <w:rPr>
          <w:rFonts w:ascii="Times New Roman" w:hAnsi="Times New Roman"/>
          <w:kern w:val="0"/>
          <w:szCs w:val="24"/>
          <w:lang w:eastAsia="en-US"/>
        </w:rPr>
        <w:t xml:space="preserve">Item </w:t>
      </w:r>
      <w:r w:rsidR="005456F7" w:rsidRPr="009C083B">
        <w:rPr>
          <w:rFonts w:ascii="Times New Roman" w:hAnsi="Times New Roman"/>
          <w:kern w:val="0"/>
          <w:szCs w:val="24"/>
          <w:lang w:eastAsia="en-US"/>
        </w:rPr>
        <w:t>85 of Schedule 1 (at the end of rule 74)</w:t>
      </w:r>
    </w:p>
    <w:p w14:paraId="0B0708E9" w14:textId="77777777" w:rsidR="0052091A" w:rsidRPr="009A22EA" w:rsidRDefault="005456F7" w:rsidP="0052091A">
      <w:pPr>
        <w:pStyle w:val="Normal-em"/>
        <w:spacing w:after="0" w:line="240" w:lineRule="auto"/>
        <w:rPr>
          <w:color w:val="FF0000"/>
          <w:szCs w:val="24"/>
        </w:rPr>
      </w:pPr>
      <w:r w:rsidRPr="00D603B8">
        <w:rPr>
          <w:color w:val="auto"/>
          <w:szCs w:val="24"/>
        </w:rPr>
        <w:t>Item 3</w:t>
      </w:r>
      <w:r>
        <w:rPr>
          <w:b/>
          <w:color w:val="auto"/>
          <w:szCs w:val="24"/>
        </w:rPr>
        <w:t xml:space="preserve"> </w:t>
      </w:r>
      <w:r w:rsidRPr="009A22EA">
        <w:rPr>
          <w:color w:val="auto"/>
          <w:szCs w:val="24"/>
        </w:rPr>
        <w:t xml:space="preserve">inserts </w:t>
      </w:r>
      <w:proofErr w:type="spellStart"/>
      <w:r>
        <w:rPr>
          <w:color w:val="auto"/>
          <w:szCs w:val="24"/>
        </w:rPr>
        <w:t>subrule</w:t>
      </w:r>
      <w:proofErr w:type="spellEnd"/>
      <w:r>
        <w:rPr>
          <w:color w:val="auto"/>
          <w:szCs w:val="24"/>
        </w:rPr>
        <w:t xml:space="preserve"> 74(6), specifying that the general termination fee set out in a termination information statement must not exceed the maximum amount set out by rule 72. </w:t>
      </w:r>
    </w:p>
    <w:p w14:paraId="0B0708EA" w14:textId="6D0BF098" w:rsidR="0052091A" w:rsidRPr="003D207F" w:rsidRDefault="005456F7" w:rsidP="0052091A">
      <w:pPr>
        <w:pStyle w:val="Normal-em"/>
        <w:spacing w:after="0" w:line="240" w:lineRule="auto"/>
        <w:rPr>
          <w:color w:val="auto"/>
          <w:szCs w:val="24"/>
        </w:rPr>
      </w:pPr>
      <w:r w:rsidRPr="003D207F">
        <w:rPr>
          <w:color w:val="auto"/>
          <w:szCs w:val="24"/>
        </w:rPr>
        <w:lastRenderedPageBreak/>
        <w:t>This item provides a quantitative cap on termination fees in the circumstances set</w:t>
      </w:r>
      <w:r>
        <w:rPr>
          <w:color w:val="auto"/>
          <w:szCs w:val="24"/>
        </w:rPr>
        <w:t xml:space="preserve"> out in </w:t>
      </w:r>
      <w:proofErr w:type="spellStart"/>
      <w:r>
        <w:rPr>
          <w:color w:val="auto"/>
          <w:szCs w:val="24"/>
        </w:rPr>
        <w:t>subrules</w:t>
      </w:r>
      <w:proofErr w:type="spellEnd"/>
      <w:r>
        <w:rPr>
          <w:color w:val="auto"/>
          <w:szCs w:val="24"/>
        </w:rPr>
        <w:t xml:space="preserve"> 71(2)(a) and (c) </w:t>
      </w:r>
      <w:r w:rsidR="0083602B">
        <w:rPr>
          <w:color w:val="auto"/>
          <w:szCs w:val="24"/>
        </w:rPr>
        <w:t xml:space="preserve">in item 85 of Schedule 1 to </w:t>
      </w:r>
      <w:r>
        <w:rPr>
          <w:color w:val="auto"/>
          <w:szCs w:val="24"/>
        </w:rPr>
        <w:t xml:space="preserve">the </w:t>
      </w:r>
      <w:r w:rsidR="008A7E70" w:rsidRPr="00404F29">
        <w:rPr>
          <w:iCs/>
          <w:color w:val="auto"/>
          <w:szCs w:val="24"/>
        </w:rPr>
        <w:t>2019 Amendment Water Charge Rules</w:t>
      </w:r>
      <w:r>
        <w:rPr>
          <w:color w:val="auto"/>
          <w:szCs w:val="24"/>
        </w:rPr>
        <w:t>.</w:t>
      </w:r>
    </w:p>
    <w:p w14:paraId="0B0708EB" w14:textId="77777777" w:rsidR="0052091A" w:rsidRPr="005D1ABF" w:rsidRDefault="0052091A" w:rsidP="0052091A">
      <w:pPr>
        <w:spacing w:after="0" w:line="240" w:lineRule="auto"/>
        <w:rPr>
          <w:rFonts w:ascii="Times New Roman" w:hAnsi="Times New Roman" w:cs="Times New Roman"/>
          <w:sz w:val="24"/>
          <w:szCs w:val="24"/>
        </w:rPr>
      </w:pPr>
    </w:p>
    <w:p w14:paraId="0B0708EC" w14:textId="77777777" w:rsidR="005551F8" w:rsidRDefault="005551F8" w:rsidP="0052091A">
      <w:pPr>
        <w:pStyle w:val="Normal-em"/>
        <w:spacing w:after="0" w:line="240" w:lineRule="auto"/>
        <w:jc w:val="right"/>
        <w:rPr>
          <w:b/>
          <w:caps/>
          <w:szCs w:val="24"/>
          <w:u w:val="single"/>
        </w:rPr>
      </w:pPr>
    </w:p>
    <w:p w14:paraId="770CC306" w14:textId="77777777" w:rsidR="00011A52" w:rsidRDefault="00011A52" w:rsidP="0052091A">
      <w:pPr>
        <w:pStyle w:val="Normal-em"/>
        <w:spacing w:after="0" w:line="240" w:lineRule="auto"/>
        <w:jc w:val="right"/>
        <w:rPr>
          <w:b/>
          <w:caps/>
          <w:szCs w:val="24"/>
          <w:u w:val="single"/>
        </w:rPr>
      </w:pPr>
    </w:p>
    <w:p w14:paraId="3FA2B777" w14:textId="77777777" w:rsidR="00011A52" w:rsidRDefault="00011A52" w:rsidP="0052091A">
      <w:pPr>
        <w:pStyle w:val="Normal-em"/>
        <w:spacing w:after="0" w:line="240" w:lineRule="auto"/>
        <w:jc w:val="right"/>
        <w:rPr>
          <w:b/>
          <w:caps/>
          <w:szCs w:val="24"/>
          <w:u w:val="single"/>
        </w:rPr>
      </w:pPr>
    </w:p>
    <w:p w14:paraId="6065147D" w14:textId="7E19DBFE" w:rsidR="008A7E70" w:rsidRDefault="008A7E70">
      <w:pPr>
        <w:spacing w:after="160" w:line="259" w:lineRule="auto"/>
        <w:rPr>
          <w:rFonts w:ascii="Times New Roman" w:eastAsia="Times New Roman" w:hAnsi="Times New Roman" w:cs="Times New Roman"/>
          <w:b/>
          <w:caps/>
          <w:color w:val="000000"/>
          <w:sz w:val="24"/>
          <w:szCs w:val="24"/>
          <w:u w:val="single"/>
        </w:rPr>
      </w:pPr>
      <w:r>
        <w:rPr>
          <w:b/>
          <w:caps/>
          <w:szCs w:val="24"/>
          <w:u w:val="single"/>
        </w:rPr>
        <w:br w:type="page"/>
      </w:r>
    </w:p>
    <w:p w14:paraId="4119AB51" w14:textId="77777777" w:rsidR="00011A52" w:rsidRDefault="00011A52" w:rsidP="0052091A">
      <w:pPr>
        <w:pStyle w:val="Normal-em"/>
        <w:spacing w:after="0" w:line="240" w:lineRule="auto"/>
        <w:jc w:val="right"/>
        <w:rPr>
          <w:b/>
          <w:caps/>
          <w:szCs w:val="24"/>
          <w:u w:val="single"/>
        </w:rPr>
      </w:pPr>
    </w:p>
    <w:p w14:paraId="20CFEB75" w14:textId="77777777" w:rsidR="00011A52" w:rsidRDefault="00011A52" w:rsidP="0052091A">
      <w:pPr>
        <w:pStyle w:val="Normal-em"/>
        <w:spacing w:after="0" w:line="240" w:lineRule="auto"/>
        <w:jc w:val="right"/>
        <w:rPr>
          <w:b/>
          <w:caps/>
          <w:szCs w:val="24"/>
          <w:u w:val="single"/>
        </w:rPr>
      </w:pPr>
    </w:p>
    <w:p w14:paraId="6388BE7E" w14:textId="77777777" w:rsidR="00011A52" w:rsidRDefault="00011A52" w:rsidP="0052091A">
      <w:pPr>
        <w:pStyle w:val="Normal-em"/>
        <w:spacing w:after="0" w:line="240" w:lineRule="auto"/>
        <w:jc w:val="right"/>
        <w:rPr>
          <w:b/>
          <w:caps/>
          <w:szCs w:val="24"/>
          <w:u w:val="single"/>
        </w:rPr>
      </w:pPr>
    </w:p>
    <w:p w14:paraId="0B0708ED" w14:textId="77777777" w:rsidR="0052091A" w:rsidRPr="005D1ABF" w:rsidRDefault="005456F7" w:rsidP="0052091A">
      <w:pPr>
        <w:pStyle w:val="Normal-em"/>
        <w:spacing w:after="0" w:line="240" w:lineRule="auto"/>
        <w:jc w:val="right"/>
        <w:rPr>
          <w:b/>
          <w:caps/>
          <w:szCs w:val="24"/>
          <w:u w:val="single"/>
        </w:rPr>
      </w:pPr>
      <w:r w:rsidRPr="005D1ABF">
        <w:rPr>
          <w:b/>
          <w:caps/>
          <w:szCs w:val="24"/>
          <w:u w:val="single"/>
        </w:rPr>
        <w:t>Attachment</w:t>
      </w:r>
      <w:r>
        <w:rPr>
          <w:b/>
          <w:caps/>
          <w:szCs w:val="24"/>
          <w:u w:val="single"/>
        </w:rPr>
        <w:t xml:space="preserve"> B</w:t>
      </w:r>
    </w:p>
    <w:p w14:paraId="0B0708EE" w14:textId="77777777" w:rsidR="0052091A" w:rsidRDefault="0052091A" w:rsidP="0052091A">
      <w:pPr>
        <w:spacing w:after="0" w:line="240" w:lineRule="auto"/>
        <w:jc w:val="right"/>
        <w:rPr>
          <w:rFonts w:ascii="Times New Roman" w:hAnsi="Times New Roman" w:cs="Times New Roman"/>
          <w:b/>
          <w:sz w:val="24"/>
          <w:szCs w:val="24"/>
        </w:rPr>
      </w:pPr>
    </w:p>
    <w:p w14:paraId="0B0708EF" w14:textId="77777777" w:rsidR="0052091A" w:rsidRPr="005D1ABF" w:rsidRDefault="005456F7" w:rsidP="0052091A">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DF2E799" w14:textId="77777777" w:rsidR="00D603B8" w:rsidRDefault="00D603B8" w:rsidP="0052091A">
      <w:pPr>
        <w:spacing w:after="0" w:line="240" w:lineRule="auto"/>
        <w:jc w:val="center"/>
        <w:rPr>
          <w:rFonts w:ascii="Times New Roman" w:hAnsi="Times New Roman" w:cs="Times New Roman"/>
          <w:i/>
          <w:sz w:val="24"/>
          <w:szCs w:val="24"/>
        </w:rPr>
      </w:pPr>
    </w:p>
    <w:p w14:paraId="0B0708F0" w14:textId="77777777" w:rsidR="0052091A" w:rsidRPr="005D1ABF" w:rsidRDefault="005456F7" w:rsidP="0052091A">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0B0708F1" w14:textId="77777777" w:rsidR="0052091A" w:rsidRPr="005D1ABF" w:rsidRDefault="0052091A" w:rsidP="0052091A">
      <w:pPr>
        <w:spacing w:after="0" w:line="240" w:lineRule="auto"/>
        <w:jc w:val="center"/>
        <w:rPr>
          <w:rFonts w:ascii="Times New Roman" w:hAnsi="Times New Roman" w:cs="Times New Roman"/>
          <w:sz w:val="24"/>
          <w:szCs w:val="24"/>
        </w:rPr>
      </w:pPr>
    </w:p>
    <w:p w14:paraId="0B0708F2" w14:textId="77777777" w:rsidR="0052091A" w:rsidRPr="008A7E70" w:rsidRDefault="005456F7" w:rsidP="0052091A">
      <w:pPr>
        <w:spacing w:after="0" w:line="240" w:lineRule="auto"/>
        <w:jc w:val="center"/>
        <w:rPr>
          <w:rFonts w:ascii="Times New Roman" w:hAnsi="Times New Roman" w:cs="Times New Roman"/>
          <w:i/>
          <w:sz w:val="24"/>
          <w:szCs w:val="24"/>
        </w:rPr>
      </w:pPr>
      <w:r w:rsidRPr="008A7E70">
        <w:rPr>
          <w:rFonts w:ascii="Times New Roman" w:hAnsi="Times New Roman" w:cs="Times New Roman"/>
          <w:i/>
          <w:sz w:val="24"/>
          <w:szCs w:val="24"/>
        </w:rPr>
        <w:t>Water Charge Amendment (Termination Fees) Rules 2020</w:t>
      </w:r>
    </w:p>
    <w:p w14:paraId="0B0708F3" w14:textId="77777777" w:rsidR="0052091A" w:rsidRPr="005D1ABF" w:rsidRDefault="0052091A" w:rsidP="0052091A">
      <w:pPr>
        <w:spacing w:after="0" w:line="240" w:lineRule="auto"/>
        <w:jc w:val="center"/>
        <w:rPr>
          <w:rFonts w:ascii="Times New Roman" w:hAnsi="Times New Roman" w:cs="Times New Roman"/>
          <w:sz w:val="24"/>
          <w:szCs w:val="24"/>
        </w:rPr>
      </w:pPr>
    </w:p>
    <w:p w14:paraId="0B0708F4" w14:textId="77777777" w:rsidR="0052091A" w:rsidRPr="005D1ABF" w:rsidRDefault="005456F7" w:rsidP="008A7E70">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0B0708F5" w14:textId="77777777" w:rsidR="0052091A" w:rsidRPr="005D1ABF" w:rsidRDefault="0052091A" w:rsidP="0052091A">
      <w:pPr>
        <w:spacing w:after="0" w:line="240" w:lineRule="auto"/>
        <w:rPr>
          <w:rFonts w:ascii="Times New Roman" w:hAnsi="Times New Roman" w:cs="Times New Roman"/>
          <w:sz w:val="24"/>
          <w:szCs w:val="24"/>
        </w:rPr>
      </w:pPr>
    </w:p>
    <w:p w14:paraId="0B0708F6" w14:textId="77777777" w:rsidR="0052091A" w:rsidRPr="005D1ABF" w:rsidRDefault="005456F7" w:rsidP="0052091A">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0B0708F7" w14:textId="7F9F83E7" w:rsidR="0052091A" w:rsidRPr="00490D09" w:rsidRDefault="005456F7" w:rsidP="0052091A">
      <w:pPr>
        <w:tabs>
          <w:tab w:val="left" w:pos="1701"/>
          <w:tab w:val="right" w:pos="9072"/>
        </w:tabs>
        <w:spacing w:after="0" w:line="240" w:lineRule="auto"/>
        <w:rPr>
          <w:rFonts w:ascii="Times New Roman" w:hAnsi="Times New Roman" w:cs="Times New Roman"/>
          <w:i/>
          <w:sz w:val="24"/>
        </w:rPr>
      </w:pPr>
      <w:r>
        <w:rPr>
          <w:rFonts w:ascii="Times New Roman" w:hAnsi="Times New Roman" w:cs="Times New Roman"/>
          <w:sz w:val="24"/>
        </w:rPr>
        <w:t>Section 92 of the Water Act provides that rules may be made by the Minister applying to Basin States that are referring States and in the Australian Capital Territory that relate to regulating and dealing with water charge</w:t>
      </w:r>
      <w:r w:rsidR="00583AC2">
        <w:rPr>
          <w:rFonts w:ascii="Times New Roman" w:hAnsi="Times New Roman" w:cs="Times New Roman"/>
          <w:sz w:val="24"/>
        </w:rPr>
        <w:t>s</w:t>
      </w:r>
      <w:r>
        <w:rPr>
          <w:rFonts w:ascii="Times New Roman" w:hAnsi="Times New Roman" w:cs="Times New Roman"/>
          <w:sz w:val="24"/>
        </w:rPr>
        <w:t xml:space="preserve">, and contributing to achieving the Basin water charging rules and objectives set out in Schedule 2. The Amendment Rules insert </w:t>
      </w:r>
      <w:proofErr w:type="spellStart"/>
      <w:r w:rsidRPr="006D62E7">
        <w:rPr>
          <w:rFonts w:ascii="Times New Roman" w:hAnsi="Times New Roman"/>
          <w:color w:val="000000" w:themeColor="text1"/>
          <w:sz w:val="24"/>
          <w:szCs w:val="24"/>
        </w:rPr>
        <w:t>subrule</w:t>
      </w:r>
      <w:proofErr w:type="spellEnd"/>
      <w:r>
        <w:rPr>
          <w:rFonts w:ascii="Times New Roman" w:hAnsi="Times New Roman"/>
          <w:color w:val="000000" w:themeColor="text1"/>
          <w:sz w:val="24"/>
          <w:szCs w:val="24"/>
        </w:rPr>
        <w:t xml:space="preserve"> 74(6) in the </w:t>
      </w:r>
      <w:r w:rsidRPr="0094702E">
        <w:rPr>
          <w:rFonts w:ascii="Times New Roman" w:hAnsi="Times New Roman"/>
          <w:i/>
          <w:color w:val="000000" w:themeColor="text1"/>
          <w:sz w:val="24"/>
          <w:szCs w:val="24"/>
        </w:rPr>
        <w:t>Water Charge Amendment Rules 2019</w:t>
      </w:r>
      <w:r>
        <w:rPr>
          <w:rFonts w:ascii="Times New Roman" w:hAnsi="Times New Roman" w:cs="Times New Roman"/>
          <w:sz w:val="24"/>
        </w:rPr>
        <w:t xml:space="preserve"> outlining that the general termination fee set out in a termination information statement must not exceed the maximum amount set out by rule 72 of the </w:t>
      </w:r>
      <w:r w:rsidRPr="0094702E">
        <w:rPr>
          <w:rFonts w:ascii="Times New Roman" w:hAnsi="Times New Roman" w:cs="Times New Roman"/>
          <w:i/>
          <w:sz w:val="24"/>
        </w:rPr>
        <w:t>Water Charge Amendment Rules 2019</w:t>
      </w:r>
      <w:r>
        <w:rPr>
          <w:rFonts w:ascii="Times New Roman" w:hAnsi="Times New Roman" w:cs="Times New Roman"/>
          <w:sz w:val="24"/>
        </w:rPr>
        <w:t xml:space="preserve">. </w:t>
      </w:r>
      <w:r w:rsidR="0083602B">
        <w:rPr>
          <w:rFonts w:ascii="Times New Roman" w:hAnsi="Times New Roman" w:cs="Times New Roman"/>
          <w:sz w:val="24"/>
        </w:rPr>
        <w:t xml:space="preserve"> The </w:t>
      </w:r>
      <w:r w:rsidR="0083602B">
        <w:rPr>
          <w:rFonts w:ascii="Times New Roman" w:hAnsi="Times New Roman" w:cs="Times New Roman"/>
          <w:i/>
          <w:sz w:val="24"/>
        </w:rPr>
        <w:t xml:space="preserve">Water Charge Amendment Rules 2019 </w:t>
      </w:r>
      <w:r w:rsidR="0083602B">
        <w:rPr>
          <w:rFonts w:ascii="Times New Roman" w:hAnsi="Times New Roman" w:cs="Times New Roman"/>
          <w:sz w:val="24"/>
        </w:rPr>
        <w:t xml:space="preserve">will in turn include these amendments in the </w:t>
      </w:r>
      <w:r w:rsidR="0083602B">
        <w:rPr>
          <w:rFonts w:ascii="Times New Roman" w:hAnsi="Times New Roman" w:cs="Times New Roman"/>
          <w:i/>
          <w:sz w:val="24"/>
        </w:rPr>
        <w:t>Water Charge Rules 2010.</w:t>
      </w:r>
    </w:p>
    <w:p w14:paraId="0B0708F8" w14:textId="77777777" w:rsidR="0052091A" w:rsidRPr="005D1ABF" w:rsidRDefault="0052091A" w:rsidP="0052091A">
      <w:pPr>
        <w:spacing w:after="0" w:line="240" w:lineRule="auto"/>
        <w:rPr>
          <w:rFonts w:ascii="Times New Roman" w:hAnsi="Times New Roman" w:cs="Times New Roman"/>
          <w:sz w:val="24"/>
          <w:szCs w:val="24"/>
        </w:rPr>
      </w:pPr>
    </w:p>
    <w:p w14:paraId="0B0708F9" w14:textId="77777777" w:rsidR="0052091A" w:rsidRPr="005D1ABF" w:rsidRDefault="005456F7" w:rsidP="0052091A">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0B0708FA" w14:textId="77777777" w:rsidR="0052091A" w:rsidRPr="005D1ABF" w:rsidRDefault="005456F7" w:rsidP="0052091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0B0708FB" w14:textId="77777777" w:rsidR="0052091A" w:rsidRPr="005D1ABF" w:rsidRDefault="0052091A" w:rsidP="0052091A">
      <w:pPr>
        <w:spacing w:after="0" w:line="240" w:lineRule="auto"/>
        <w:rPr>
          <w:rFonts w:ascii="Times New Roman" w:hAnsi="Times New Roman" w:cs="Times New Roman"/>
          <w:sz w:val="24"/>
          <w:szCs w:val="24"/>
        </w:rPr>
      </w:pPr>
    </w:p>
    <w:p w14:paraId="0B0708FC" w14:textId="77777777" w:rsidR="0052091A" w:rsidRPr="005D1ABF" w:rsidRDefault="005456F7" w:rsidP="0052091A">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B0708FD" w14:textId="77777777" w:rsidR="0052091A" w:rsidRPr="005D1ABF" w:rsidRDefault="005456F7" w:rsidP="0052091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0B0708FE" w14:textId="77777777" w:rsidR="0052091A" w:rsidRPr="005D1ABF" w:rsidRDefault="0052091A" w:rsidP="0052091A">
      <w:pPr>
        <w:spacing w:after="0" w:line="240" w:lineRule="auto"/>
        <w:rPr>
          <w:rFonts w:ascii="Times New Roman" w:hAnsi="Times New Roman" w:cs="Times New Roman"/>
          <w:sz w:val="24"/>
          <w:szCs w:val="24"/>
        </w:rPr>
      </w:pPr>
    </w:p>
    <w:p w14:paraId="0B0708FF" w14:textId="77777777" w:rsidR="0052091A" w:rsidRPr="005D1ABF" w:rsidRDefault="0052091A" w:rsidP="0052091A">
      <w:pPr>
        <w:spacing w:after="0" w:line="240" w:lineRule="auto"/>
        <w:rPr>
          <w:rFonts w:ascii="Times New Roman" w:hAnsi="Times New Roman" w:cs="Times New Roman"/>
          <w:sz w:val="24"/>
          <w:szCs w:val="24"/>
        </w:rPr>
      </w:pPr>
    </w:p>
    <w:p w14:paraId="0B070900" w14:textId="77777777" w:rsidR="0052091A" w:rsidRPr="005D1ABF" w:rsidRDefault="005456F7" w:rsidP="005209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Hon</w:t>
      </w:r>
      <w:r w:rsidRPr="005D1ABF">
        <w:rPr>
          <w:rFonts w:ascii="Times New Roman" w:hAnsi="Times New Roman" w:cs="Times New Roman"/>
          <w:b/>
          <w:bCs/>
          <w:sz w:val="24"/>
          <w:szCs w:val="24"/>
        </w:rPr>
        <w:t xml:space="preserve"> </w:t>
      </w:r>
      <w:r>
        <w:rPr>
          <w:rFonts w:ascii="Times New Roman" w:hAnsi="Times New Roman" w:cs="Times New Roman"/>
          <w:b/>
          <w:bCs/>
          <w:sz w:val="24"/>
          <w:szCs w:val="24"/>
        </w:rPr>
        <w:t>Keith Pitt</w:t>
      </w:r>
      <w:r w:rsidRPr="005D1ABF">
        <w:rPr>
          <w:rFonts w:ascii="Times New Roman" w:hAnsi="Times New Roman" w:cs="Times New Roman"/>
          <w:b/>
          <w:bCs/>
          <w:sz w:val="24"/>
          <w:szCs w:val="24"/>
        </w:rPr>
        <w:t xml:space="preserve"> MP</w:t>
      </w:r>
    </w:p>
    <w:p w14:paraId="0B070901" w14:textId="77777777" w:rsidR="0052091A" w:rsidRPr="005D1ABF" w:rsidRDefault="005456F7" w:rsidP="0052091A">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Minister for </w:t>
      </w:r>
      <w:r>
        <w:rPr>
          <w:rFonts w:ascii="Times New Roman" w:hAnsi="Times New Roman" w:cs="Times New Roman"/>
          <w:b/>
          <w:bCs/>
          <w:sz w:val="24"/>
          <w:szCs w:val="24"/>
        </w:rPr>
        <w:t>Resources, Water and Northern Australia</w:t>
      </w:r>
    </w:p>
    <w:p w14:paraId="0B070902" w14:textId="77777777" w:rsidR="0052091A" w:rsidRPr="005D1ABF" w:rsidRDefault="0052091A" w:rsidP="0052091A">
      <w:pPr>
        <w:spacing w:after="0" w:line="240" w:lineRule="auto"/>
        <w:jc w:val="center"/>
        <w:rPr>
          <w:rFonts w:ascii="Times New Roman" w:hAnsi="Times New Roman" w:cs="Times New Roman"/>
          <w:b/>
          <w:bCs/>
          <w:sz w:val="24"/>
          <w:szCs w:val="24"/>
        </w:rPr>
      </w:pPr>
    </w:p>
    <w:p w14:paraId="0B070903" w14:textId="77777777" w:rsidR="0052091A" w:rsidRPr="005D1ABF" w:rsidRDefault="0052091A" w:rsidP="0052091A">
      <w:pPr>
        <w:spacing w:after="0" w:line="240" w:lineRule="auto"/>
        <w:rPr>
          <w:rFonts w:ascii="Times New Roman" w:hAnsi="Times New Roman" w:cs="Times New Roman"/>
          <w:sz w:val="24"/>
          <w:szCs w:val="24"/>
        </w:rPr>
      </w:pPr>
    </w:p>
    <w:p w14:paraId="0B070904" w14:textId="77777777" w:rsidR="0052091A" w:rsidRPr="005D1ABF" w:rsidRDefault="0052091A" w:rsidP="0052091A">
      <w:pPr>
        <w:rPr>
          <w:rFonts w:ascii="Times New Roman" w:hAnsi="Times New Roman" w:cs="Times New Roman"/>
          <w:sz w:val="24"/>
          <w:szCs w:val="24"/>
          <w:lang w:val="en-GB"/>
        </w:rPr>
      </w:pPr>
    </w:p>
    <w:p w14:paraId="0B070905" w14:textId="77777777" w:rsidR="0052091A" w:rsidRDefault="0052091A"/>
    <w:p w14:paraId="0B070906" w14:textId="77777777" w:rsidR="0052091A" w:rsidRPr="0052091A" w:rsidRDefault="0052091A" w:rsidP="0052091A"/>
    <w:p w14:paraId="0B070907" w14:textId="77777777" w:rsidR="0052091A" w:rsidRPr="0052091A" w:rsidRDefault="0052091A" w:rsidP="0052091A"/>
    <w:p w14:paraId="0B070908" w14:textId="77777777" w:rsidR="0052091A" w:rsidRPr="0052091A" w:rsidRDefault="0052091A" w:rsidP="0052091A"/>
    <w:p w14:paraId="0B070909" w14:textId="77777777" w:rsidR="0052091A" w:rsidRPr="0052091A" w:rsidRDefault="0052091A" w:rsidP="0052091A"/>
    <w:sectPr w:rsidR="0052091A" w:rsidRPr="0052091A" w:rsidSect="0052091A">
      <w:pgSz w:w="11906" w:h="16838"/>
      <w:pgMar w:top="10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7090C" w14:textId="77777777" w:rsidR="000F1132" w:rsidRDefault="005456F7">
      <w:pPr>
        <w:spacing w:after="0" w:line="240" w:lineRule="auto"/>
      </w:pPr>
      <w:r>
        <w:separator/>
      </w:r>
    </w:p>
  </w:endnote>
  <w:endnote w:type="continuationSeparator" w:id="0">
    <w:p w14:paraId="0B07090D" w14:textId="77777777" w:rsidR="000F1132" w:rsidRDefault="0054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7090A" w14:textId="77777777" w:rsidR="000F1132" w:rsidRDefault="005456F7">
      <w:pPr>
        <w:spacing w:after="0" w:line="240" w:lineRule="auto"/>
      </w:pPr>
      <w:r>
        <w:separator/>
      </w:r>
    </w:p>
  </w:footnote>
  <w:footnote w:type="continuationSeparator" w:id="0">
    <w:p w14:paraId="0B07090B" w14:textId="77777777" w:rsidR="000F1132" w:rsidRDefault="0054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05683"/>
    <w:multiLevelType w:val="hybridMultilevel"/>
    <w:tmpl w:val="52ECBE9E"/>
    <w:lvl w:ilvl="0" w:tplc="72FC90F6">
      <w:start w:val="1"/>
      <w:numFmt w:val="decimal"/>
      <w:lvlText w:val="%1."/>
      <w:lvlJc w:val="left"/>
      <w:pPr>
        <w:ind w:left="360" w:hanging="360"/>
      </w:pPr>
    </w:lvl>
    <w:lvl w:ilvl="1" w:tplc="9662C8EE">
      <w:start w:val="1"/>
      <w:numFmt w:val="lowerLetter"/>
      <w:lvlText w:val="%2."/>
      <w:lvlJc w:val="left"/>
      <w:pPr>
        <w:ind w:left="1080" w:hanging="360"/>
      </w:pPr>
    </w:lvl>
    <w:lvl w:ilvl="2" w:tplc="10ACDC48" w:tentative="1">
      <w:start w:val="1"/>
      <w:numFmt w:val="lowerRoman"/>
      <w:lvlText w:val="%3."/>
      <w:lvlJc w:val="right"/>
      <w:pPr>
        <w:ind w:left="1800" w:hanging="180"/>
      </w:pPr>
    </w:lvl>
    <w:lvl w:ilvl="3" w:tplc="5CFA4CE6" w:tentative="1">
      <w:start w:val="1"/>
      <w:numFmt w:val="decimal"/>
      <w:lvlText w:val="%4."/>
      <w:lvlJc w:val="left"/>
      <w:pPr>
        <w:ind w:left="2520" w:hanging="360"/>
      </w:pPr>
    </w:lvl>
    <w:lvl w:ilvl="4" w:tplc="98EE8E24" w:tentative="1">
      <w:start w:val="1"/>
      <w:numFmt w:val="lowerLetter"/>
      <w:lvlText w:val="%5."/>
      <w:lvlJc w:val="left"/>
      <w:pPr>
        <w:ind w:left="3240" w:hanging="360"/>
      </w:pPr>
    </w:lvl>
    <w:lvl w:ilvl="5" w:tplc="6474243C" w:tentative="1">
      <w:start w:val="1"/>
      <w:numFmt w:val="lowerRoman"/>
      <w:lvlText w:val="%6."/>
      <w:lvlJc w:val="right"/>
      <w:pPr>
        <w:ind w:left="3960" w:hanging="180"/>
      </w:pPr>
    </w:lvl>
    <w:lvl w:ilvl="6" w:tplc="830AB24C" w:tentative="1">
      <w:start w:val="1"/>
      <w:numFmt w:val="decimal"/>
      <w:lvlText w:val="%7."/>
      <w:lvlJc w:val="left"/>
      <w:pPr>
        <w:ind w:left="4680" w:hanging="360"/>
      </w:pPr>
    </w:lvl>
    <w:lvl w:ilvl="7" w:tplc="B088E588" w:tentative="1">
      <w:start w:val="1"/>
      <w:numFmt w:val="lowerLetter"/>
      <w:lvlText w:val="%8."/>
      <w:lvlJc w:val="left"/>
      <w:pPr>
        <w:ind w:left="5400" w:hanging="360"/>
      </w:pPr>
    </w:lvl>
    <w:lvl w:ilvl="8" w:tplc="4D8691CA" w:tentative="1">
      <w:start w:val="1"/>
      <w:numFmt w:val="lowerRoman"/>
      <w:lvlText w:val="%9."/>
      <w:lvlJc w:val="right"/>
      <w:pPr>
        <w:ind w:left="6120" w:hanging="180"/>
      </w:pPr>
    </w:lvl>
  </w:abstractNum>
  <w:abstractNum w:abstractNumId="1" w15:restartNumberingAfterBreak="0">
    <w:nsid w:val="65456429"/>
    <w:multiLevelType w:val="multilevel"/>
    <w:tmpl w:val="165C1A4A"/>
    <w:lvl w:ilvl="0">
      <w:start w:val="1"/>
      <w:numFmt w:val="decimal"/>
      <w:lvlText w:val="%1."/>
      <w:lvlJc w:val="left"/>
      <w:pPr>
        <w:ind w:left="369" w:hanging="369"/>
      </w:pPr>
      <w:rPr>
        <w:rFonts w:ascii="Times New Roman" w:hAnsi="Times New Roman" w:cs="Times New Roman" w:hint="default"/>
        <w:b w:val="0"/>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1A"/>
    <w:rsid w:val="00002C49"/>
    <w:rsid w:val="00011A52"/>
    <w:rsid w:val="000C6533"/>
    <w:rsid w:val="000F1132"/>
    <w:rsid w:val="00125ED2"/>
    <w:rsid w:val="00172FD2"/>
    <w:rsid w:val="001D5C49"/>
    <w:rsid w:val="001F75F4"/>
    <w:rsid w:val="00272247"/>
    <w:rsid w:val="00292885"/>
    <w:rsid w:val="002E2412"/>
    <w:rsid w:val="0033250E"/>
    <w:rsid w:val="00334096"/>
    <w:rsid w:val="00354BE8"/>
    <w:rsid w:val="00365A73"/>
    <w:rsid w:val="00385DDA"/>
    <w:rsid w:val="003D207F"/>
    <w:rsid w:val="003D7394"/>
    <w:rsid w:val="003E6DA3"/>
    <w:rsid w:val="00424FDC"/>
    <w:rsid w:val="00430345"/>
    <w:rsid w:val="00473C98"/>
    <w:rsid w:val="00490D09"/>
    <w:rsid w:val="004A3248"/>
    <w:rsid w:val="0052091A"/>
    <w:rsid w:val="005318FB"/>
    <w:rsid w:val="005456F7"/>
    <w:rsid w:val="005551F8"/>
    <w:rsid w:val="00567C1D"/>
    <w:rsid w:val="00583AC2"/>
    <w:rsid w:val="0059500C"/>
    <w:rsid w:val="005D1ABF"/>
    <w:rsid w:val="005E4F41"/>
    <w:rsid w:val="00676C21"/>
    <w:rsid w:val="006D62E7"/>
    <w:rsid w:val="0083602B"/>
    <w:rsid w:val="008A7E70"/>
    <w:rsid w:val="008C4642"/>
    <w:rsid w:val="00916F5D"/>
    <w:rsid w:val="0094702E"/>
    <w:rsid w:val="009A0B81"/>
    <w:rsid w:val="009A22EA"/>
    <w:rsid w:val="009C083B"/>
    <w:rsid w:val="00AB5D44"/>
    <w:rsid w:val="00BB4196"/>
    <w:rsid w:val="00C05208"/>
    <w:rsid w:val="00C35FD8"/>
    <w:rsid w:val="00C56064"/>
    <w:rsid w:val="00CE1C18"/>
    <w:rsid w:val="00D326B6"/>
    <w:rsid w:val="00D603B8"/>
    <w:rsid w:val="00E661B7"/>
    <w:rsid w:val="00E70FEF"/>
    <w:rsid w:val="00E76AB5"/>
    <w:rsid w:val="00E87CAA"/>
    <w:rsid w:val="00F31766"/>
    <w:rsid w:val="00F51515"/>
    <w:rsid w:val="00F53C70"/>
    <w:rsid w:val="00FA2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0895"/>
  <w15:chartTrackingRefBased/>
  <w15:docId w15:val="{7EEC8146-F28E-4BEF-87E5-A8574A4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1A"/>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91A"/>
  </w:style>
  <w:style w:type="paragraph" w:styleId="Footer">
    <w:name w:val="footer"/>
    <w:basedOn w:val="Normal"/>
    <w:link w:val="FooterChar"/>
    <w:uiPriority w:val="99"/>
    <w:unhideWhenUsed/>
    <w:rsid w:val="00520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91A"/>
  </w:style>
  <w:style w:type="table" w:styleId="TableGrid">
    <w:name w:val="Table Grid"/>
    <w:basedOn w:val="TableNormal"/>
    <w:uiPriority w:val="59"/>
    <w:rsid w:val="0052091A"/>
    <w:pPr>
      <w:spacing w:after="120" w:line="264"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52091A"/>
    <w:pPr>
      <w:tabs>
        <w:tab w:val="clear" w:pos="4513"/>
        <w:tab w:val="clear" w:pos="9026"/>
        <w:tab w:val="center" w:pos="4320"/>
        <w:tab w:val="right" w:pos="8640"/>
      </w:tabs>
      <w:spacing w:after="120" w:line="264" w:lineRule="auto"/>
    </w:pPr>
    <w:rPr>
      <w:rFonts w:asciiTheme="majorHAnsi" w:hAnsiTheme="majorHAnsi"/>
      <w:sz w:val="16"/>
    </w:rPr>
  </w:style>
  <w:style w:type="character" w:styleId="CommentReference">
    <w:name w:val="annotation reference"/>
    <w:basedOn w:val="DefaultParagraphFont"/>
    <w:semiHidden/>
    <w:unhideWhenUsed/>
    <w:rsid w:val="0052091A"/>
    <w:rPr>
      <w:sz w:val="16"/>
      <w:szCs w:val="16"/>
    </w:rPr>
  </w:style>
  <w:style w:type="paragraph" w:styleId="CommentText">
    <w:name w:val="annotation text"/>
    <w:basedOn w:val="Normal"/>
    <w:link w:val="CommentTextChar"/>
    <w:semiHidden/>
    <w:unhideWhenUsed/>
    <w:rsid w:val="0052091A"/>
  </w:style>
  <w:style w:type="character" w:customStyle="1" w:styleId="CommentTextChar">
    <w:name w:val="Comment Text Char"/>
    <w:basedOn w:val="DefaultParagraphFont"/>
    <w:link w:val="CommentText"/>
    <w:semiHidden/>
    <w:rsid w:val="0052091A"/>
    <w:rPr>
      <w:rFonts w:eastAsiaTheme="minorEastAsia"/>
      <w:sz w:val="20"/>
      <w:szCs w:val="20"/>
    </w:rPr>
  </w:style>
  <w:style w:type="paragraph" w:customStyle="1" w:styleId="Normal-em">
    <w:name w:val="Normal-em"/>
    <w:basedOn w:val="Normal"/>
    <w:rsid w:val="0052091A"/>
    <w:rPr>
      <w:rFonts w:ascii="Times New Roman" w:eastAsia="Times New Roman" w:hAnsi="Times New Roman" w:cs="Times New Roman"/>
      <w:color w:val="000000"/>
      <w:sz w:val="24"/>
    </w:rPr>
  </w:style>
  <w:style w:type="character" w:styleId="Emphasis">
    <w:name w:val="Emphasis"/>
    <w:basedOn w:val="DefaultParagraphFont"/>
    <w:uiPriority w:val="20"/>
    <w:qFormat/>
    <w:rsid w:val="0052091A"/>
    <w:rPr>
      <w:i/>
      <w:iCs/>
    </w:rPr>
  </w:style>
  <w:style w:type="paragraph" w:styleId="ListNumber">
    <w:name w:val="List Number"/>
    <w:basedOn w:val="Normal"/>
    <w:autoRedefine/>
    <w:uiPriority w:val="99"/>
    <w:qFormat/>
    <w:rsid w:val="00D326B6"/>
    <w:pPr>
      <w:spacing w:line="240" w:lineRule="auto"/>
    </w:pPr>
    <w:rPr>
      <w:rFonts w:ascii="Times New Roman" w:eastAsia="Calibri" w:hAnsi="Times New Roman" w:cs="Times New Roman"/>
      <w:sz w:val="24"/>
      <w:szCs w:val="24"/>
      <w:lang w:val="en"/>
    </w:rPr>
  </w:style>
  <w:style w:type="paragraph" w:styleId="ListNumber2">
    <w:name w:val="List Number 2"/>
    <w:basedOn w:val="Normal"/>
    <w:uiPriority w:val="99"/>
    <w:rsid w:val="0052091A"/>
    <w:pPr>
      <w:spacing w:after="200" w:line="276" w:lineRule="auto"/>
      <w:ind w:left="738" w:hanging="369"/>
    </w:pPr>
    <w:rPr>
      <w:rFonts w:ascii="Arial" w:eastAsia="Calibri" w:hAnsi="Arial" w:cs="Times New Roman"/>
      <w:sz w:val="22"/>
      <w:szCs w:val="22"/>
    </w:rPr>
  </w:style>
  <w:style w:type="paragraph" w:customStyle="1" w:styleId="ItemHead">
    <w:name w:val="ItemHead"/>
    <w:aliases w:val="ih"/>
    <w:basedOn w:val="Normal"/>
    <w:next w:val="Item"/>
    <w:rsid w:val="0052091A"/>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Item">
    <w:name w:val="Item"/>
    <w:aliases w:val="i"/>
    <w:basedOn w:val="Normal"/>
    <w:next w:val="ItemHead"/>
    <w:rsid w:val="0052091A"/>
    <w:pPr>
      <w:keepLines/>
      <w:spacing w:before="80" w:after="0" w:line="240" w:lineRule="auto"/>
      <w:ind w:left="709"/>
    </w:pPr>
    <w:rPr>
      <w:rFonts w:ascii="Times New Roman" w:eastAsia="Times New Roman" w:hAnsi="Times New Roman" w:cs="Times New Roman"/>
      <w:sz w:val="22"/>
      <w:lang w:eastAsia="en-AU"/>
    </w:rPr>
  </w:style>
  <w:style w:type="paragraph" w:styleId="BalloonText">
    <w:name w:val="Balloon Text"/>
    <w:basedOn w:val="Normal"/>
    <w:link w:val="BalloonTextChar"/>
    <w:uiPriority w:val="99"/>
    <w:semiHidden/>
    <w:unhideWhenUsed/>
    <w:rsid w:val="00520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91A"/>
    <w:rPr>
      <w:rFonts w:ascii="Segoe UI" w:eastAsiaTheme="minorEastAsia" w:hAnsi="Segoe UI" w:cs="Segoe UI"/>
      <w:sz w:val="18"/>
      <w:szCs w:val="18"/>
    </w:rPr>
  </w:style>
  <w:style w:type="paragraph" w:styleId="Revision">
    <w:name w:val="Revision"/>
    <w:hidden/>
    <w:uiPriority w:val="99"/>
    <w:semiHidden/>
    <w:rsid w:val="00365A73"/>
    <w:pPr>
      <w:spacing w:after="0" w:line="240" w:lineRule="auto"/>
    </w:pPr>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65A73"/>
    <w:pPr>
      <w:spacing w:line="240" w:lineRule="auto"/>
    </w:pPr>
    <w:rPr>
      <w:b/>
      <w:bCs/>
    </w:rPr>
  </w:style>
  <w:style w:type="character" w:customStyle="1" w:styleId="CommentSubjectChar">
    <w:name w:val="Comment Subject Char"/>
    <w:basedOn w:val="CommentTextChar"/>
    <w:link w:val="CommentSubject"/>
    <w:uiPriority w:val="99"/>
    <w:semiHidden/>
    <w:rsid w:val="00365A73"/>
    <w:rPr>
      <w:rFonts w:eastAsiaTheme="minorEastAsia"/>
      <w:b/>
      <w:bCs/>
      <w:sz w:val="20"/>
      <w:szCs w:val="20"/>
    </w:rPr>
  </w:style>
  <w:style w:type="character" w:styleId="Hyperlink">
    <w:name w:val="Hyperlink"/>
    <w:basedOn w:val="DefaultParagraphFont"/>
    <w:uiPriority w:val="99"/>
    <w:unhideWhenUsed/>
    <w:rsid w:val="00531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953F5793609444B9479F27AEE32458" ma:contentTypeVersion="" ma:contentTypeDescription="PDMS Document Site Content Type" ma:contentTypeScope="" ma:versionID="9b02718522f1ee2ecf373008f9e4134e">
  <xsd:schema xmlns:xsd="http://www.w3.org/2001/XMLSchema" xmlns:xs="http://www.w3.org/2001/XMLSchema" xmlns:p="http://schemas.microsoft.com/office/2006/metadata/properties" xmlns:ns2="E605FF3F-5D62-4A64-9ABD-D52F844E95BC" targetNamespace="http://schemas.microsoft.com/office/2006/metadata/properties" ma:root="true" ma:fieldsID="db64483e58fb474d1897f4d339e34804" ns2:_="">
    <xsd:import namespace="E605FF3F-5D62-4A64-9ABD-D52F844E95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5FF3F-5D62-4A64-9ABD-D52F844E95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605FF3F-5D62-4A64-9ABD-D52F844E95BC" xsi:nil="true"/>
  </documentManagement>
</p:properties>
</file>

<file path=customXml/itemProps1.xml><?xml version="1.0" encoding="utf-8"?>
<ds:datastoreItem xmlns:ds="http://schemas.openxmlformats.org/officeDocument/2006/customXml" ds:itemID="{E64086CE-EE35-4316-B30D-CE97C45A2551}">
  <ds:schemaRefs>
    <ds:schemaRef ds:uri="http://schemas.microsoft.com/sharepoint/v3/contenttype/forms"/>
  </ds:schemaRefs>
</ds:datastoreItem>
</file>

<file path=customXml/itemProps2.xml><?xml version="1.0" encoding="utf-8"?>
<ds:datastoreItem xmlns:ds="http://schemas.openxmlformats.org/officeDocument/2006/customXml" ds:itemID="{9372BC1A-57DB-44A4-9C81-E77ABA527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5FF3F-5D62-4A64-9ABD-D52F844E9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DF9C8-EF44-4C39-9FAD-2932C531BF6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605FF3F-5D62-4A64-9ABD-D52F844E95BC"/>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Andrea</dc:creator>
  <cp:lastModifiedBy>Dragos, Stephanie</cp:lastModifiedBy>
  <cp:revision>2</cp:revision>
  <cp:lastPrinted>2020-06-16T04:51:00Z</cp:lastPrinted>
  <dcterms:created xsi:type="dcterms:W3CDTF">2020-06-26T00:06:00Z</dcterms:created>
  <dcterms:modified xsi:type="dcterms:W3CDTF">2020-06-26T00:06:00Z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0x010100266966F133664895A6EE3632470D45F50051953F5793609444B9479F27AEE32458</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37943491</vt:lpwstr>
  </property>
</Properties>
</file>