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30" w:rsidRDefault="00CE2ABF">
      <w:pPr>
        <w:spacing w:before="1" w:after="192"/>
        <w:ind w:left="104" w:right="5610"/>
        <w:textAlignment w:val="baseline"/>
      </w:pPr>
      <w:r>
        <w:rPr>
          <w:noProof/>
          <w:lang w:val="en-AU" w:eastAsia="en-AU"/>
        </w:rPr>
        <w:drawing>
          <wp:inline distT="0" distB="0" distL="0" distR="0">
            <wp:extent cx="1515110" cy="111823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A30" w:rsidRDefault="00CE2ABF">
      <w:pPr>
        <w:spacing w:before="71" w:after="330" w:line="460" w:lineRule="exact"/>
        <w:ind w:left="72" w:right="1512"/>
        <w:textAlignment w:val="baseline"/>
        <w:rPr>
          <w:rFonts w:eastAsia="Times New Roman"/>
          <w:b/>
          <w:color w:val="000000"/>
          <w:sz w:val="40"/>
        </w:rPr>
      </w:pPr>
      <w:r>
        <w:rPr>
          <w:rFonts w:eastAsia="Times New Roman"/>
          <w:b/>
          <w:color w:val="000000"/>
          <w:sz w:val="40"/>
        </w:rPr>
        <w:t xml:space="preserve">Social Security (Exempt Lump Sum </w:t>
      </w:r>
      <w:r>
        <w:rPr>
          <w:rFonts w:eastAsia="Times New Roman"/>
          <w:b/>
          <w:color w:val="000000"/>
          <w:w w:val="80"/>
          <w:sz w:val="48"/>
        </w:rPr>
        <w:t xml:space="preserve">– </w:t>
      </w:r>
      <w:r>
        <w:rPr>
          <w:rFonts w:eastAsia="Times New Roman"/>
          <w:b/>
          <w:color w:val="000000"/>
          <w:sz w:val="40"/>
        </w:rPr>
        <w:t>General) (Agriculture) Determination 2020</w:t>
      </w:r>
    </w:p>
    <w:p w:rsidR="00632A30" w:rsidRDefault="00CE2ABF">
      <w:pPr>
        <w:spacing w:before="33" w:line="259" w:lineRule="exact"/>
        <w:ind w:left="72"/>
        <w:jc w:val="both"/>
        <w:textAlignment w:val="baseline"/>
        <w:rPr>
          <w:rFonts w:eastAsia="Times New Roman"/>
          <w:color w:val="00000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3285490</wp:posOffset>
                </wp:positionV>
                <wp:extent cx="509968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41782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258.7pt" to="489.8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CzHAIAAEEEAAAOAAAAZHJzL2Uyb0RvYy54bWysU8GO2jAQvVfqP1i+QxI2pB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</w:rPr>
        <w:t xml:space="preserve">I, Andrew Metcalfe, Secretary of the Department of Agriculture, Water and the Environment, make the following determination under paragraph 8(11)(d) of the </w:t>
      </w:r>
      <w:r>
        <w:rPr>
          <w:rFonts w:eastAsia="Times New Roman"/>
          <w:i/>
          <w:color w:val="000000"/>
        </w:rPr>
        <w:t xml:space="preserve">Social Security Act 1991, </w:t>
      </w:r>
      <w:r>
        <w:rPr>
          <w:rFonts w:eastAsia="Times New Roman"/>
          <w:color w:val="000000"/>
        </w:rPr>
        <w:t xml:space="preserve">as notionally modified by Part 5 of the </w:t>
      </w:r>
      <w:r>
        <w:rPr>
          <w:rFonts w:eastAsia="Times New Roman"/>
          <w:i/>
          <w:color w:val="000000"/>
        </w:rPr>
        <w:t>Farm Household Support Act 2014</w:t>
      </w:r>
      <w:r>
        <w:rPr>
          <w:rFonts w:eastAsia="Times New Roman"/>
          <w:color w:val="000000"/>
        </w:rPr>
        <w:t>.</w:t>
      </w:r>
    </w:p>
    <w:p w:rsidR="00632A30" w:rsidRDefault="00CE2ABF">
      <w:pPr>
        <w:spacing w:before="305" w:line="247" w:lineRule="exact"/>
        <w:ind w:left="72"/>
        <w:textAlignment w:val="baseline"/>
        <w:rPr>
          <w:rFonts w:eastAsia="Times New Roman"/>
          <w:color w:val="000000"/>
          <w:spacing w:val="11"/>
        </w:rPr>
      </w:pPr>
      <w:r>
        <w:rPr>
          <w:rFonts w:eastAsia="Times New Roman"/>
          <w:color w:val="000000"/>
          <w:spacing w:val="11"/>
        </w:rPr>
        <w:t>Dated: 24</w:t>
      </w:r>
      <w:r w:rsidRPr="00CE2ABF">
        <w:rPr>
          <w:rFonts w:eastAsia="Times New Roman"/>
          <w:color w:val="000000"/>
          <w:spacing w:val="11"/>
          <w:vertAlign w:val="superscript"/>
        </w:rPr>
        <w:t>th</w:t>
      </w:r>
      <w:r>
        <w:rPr>
          <w:rFonts w:eastAsia="Times New Roman"/>
          <w:color w:val="000000"/>
          <w:spacing w:val="11"/>
        </w:rPr>
        <w:t xml:space="preserve"> June 2020</w:t>
      </w:r>
    </w:p>
    <w:p w:rsidR="00632A30" w:rsidRDefault="00CE2ABF">
      <w:pPr>
        <w:spacing w:before="1491" w:line="247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Andrew Metcalfe</w:t>
      </w:r>
      <w:bookmarkStart w:id="0" w:name="_GoBack"/>
      <w:bookmarkEnd w:id="0"/>
    </w:p>
    <w:p w:rsidR="00632A30" w:rsidRDefault="00CE2ABF">
      <w:pPr>
        <w:spacing w:before="55" w:line="247" w:lineRule="exact"/>
        <w:ind w:left="72"/>
        <w:textAlignment w:val="baseline"/>
        <w:rPr>
          <w:rFonts w:eastAsia="Times New Roman"/>
          <w:color w:val="00000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5760720</wp:posOffset>
                </wp:positionV>
                <wp:extent cx="509968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70CF8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453.6pt" to="489.85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f+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</w:rPr>
        <w:t>Secretary of the Department of Agriculture, Water and the Environment</w:t>
      </w:r>
    </w:p>
    <w:p w:rsidR="00632A30" w:rsidRDefault="00632A30">
      <w:pPr>
        <w:sectPr w:rsidR="00632A30">
          <w:pgSz w:w="11909" w:h="16843"/>
          <w:pgMar w:top="1420" w:right="2113" w:bottom="7367" w:left="1696" w:header="720" w:footer="720" w:gutter="0"/>
          <w:cols w:space="720"/>
        </w:sectPr>
      </w:pPr>
    </w:p>
    <w:p w:rsidR="00632A30" w:rsidRDefault="00CE2ABF">
      <w:pPr>
        <w:tabs>
          <w:tab w:val="left" w:pos="720"/>
        </w:tabs>
        <w:spacing w:before="795" w:line="249" w:lineRule="exact"/>
        <w:textAlignment w:val="baseline"/>
        <w:rPr>
          <w:rFonts w:eastAsia="Times New Roman"/>
          <w:b/>
          <w:color w:val="000000"/>
          <w:spacing w:val="-1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1414145</wp:posOffset>
                </wp:positionV>
                <wp:extent cx="53219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0972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111.35pt" to="507.3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b5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pacing w:val="-1"/>
        </w:rPr>
        <w:t>1</w:t>
      </w:r>
      <w:r>
        <w:rPr>
          <w:rFonts w:eastAsia="Times New Roman"/>
          <w:b/>
          <w:color w:val="000000"/>
          <w:spacing w:val="-1"/>
        </w:rPr>
        <w:tab/>
        <w:t>Name of determination</w:t>
      </w:r>
    </w:p>
    <w:p w:rsidR="00632A30" w:rsidRDefault="00CE2ABF">
      <w:pPr>
        <w:spacing w:before="254" w:line="250" w:lineRule="exact"/>
        <w:ind w:left="720" w:righ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determination is the </w:t>
      </w:r>
      <w:r>
        <w:rPr>
          <w:rFonts w:eastAsia="Times New Roman"/>
          <w:i/>
          <w:color w:val="000000"/>
        </w:rPr>
        <w:t xml:space="preserve">Social Security (Exempt Lump Sum </w:t>
      </w:r>
      <w:r>
        <w:rPr>
          <w:rFonts w:eastAsia="Times New Roman"/>
          <w:i/>
          <w:color w:val="000000"/>
          <w:sz w:val="23"/>
        </w:rPr>
        <w:t xml:space="preserve">– </w:t>
      </w:r>
      <w:r>
        <w:rPr>
          <w:rFonts w:eastAsia="Times New Roman"/>
          <w:i/>
          <w:color w:val="000000"/>
        </w:rPr>
        <w:t>General) (Agriculture) Determination 2020.</w:t>
      </w:r>
    </w:p>
    <w:p w:rsidR="00632A30" w:rsidRDefault="00CE2ABF">
      <w:pPr>
        <w:tabs>
          <w:tab w:val="left" w:pos="720"/>
        </w:tabs>
        <w:spacing w:before="250" w:line="249" w:lineRule="exact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2</w:t>
      </w:r>
      <w:r>
        <w:rPr>
          <w:rFonts w:eastAsia="Times New Roman"/>
          <w:b/>
          <w:color w:val="000000"/>
          <w:spacing w:val="-1"/>
        </w:rPr>
        <w:tab/>
        <w:t>Commencement</w:t>
      </w:r>
    </w:p>
    <w:p w:rsidR="00632A30" w:rsidRDefault="00CE2ABF">
      <w:pPr>
        <w:spacing w:before="243" w:line="259" w:lineRule="exact"/>
        <w:ind w:left="72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This determination commences on the day after it is registered.</w:t>
      </w:r>
    </w:p>
    <w:p w:rsidR="00632A30" w:rsidRDefault="00CE2ABF">
      <w:pPr>
        <w:tabs>
          <w:tab w:val="left" w:pos="720"/>
        </w:tabs>
        <w:spacing w:before="247" w:line="249" w:lineRule="exac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3</w:t>
      </w:r>
      <w:r>
        <w:rPr>
          <w:rFonts w:eastAsia="Times New Roman"/>
          <w:b/>
          <w:color w:val="000000"/>
        </w:rPr>
        <w:tab/>
        <w:t>Interpretation</w:t>
      </w:r>
    </w:p>
    <w:p w:rsidR="00632A30" w:rsidRDefault="00CE2ABF">
      <w:pPr>
        <w:spacing w:before="248" w:line="259" w:lineRule="exact"/>
        <w:ind w:left="720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In this determination:</w:t>
      </w:r>
    </w:p>
    <w:p w:rsidR="00632A30" w:rsidRDefault="00CE2ABF">
      <w:pPr>
        <w:numPr>
          <w:ilvl w:val="0"/>
          <w:numId w:val="1"/>
        </w:numPr>
        <w:tabs>
          <w:tab w:val="clear" w:pos="648"/>
          <w:tab w:val="left" w:pos="2160"/>
        </w:tabs>
        <w:spacing w:before="252" w:line="259" w:lineRule="exact"/>
        <w:ind w:left="2160" w:hanging="64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term </w:t>
      </w:r>
      <w:r>
        <w:rPr>
          <w:rFonts w:eastAsia="Times New Roman"/>
          <w:b/>
          <w:i/>
          <w:color w:val="000000"/>
        </w:rPr>
        <w:t xml:space="preserve">dependant </w:t>
      </w:r>
      <w:r>
        <w:rPr>
          <w:rFonts w:eastAsia="Times New Roman"/>
          <w:color w:val="000000"/>
        </w:rPr>
        <w:t>includes a dependent child or parent; and</w:t>
      </w:r>
    </w:p>
    <w:p w:rsidR="00632A30" w:rsidRDefault="00CE2ABF">
      <w:pPr>
        <w:numPr>
          <w:ilvl w:val="0"/>
          <w:numId w:val="1"/>
        </w:numPr>
        <w:tabs>
          <w:tab w:val="clear" w:pos="648"/>
          <w:tab w:val="left" w:pos="2160"/>
        </w:tabs>
        <w:spacing w:line="258" w:lineRule="exact"/>
        <w:ind w:left="2160" w:right="72" w:hanging="648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term </w:t>
      </w:r>
      <w:r>
        <w:rPr>
          <w:rFonts w:eastAsia="Times New Roman"/>
          <w:b/>
          <w:i/>
          <w:color w:val="000000"/>
        </w:rPr>
        <w:t xml:space="preserve">government entity </w:t>
      </w:r>
      <w:r>
        <w:rPr>
          <w:rFonts w:eastAsia="Times New Roman"/>
          <w:color w:val="000000"/>
        </w:rPr>
        <w:t>means a Commonwealth, State, Territory or local government entity; and</w:t>
      </w:r>
    </w:p>
    <w:p w:rsidR="00632A30" w:rsidRDefault="00CE2ABF">
      <w:pPr>
        <w:numPr>
          <w:ilvl w:val="0"/>
          <w:numId w:val="1"/>
        </w:numPr>
        <w:tabs>
          <w:tab w:val="clear" w:pos="648"/>
          <w:tab w:val="left" w:pos="2160"/>
        </w:tabs>
        <w:spacing w:before="3" w:line="259" w:lineRule="exact"/>
        <w:ind w:left="2160" w:right="432" w:hanging="64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term </w:t>
      </w:r>
      <w:r>
        <w:rPr>
          <w:rFonts w:eastAsia="Times New Roman"/>
          <w:b/>
          <w:i/>
          <w:color w:val="000000"/>
        </w:rPr>
        <w:t xml:space="preserve">registered charity </w:t>
      </w:r>
      <w:r>
        <w:rPr>
          <w:rFonts w:eastAsia="Times New Roman"/>
          <w:color w:val="000000"/>
        </w:rPr>
        <w:t xml:space="preserve">has the meaning given by subsection 995-1(1) of the </w:t>
      </w:r>
      <w:r>
        <w:rPr>
          <w:rFonts w:eastAsia="Times New Roman"/>
          <w:i/>
          <w:color w:val="000000"/>
        </w:rPr>
        <w:t>Income Tax Assessment Act 1997</w:t>
      </w:r>
      <w:r>
        <w:rPr>
          <w:rFonts w:eastAsia="Times New Roman"/>
          <w:color w:val="000000"/>
        </w:rPr>
        <w:t>; and</w:t>
      </w:r>
    </w:p>
    <w:p w:rsidR="00632A30" w:rsidRDefault="00CE2ABF">
      <w:pPr>
        <w:numPr>
          <w:ilvl w:val="0"/>
          <w:numId w:val="1"/>
        </w:numPr>
        <w:tabs>
          <w:tab w:val="clear" w:pos="648"/>
          <w:tab w:val="left" w:pos="2160"/>
        </w:tabs>
        <w:spacing w:line="257" w:lineRule="exact"/>
        <w:ind w:left="2160" w:hanging="648"/>
        <w:textAlignment w:val="baseline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>other terms take their meaning from the social security law.</w:t>
      </w:r>
    </w:p>
    <w:p w:rsidR="00632A30" w:rsidRDefault="00CE2ABF">
      <w:pPr>
        <w:tabs>
          <w:tab w:val="left" w:pos="720"/>
        </w:tabs>
        <w:spacing w:before="262" w:line="249" w:lineRule="exact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4</w:t>
      </w:r>
      <w:r>
        <w:rPr>
          <w:rFonts w:eastAsia="Times New Roman"/>
          <w:b/>
          <w:color w:val="000000"/>
          <w:spacing w:val="-1"/>
        </w:rPr>
        <w:tab/>
        <w:t>Exempt lump sums</w:t>
      </w:r>
    </w:p>
    <w:p w:rsidR="00632A30" w:rsidRDefault="00CE2ABF">
      <w:pPr>
        <w:numPr>
          <w:ilvl w:val="0"/>
          <w:numId w:val="2"/>
        </w:numPr>
        <w:tabs>
          <w:tab w:val="clear" w:pos="792"/>
          <w:tab w:val="left" w:pos="1512"/>
        </w:tabs>
        <w:spacing w:before="243" w:line="259" w:lineRule="exact"/>
        <w:ind w:left="1512" w:right="72" w:hanging="792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For paragraph 8(11)(d) of the </w:t>
      </w:r>
      <w:r>
        <w:rPr>
          <w:rFonts w:eastAsia="Times New Roman"/>
          <w:i/>
          <w:color w:val="000000"/>
          <w:spacing w:val="-2"/>
        </w:rPr>
        <w:t>Social Security Act 1991</w:t>
      </w:r>
      <w:r>
        <w:rPr>
          <w:rFonts w:eastAsia="Times New Roman"/>
          <w:color w:val="000000"/>
          <w:spacing w:val="-2"/>
        </w:rPr>
        <w:t xml:space="preserve">, as applied and modified by Part 5 of the </w:t>
      </w:r>
      <w:r>
        <w:rPr>
          <w:rFonts w:eastAsia="Times New Roman"/>
          <w:i/>
          <w:color w:val="000000"/>
          <w:spacing w:val="-2"/>
        </w:rPr>
        <w:t>Farm Household Support Act 2014</w:t>
      </w:r>
      <w:r>
        <w:rPr>
          <w:rFonts w:eastAsia="Times New Roman"/>
          <w:color w:val="000000"/>
          <w:spacing w:val="-2"/>
        </w:rPr>
        <w:t>, the class of amounts described in subsection (</w:t>
      </w:r>
      <w:r>
        <w:rPr>
          <w:rFonts w:eastAsia="Times New Roman"/>
          <w:color w:val="000000"/>
          <w:spacing w:val="-2"/>
        </w:rPr>
        <w:t>2) is determined to be an exempt lump sum.</w:t>
      </w:r>
    </w:p>
    <w:p w:rsidR="00632A30" w:rsidRDefault="00CE2ABF">
      <w:pPr>
        <w:numPr>
          <w:ilvl w:val="0"/>
          <w:numId w:val="2"/>
        </w:numPr>
        <w:tabs>
          <w:tab w:val="clear" w:pos="792"/>
          <w:tab w:val="left" w:pos="1512"/>
        </w:tabs>
        <w:spacing w:before="241" w:line="259" w:lineRule="exact"/>
        <w:ind w:left="1512" w:right="576" w:hanging="79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class consists of amounts that are paid by a government entity or registered charity and are principally for the recipient to procure, for the benefit of the recipient, a partner of the recipient or a dependant of the recipient:</w:t>
      </w:r>
    </w:p>
    <w:p w:rsidR="00632A30" w:rsidRDefault="00CE2ABF">
      <w:pPr>
        <w:numPr>
          <w:ilvl w:val="0"/>
          <w:numId w:val="3"/>
        </w:numPr>
        <w:tabs>
          <w:tab w:val="clear" w:pos="648"/>
          <w:tab w:val="left" w:pos="2160"/>
        </w:tabs>
        <w:spacing w:before="255" w:line="259" w:lineRule="exact"/>
        <w:ind w:left="2160" w:right="864" w:hanging="64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goods or services for e</w:t>
      </w:r>
      <w:r>
        <w:rPr>
          <w:rFonts w:eastAsia="Times New Roman"/>
          <w:color w:val="000000"/>
        </w:rPr>
        <w:t>nvironmental purposes, including the management of water, land or other natural resources; or</w:t>
      </w:r>
    </w:p>
    <w:p w:rsidR="00632A30" w:rsidRDefault="00CE2ABF">
      <w:pPr>
        <w:numPr>
          <w:ilvl w:val="0"/>
          <w:numId w:val="3"/>
        </w:numPr>
        <w:tabs>
          <w:tab w:val="clear" w:pos="648"/>
          <w:tab w:val="left" w:pos="2160"/>
        </w:tabs>
        <w:spacing w:before="5" w:line="259" w:lineRule="exact"/>
        <w:ind w:left="2160" w:right="144" w:hanging="648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goods or services for the purposes of sustainable farming, including goods or services that encourage the economic viability of farming, or reduce or eliminate ri</w:t>
      </w:r>
      <w:r>
        <w:rPr>
          <w:rFonts w:eastAsia="Times New Roman"/>
          <w:color w:val="000000"/>
        </w:rPr>
        <w:t>sks to the natural environment that farming causes; or</w:t>
      </w:r>
    </w:p>
    <w:p w:rsidR="00632A30" w:rsidRDefault="00CE2ABF">
      <w:pPr>
        <w:numPr>
          <w:ilvl w:val="0"/>
          <w:numId w:val="3"/>
        </w:numPr>
        <w:tabs>
          <w:tab w:val="clear" w:pos="648"/>
          <w:tab w:val="left" w:pos="2160"/>
        </w:tabs>
        <w:spacing w:before="1" w:line="259" w:lineRule="exact"/>
        <w:ind w:left="2160" w:right="144" w:hanging="64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farm infrastructure, plant or equipment, or related goods or services; or</w:t>
      </w:r>
    </w:p>
    <w:p w:rsidR="00632A30" w:rsidRDefault="00CE2ABF">
      <w:pPr>
        <w:numPr>
          <w:ilvl w:val="0"/>
          <w:numId w:val="3"/>
        </w:numPr>
        <w:tabs>
          <w:tab w:val="clear" w:pos="648"/>
          <w:tab w:val="left" w:pos="2160"/>
        </w:tabs>
        <w:spacing w:before="1" w:line="259" w:lineRule="exact"/>
        <w:ind w:left="2160" w:right="72" w:hanging="648"/>
        <w:textAlignment w:val="baseline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>education or training in relation to the carrying on of a farm enterprise, that is likely to enhance the income-earning capacit</w:t>
      </w:r>
      <w:r>
        <w:rPr>
          <w:rFonts w:eastAsia="Times New Roman"/>
          <w:color w:val="000000"/>
          <w:spacing w:val="1"/>
        </w:rPr>
        <w:t>y of the recipient, a partner of the recipient or a dependant of the recipient; or</w:t>
      </w:r>
    </w:p>
    <w:p w:rsidR="00632A30" w:rsidRDefault="00CE2ABF">
      <w:pPr>
        <w:numPr>
          <w:ilvl w:val="0"/>
          <w:numId w:val="3"/>
        </w:numPr>
        <w:tabs>
          <w:tab w:val="clear" w:pos="648"/>
          <w:tab w:val="left" w:pos="2160"/>
        </w:tabs>
        <w:spacing w:after="285" w:line="259" w:lineRule="exact"/>
        <w:ind w:left="2160" w:right="288" w:hanging="64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professional or paraprofessional advice, such as legal, financial, scientific, agricultural or agribusiness advice, in relation to a farm</w:t>
      </w:r>
    </w:p>
    <w:p w:rsidR="00632A30" w:rsidRDefault="00CE2ABF">
      <w:pPr>
        <w:tabs>
          <w:tab w:val="right" w:pos="8280"/>
        </w:tabs>
        <w:spacing w:before="212" w:line="235" w:lineRule="exact"/>
        <w:ind w:left="1728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9403080</wp:posOffset>
                </wp:positionV>
                <wp:extent cx="53219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F3F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740.4pt" to="507.35pt,7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Y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 xml:space="preserve">Social Security (Exempt Lump Sum </w:t>
      </w:r>
      <w:r>
        <w:rPr>
          <w:rFonts w:eastAsia="Times New Roman"/>
          <w:i/>
          <w:color w:val="000000"/>
          <w:sz w:val="23"/>
        </w:rPr>
        <w:t xml:space="preserve">– </w:t>
      </w:r>
      <w:r>
        <w:rPr>
          <w:rFonts w:eastAsia="Times New Roman"/>
          <w:i/>
          <w:color w:val="000000"/>
          <w:sz w:val="18"/>
        </w:rPr>
        <w:t>General) (Agriculture) Determination 2020</w:t>
      </w:r>
      <w:r>
        <w:rPr>
          <w:rFonts w:eastAsia="Times New Roman"/>
          <w:i/>
          <w:color w:val="000000"/>
          <w:sz w:val="18"/>
        </w:rPr>
        <w:tab/>
        <w:t>1</w:t>
      </w:r>
    </w:p>
    <w:p w:rsidR="00632A30" w:rsidRDefault="00632A30">
      <w:pPr>
        <w:sectPr w:rsidR="00632A30">
          <w:pgSz w:w="11923" w:h="16843"/>
          <w:pgMar w:top="2200" w:right="1777" w:bottom="1147" w:left="1766" w:header="720" w:footer="720" w:gutter="0"/>
          <w:cols w:space="720"/>
        </w:sectPr>
      </w:pPr>
    </w:p>
    <w:p w:rsidR="00632A30" w:rsidRDefault="00CE2ABF">
      <w:pPr>
        <w:spacing w:before="7" w:line="257" w:lineRule="exact"/>
        <w:ind w:left="21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enterprise; or</w:t>
      </w:r>
    </w:p>
    <w:p w:rsidR="00632A30" w:rsidRDefault="00CE2ABF">
      <w:pPr>
        <w:numPr>
          <w:ilvl w:val="0"/>
          <w:numId w:val="4"/>
        </w:numPr>
        <w:tabs>
          <w:tab w:val="clear" w:pos="720"/>
          <w:tab w:val="left" w:pos="2160"/>
        </w:tabs>
        <w:spacing w:before="5" w:line="257" w:lineRule="exact"/>
        <w:ind w:left="2160" w:right="72" w:hanging="72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goods or services for the purposes of preparing for, or responding to, drought; or</w:t>
      </w:r>
    </w:p>
    <w:p w:rsidR="00632A30" w:rsidRDefault="00CE2ABF">
      <w:pPr>
        <w:numPr>
          <w:ilvl w:val="0"/>
          <w:numId w:val="4"/>
        </w:numPr>
        <w:tabs>
          <w:tab w:val="clear" w:pos="720"/>
          <w:tab w:val="left" w:pos="2160"/>
        </w:tabs>
        <w:spacing w:before="4" w:line="257" w:lineRule="exact"/>
        <w:ind w:left="2160" w:right="72" w:hanging="72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goods or services for the purposes of preparing for, or responding to, emergencies or natural disa</w:t>
      </w:r>
      <w:r>
        <w:rPr>
          <w:rFonts w:eastAsia="Times New Roman"/>
          <w:color w:val="000000"/>
        </w:rPr>
        <w:t>sters; or</w:t>
      </w:r>
    </w:p>
    <w:p w:rsidR="00632A30" w:rsidRDefault="00CE2ABF">
      <w:pPr>
        <w:numPr>
          <w:ilvl w:val="0"/>
          <w:numId w:val="4"/>
        </w:numPr>
        <w:tabs>
          <w:tab w:val="clear" w:pos="720"/>
          <w:tab w:val="left" w:pos="2160"/>
        </w:tabs>
        <w:spacing w:before="2" w:line="257" w:lineRule="exact"/>
        <w:ind w:left="2160" w:hanging="72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health or health-related goods or services.</w:t>
      </w:r>
    </w:p>
    <w:p w:rsidR="00632A30" w:rsidRDefault="00CE2ABF">
      <w:pPr>
        <w:tabs>
          <w:tab w:val="left" w:pos="720"/>
        </w:tabs>
        <w:spacing w:before="264" w:line="249" w:lineRule="exact"/>
        <w:textAlignment w:val="baseline"/>
        <w:rPr>
          <w:rFonts w:eastAsia="Times New Roman"/>
          <w:b/>
          <w:color w:val="000000"/>
          <w:spacing w:val="-2"/>
        </w:rPr>
      </w:pPr>
      <w:r>
        <w:rPr>
          <w:rFonts w:eastAsia="Times New Roman"/>
          <w:b/>
          <w:color w:val="000000"/>
          <w:spacing w:val="-2"/>
        </w:rPr>
        <w:t>5</w:t>
      </w:r>
      <w:r>
        <w:rPr>
          <w:rFonts w:eastAsia="Times New Roman"/>
          <w:b/>
          <w:color w:val="000000"/>
          <w:spacing w:val="-2"/>
        </w:rPr>
        <w:tab/>
        <w:t>Application</w:t>
      </w:r>
    </w:p>
    <w:p w:rsidR="00632A30" w:rsidRDefault="00CE2ABF">
      <w:pPr>
        <w:tabs>
          <w:tab w:val="left" w:pos="1440"/>
        </w:tabs>
        <w:spacing w:before="252" w:line="257" w:lineRule="exact"/>
        <w:ind w:left="72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eastAsia="Times New Roman"/>
          <w:color w:val="000000"/>
        </w:rPr>
        <w:tab/>
        <w:t xml:space="preserve">In this section, </w:t>
      </w:r>
      <w:r>
        <w:rPr>
          <w:rFonts w:eastAsia="Times New Roman"/>
          <w:b/>
          <w:i/>
          <w:color w:val="000000"/>
        </w:rPr>
        <w:t xml:space="preserve">relevant rate determination </w:t>
      </w:r>
      <w:r>
        <w:rPr>
          <w:rFonts w:eastAsia="Times New Roman"/>
          <w:color w:val="000000"/>
        </w:rPr>
        <w:t>means:</w:t>
      </w:r>
    </w:p>
    <w:p w:rsidR="00632A30" w:rsidRDefault="00CE2ABF">
      <w:pPr>
        <w:numPr>
          <w:ilvl w:val="0"/>
          <w:numId w:val="5"/>
        </w:numPr>
        <w:tabs>
          <w:tab w:val="clear" w:pos="720"/>
          <w:tab w:val="left" w:pos="2160"/>
        </w:tabs>
        <w:spacing w:before="263" w:line="257" w:lineRule="exact"/>
        <w:ind w:left="2160" w:right="216" w:hanging="72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rate increase determination under section 78 of the </w:t>
      </w:r>
      <w:r>
        <w:rPr>
          <w:rFonts w:eastAsia="Times New Roman"/>
          <w:i/>
          <w:color w:val="000000"/>
        </w:rPr>
        <w:t>Social Security (Administration) Act 1999</w:t>
      </w:r>
      <w:r>
        <w:rPr>
          <w:rFonts w:eastAsia="Times New Roman"/>
          <w:color w:val="000000"/>
        </w:rPr>
        <w:t>; or</w:t>
      </w:r>
    </w:p>
    <w:p w:rsidR="00632A30" w:rsidRDefault="00CE2ABF">
      <w:pPr>
        <w:numPr>
          <w:ilvl w:val="0"/>
          <w:numId w:val="5"/>
        </w:numPr>
        <w:tabs>
          <w:tab w:val="clear" w:pos="720"/>
          <w:tab w:val="left" w:pos="2160"/>
        </w:tabs>
        <w:spacing w:before="5" w:line="257" w:lineRule="exact"/>
        <w:ind w:left="2160" w:right="72" w:hanging="72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rate reduction determination under section 79 of the </w:t>
      </w:r>
      <w:r>
        <w:rPr>
          <w:rFonts w:eastAsia="Times New Roman"/>
          <w:i/>
          <w:color w:val="000000"/>
        </w:rPr>
        <w:t>Social Security (Administration) Act 1999</w:t>
      </w:r>
      <w:r>
        <w:rPr>
          <w:rFonts w:eastAsia="Times New Roman"/>
          <w:color w:val="000000"/>
        </w:rPr>
        <w:t>;</w:t>
      </w:r>
    </w:p>
    <w:p w:rsidR="00632A30" w:rsidRDefault="00CE2ABF">
      <w:pPr>
        <w:spacing w:line="253" w:lineRule="exact"/>
        <w:ind w:left="1296" w:righ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that is made after this determination commences, in relation to a person whose rate of farm household allowance has been determined on the basis of an estimat</w:t>
      </w:r>
      <w:r>
        <w:rPr>
          <w:rFonts w:eastAsia="Times New Roman"/>
          <w:color w:val="000000"/>
        </w:rPr>
        <w:t xml:space="preserve">e of business income under section 68 of the </w:t>
      </w:r>
      <w:r>
        <w:rPr>
          <w:rFonts w:eastAsia="Times New Roman"/>
          <w:i/>
          <w:color w:val="000000"/>
        </w:rPr>
        <w:t>Farm Household Support Act 2014</w:t>
      </w:r>
      <w:r>
        <w:rPr>
          <w:rFonts w:eastAsia="Times New Roman"/>
          <w:color w:val="000000"/>
        </w:rPr>
        <w:t>.</w:t>
      </w:r>
    </w:p>
    <w:p w:rsidR="00632A30" w:rsidRDefault="00CE2ABF">
      <w:pPr>
        <w:tabs>
          <w:tab w:val="left" w:pos="1368"/>
        </w:tabs>
        <w:spacing w:before="237" w:line="257" w:lineRule="exact"/>
        <w:ind w:left="1296" w:right="144" w:hanging="57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eastAsia="Times New Roman"/>
          <w:color w:val="000000"/>
        </w:rPr>
        <w:tab/>
        <w:t>For the purposes of a relevant rate determination, this determination applies to an amount described in subsection 4(2) paid before, on, or after the commencement of this det</w:t>
      </w:r>
      <w:r>
        <w:rPr>
          <w:rFonts w:eastAsia="Times New Roman"/>
          <w:color w:val="000000"/>
        </w:rPr>
        <w:t>ermination, from the date the amount was paid.</w:t>
      </w:r>
    </w:p>
    <w:p w:rsidR="00632A30" w:rsidRDefault="00CE2ABF">
      <w:pPr>
        <w:tabs>
          <w:tab w:val="left" w:pos="1368"/>
        </w:tabs>
        <w:spacing w:before="242" w:after="6316" w:line="257" w:lineRule="exact"/>
        <w:ind w:left="1296" w:right="216" w:hanging="57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eastAsia="Times New Roman"/>
          <w:color w:val="000000"/>
        </w:rPr>
        <w:tab/>
        <w:t>For all other purposes, this determination applies to an amount described in subsection 4(2) paid after the commencement of this determination, from the date the amount was paid.</w:t>
      </w:r>
    </w:p>
    <w:p w:rsidR="00632A30" w:rsidRDefault="00632A30">
      <w:pPr>
        <w:spacing w:before="242" w:after="6316" w:line="257" w:lineRule="exact"/>
        <w:sectPr w:rsidR="00632A30">
          <w:pgSz w:w="11923" w:h="16843"/>
          <w:pgMar w:top="1560" w:right="1773" w:bottom="1147" w:left="1770" w:header="720" w:footer="720" w:gutter="0"/>
          <w:cols w:space="720"/>
        </w:sectPr>
      </w:pPr>
    </w:p>
    <w:p w:rsidR="00632A30" w:rsidRDefault="00CE2ABF">
      <w:pPr>
        <w:tabs>
          <w:tab w:val="right" w:pos="8352"/>
        </w:tabs>
        <w:spacing w:before="212" w:line="235" w:lineRule="exact"/>
        <w:ind w:left="1728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9403080</wp:posOffset>
                </wp:positionV>
                <wp:extent cx="53219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608B5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740.4pt" to="507.25pt,7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hjHQIAAEE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Social Secu</w:t>
      </w:r>
      <w:r>
        <w:rPr>
          <w:rFonts w:eastAsia="Times New Roman"/>
          <w:i/>
          <w:color w:val="000000"/>
          <w:sz w:val="18"/>
        </w:rPr>
        <w:t xml:space="preserve">rity (Exempt Lump Sum </w:t>
      </w:r>
      <w:r>
        <w:rPr>
          <w:rFonts w:eastAsia="Times New Roman"/>
          <w:i/>
          <w:color w:val="000000"/>
          <w:sz w:val="23"/>
        </w:rPr>
        <w:t xml:space="preserve">– </w:t>
      </w:r>
      <w:r>
        <w:rPr>
          <w:rFonts w:eastAsia="Times New Roman"/>
          <w:i/>
          <w:color w:val="000000"/>
          <w:sz w:val="18"/>
        </w:rPr>
        <w:t>General) (Agriculture) Determination 2020</w:t>
      </w:r>
      <w:r>
        <w:rPr>
          <w:rFonts w:eastAsia="Times New Roman"/>
          <w:i/>
          <w:color w:val="000000"/>
          <w:sz w:val="18"/>
        </w:rPr>
        <w:tab/>
        <w:t>2</w:t>
      </w:r>
    </w:p>
    <w:sectPr w:rsidR="00632A30">
      <w:type w:val="continuous"/>
      <w:pgSz w:w="11923" w:h="16843"/>
      <w:pgMar w:top="1560" w:right="1779" w:bottom="1147" w:left="17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5735"/>
    <w:multiLevelType w:val="multilevel"/>
    <w:tmpl w:val="BE823474"/>
    <w:lvl w:ilvl="0">
      <w:start w:val="1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CB7DAF"/>
    <w:multiLevelType w:val="multilevel"/>
    <w:tmpl w:val="E66C54BA"/>
    <w:lvl w:ilvl="0">
      <w:start w:val="1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42AB9"/>
    <w:multiLevelType w:val="multilevel"/>
    <w:tmpl w:val="9162F88C"/>
    <w:lvl w:ilvl="0">
      <w:start w:val="6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F7884"/>
    <w:multiLevelType w:val="multilevel"/>
    <w:tmpl w:val="767E52B6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C0F6E"/>
    <w:multiLevelType w:val="multilevel"/>
    <w:tmpl w:val="3D16D224"/>
    <w:lvl w:ilvl="0">
      <w:start w:val="1"/>
      <w:numFmt w:val="decimal"/>
      <w:lvlText w:val="(%1)"/>
      <w:lvlJc w:val="left"/>
      <w:pPr>
        <w:tabs>
          <w:tab w:val="left" w:pos="792"/>
        </w:tabs>
      </w:pPr>
      <w:rPr>
        <w:rFonts w:ascii="Times New Roman" w:eastAsia="Times New Roman" w:hAnsi="Times New Roman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30"/>
    <w:rsid w:val="00632A30"/>
    <w:rsid w:val="00C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DFA865C2-A74D-4C1F-A0DE-B22CEF4B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CA5D-580F-45F6-ACDC-602E5EF6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Katie</dc:creator>
  <cp:lastModifiedBy>Ball, Katie</cp:lastModifiedBy>
  <cp:revision>2</cp:revision>
  <dcterms:created xsi:type="dcterms:W3CDTF">2020-06-28T23:12:00Z</dcterms:created>
  <dcterms:modified xsi:type="dcterms:W3CDTF">2020-06-28T23:12:00Z</dcterms:modified>
</cp:coreProperties>
</file>