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BC" w:rsidRPr="00A31D39" w:rsidRDefault="005C06BC" w:rsidP="005B7C80">
      <w:pPr>
        <w:pStyle w:val="Title"/>
        <w:jc w:val="both"/>
      </w:pPr>
      <w:bookmarkStart w:id="0" w:name="_GoBack"/>
      <w:bookmarkEnd w:id="0"/>
      <w:r w:rsidRPr="00A31D39">
        <w:t>Explanatory Statement</w:t>
      </w:r>
    </w:p>
    <w:p w:rsidR="00066DEE" w:rsidRPr="00FD1FEE" w:rsidRDefault="00066DEE" w:rsidP="005B7C80">
      <w:pPr>
        <w:pStyle w:val="Heading2"/>
        <w:jc w:val="both"/>
        <w:rPr>
          <w:bCs w:val="0"/>
          <w:i/>
          <w:iCs w:val="0"/>
          <w:sz w:val="28"/>
          <w:szCs w:val="24"/>
        </w:rPr>
      </w:pPr>
      <w:r w:rsidRPr="00FD1FEE">
        <w:rPr>
          <w:bCs w:val="0"/>
          <w:i/>
          <w:iCs w:val="0"/>
          <w:sz w:val="28"/>
          <w:szCs w:val="24"/>
        </w:rPr>
        <w:t xml:space="preserve">Child Care Subsidy </w:t>
      </w:r>
      <w:r w:rsidR="00D12902">
        <w:rPr>
          <w:bCs w:val="0"/>
          <w:i/>
          <w:iCs w:val="0"/>
          <w:sz w:val="28"/>
          <w:szCs w:val="24"/>
        </w:rPr>
        <w:t>(Extension of First Deadline) Instrument</w:t>
      </w:r>
      <w:r w:rsidR="00FD1FEE" w:rsidRPr="00FD1FEE">
        <w:rPr>
          <w:bCs w:val="0"/>
          <w:i/>
          <w:iCs w:val="0"/>
          <w:sz w:val="28"/>
          <w:szCs w:val="24"/>
        </w:rPr>
        <w:t xml:space="preserve"> 2020</w:t>
      </w:r>
    </w:p>
    <w:p w:rsidR="00E71440" w:rsidRPr="00E71440" w:rsidRDefault="005C06BC" w:rsidP="005B7C80">
      <w:pPr>
        <w:pStyle w:val="Heading2"/>
        <w:jc w:val="both"/>
      </w:pPr>
      <w:r w:rsidRPr="00A31D39">
        <w:t xml:space="preserve">Purpose and </w:t>
      </w:r>
      <w:r w:rsidR="00CE110B" w:rsidRPr="00A31D39">
        <w:t>Authority</w:t>
      </w:r>
    </w:p>
    <w:p w:rsidR="00E71440" w:rsidRPr="00D7434B" w:rsidRDefault="00E71440" w:rsidP="00D7434B">
      <w:r w:rsidRPr="00D7434B">
        <w:t xml:space="preserve">The </w:t>
      </w:r>
      <w:r w:rsidR="00D12902" w:rsidRPr="00F62690">
        <w:rPr>
          <w:i/>
        </w:rPr>
        <w:t>Child Care Subsidy (Extension of First Deadline) Instrument 2020</w:t>
      </w:r>
      <w:r w:rsidRPr="00D7434B">
        <w:t xml:space="preserve"> (</w:t>
      </w:r>
      <w:r w:rsidR="003872C8" w:rsidRPr="00D7434B">
        <w:t>the Instrument</w:t>
      </w:r>
      <w:r w:rsidRPr="00D7434B">
        <w:t xml:space="preserve">) </w:t>
      </w:r>
      <w:r w:rsidR="003872C8" w:rsidRPr="00D7434B">
        <w:t>is</w:t>
      </w:r>
      <w:r w:rsidRPr="00D7434B">
        <w:t xml:space="preserve"> made </w:t>
      </w:r>
      <w:r w:rsidR="00C32EF5" w:rsidRPr="00D7434B">
        <w:t>under</w:t>
      </w:r>
      <w:r w:rsidR="00064A79" w:rsidRPr="00D7434B">
        <w:t xml:space="preserve"> subsection 103B(2) of </w:t>
      </w:r>
      <w:r w:rsidR="00E97425" w:rsidRPr="00D7434B">
        <w:t>the</w:t>
      </w:r>
      <w:r w:rsidRPr="00D7434B">
        <w:t xml:space="preserve"> A New Tax System (Family Assistance) Act 1999 (Family Assistance</w:t>
      </w:r>
      <w:r w:rsidR="000110B8" w:rsidRPr="00D7434B">
        <w:t xml:space="preserve"> Administration</w:t>
      </w:r>
      <w:r w:rsidRPr="00D7434B">
        <w:t xml:space="preserve"> Act)</w:t>
      </w:r>
      <w:r w:rsidR="00064A79" w:rsidRPr="00D7434B">
        <w:t xml:space="preserve">. </w:t>
      </w:r>
    </w:p>
    <w:p w:rsidR="000110B8" w:rsidRPr="00D7434B" w:rsidRDefault="000110B8" w:rsidP="00D7434B"/>
    <w:p w:rsidR="00C32EF5" w:rsidRPr="00D7434B" w:rsidRDefault="00C32EF5" w:rsidP="00D7434B">
      <w:r w:rsidRPr="00D7434B">
        <w:t>The Instrument extends</w:t>
      </w:r>
      <w:r w:rsidR="00BF19E4" w:rsidRPr="00D7434B">
        <w:t xml:space="preserve"> the </w:t>
      </w:r>
      <w:r w:rsidRPr="00D7434B">
        <w:t>period in which a</w:t>
      </w:r>
      <w:r w:rsidR="00891973" w:rsidRPr="00D7434B">
        <w:t xml:space="preserve">ffected </w:t>
      </w:r>
      <w:r w:rsidR="00AC56AF" w:rsidRPr="00D7434B">
        <w:t xml:space="preserve">individuals </w:t>
      </w:r>
      <w:r w:rsidRPr="00D7434B">
        <w:t xml:space="preserve">are able to </w:t>
      </w:r>
      <w:r w:rsidR="00AC56AF" w:rsidRPr="00D7434B">
        <w:t xml:space="preserve">meet </w:t>
      </w:r>
      <w:r w:rsidR="00B5457C" w:rsidRPr="00D7434B">
        <w:t>the Child Care Subsidy (CCS) reconciliation conditions</w:t>
      </w:r>
      <w:r w:rsidRPr="00D7434B">
        <w:t xml:space="preserve"> for the 2018-19 income year, </w:t>
      </w:r>
      <w:r w:rsidR="00B5457C" w:rsidRPr="00D7434B">
        <w:t>from 30 June 2020 to 3</w:t>
      </w:r>
      <w:r w:rsidRPr="00D7434B">
        <w:t>1 </w:t>
      </w:r>
      <w:r w:rsidR="00B5457C" w:rsidRPr="00D7434B">
        <w:t>March 2021</w:t>
      </w:r>
      <w:r w:rsidR="00891973" w:rsidRPr="00D7434B">
        <w:t>.</w:t>
      </w:r>
    </w:p>
    <w:p w:rsidR="00C32EF5" w:rsidRPr="00D7434B" w:rsidRDefault="00C32EF5" w:rsidP="00D7434B"/>
    <w:p w:rsidR="009C6C39" w:rsidRPr="00D7434B" w:rsidRDefault="00C32EF5" w:rsidP="00D7434B">
      <w:r w:rsidRPr="00D7434B">
        <w:t>The CCS reconciliation conditions are set out in section 103A of the Family Assistance Administration Act.  Generally speaking, an individual meets the reconciliation condition</w:t>
      </w:r>
      <w:r w:rsidR="009C6C39" w:rsidRPr="00D7434B">
        <w:t xml:space="preserve">s for a particular income year when they and their partner/s during that year have had </w:t>
      </w:r>
      <w:r w:rsidR="007F15A1">
        <w:t xml:space="preserve">their adjusted taxable incomes (ATIs) for the year </w:t>
      </w:r>
      <w:r w:rsidR="00604B25">
        <w:t>calculated</w:t>
      </w:r>
      <w:r w:rsidR="007F15A1">
        <w:t xml:space="preserve"> (usually through </w:t>
      </w:r>
      <w:r w:rsidR="009C6C39" w:rsidRPr="00D7434B">
        <w:t>income tax assessments for that year made by the Australian Taxation Office (ATO)</w:t>
      </w:r>
      <w:r w:rsidR="007F15A1">
        <w:t>)</w:t>
      </w:r>
      <w:r w:rsidR="009C6C39" w:rsidRPr="00D7434B">
        <w:t>.</w:t>
      </w:r>
    </w:p>
    <w:p w:rsidR="009C6C39" w:rsidRPr="00D7434B" w:rsidRDefault="009C6C39" w:rsidP="00D7434B"/>
    <w:p w:rsidR="00A9476B" w:rsidRPr="00D7434B" w:rsidRDefault="00A9476B" w:rsidP="00D7434B">
      <w:pPr>
        <w:rPr>
          <w:rFonts w:eastAsiaTheme="majorEastAsia"/>
        </w:rPr>
      </w:pPr>
      <w:r w:rsidRPr="00D7434B">
        <w:t xml:space="preserve">In making this Instrument the Secretary is satisfied, in accordance with subsection 103B(2), </w:t>
      </w:r>
      <w:r w:rsidRPr="00D7434B">
        <w:rPr>
          <w:rFonts w:eastAsiaTheme="majorEastAsia"/>
        </w:rPr>
        <w:t xml:space="preserve">that special circumstances </w:t>
      </w:r>
      <w:r w:rsidR="00C32EF5" w:rsidRPr="00D7434B">
        <w:rPr>
          <w:rFonts w:eastAsiaTheme="majorEastAsia"/>
        </w:rPr>
        <w:t xml:space="preserve">have prevented the </w:t>
      </w:r>
      <w:r w:rsidRPr="00D7434B">
        <w:rPr>
          <w:rFonts w:eastAsiaTheme="majorEastAsia"/>
        </w:rPr>
        <w:t xml:space="preserve">affected individuals </w:t>
      </w:r>
      <w:r w:rsidR="00C32EF5" w:rsidRPr="00D7434B">
        <w:rPr>
          <w:rFonts w:eastAsiaTheme="majorEastAsia"/>
        </w:rPr>
        <w:t xml:space="preserve">from meeting the </w:t>
      </w:r>
      <w:r w:rsidRPr="00D7434B">
        <w:rPr>
          <w:rFonts w:eastAsiaTheme="majorEastAsia"/>
        </w:rPr>
        <w:t xml:space="preserve">CCS reconciliation conditions for the 2018-19 income year. </w:t>
      </w:r>
      <w:r w:rsidR="00C32EF5" w:rsidRPr="00D7434B">
        <w:rPr>
          <w:rFonts w:eastAsiaTheme="majorEastAsia"/>
        </w:rPr>
        <w:t xml:space="preserve">  The special circumstances are the impacts of the </w:t>
      </w:r>
      <w:r w:rsidR="002E4D98">
        <w:rPr>
          <w:rFonts w:eastAsiaTheme="majorEastAsia"/>
        </w:rPr>
        <w:t>COVID-19</w:t>
      </w:r>
      <w:r w:rsidR="00C32EF5" w:rsidRPr="00D7434B">
        <w:rPr>
          <w:rFonts w:eastAsiaTheme="majorEastAsia"/>
        </w:rPr>
        <w:t xml:space="preserve"> pandemic and its attendant economic and social uncertainties.</w:t>
      </w:r>
    </w:p>
    <w:p w:rsidR="00A9476B" w:rsidRPr="00D7434B" w:rsidRDefault="00A9476B" w:rsidP="00D7434B">
      <w:pPr>
        <w:rPr>
          <w:rFonts w:eastAsiaTheme="majorEastAsia"/>
        </w:rPr>
      </w:pPr>
    </w:p>
    <w:p w:rsidR="00A9476B" w:rsidRPr="00D7434B" w:rsidRDefault="009C6C39" w:rsidP="00D7434B">
      <w:pPr>
        <w:rPr>
          <w:rFonts w:eastAsiaTheme="majorEastAsia"/>
        </w:rPr>
      </w:pPr>
      <w:r w:rsidRPr="00D7434B">
        <w:t xml:space="preserve">The effect of the Instrument is that affected individuals have another 9 months to meet the CCS reconciliation conditions for 2018-19.  This means that affected </w:t>
      </w:r>
      <w:r w:rsidR="00A9476B" w:rsidRPr="00D7434B">
        <w:t xml:space="preserve">individuals will continue to be entitled to CCS after 30 June 2020 even if they have </w:t>
      </w:r>
      <w:r w:rsidRPr="00D7434B">
        <w:t xml:space="preserve">and their partner/s have not </w:t>
      </w:r>
      <w:r w:rsidR="007F15A1">
        <w:t>had their ATIs worked out for</w:t>
      </w:r>
      <w:r w:rsidRPr="00D7434B">
        <w:t xml:space="preserve"> 2018-19</w:t>
      </w:r>
      <w:r w:rsidR="00A9476B" w:rsidRPr="00D7434B">
        <w:t>, and will have until 3</w:t>
      </w:r>
      <w:r w:rsidR="00F62690">
        <w:t>1</w:t>
      </w:r>
      <w:r w:rsidR="00A9476B" w:rsidRPr="00D7434B">
        <w:t xml:space="preserve"> March 2021 to </w:t>
      </w:r>
      <w:r w:rsidR="00604B25">
        <w:t>meet this condition</w:t>
      </w:r>
      <w:r w:rsidR="00A9476B" w:rsidRPr="00D7434B">
        <w:t xml:space="preserve">. </w:t>
      </w:r>
      <w:r w:rsidR="005E4D33" w:rsidRPr="00D7434B">
        <w:rPr>
          <w:rFonts w:eastAsiaTheme="majorEastAsia"/>
        </w:rPr>
        <w:t>This measure is intended to</w:t>
      </w:r>
      <w:r w:rsidR="00A9476B" w:rsidRPr="00D7434B">
        <w:rPr>
          <w:rFonts w:eastAsiaTheme="majorEastAsia"/>
        </w:rPr>
        <w:t xml:space="preserve"> </w:t>
      </w:r>
      <w:r w:rsidR="005E4D33" w:rsidRPr="00D7434B">
        <w:rPr>
          <w:rFonts w:eastAsiaTheme="majorEastAsia"/>
        </w:rPr>
        <w:t xml:space="preserve">facilitate </w:t>
      </w:r>
      <w:r w:rsidR="00A9476B" w:rsidRPr="00D7434B">
        <w:rPr>
          <w:rFonts w:eastAsiaTheme="majorEastAsia"/>
        </w:rPr>
        <w:t>families’</w:t>
      </w:r>
      <w:r w:rsidR="00604B25">
        <w:rPr>
          <w:rFonts w:eastAsiaTheme="majorEastAsia"/>
        </w:rPr>
        <w:t xml:space="preserve"> ongoing </w:t>
      </w:r>
      <w:r w:rsidR="00A9476B" w:rsidRPr="00D7434B">
        <w:rPr>
          <w:rFonts w:eastAsiaTheme="majorEastAsia"/>
        </w:rPr>
        <w:t>access to subsidised child care</w:t>
      </w:r>
      <w:r w:rsidR="00604B25">
        <w:rPr>
          <w:rFonts w:eastAsiaTheme="majorEastAsia"/>
        </w:rPr>
        <w:t xml:space="preserve">. This is a </w:t>
      </w:r>
      <w:r w:rsidR="00A9476B" w:rsidRPr="00D7434B">
        <w:rPr>
          <w:rFonts w:eastAsiaTheme="majorEastAsia"/>
        </w:rPr>
        <w:t xml:space="preserve">critical component of the Government’s strategy to rebuild the Australian economy following the peak of the </w:t>
      </w:r>
      <w:r w:rsidR="002E4D98">
        <w:rPr>
          <w:rFonts w:eastAsiaTheme="majorEastAsia"/>
        </w:rPr>
        <w:t>COVID-19</w:t>
      </w:r>
      <w:r w:rsidR="00A9476B" w:rsidRPr="00D7434B">
        <w:rPr>
          <w:rFonts w:eastAsiaTheme="majorEastAsia"/>
        </w:rPr>
        <w:t xml:space="preserve"> pandemic shutdowns.</w:t>
      </w:r>
    </w:p>
    <w:p w:rsidR="008A4C02" w:rsidRPr="00D7434B" w:rsidRDefault="00330055" w:rsidP="00D7434B">
      <w:pPr>
        <w:pStyle w:val="Heading2"/>
      </w:pPr>
      <w:r w:rsidRPr="00D7434B">
        <w:t>Commencement</w:t>
      </w:r>
    </w:p>
    <w:p w:rsidR="00C81A95" w:rsidRPr="00D7434B" w:rsidRDefault="00543A25" w:rsidP="00D7434B">
      <w:r w:rsidRPr="00D7434B">
        <w:t>Th</w:t>
      </w:r>
      <w:r w:rsidR="009C6C39" w:rsidRPr="00D7434B">
        <w:t>e</w:t>
      </w:r>
      <w:r w:rsidRPr="00D7434B">
        <w:t xml:space="preserve"> Instrument</w:t>
      </w:r>
      <w:r w:rsidR="00EC6BA7" w:rsidRPr="00D7434B">
        <w:t xml:space="preserve"> commences the day after </w:t>
      </w:r>
      <w:r w:rsidR="009C6C39" w:rsidRPr="00D7434B">
        <w:t>it</w:t>
      </w:r>
      <w:r w:rsidR="00EC6BA7" w:rsidRPr="00D7434B">
        <w:t xml:space="preserve"> is registered.</w:t>
      </w:r>
    </w:p>
    <w:p w:rsidR="00486AE9" w:rsidRPr="00D7434B" w:rsidRDefault="008A4C02" w:rsidP="00D7434B">
      <w:pPr>
        <w:pStyle w:val="Heading2"/>
      </w:pPr>
      <w:r w:rsidRPr="00D7434B">
        <w:t>Consultation</w:t>
      </w:r>
    </w:p>
    <w:p w:rsidR="00EC6BA7" w:rsidRDefault="00EC6BA7" w:rsidP="00D7434B">
      <w:r w:rsidRPr="00D7434B">
        <w:t xml:space="preserve">This Instrument gives effect to a </w:t>
      </w:r>
      <w:r w:rsidR="00604B25" w:rsidRPr="00D7434B">
        <w:t>measure, which</w:t>
      </w:r>
      <w:r w:rsidRPr="00D7434B">
        <w:t xml:space="preserve"> forms part of the Government’s response to the COVID-19 pandemic. </w:t>
      </w:r>
    </w:p>
    <w:p w:rsidR="00D7434B" w:rsidRPr="00D7434B" w:rsidRDefault="00D7434B" w:rsidP="00D7434B"/>
    <w:p w:rsidR="00486AE9" w:rsidRPr="00D7434B" w:rsidRDefault="00502B4F" w:rsidP="00D7434B">
      <w:r w:rsidRPr="00D7434B">
        <w:t xml:space="preserve">The Department of Education, Skills and Employment (the Department) </w:t>
      </w:r>
      <w:r w:rsidR="00604B25">
        <w:t>consults</w:t>
      </w:r>
      <w:r w:rsidRPr="00D7434B">
        <w:t xml:space="preserve"> w</w:t>
      </w:r>
      <w:r w:rsidR="00604B25">
        <w:t>eekly with stakeholders in the early childhood education and care se</w:t>
      </w:r>
      <w:r w:rsidRPr="00D7434B">
        <w:t xml:space="preserve">ctor through the Early Childhood Education and Care Reference Group on COVID-19 issues. </w:t>
      </w:r>
      <w:r w:rsidR="00EC6BA7" w:rsidRPr="00D7434B">
        <w:t xml:space="preserve">In addition, the Department has consulted with Services Australia on the implementation </w:t>
      </w:r>
      <w:r w:rsidR="00604B25">
        <w:t xml:space="preserve">of the </w:t>
      </w:r>
      <w:r w:rsidR="00EC6BA7" w:rsidRPr="00D7434B">
        <w:t>Legislative Instrument.</w:t>
      </w:r>
    </w:p>
    <w:p w:rsidR="008A4C02" w:rsidRPr="00D7434B" w:rsidRDefault="008A4C02" w:rsidP="00D7434B">
      <w:pPr>
        <w:pStyle w:val="Heading2"/>
      </w:pPr>
      <w:r w:rsidRPr="00D7434B">
        <w:t>Regulation Impact Statement</w:t>
      </w:r>
    </w:p>
    <w:p w:rsidR="003A77EB" w:rsidRPr="00D7434B" w:rsidRDefault="00F630D6" w:rsidP="00D7434B">
      <w:r w:rsidRPr="00D7434B">
        <w:t>A</w:t>
      </w:r>
      <w:r w:rsidR="003A77EB" w:rsidRPr="00D7434B">
        <w:t xml:space="preserve"> Prime Minister’s exemption has been granted for all COVID-19 related measures where they have more than a minor regulatory impact. </w:t>
      </w:r>
    </w:p>
    <w:p w:rsidR="008A4C02" w:rsidRPr="00D7434B" w:rsidRDefault="007B5009" w:rsidP="00D7434B">
      <w:r w:rsidRPr="00D7434B" w:rsidDel="007B5009">
        <w:rPr>
          <w:highlight w:val="yellow"/>
        </w:rPr>
        <w:t xml:space="preserve"> </w:t>
      </w:r>
      <w:r w:rsidR="008A4C02" w:rsidRPr="00D7434B">
        <w:br w:type="page"/>
      </w:r>
    </w:p>
    <w:p w:rsidR="008148C3" w:rsidRPr="008148C3" w:rsidRDefault="0072746A" w:rsidP="005B7C80">
      <w:pPr>
        <w:pStyle w:val="Title"/>
        <w:jc w:val="both"/>
      </w:pPr>
      <w:r w:rsidRPr="00A31D39">
        <w:lastRenderedPageBreak/>
        <w:t xml:space="preserve">Abbreviations used in this Explanatory </w:t>
      </w:r>
      <w:r w:rsidR="00BC410F" w:rsidRPr="00A31D39">
        <w:t>Statement</w:t>
      </w:r>
    </w:p>
    <w:p w:rsidR="1AA8886A" w:rsidRPr="00D7434B" w:rsidRDefault="00E6097A" w:rsidP="00D7434B">
      <w:r w:rsidRPr="00D7434B">
        <w:rPr>
          <w:b/>
        </w:rPr>
        <w:t>ACCS</w:t>
      </w:r>
      <w:r w:rsidRPr="00D7434B">
        <w:t xml:space="preserve"> means Additional Child Care Subsidy</w:t>
      </w:r>
      <w:r w:rsidR="009C6C39" w:rsidRPr="00D7434B">
        <w:t>.</w:t>
      </w:r>
    </w:p>
    <w:p w:rsidR="009C6C39" w:rsidRPr="00D7434B" w:rsidRDefault="009C6C39" w:rsidP="00D7434B"/>
    <w:p w:rsidR="007F15A1" w:rsidRDefault="007F15A1" w:rsidP="00D7434B">
      <w:r>
        <w:rPr>
          <w:b/>
        </w:rPr>
        <w:t>ATI</w:t>
      </w:r>
      <w:r>
        <w:t xml:space="preserve"> means adjusted taxable income.</w:t>
      </w:r>
    </w:p>
    <w:p w:rsidR="007F15A1" w:rsidRPr="007F15A1" w:rsidRDefault="007F15A1" w:rsidP="00D7434B"/>
    <w:p w:rsidR="009C6C39" w:rsidRPr="00D7434B" w:rsidRDefault="009C6C39" w:rsidP="00D7434B">
      <w:r w:rsidRPr="00D7434B">
        <w:rPr>
          <w:b/>
        </w:rPr>
        <w:t>ATO</w:t>
      </w:r>
      <w:r w:rsidRPr="00D7434B">
        <w:t xml:space="preserve"> means the Australian Taxation Office.</w:t>
      </w:r>
    </w:p>
    <w:p w:rsidR="009C6C39" w:rsidRPr="00D7434B" w:rsidRDefault="009C6C39" w:rsidP="00D7434B"/>
    <w:p w:rsidR="00E6097A" w:rsidRPr="00D7434B" w:rsidRDefault="00E6097A" w:rsidP="00D7434B">
      <w:r w:rsidRPr="00D7434B">
        <w:rPr>
          <w:b/>
        </w:rPr>
        <w:t>CCS</w:t>
      </w:r>
      <w:r w:rsidRPr="00D7434B">
        <w:t xml:space="preserve"> m</w:t>
      </w:r>
      <w:r w:rsidR="009C6C39" w:rsidRPr="00D7434B">
        <w:t>eans Child Care Subsidy.</w:t>
      </w:r>
    </w:p>
    <w:p w:rsidR="002F465E" w:rsidRPr="00D7434B" w:rsidRDefault="002F465E" w:rsidP="00D7434B"/>
    <w:p w:rsidR="0072746A" w:rsidRPr="00D7434B" w:rsidRDefault="0072746A" w:rsidP="00D7434B">
      <w:r w:rsidRPr="00D7434B">
        <w:rPr>
          <w:b/>
        </w:rPr>
        <w:t>Family Assistance Administration Act</w:t>
      </w:r>
      <w:r w:rsidRPr="00D7434B">
        <w:t xml:space="preserve"> means the </w:t>
      </w:r>
      <w:r w:rsidRPr="00D7434B">
        <w:rPr>
          <w:i/>
        </w:rPr>
        <w:t>A New Tax System (Family Assistance) (Administration) Act 1999</w:t>
      </w:r>
      <w:r w:rsidR="009C6C39" w:rsidRPr="00D7434B">
        <w:t>.</w:t>
      </w:r>
    </w:p>
    <w:p w:rsidR="00902C91" w:rsidRPr="00D7434B" w:rsidRDefault="00902C91" w:rsidP="00D7434B"/>
    <w:p w:rsidR="00E9404A" w:rsidRPr="00D7434B" w:rsidRDefault="00E9404A" w:rsidP="00D7434B">
      <w:r w:rsidRPr="00D7434B">
        <w:rPr>
          <w:b/>
        </w:rPr>
        <w:t>Instrument</w:t>
      </w:r>
      <w:r w:rsidRPr="00D7434B">
        <w:t xml:space="preserve"> means the </w:t>
      </w:r>
      <w:r w:rsidRPr="00D7434B">
        <w:rPr>
          <w:i/>
        </w:rPr>
        <w:t>Child Care Subsidy (Extension of First Deadline) Instrument 2020</w:t>
      </w:r>
      <w:r w:rsidR="009C6C39" w:rsidRPr="00D7434B">
        <w:t>.</w:t>
      </w:r>
    </w:p>
    <w:p w:rsidR="00BC1A3B" w:rsidRPr="00D7434B" w:rsidRDefault="00BC1A3B" w:rsidP="00D7434B"/>
    <w:p w:rsidR="00B23859" w:rsidRDefault="00B23859" w:rsidP="005B7C80">
      <w:pPr>
        <w:jc w:val="both"/>
      </w:pPr>
      <w:r>
        <w:br w:type="page"/>
      </w:r>
    </w:p>
    <w:p w:rsidR="00B23859" w:rsidRPr="00A31D39" w:rsidRDefault="00B23859" w:rsidP="005B7C80">
      <w:pPr>
        <w:pStyle w:val="Title"/>
        <w:jc w:val="both"/>
      </w:pPr>
      <w:r>
        <w:lastRenderedPageBreak/>
        <w:t>Detailed Explanation of Amendments</w:t>
      </w:r>
    </w:p>
    <w:p w:rsidR="00EC6BA7" w:rsidRPr="00D7434B" w:rsidRDefault="00EC6BA7" w:rsidP="00D7434B">
      <w:pPr>
        <w:pStyle w:val="Heading2"/>
      </w:pPr>
      <w:r w:rsidRPr="00D7434B">
        <w:t>Preliminary</w:t>
      </w:r>
    </w:p>
    <w:p w:rsidR="0059224F" w:rsidRDefault="0059224F" w:rsidP="00D7434B">
      <w:r w:rsidRPr="00D7434B">
        <w:rPr>
          <w:b/>
        </w:rPr>
        <w:t>Section 1</w:t>
      </w:r>
      <w:r w:rsidRPr="00D7434B">
        <w:t xml:space="preserve"> states the name of the </w:t>
      </w:r>
      <w:r w:rsidR="009C6C39" w:rsidRPr="00D7434B">
        <w:t>I</w:t>
      </w:r>
      <w:r w:rsidRPr="00D7434B">
        <w:t xml:space="preserve">nstrument as the </w:t>
      </w:r>
      <w:r w:rsidR="00EC6BA7" w:rsidRPr="002E4D98">
        <w:rPr>
          <w:i/>
        </w:rPr>
        <w:t>Child Care Subsidy (Extension of First Deadline) Instrument 2020</w:t>
      </w:r>
      <w:r w:rsidR="00EC6BA7" w:rsidRPr="00D7434B">
        <w:t xml:space="preserve">. </w:t>
      </w:r>
    </w:p>
    <w:p w:rsidR="00D7434B" w:rsidRPr="00D7434B" w:rsidRDefault="00D7434B" w:rsidP="00D7434B"/>
    <w:p w:rsidR="0059224F" w:rsidRDefault="0059224F" w:rsidP="00D7434B">
      <w:r w:rsidRPr="00D7434B">
        <w:rPr>
          <w:b/>
        </w:rPr>
        <w:t>Section 2</w:t>
      </w:r>
      <w:r w:rsidRPr="00D7434B">
        <w:t xml:space="preserve"> </w:t>
      </w:r>
      <w:r w:rsidR="00C56E25" w:rsidRPr="00D7434B">
        <w:t>provides for</w:t>
      </w:r>
      <w:r w:rsidRPr="00D7434B">
        <w:t xml:space="preserve"> the </w:t>
      </w:r>
      <w:r w:rsidR="003149B8" w:rsidRPr="00D7434B">
        <w:t xml:space="preserve">commencement dates of the </w:t>
      </w:r>
      <w:r w:rsidR="009C6C39" w:rsidRPr="00D7434B">
        <w:t>Instrument</w:t>
      </w:r>
      <w:r w:rsidR="003149B8" w:rsidRPr="00D7434B">
        <w:t>.</w:t>
      </w:r>
    </w:p>
    <w:p w:rsidR="00D7434B" w:rsidRPr="00D7434B" w:rsidRDefault="00D7434B" w:rsidP="00D7434B"/>
    <w:p w:rsidR="0059224F" w:rsidRPr="00D7434B" w:rsidRDefault="0059224F" w:rsidP="00D7434B">
      <w:r w:rsidRPr="00D7434B">
        <w:rPr>
          <w:b/>
        </w:rPr>
        <w:t>Section 3</w:t>
      </w:r>
      <w:r w:rsidRPr="00D7434B">
        <w:t xml:space="preserve"> states that the </w:t>
      </w:r>
      <w:r w:rsidR="009C6C39" w:rsidRPr="00D7434B">
        <w:t>Instrument is</w:t>
      </w:r>
      <w:r w:rsidRPr="00D7434B">
        <w:t xml:space="preserve"> made under the Family Assistance </w:t>
      </w:r>
      <w:r w:rsidR="009C6C39" w:rsidRPr="00D7434B">
        <w:t xml:space="preserve">Administration </w:t>
      </w:r>
      <w:r w:rsidRPr="00D7434B">
        <w:t>Act.</w:t>
      </w:r>
      <w:r w:rsidR="29C74B36" w:rsidRPr="00D7434B">
        <w:t xml:space="preserve">  </w:t>
      </w:r>
    </w:p>
    <w:p w:rsidR="00EC6BA7" w:rsidRPr="00D7434B" w:rsidRDefault="00EC6BA7" w:rsidP="00D7434B">
      <w:pPr>
        <w:pStyle w:val="Heading2"/>
        <w:rPr>
          <w:rFonts w:eastAsiaTheme="majorEastAsia"/>
        </w:rPr>
      </w:pPr>
      <w:r w:rsidRPr="00D7434B">
        <w:rPr>
          <w:rFonts w:eastAsiaTheme="majorEastAsia"/>
        </w:rPr>
        <w:t>Extension of the first deadline</w:t>
      </w:r>
      <w:r w:rsidR="00F924A1" w:rsidRPr="00D7434B">
        <w:rPr>
          <w:rFonts w:eastAsiaTheme="majorEastAsia"/>
        </w:rPr>
        <w:t xml:space="preserve"> for meeting CCS reconciliation conditions</w:t>
      </w:r>
    </w:p>
    <w:p w:rsidR="000110B8" w:rsidRPr="00D7434B" w:rsidRDefault="00945F51" w:rsidP="00D7434B">
      <w:pPr>
        <w:pStyle w:val="Heading3"/>
        <w:rPr>
          <w:rFonts w:eastAsiaTheme="majorEastAsia"/>
        </w:rPr>
      </w:pPr>
      <w:r w:rsidRPr="00D7434B">
        <w:rPr>
          <w:rFonts w:eastAsiaTheme="majorEastAsia"/>
        </w:rPr>
        <w:t>Legislative background</w:t>
      </w:r>
    </w:p>
    <w:p w:rsidR="00B22658" w:rsidRPr="00D7434B" w:rsidRDefault="00B22658" w:rsidP="00D7434B">
      <w:r w:rsidRPr="00D7434B">
        <w:t xml:space="preserve">Under the family assistance law, individuals are entitled to CCS or ACCS as a result of weekly entitlement decisions made under section 67CD of the Family Assistance Administration Act. At the end of every income year, those weekly entitlement decisions are subject to a process known as </w:t>
      </w:r>
      <w:r w:rsidR="00F924A1" w:rsidRPr="00D7434B">
        <w:t>“</w:t>
      </w:r>
      <w:r w:rsidRPr="00D7434B">
        <w:t>reconciliation</w:t>
      </w:r>
      <w:r w:rsidR="00F924A1" w:rsidRPr="00D7434B">
        <w:t>”</w:t>
      </w:r>
      <w:r w:rsidRPr="00D7434B">
        <w:t xml:space="preserve">. </w:t>
      </w:r>
      <w:r w:rsidR="00F924A1" w:rsidRPr="00D7434B">
        <w:t xml:space="preserve">The process involves comparing </w:t>
      </w:r>
      <w:r w:rsidR="00347797" w:rsidRPr="00D7434B">
        <w:t xml:space="preserve">individuals’ </w:t>
      </w:r>
      <w:r w:rsidR="00F924A1" w:rsidRPr="00D7434B">
        <w:t>estimates</w:t>
      </w:r>
      <w:r w:rsidR="00347797" w:rsidRPr="00D7434B">
        <w:t xml:space="preserve"> of their and their partners’ </w:t>
      </w:r>
      <w:r w:rsidR="007F15A1">
        <w:t>ATIs</w:t>
      </w:r>
      <w:r w:rsidR="00F924A1" w:rsidRPr="00D7434B">
        <w:t xml:space="preserve">, which they are required to report to </w:t>
      </w:r>
      <w:r w:rsidR="00347797" w:rsidRPr="00D7434B">
        <w:t>Services Australia</w:t>
      </w:r>
      <w:r w:rsidR="00F924A1" w:rsidRPr="00D7434B">
        <w:t xml:space="preserve"> throughout the income year, with their actual </w:t>
      </w:r>
      <w:r w:rsidR="007F15A1">
        <w:t>ATIs</w:t>
      </w:r>
      <w:r w:rsidR="00F924A1" w:rsidRPr="00D7434B">
        <w:t>. This process is conducted to</w:t>
      </w:r>
      <w:r w:rsidR="00AA1EAF" w:rsidRPr="00D7434B">
        <w:t xml:space="preserve"> ensure individuals</w:t>
      </w:r>
      <w:r w:rsidR="00F924A1" w:rsidRPr="00D7434B">
        <w:t xml:space="preserve"> receive their correct CCS entitlement for that income year.</w:t>
      </w:r>
    </w:p>
    <w:p w:rsidR="00B22658" w:rsidRPr="00D7434B" w:rsidRDefault="00B22658" w:rsidP="00D7434B">
      <w:r w:rsidRPr="00D7434B">
        <w:t xml:space="preserve"> </w:t>
      </w:r>
    </w:p>
    <w:p w:rsidR="00AA1EAF" w:rsidRPr="00D7434B" w:rsidRDefault="000110B8" w:rsidP="00D7434B">
      <w:r w:rsidRPr="00D7434B">
        <w:t>R</w:t>
      </w:r>
      <w:r w:rsidR="00B22658" w:rsidRPr="00D7434B">
        <w:t>econciliation operates by reviewing an individual’s CCS or ACCS weekly entitlement decisions for an income year</w:t>
      </w:r>
      <w:r w:rsidRPr="00D7434B">
        <w:t xml:space="preserve"> </w:t>
      </w:r>
      <w:r w:rsidR="00B22658" w:rsidRPr="00D7434B">
        <w:t xml:space="preserve">– referred </w:t>
      </w:r>
      <w:r w:rsidRPr="00D7434B">
        <w:t xml:space="preserve">to </w:t>
      </w:r>
      <w:r w:rsidR="00A74C8E" w:rsidRPr="00D7434B">
        <w:t>in the Family Assistance Administration Act</w:t>
      </w:r>
      <w:r w:rsidR="00B22658" w:rsidRPr="00D7434B">
        <w:t xml:space="preserve"> as the “relevant income year”.</w:t>
      </w:r>
      <w:r w:rsidR="00F924A1" w:rsidRPr="00D7434B">
        <w:t xml:space="preserve"> </w:t>
      </w:r>
      <w:r w:rsidR="00B22658" w:rsidRPr="00D7434B">
        <w:t>Reconciliation can</w:t>
      </w:r>
      <w:r w:rsidR="00AA1EAF" w:rsidRPr="00D7434B">
        <w:t xml:space="preserve"> only meaningfully occur once an individual’s </w:t>
      </w:r>
      <w:r w:rsidR="00B22658" w:rsidRPr="00D7434B">
        <w:t>and their partner</w:t>
      </w:r>
      <w:r w:rsidR="00AA1EAF" w:rsidRPr="00D7434B">
        <w:t xml:space="preserve">s’ </w:t>
      </w:r>
      <w:r w:rsidR="007F15A1">
        <w:t>ATIs</w:t>
      </w:r>
      <w:r w:rsidR="00AA1EAF" w:rsidRPr="00D7434B">
        <w:t xml:space="preserve"> are reasonably ascertainable.  This is usually done when the individual and their partners receive their income tax assessments from the ATO for the relevant income year.  Services Australia is able to use other methods for ascertaining an individual’s </w:t>
      </w:r>
      <w:r w:rsidR="007F15A1">
        <w:t>ATI</w:t>
      </w:r>
      <w:r w:rsidR="00AA1EAF" w:rsidRPr="00D7434B">
        <w:t xml:space="preserve"> in circumstances where the individual or their partner/s are not required to lodge tax returns.</w:t>
      </w:r>
    </w:p>
    <w:p w:rsidR="00A74C8E" w:rsidRPr="00D7434B" w:rsidRDefault="00A74C8E" w:rsidP="00D7434B"/>
    <w:p w:rsidR="00B22658" w:rsidRPr="00D7434B" w:rsidRDefault="00F924A1" w:rsidP="00D7434B">
      <w:r w:rsidRPr="00D7434B">
        <w:t>S</w:t>
      </w:r>
      <w:r w:rsidR="00B22658" w:rsidRPr="00D7434B">
        <w:t xml:space="preserve">ection 103A </w:t>
      </w:r>
      <w:r w:rsidR="00AA1EAF" w:rsidRPr="00D7434B">
        <w:t xml:space="preserve">of the Family Assistance Administration Act </w:t>
      </w:r>
      <w:r w:rsidRPr="00D7434B">
        <w:t xml:space="preserve">provides that </w:t>
      </w:r>
      <w:r w:rsidR="00AA1EAF" w:rsidRPr="00D7434B">
        <w:t>an individual</w:t>
      </w:r>
      <w:r w:rsidR="00B22658" w:rsidRPr="00D7434B">
        <w:t xml:space="preserve"> meets the </w:t>
      </w:r>
      <w:r w:rsidR="000110B8" w:rsidRPr="00D7434B">
        <w:rPr>
          <w:b/>
          <w:i/>
        </w:rPr>
        <w:t xml:space="preserve">CCS </w:t>
      </w:r>
      <w:r w:rsidR="00B22658" w:rsidRPr="00D7434B">
        <w:rPr>
          <w:b/>
          <w:i/>
        </w:rPr>
        <w:t>reconciliation conditions</w:t>
      </w:r>
      <w:r w:rsidR="00B22658" w:rsidRPr="00D7434B">
        <w:t xml:space="preserve"> </w:t>
      </w:r>
      <w:r w:rsidR="00AA1EAF" w:rsidRPr="00D7434B">
        <w:t xml:space="preserve">for an income year </w:t>
      </w:r>
      <w:r w:rsidR="003804D5" w:rsidRPr="00D7434B">
        <w:t xml:space="preserve">(relevant income year) </w:t>
      </w:r>
      <w:r w:rsidR="00B22658" w:rsidRPr="00D7434B">
        <w:t>whe</w:t>
      </w:r>
      <w:r w:rsidR="00AA1EAF" w:rsidRPr="00D7434B">
        <w:t>n</w:t>
      </w:r>
      <w:r w:rsidR="00B22658" w:rsidRPr="00D7434B">
        <w:t xml:space="preserve"> they</w:t>
      </w:r>
      <w:r w:rsidR="00AA1EAF" w:rsidRPr="00D7434B">
        <w:t>, and each of their partners during that year has either</w:t>
      </w:r>
      <w:r w:rsidR="00B22658" w:rsidRPr="00D7434B">
        <w:t>:</w:t>
      </w:r>
    </w:p>
    <w:p w:rsidR="00B22658" w:rsidRPr="00D7434B" w:rsidRDefault="00AA1EAF" w:rsidP="00D7434B">
      <w:pPr>
        <w:pStyle w:val="ListParagraph"/>
        <w:numPr>
          <w:ilvl w:val="0"/>
          <w:numId w:val="8"/>
        </w:numPr>
      </w:pPr>
      <w:r w:rsidRPr="00D7434B">
        <w:t xml:space="preserve">received an income tax assessment for the </w:t>
      </w:r>
      <w:r w:rsidR="003804D5" w:rsidRPr="00D7434B">
        <w:t xml:space="preserve">relevant </w:t>
      </w:r>
      <w:r w:rsidRPr="00D7434B">
        <w:t xml:space="preserve">income year from </w:t>
      </w:r>
      <w:r w:rsidR="00B22658" w:rsidRPr="00D7434B">
        <w:t>the ATO; or</w:t>
      </w:r>
    </w:p>
    <w:p w:rsidR="00B22658" w:rsidRPr="00D7434B" w:rsidRDefault="00AA1EAF" w:rsidP="00D7434B">
      <w:pPr>
        <w:pStyle w:val="ListParagraph"/>
        <w:numPr>
          <w:ilvl w:val="0"/>
          <w:numId w:val="8"/>
        </w:numPr>
      </w:pPr>
      <w:r w:rsidRPr="00D7434B">
        <w:t xml:space="preserve">in the case that they </w:t>
      </w:r>
      <w:r w:rsidR="00B22658" w:rsidRPr="00D7434B">
        <w:t xml:space="preserve">do not need to lodge </w:t>
      </w:r>
      <w:r w:rsidRPr="00D7434B">
        <w:t>an income tax return for th</w:t>
      </w:r>
      <w:r w:rsidR="003804D5" w:rsidRPr="00D7434B">
        <w:t>at</w:t>
      </w:r>
      <w:r w:rsidRPr="00D7434B">
        <w:t xml:space="preserve"> year—have told the Secretary what their </w:t>
      </w:r>
      <w:r w:rsidR="007F15A1">
        <w:t>ATI</w:t>
      </w:r>
      <w:r w:rsidRPr="00D7434B">
        <w:t xml:space="preserve"> for the year is, or </w:t>
      </w:r>
      <w:r w:rsidR="00B22658" w:rsidRPr="00D7434B">
        <w:t xml:space="preserve">the Secretary is </w:t>
      </w:r>
      <w:r w:rsidRPr="00D7434B">
        <w:t xml:space="preserve">otherwise </w:t>
      </w:r>
      <w:r w:rsidR="00B22658" w:rsidRPr="00D7434B">
        <w:t xml:space="preserve">able to work out their </w:t>
      </w:r>
      <w:r w:rsidR="007F15A1">
        <w:t>ATI</w:t>
      </w:r>
      <w:r w:rsidR="00B22658" w:rsidRPr="00D7434B">
        <w:t>.</w:t>
      </w:r>
    </w:p>
    <w:p w:rsidR="00D7434B" w:rsidRDefault="00D7434B" w:rsidP="00D7434B">
      <w:pPr>
        <w:rPr>
          <w:rFonts w:eastAsiaTheme="majorEastAsia"/>
        </w:rPr>
      </w:pPr>
    </w:p>
    <w:p w:rsidR="003804D5" w:rsidRPr="00D7434B" w:rsidRDefault="003804D5" w:rsidP="00D7434B">
      <w:pPr>
        <w:rPr>
          <w:rFonts w:eastAsiaTheme="majorEastAsia"/>
        </w:rPr>
      </w:pPr>
      <w:r w:rsidRPr="00D7434B">
        <w:rPr>
          <w:rFonts w:eastAsiaTheme="majorEastAsia"/>
        </w:rPr>
        <w:t>I</w:t>
      </w:r>
      <w:r w:rsidR="007E215D" w:rsidRPr="00D7434B">
        <w:rPr>
          <w:rFonts w:eastAsiaTheme="majorEastAsia"/>
        </w:rPr>
        <w:t xml:space="preserve">f an individual fails to meet the CCS reconciliation conditions for an income year by the </w:t>
      </w:r>
      <w:r w:rsidR="007E215D" w:rsidRPr="00D7434B">
        <w:rPr>
          <w:rFonts w:eastAsiaTheme="majorEastAsia"/>
          <w:b/>
          <w:i/>
        </w:rPr>
        <w:t>first deadline</w:t>
      </w:r>
      <w:r w:rsidR="00BB3D04" w:rsidRPr="00D7434B">
        <w:rPr>
          <w:rFonts w:eastAsiaTheme="majorEastAsia"/>
        </w:rPr>
        <w:t xml:space="preserve"> (defined in section 103B of the Family Assistance Administration Act)</w:t>
      </w:r>
      <w:r w:rsidRPr="00D7434B">
        <w:rPr>
          <w:rFonts w:eastAsiaTheme="majorEastAsia"/>
        </w:rPr>
        <w:t>:</w:t>
      </w:r>
    </w:p>
    <w:p w:rsidR="003804D5" w:rsidRPr="00D7434B" w:rsidRDefault="003804D5" w:rsidP="00D7434B">
      <w:pPr>
        <w:pStyle w:val="ListParagraph"/>
        <w:numPr>
          <w:ilvl w:val="0"/>
          <w:numId w:val="9"/>
        </w:numPr>
        <w:rPr>
          <w:rFonts w:eastAsiaTheme="majorEastAsia"/>
        </w:rPr>
      </w:pPr>
      <w:r w:rsidRPr="00D7434B">
        <w:rPr>
          <w:rFonts w:eastAsiaTheme="majorEastAsia"/>
        </w:rPr>
        <w:t xml:space="preserve">the Secretary must </w:t>
      </w:r>
      <w:r w:rsidR="00B012D6" w:rsidRPr="00D7434B">
        <w:rPr>
          <w:rFonts w:eastAsiaTheme="majorEastAsia"/>
        </w:rPr>
        <w:t xml:space="preserve">set aside all weekly CCS entitlement decisions made during the </w:t>
      </w:r>
      <w:r w:rsidR="00E07A8A" w:rsidRPr="00D7434B">
        <w:rPr>
          <w:rFonts w:eastAsiaTheme="majorEastAsia"/>
        </w:rPr>
        <w:t xml:space="preserve">income year and determine that the individual </w:t>
      </w:r>
      <w:r w:rsidRPr="00D7434B">
        <w:rPr>
          <w:rFonts w:eastAsiaTheme="majorEastAsia"/>
        </w:rPr>
        <w:t xml:space="preserve">was not </w:t>
      </w:r>
      <w:r w:rsidR="00E07A8A" w:rsidRPr="00D7434B">
        <w:rPr>
          <w:rFonts w:eastAsiaTheme="majorEastAsia"/>
        </w:rPr>
        <w:t>entitled to any CCS</w:t>
      </w:r>
      <w:r w:rsidRPr="00D7434B">
        <w:rPr>
          <w:rFonts w:eastAsiaTheme="majorEastAsia"/>
        </w:rPr>
        <w:t xml:space="preserve"> or </w:t>
      </w:r>
      <w:r w:rsidR="00E07A8A" w:rsidRPr="00D7434B">
        <w:rPr>
          <w:rFonts w:eastAsiaTheme="majorEastAsia"/>
        </w:rPr>
        <w:t>ACCS</w:t>
      </w:r>
      <w:r w:rsidRPr="00D7434B">
        <w:rPr>
          <w:rFonts w:eastAsiaTheme="majorEastAsia"/>
        </w:rPr>
        <w:t xml:space="preserve"> for that income year until that individual is able to meet the CCS reconciliation conditions (see subsection 105E(2) and (3) of the Family Assistance Administration Act); and</w:t>
      </w:r>
    </w:p>
    <w:p w:rsidR="003804D5" w:rsidRPr="00D7434B" w:rsidRDefault="003804D5" w:rsidP="00D7434B">
      <w:pPr>
        <w:pStyle w:val="ListParagraph"/>
        <w:numPr>
          <w:ilvl w:val="0"/>
          <w:numId w:val="9"/>
        </w:numPr>
        <w:rPr>
          <w:rFonts w:eastAsiaTheme="majorEastAsia"/>
        </w:rPr>
      </w:pPr>
      <w:r w:rsidRPr="00D7434B">
        <w:rPr>
          <w:rFonts w:eastAsiaTheme="majorEastAsia"/>
        </w:rPr>
        <w:t>until the individual meets the reconciliation requirements, the individual is not entitled to any further CCS or ACCS (see subsection 67CB(4) of the Family Assistance Administration Act).</w:t>
      </w:r>
    </w:p>
    <w:p w:rsidR="003804D5" w:rsidRPr="00D7434B" w:rsidRDefault="003804D5" w:rsidP="00D7434B">
      <w:pPr>
        <w:rPr>
          <w:rFonts w:eastAsiaTheme="majorEastAsia"/>
        </w:rPr>
      </w:pPr>
    </w:p>
    <w:p w:rsidR="003804D5" w:rsidRPr="00D7434B" w:rsidRDefault="003804D5" w:rsidP="00D7434B">
      <w:pPr>
        <w:rPr>
          <w:rFonts w:eastAsiaTheme="majorEastAsia"/>
        </w:rPr>
      </w:pPr>
      <w:r w:rsidRPr="00D7434B">
        <w:rPr>
          <w:rFonts w:eastAsiaTheme="majorEastAsia"/>
        </w:rPr>
        <w:t xml:space="preserve">If, before the </w:t>
      </w:r>
      <w:r w:rsidRPr="00D7434B">
        <w:rPr>
          <w:rFonts w:eastAsiaTheme="majorEastAsia"/>
          <w:b/>
          <w:i/>
        </w:rPr>
        <w:t>second deadline</w:t>
      </w:r>
      <w:r w:rsidRPr="00D7434B">
        <w:rPr>
          <w:rFonts w:eastAsiaTheme="majorEastAsia"/>
        </w:rPr>
        <w:t xml:space="preserve"> for the relevant income year</w:t>
      </w:r>
      <w:r w:rsidR="00BB3D04" w:rsidRPr="00D7434B">
        <w:rPr>
          <w:rFonts w:eastAsiaTheme="majorEastAsia"/>
        </w:rPr>
        <w:t xml:space="preserve"> (defined in section 103C of the Family Assistance Administration Act)</w:t>
      </w:r>
      <w:r w:rsidRPr="00D7434B">
        <w:rPr>
          <w:rFonts w:eastAsiaTheme="majorEastAsia"/>
        </w:rPr>
        <w:t xml:space="preserve">, the individual meets the CCS reconciliation conditions </w:t>
      </w:r>
      <w:r w:rsidRPr="00D7434B">
        <w:rPr>
          <w:rFonts w:eastAsiaTheme="majorEastAsia"/>
        </w:rPr>
        <w:lastRenderedPageBreak/>
        <w:t xml:space="preserve">for the year, the Secretary must undertake reconciliation of the CCS and ACCS payments for the relevant income year (subsection 105E(4) of the Family Assistance Administration Act), and the individual can </w:t>
      </w:r>
      <w:r w:rsidR="00BB3D04" w:rsidRPr="00D7434B">
        <w:rPr>
          <w:rFonts w:eastAsiaTheme="majorEastAsia"/>
        </w:rPr>
        <w:t xml:space="preserve">again </w:t>
      </w:r>
      <w:r w:rsidRPr="00D7434B">
        <w:rPr>
          <w:rFonts w:eastAsiaTheme="majorEastAsia"/>
        </w:rPr>
        <w:t>become entitled</w:t>
      </w:r>
      <w:r w:rsidR="00BB3D04" w:rsidRPr="00D7434B">
        <w:rPr>
          <w:rFonts w:eastAsiaTheme="majorEastAsia"/>
        </w:rPr>
        <w:t>,</w:t>
      </w:r>
      <w:r w:rsidRPr="00D7434B">
        <w:rPr>
          <w:rFonts w:eastAsiaTheme="majorEastAsia"/>
        </w:rPr>
        <w:t xml:space="preserve"> prospectively</w:t>
      </w:r>
      <w:r w:rsidR="00BB3D04" w:rsidRPr="00D7434B">
        <w:rPr>
          <w:rFonts w:eastAsiaTheme="majorEastAsia"/>
        </w:rPr>
        <w:t>,</w:t>
      </w:r>
      <w:r w:rsidRPr="00D7434B">
        <w:rPr>
          <w:rFonts w:eastAsiaTheme="majorEastAsia"/>
        </w:rPr>
        <w:t xml:space="preserve"> to CCS and ACCS.</w:t>
      </w:r>
    </w:p>
    <w:p w:rsidR="003804D5" w:rsidRPr="00D7434B" w:rsidRDefault="003804D5" w:rsidP="00D7434B">
      <w:pPr>
        <w:rPr>
          <w:rFonts w:eastAsiaTheme="majorEastAsia"/>
        </w:rPr>
      </w:pPr>
    </w:p>
    <w:p w:rsidR="003804D5" w:rsidRPr="00D7434B" w:rsidRDefault="003804D5" w:rsidP="00D7434B">
      <w:pPr>
        <w:rPr>
          <w:rFonts w:eastAsiaTheme="majorEastAsia"/>
        </w:rPr>
      </w:pPr>
      <w:r w:rsidRPr="00D7434B">
        <w:rPr>
          <w:rFonts w:eastAsiaTheme="majorEastAsia"/>
        </w:rPr>
        <w:t xml:space="preserve">If, however, the individual fails to meet the CCS reconciliation conditions for the relevant income year by the second deadline for that year, the individual is taken never to have been entitled to CCS or ACCS for the relevant income year </w:t>
      </w:r>
      <w:r w:rsidR="00BB3D04" w:rsidRPr="00D7434B">
        <w:rPr>
          <w:rFonts w:eastAsiaTheme="majorEastAsia"/>
        </w:rPr>
        <w:t>(subsection 67CB(4) of the Family Assistance Administration Act), and the Secretary can raise and recover debts from the individual accordingly.</w:t>
      </w:r>
    </w:p>
    <w:p w:rsidR="001479F5" w:rsidRPr="00D7434B" w:rsidRDefault="001479F5" w:rsidP="00D7434B">
      <w:pPr>
        <w:pStyle w:val="Heading3"/>
        <w:rPr>
          <w:rFonts w:eastAsiaTheme="majorEastAsia"/>
        </w:rPr>
      </w:pPr>
      <w:r w:rsidRPr="00D7434B">
        <w:rPr>
          <w:rFonts w:eastAsiaTheme="majorEastAsia"/>
        </w:rPr>
        <w:t xml:space="preserve">Effect of </w:t>
      </w:r>
      <w:r w:rsidR="00D7434B" w:rsidRPr="00D7434B">
        <w:rPr>
          <w:rFonts w:eastAsiaTheme="majorEastAsia"/>
        </w:rPr>
        <w:t>the Instrument extending the period for the first deadline – section 4</w:t>
      </w:r>
    </w:p>
    <w:p w:rsidR="000110B8" w:rsidRPr="00D7434B" w:rsidRDefault="00CD3C27" w:rsidP="00D7434B">
      <w:pPr>
        <w:rPr>
          <w:rFonts w:eastAsiaTheme="majorEastAsia"/>
        </w:rPr>
      </w:pPr>
      <w:r w:rsidRPr="00D7434B">
        <w:rPr>
          <w:rFonts w:eastAsiaTheme="majorEastAsia"/>
        </w:rPr>
        <w:t>Paragraph</w:t>
      </w:r>
      <w:r w:rsidR="000110B8" w:rsidRPr="00D7434B">
        <w:rPr>
          <w:rFonts w:eastAsiaTheme="majorEastAsia"/>
        </w:rPr>
        <w:t xml:space="preserve"> 103B</w:t>
      </w:r>
      <w:r w:rsidRPr="00D7434B">
        <w:rPr>
          <w:rFonts w:eastAsiaTheme="majorEastAsia"/>
        </w:rPr>
        <w:t>(1)(a)</w:t>
      </w:r>
      <w:r w:rsidR="000110B8" w:rsidRPr="00D7434B">
        <w:rPr>
          <w:rFonts w:eastAsiaTheme="majorEastAsia"/>
        </w:rPr>
        <w:t xml:space="preserve"> </w:t>
      </w:r>
      <w:r w:rsidR="00BB3D04" w:rsidRPr="00D7434B">
        <w:rPr>
          <w:rFonts w:eastAsiaTheme="majorEastAsia"/>
        </w:rPr>
        <w:t xml:space="preserve">of the Family Assistance Administration Act </w:t>
      </w:r>
      <w:r w:rsidR="000110B8" w:rsidRPr="00D7434B">
        <w:rPr>
          <w:rFonts w:eastAsiaTheme="majorEastAsia"/>
        </w:rPr>
        <w:t>provides that the</w:t>
      </w:r>
      <w:r w:rsidR="008F1AC8" w:rsidRPr="00D7434B">
        <w:rPr>
          <w:rFonts w:eastAsiaTheme="majorEastAsia"/>
        </w:rPr>
        <w:t xml:space="preserve"> standard</w:t>
      </w:r>
      <w:r w:rsidR="000110B8" w:rsidRPr="00D7434B">
        <w:rPr>
          <w:rFonts w:eastAsiaTheme="majorEastAsia"/>
        </w:rPr>
        <w:t xml:space="preserve"> first deadline for an income year</w:t>
      </w:r>
      <w:r w:rsidR="00BB3D04" w:rsidRPr="00D7434B">
        <w:rPr>
          <w:rFonts w:eastAsiaTheme="majorEastAsia"/>
        </w:rPr>
        <w:t xml:space="preserve"> (relevant income year)</w:t>
      </w:r>
      <w:r w:rsidR="000110B8" w:rsidRPr="00D7434B">
        <w:rPr>
          <w:rFonts w:eastAsiaTheme="majorEastAsia"/>
        </w:rPr>
        <w:t xml:space="preserve"> </w:t>
      </w:r>
      <w:r w:rsidR="00BB3D04" w:rsidRPr="00D7434B">
        <w:rPr>
          <w:rFonts w:eastAsiaTheme="majorEastAsia"/>
        </w:rPr>
        <w:t>is the end of the income year immediately after the relevant income year</w:t>
      </w:r>
      <w:r w:rsidRPr="00D7434B">
        <w:rPr>
          <w:rFonts w:eastAsiaTheme="majorEastAsia"/>
        </w:rPr>
        <w:t xml:space="preserve">. So, </w:t>
      </w:r>
      <w:r w:rsidR="007F4A7B" w:rsidRPr="00D7434B">
        <w:rPr>
          <w:rFonts w:eastAsiaTheme="majorEastAsia"/>
        </w:rPr>
        <w:t xml:space="preserve">if the relevant income year is </w:t>
      </w:r>
      <w:r w:rsidRPr="00D7434B">
        <w:rPr>
          <w:rFonts w:eastAsiaTheme="majorEastAsia"/>
        </w:rPr>
        <w:t>2018-19, the first deadline</w:t>
      </w:r>
      <w:r w:rsidR="00BB3D04" w:rsidRPr="00D7434B">
        <w:rPr>
          <w:rFonts w:eastAsiaTheme="majorEastAsia"/>
        </w:rPr>
        <w:t xml:space="preserve"> is the end of the income year 2019-20, i.e. the end of 30 June 2020</w:t>
      </w:r>
      <w:r w:rsidR="00ED5F88" w:rsidRPr="00D7434B">
        <w:rPr>
          <w:rFonts w:eastAsiaTheme="majorEastAsia"/>
        </w:rPr>
        <w:t>.</w:t>
      </w:r>
      <w:r w:rsidR="00B22982" w:rsidRPr="00D7434B">
        <w:rPr>
          <w:rFonts w:eastAsiaTheme="majorEastAsia"/>
        </w:rPr>
        <w:t xml:space="preserve"> </w:t>
      </w:r>
    </w:p>
    <w:p w:rsidR="000D3C84" w:rsidRPr="00D7434B" w:rsidRDefault="000D3C84" w:rsidP="00D7434B">
      <w:pPr>
        <w:rPr>
          <w:rFonts w:eastAsiaTheme="majorEastAsia"/>
        </w:rPr>
      </w:pPr>
    </w:p>
    <w:p w:rsidR="00957B60" w:rsidRPr="00D7434B" w:rsidRDefault="00957B60" w:rsidP="00D7434B">
      <w:pPr>
        <w:rPr>
          <w:rFonts w:eastAsiaTheme="majorEastAsia"/>
        </w:rPr>
      </w:pPr>
      <w:r w:rsidRPr="00D7434B">
        <w:rPr>
          <w:rFonts w:eastAsiaTheme="majorEastAsia"/>
        </w:rPr>
        <w:t xml:space="preserve">However, paragraph 103B(1)(b) </w:t>
      </w:r>
      <w:r w:rsidR="00084E83" w:rsidRPr="00D7434B">
        <w:rPr>
          <w:rFonts w:eastAsiaTheme="majorEastAsia"/>
        </w:rPr>
        <w:t xml:space="preserve">provides that the first deadline may be </w:t>
      </w:r>
      <w:r w:rsidR="00D7434B" w:rsidRPr="00D7434B">
        <w:rPr>
          <w:rFonts w:eastAsiaTheme="majorEastAsia"/>
        </w:rPr>
        <w:t xml:space="preserve">the end of </w:t>
      </w:r>
      <w:r w:rsidR="00084E83" w:rsidRPr="00D7434B">
        <w:rPr>
          <w:rFonts w:eastAsiaTheme="majorEastAsia"/>
        </w:rPr>
        <w:t>a longer period</w:t>
      </w:r>
      <w:r w:rsidR="00662423" w:rsidRPr="00D7434B">
        <w:rPr>
          <w:rFonts w:eastAsiaTheme="majorEastAsia"/>
        </w:rPr>
        <w:t xml:space="preserve"> than the standard deadline</w:t>
      </w:r>
      <w:r w:rsidR="00084E83" w:rsidRPr="00D7434B">
        <w:rPr>
          <w:rFonts w:eastAsiaTheme="majorEastAsia"/>
        </w:rPr>
        <w:t xml:space="preserve"> for an individual</w:t>
      </w:r>
      <w:r w:rsidR="00662423" w:rsidRPr="00D7434B">
        <w:rPr>
          <w:rFonts w:eastAsiaTheme="majorEastAsia"/>
        </w:rPr>
        <w:t>,</w:t>
      </w:r>
      <w:r w:rsidR="00084E83" w:rsidRPr="00D7434B">
        <w:rPr>
          <w:rFonts w:eastAsiaTheme="majorEastAsia"/>
        </w:rPr>
        <w:t xml:space="preserve"> if </w:t>
      </w:r>
      <w:r w:rsidR="0096285D" w:rsidRPr="00D7434B">
        <w:rPr>
          <w:rFonts w:eastAsiaTheme="majorEastAsia"/>
        </w:rPr>
        <w:t xml:space="preserve">such </w:t>
      </w:r>
      <w:r w:rsidR="00D7434B" w:rsidRPr="00D7434B">
        <w:rPr>
          <w:rFonts w:eastAsiaTheme="majorEastAsia"/>
        </w:rPr>
        <w:t>period is allowed</w:t>
      </w:r>
      <w:r w:rsidR="0096285D" w:rsidRPr="00D7434B">
        <w:rPr>
          <w:rFonts w:eastAsiaTheme="majorEastAsia"/>
        </w:rPr>
        <w:t xml:space="preserve"> by the Secretary</w:t>
      </w:r>
      <w:r w:rsidR="00D7434B" w:rsidRPr="00D7434B">
        <w:rPr>
          <w:rFonts w:eastAsiaTheme="majorEastAsia"/>
        </w:rPr>
        <w:t xml:space="preserve"> under </w:t>
      </w:r>
      <w:r w:rsidR="00662423" w:rsidRPr="00D7434B">
        <w:rPr>
          <w:rFonts w:eastAsiaTheme="majorEastAsia"/>
        </w:rPr>
        <w:t xml:space="preserve">subsection 103B(2). </w:t>
      </w:r>
    </w:p>
    <w:p w:rsidR="00662423" w:rsidRPr="00D7434B" w:rsidRDefault="00662423" w:rsidP="00D7434B">
      <w:pPr>
        <w:rPr>
          <w:rFonts w:eastAsiaTheme="majorEastAsia"/>
        </w:rPr>
      </w:pPr>
    </w:p>
    <w:p w:rsidR="00B14A2F" w:rsidRPr="00D7434B" w:rsidRDefault="00662423" w:rsidP="00D7434B">
      <w:pPr>
        <w:rPr>
          <w:rFonts w:eastAsiaTheme="majorEastAsia"/>
        </w:rPr>
      </w:pPr>
      <w:r w:rsidRPr="00D7434B">
        <w:rPr>
          <w:rFonts w:eastAsiaTheme="majorEastAsia"/>
        </w:rPr>
        <w:t xml:space="preserve">Subsection 103B(2) </w:t>
      </w:r>
      <w:r w:rsidR="008C6DBB" w:rsidRPr="00D7434B">
        <w:rPr>
          <w:rFonts w:eastAsiaTheme="majorEastAsia"/>
        </w:rPr>
        <w:t>provides that the Secretary may allow a</w:t>
      </w:r>
      <w:r w:rsidR="00BB3D04" w:rsidRPr="00D7434B">
        <w:rPr>
          <w:rFonts w:eastAsiaTheme="majorEastAsia"/>
        </w:rPr>
        <w:t>n individual a</w:t>
      </w:r>
      <w:r w:rsidR="008C6DBB" w:rsidRPr="00D7434B">
        <w:rPr>
          <w:rFonts w:eastAsiaTheme="majorEastAsia"/>
        </w:rPr>
        <w:t xml:space="preserve"> longer period if the Secretary </w:t>
      </w:r>
      <w:r w:rsidR="00800551" w:rsidRPr="00D7434B">
        <w:rPr>
          <w:rFonts w:eastAsiaTheme="majorEastAsia"/>
        </w:rPr>
        <w:t>is satisfied that special circumstances prevented the individual from meeting the CCS reconciliation conditions</w:t>
      </w:r>
      <w:r w:rsidR="00BB3D04" w:rsidRPr="00D7434B">
        <w:rPr>
          <w:rFonts w:eastAsiaTheme="majorEastAsia"/>
        </w:rPr>
        <w:t xml:space="preserve"> </w:t>
      </w:r>
      <w:r w:rsidR="00800551" w:rsidRPr="00D7434B">
        <w:rPr>
          <w:rFonts w:eastAsiaTheme="majorEastAsia"/>
        </w:rPr>
        <w:t>for the relevant income year</w:t>
      </w:r>
      <w:r w:rsidR="003506AF" w:rsidRPr="00D7434B">
        <w:rPr>
          <w:rFonts w:eastAsiaTheme="majorEastAsia"/>
        </w:rPr>
        <w:t xml:space="preserve"> before the standard first deadline.</w:t>
      </w:r>
      <w:r w:rsidR="00B14A2F" w:rsidRPr="00D7434B">
        <w:rPr>
          <w:rFonts w:eastAsiaTheme="majorEastAsia"/>
        </w:rPr>
        <w:t xml:space="preserve"> </w:t>
      </w:r>
    </w:p>
    <w:p w:rsidR="00B14A2F" w:rsidRPr="00D7434B" w:rsidRDefault="00B14A2F" w:rsidP="00D7434B">
      <w:pPr>
        <w:rPr>
          <w:rFonts w:eastAsiaTheme="majorEastAsia"/>
        </w:rPr>
      </w:pPr>
    </w:p>
    <w:p w:rsidR="00D7434B" w:rsidRDefault="00BB3D04" w:rsidP="00D7434B">
      <w:r w:rsidRPr="00D7434B">
        <w:rPr>
          <w:b/>
        </w:rPr>
        <w:t>Subsection 4(1)</w:t>
      </w:r>
      <w:r w:rsidRPr="00D7434B">
        <w:t xml:space="preserve"> of the Instrument is made for subsection 103B(2) of the Act, and extends the period in which affected individuals are able to meet the CCS reconciliation conditions for the 2018-19 income year, from 30 June 2020 to 31 March 2021.</w:t>
      </w:r>
    </w:p>
    <w:p w:rsidR="00D7434B" w:rsidRDefault="00D7434B" w:rsidP="00D7434B"/>
    <w:p w:rsidR="00BB3D04" w:rsidRPr="00D7434B" w:rsidRDefault="00BB3D04" w:rsidP="00D7434B">
      <w:r w:rsidRPr="00D7434B">
        <w:rPr>
          <w:rFonts w:eastAsiaTheme="majorEastAsia"/>
          <w:b/>
        </w:rPr>
        <w:t>Subsection 4(2)</w:t>
      </w:r>
      <w:r w:rsidRPr="00D7434B">
        <w:rPr>
          <w:rFonts w:eastAsiaTheme="majorEastAsia"/>
        </w:rPr>
        <w:t xml:space="preserve"> provides that </w:t>
      </w:r>
      <w:r w:rsidR="007F15A1">
        <w:rPr>
          <w:rFonts w:eastAsiaTheme="majorEastAsia"/>
        </w:rPr>
        <w:t>“</w:t>
      </w:r>
      <w:r w:rsidRPr="00D7434B">
        <w:rPr>
          <w:rFonts w:eastAsiaTheme="majorEastAsia"/>
        </w:rPr>
        <w:t>affected individuals</w:t>
      </w:r>
      <w:r w:rsidR="007F15A1">
        <w:rPr>
          <w:rFonts w:eastAsiaTheme="majorEastAsia"/>
        </w:rPr>
        <w:t>”</w:t>
      </w:r>
      <w:r w:rsidRPr="00D7434B">
        <w:rPr>
          <w:rFonts w:eastAsiaTheme="majorEastAsia"/>
        </w:rPr>
        <w:t xml:space="preserve"> means any individual who </w:t>
      </w:r>
      <w:r w:rsidRPr="00D7434B">
        <w:t>has not met the CCS reconciliation conditions for the 2018-19 income year before the end of the 2019-20 income year.</w:t>
      </w:r>
      <w:r w:rsidRPr="00D7434B">
        <w:rPr>
          <w:rFonts w:eastAsiaTheme="majorEastAsia"/>
        </w:rPr>
        <w:t xml:space="preserve">     </w:t>
      </w:r>
    </w:p>
    <w:p w:rsidR="00BB3D04" w:rsidRPr="00D7434B" w:rsidRDefault="00BB3D04" w:rsidP="00D7434B"/>
    <w:p w:rsidR="00BB3D04" w:rsidRPr="00D7434B" w:rsidRDefault="00BB3D04" w:rsidP="00D7434B">
      <w:pPr>
        <w:rPr>
          <w:rFonts w:eastAsiaTheme="majorEastAsia"/>
        </w:rPr>
      </w:pPr>
      <w:r w:rsidRPr="00D7434B">
        <w:t xml:space="preserve">In making this Instrument the Secretary is satisfied, in accordance with subsection 103B(2), </w:t>
      </w:r>
      <w:r w:rsidRPr="00D7434B">
        <w:rPr>
          <w:rFonts w:eastAsiaTheme="majorEastAsia"/>
        </w:rPr>
        <w:t>that special circumstances have prevented the affected individuals from meeting the CCS reconciliation conditions for the 2018-19 income year</w:t>
      </w:r>
      <w:r w:rsidR="007F15A1">
        <w:rPr>
          <w:rFonts w:eastAsiaTheme="majorEastAsia"/>
        </w:rPr>
        <w:t xml:space="preserve"> by 30 June 2020</w:t>
      </w:r>
      <w:r w:rsidRPr="00D7434B">
        <w:rPr>
          <w:rFonts w:eastAsiaTheme="majorEastAsia"/>
        </w:rPr>
        <w:t>. The special circumstances are the impacts of the coronavirus pandemic and its attendant economic and social uncertainties.</w:t>
      </w:r>
    </w:p>
    <w:p w:rsidR="00BB3D04" w:rsidRPr="00D7434B" w:rsidRDefault="00BB3D04" w:rsidP="00D7434B">
      <w:pPr>
        <w:rPr>
          <w:rFonts w:eastAsiaTheme="majorEastAsia"/>
        </w:rPr>
      </w:pPr>
    </w:p>
    <w:p w:rsidR="00BB3D04" w:rsidRPr="00D7434B" w:rsidRDefault="00BB3D04" w:rsidP="00D7434B">
      <w:pPr>
        <w:rPr>
          <w:rFonts w:eastAsiaTheme="majorEastAsia"/>
        </w:rPr>
      </w:pPr>
      <w:r w:rsidRPr="00D7434B">
        <w:t xml:space="preserve">The effect of the Instrument is that </w:t>
      </w:r>
      <w:r w:rsidR="00D7434B" w:rsidRPr="00D7434B">
        <w:t xml:space="preserve">all </w:t>
      </w:r>
      <w:r w:rsidRPr="00D7434B">
        <w:t xml:space="preserve">individuals </w:t>
      </w:r>
      <w:r w:rsidR="00D7434B" w:rsidRPr="00D7434B">
        <w:t xml:space="preserve">who have not met the CCS reconciliation conditions for 2018-19 will </w:t>
      </w:r>
      <w:r w:rsidRPr="00D7434B">
        <w:t xml:space="preserve">have another 9 months to meet </w:t>
      </w:r>
      <w:r w:rsidR="00D7434B" w:rsidRPr="00D7434B">
        <w:t>those</w:t>
      </w:r>
      <w:r w:rsidRPr="00D7434B">
        <w:t xml:space="preserve"> conditions.  This means that affected individuals will continue to be entitled to CCS after 30 June 2020 even if they and their partner/s have not received income tax assessments for 2018-19</w:t>
      </w:r>
      <w:r w:rsidR="007F15A1">
        <w:t xml:space="preserve"> (or otherwise had their ATIs worked out)</w:t>
      </w:r>
      <w:r w:rsidRPr="00D7434B">
        <w:t xml:space="preserve">, and will have until </w:t>
      </w:r>
      <w:r w:rsidR="00F62690">
        <w:t>31 March</w:t>
      </w:r>
      <w:r w:rsidRPr="00D7434B">
        <w:t xml:space="preserve"> 2021 to do so. </w:t>
      </w:r>
      <w:r w:rsidRPr="00D7434B">
        <w:rPr>
          <w:rFonts w:eastAsiaTheme="majorEastAsia"/>
        </w:rPr>
        <w:t>This measure is intended to facilitate families’ access to subsidised child care is a critical component of the Government’s strategy to rebuild the Australian economy following the peak of the coronavirus pandemic shutdowns.</w:t>
      </w:r>
    </w:p>
    <w:p w:rsidR="00BB3D04" w:rsidRPr="00D7434B" w:rsidRDefault="00BB3D04" w:rsidP="00D7434B">
      <w:pPr>
        <w:rPr>
          <w:rFonts w:eastAsiaTheme="majorEastAsia"/>
        </w:rPr>
      </w:pPr>
    </w:p>
    <w:p w:rsidR="00D7434B" w:rsidRDefault="00D7434B" w:rsidP="00D7434B">
      <w:pPr>
        <w:rPr>
          <w:rFonts w:eastAsiaTheme="majorEastAsia"/>
        </w:rPr>
      </w:pPr>
      <w:r>
        <w:rPr>
          <w:rFonts w:eastAsiaTheme="majorEastAsia"/>
        </w:rPr>
        <w:br w:type="page"/>
      </w:r>
    </w:p>
    <w:p w:rsidR="003506AF" w:rsidRPr="00D7434B" w:rsidRDefault="003506AF" w:rsidP="00D7434B">
      <w:pPr>
        <w:rPr>
          <w:rFonts w:eastAsiaTheme="majorEastAsia"/>
        </w:rPr>
      </w:pPr>
    </w:p>
    <w:p w:rsidR="00AB1556" w:rsidRPr="00AA38FF" w:rsidRDefault="00AB1556" w:rsidP="005B7C80">
      <w:pPr>
        <w:pStyle w:val="Title"/>
        <w:jc w:val="both"/>
        <w:rPr>
          <w:rFonts w:eastAsiaTheme="majorEastAsia"/>
        </w:rPr>
      </w:pPr>
      <w:r w:rsidRPr="00AA38FF">
        <w:rPr>
          <w:rFonts w:eastAsiaTheme="majorEastAsia"/>
        </w:rPr>
        <w:t>Statement of Compatibility with Human Rights</w:t>
      </w:r>
    </w:p>
    <w:p w:rsidR="008A4C02" w:rsidRPr="004A661F" w:rsidRDefault="008A4C02" w:rsidP="004A661F">
      <w:pPr>
        <w:rPr>
          <w:i/>
        </w:rPr>
      </w:pPr>
      <w:r w:rsidRPr="004A661F">
        <w:t xml:space="preserve">Prepared in accordance with Part 3 of the </w:t>
      </w:r>
      <w:r w:rsidRPr="004A661F">
        <w:rPr>
          <w:i/>
        </w:rPr>
        <w:t>Human Rights (Parliamentary Scrutiny) Act 2011</w:t>
      </w:r>
    </w:p>
    <w:p w:rsidR="003B2E60" w:rsidRPr="004A661F" w:rsidRDefault="00D12902" w:rsidP="004A661F">
      <w:pPr>
        <w:pStyle w:val="Heading2"/>
        <w:rPr>
          <w:i/>
        </w:rPr>
      </w:pPr>
      <w:r w:rsidRPr="004A661F">
        <w:rPr>
          <w:i/>
        </w:rPr>
        <w:t>Child Care Subsidy (Extension of First Deadline) Instrument 2020</w:t>
      </w:r>
    </w:p>
    <w:p w:rsidR="003B2E60" w:rsidRPr="004A661F" w:rsidRDefault="003B2E60" w:rsidP="004A661F"/>
    <w:p w:rsidR="008A4C02" w:rsidRDefault="008A4C02" w:rsidP="004A661F">
      <w:r w:rsidRPr="004A661F">
        <w:t xml:space="preserve">This Legislative Instrument is compatible with the human rights and freedoms recognised or declared in the international instruments listed in section 3 of the </w:t>
      </w:r>
      <w:r w:rsidRPr="004A661F">
        <w:rPr>
          <w:i/>
        </w:rPr>
        <w:t>Human Rights (Parliamentary Scrutiny) Act 2011</w:t>
      </w:r>
      <w:r w:rsidRPr="004A661F">
        <w:t>.</w:t>
      </w:r>
    </w:p>
    <w:p w:rsidR="009D54A9" w:rsidRPr="004A661F" w:rsidRDefault="008A4C02" w:rsidP="004A661F">
      <w:pPr>
        <w:pStyle w:val="Heading2"/>
        <w:rPr>
          <w:rFonts w:eastAsiaTheme="majorEastAsia"/>
          <w:highlight w:val="yellow"/>
        </w:rPr>
      </w:pPr>
      <w:r w:rsidRPr="004A661F">
        <w:rPr>
          <w:rFonts w:eastAsiaTheme="majorEastAsia"/>
        </w:rPr>
        <w:t>Overview of the Legislative Instrument</w:t>
      </w:r>
      <w:r w:rsidR="4E7E67D5" w:rsidRPr="004A661F">
        <w:rPr>
          <w:rFonts w:eastAsiaTheme="majorEastAsia"/>
        </w:rPr>
        <w:t xml:space="preserve"> </w:t>
      </w:r>
    </w:p>
    <w:p w:rsidR="002E4D98" w:rsidRPr="00D7434B" w:rsidRDefault="002E4D98" w:rsidP="002E4D98">
      <w:r w:rsidRPr="00D7434B">
        <w:t xml:space="preserve">The </w:t>
      </w:r>
      <w:r w:rsidRPr="00F62690">
        <w:rPr>
          <w:i/>
        </w:rPr>
        <w:t>Child Care Subsidy (Extension of First Deadline) Instrument 2020</w:t>
      </w:r>
      <w:r w:rsidRPr="00D7434B">
        <w:t xml:space="preserve"> (the Instrument) is made under subsection 103B(2) of the A New Tax System (Family Assistance) Act 1999 (Family Assistance Administration Act). </w:t>
      </w:r>
    </w:p>
    <w:p w:rsidR="002E4D98" w:rsidRPr="00D7434B" w:rsidRDefault="002E4D98" w:rsidP="002E4D98"/>
    <w:p w:rsidR="002E4D98" w:rsidRPr="00D7434B" w:rsidRDefault="002E4D98" w:rsidP="002E4D98">
      <w:r w:rsidRPr="00D7434B">
        <w:t>The Instrument extends the period in which affected individuals are able to meet the Child Care Subsidy (CCS) reconciliation conditions for the 2018-19 income year, from 30 June 2020 to 31 March 2021.</w:t>
      </w:r>
    </w:p>
    <w:p w:rsidR="002E4D98" w:rsidRPr="00D7434B" w:rsidRDefault="002E4D98" w:rsidP="002E4D98"/>
    <w:p w:rsidR="002E4D98" w:rsidRPr="00D7434B" w:rsidRDefault="002E4D98" w:rsidP="002E4D98">
      <w:r w:rsidRPr="00D7434B">
        <w:t xml:space="preserve">The CCS reconciliation conditions are set out in section 103A of the Family Assistance Administration Act.  Generally speaking, an individual meets the reconciliation conditions for a particular income year when they and their partner/s during that year have had </w:t>
      </w:r>
      <w:r>
        <w:t xml:space="preserve">their adjusted taxable incomes (ATIs) for the year worked out (usually through </w:t>
      </w:r>
      <w:r w:rsidRPr="00D7434B">
        <w:t>income tax assessments for that year made by the Australian Taxation Office (ATO)</w:t>
      </w:r>
      <w:r>
        <w:t>)</w:t>
      </w:r>
      <w:r w:rsidRPr="00D7434B">
        <w:t>.</w:t>
      </w:r>
    </w:p>
    <w:p w:rsidR="002E4D98" w:rsidRPr="00D7434B" w:rsidRDefault="002E4D98" w:rsidP="002E4D98"/>
    <w:p w:rsidR="002E4D98" w:rsidRPr="00D7434B" w:rsidRDefault="002E4D98" w:rsidP="002E4D98">
      <w:pPr>
        <w:rPr>
          <w:rFonts w:eastAsiaTheme="majorEastAsia"/>
        </w:rPr>
      </w:pPr>
      <w:r w:rsidRPr="00D7434B">
        <w:t xml:space="preserve">In making this Instrument the Secretary is satisfied, in accordance with subsection 103B(2), </w:t>
      </w:r>
      <w:r w:rsidRPr="00D7434B">
        <w:rPr>
          <w:rFonts w:eastAsiaTheme="majorEastAsia"/>
        </w:rPr>
        <w:t xml:space="preserve">that special circumstances have prevented the affected individuals from meeting the CCS reconciliation conditions for the 2018-19 income year.   The special circumstances are the impacts of the </w:t>
      </w:r>
      <w:r>
        <w:rPr>
          <w:rFonts w:eastAsiaTheme="majorEastAsia"/>
        </w:rPr>
        <w:t>COVID-19</w:t>
      </w:r>
      <w:r w:rsidRPr="00D7434B">
        <w:rPr>
          <w:rFonts w:eastAsiaTheme="majorEastAsia"/>
        </w:rPr>
        <w:t xml:space="preserve"> pandemic and its attendant economic and social uncertainties.</w:t>
      </w:r>
    </w:p>
    <w:p w:rsidR="002E4D98" w:rsidRPr="00D7434B" w:rsidRDefault="002E4D98" w:rsidP="002E4D98">
      <w:pPr>
        <w:rPr>
          <w:rFonts w:eastAsiaTheme="majorEastAsia"/>
        </w:rPr>
      </w:pPr>
    </w:p>
    <w:p w:rsidR="002E4D98" w:rsidRPr="00D7434B" w:rsidRDefault="002E4D98" w:rsidP="002E4D98">
      <w:pPr>
        <w:rPr>
          <w:rFonts w:eastAsiaTheme="majorEastAsia"/>
        </w:rPr>
      </w:pPr>
      <w:r w:rsidRPr="00D7434B">
        <w:t xml:space="preserve">The effect of the Instrument is that affected individuals have another 9 months to meet the CCS reconciliation conditions for 2018-19.  This means that affected individuals will continue to be entitled to CCS after 30 June 2020 even if they have and their partner/s have not </w:t>
      </w:r>
      <w:r>
        <w:t>had their ATIs worked out for</w:t>
      </w:r>
      <w:r w:rsidRPr="00D7434B">
        <w:t xml:space="preserve"> 2018-19, and will have until 3</w:t>
      </w:r>
      <w:r>
        <w:t>1</w:t>
      </w:r>
      <w:r w:rsidRPr="00D7434B">
        <w:t xml:space="preserve"> March 2021 to do so. </w:t>
      </w:r>
      <w:r w:rsidRPr="00D7434B">
        <w:rPr>
          <w:rFonts w:eastAsiaTheme="majorEastAsia"/>
        </w:rPr>
        <w:t xml:space="preserve">This measure is intended to facilitate families’ access to subsidised child care is a critical component of the Government’s strategy to rebuild the Australian economy following the peak of the </w:t>
      </w:r>
      <w:r>
        <w:rPr>
          <w:rFonts w:eastAsiaTheme="majorEastAsia"/>
        </w:rPr>
        <w:t>COVID-19</w:t>
      </w:r>
      <w:r w:rsidRPr="00D7434B">
        <w:rPr>
          <w:rFonts w:eastAsiaTheme="majorEastAsia"/>
        </w:rPr>
        <w:t xml:space="preserve"> pandemic shutdowns.</w:t>
      </w:r>
    </w:p>
    <w:p w:rsidR="002F5C66" w:rsidRPr="004A661F" w:rsidRDefault="002F5C66" w:rsidP="004A661F">
      <w:pPr>
        <w:pStyle w:val="Heading2"/>
      </w:pPr>
      <w:r w:rsidRPr="004A661F">
        <w:t xml:space="preserve">Analysis of human rights implications </w:t>
      </w:r>
    </w:p>
    <w:p w:rsidR="002F5C66" w:rsidRDefault="002F5C66" w:rsidP="004A661F">
      <w:r w:rsidRPr="004A661F">
        <w:t xml:space="preserve">The Instrument engages Articles 3, 19 and 27 of the </w:t>
      </w:r>
      <w:r w:rsidRPr="004A661F">
        <w:rPr>
          <w:i/>
        </w:rPr>
        <w:t>Convention on the Rights of the Child</w:t>
      </w:r>
      <w:r w:rsidRPr="004A661F">
        <w:t xml:space="preserve"> (CRC) and Article 9 of the </w:t>
      </w:r>
      <w:r w:rsidRPr="004A661F">
        <w:rPr>
          <w:i/>
        </w:rPr>
        <w:t>International Covenant on Economic, Social and Cultural Rights</w:t>
      </w:r>
      <w:r w:rsidRPr="004A661F">
        <w:t xml:space="preserve"> (ICECSR). </w:t>
      </w:r>
    </w:p>
    <w:p w:rsidR="004A661F" w:rsidRPr="004A661F" w:rsidRDefault="004A661F" w:rsidP="004A661F"/>
    <w:p w:rsidR="002F5C66" w:rsidRDefault="002F5C66" w:rsidP="004A661F">
      <w:r w:rsidRPr="004A661F">
        <w:rPr>
          <w:b/>
        </w:rPr>
        <w:t>Article 3 of the CRC</w:t>
      </w:r>
      <w:r w:rsidRPr="004A661F">
        <w:t xml:space="preserve"> recognises that in all actions concerning children, the best interests of the child shall be a primary consideration. </w:t>
      </w:r>
    </w:p>
    <w:p w:rsidR="004A661F" w:rsidRPr="004A661F" w:rsidRDefault="004A661F" w:rsidP="004A661F"/>
    <w:p w:rsidR="002F5C66" w:rsidRDefault="002F5C66" w:rsidP="004A661F">
      <w:r w:rsidRPr="004A661F">
        <w:rPr>
          <w:b/>
        </w:rPr>
        <w:lastRenderedPageBreak/>
        <w:t>Article 19 of the CRC</w:t>
      </w:r>
      <w:r w:rsidRPr="004A661F">
        <w:t xml:space="preserve"> requires that appropriate measures </w:t>
      </w:r>
      <w:r w:rsidR="00604B25">
        <w:t>be</w:t>
      </w:r>
      <w:r w:rsidRPr="004A661F">
        <w:t xml:space="preserve"> taken to protect the child from all forms of physical or mental violence, injury or abuse, neglect or negligent treatment, maltreatment or exploitation. </w:t>
      </w:r>
    </w:p>
    <w:p w:rsidR="004A661F" w:rsidRPr="004A661F" w:rsidRDefault="004A661F" w:rsidP="004A661F"/>
    <w:p w:rsidR="002F5C66" w:rsidRDefault="002F5C66" w:rsidP="004A661F">
      <w:r w:rsidRPr="004A661F">
        <w:rPr>
          <w:b/>
        </w:rPr>
        <w:t>Article 27 of the CRC</w:t>
      </w:r>
      <w:r w:rsidRPr="004A661F">
        <w:t xml:space="preserve">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rsidR="004A661F" w:rsidRPr="004A661F" w:rsidRDefault="004A661F" w:rsidP="004A661F"/>
    <w:p w:rsidR="002F5C66" w:rsidRPr="004A661F" w:rsidRDefault="002F5C66" w:rsidP="004A661F">
      <w:r w:rsidRPr="004A661F">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rsidR="002F5C66" w:rsidRPr="004A661F" w:rsidRDefault="002F5C66" w:rsidP="004A661F"/>
    <w:p w:rsidR="002F5C66" w:rsidRDefault="002F5C66" w:rsidP="004A661F">
      <w:r w:rsidRPr="004A661F">
        <w:t xml:space="preserve">Accordingly, the Instrument supports children and families to continue to access and/or remain enrolled in quality child care by extending the deadline by which families must meet the CCS reconciliation conditions for the 2018-19 income year. </w:t>
      </w:r>
      <w:r w:rsidR="004A661F">
        <w:t xml:space="preserve"> </w:t>
      </w:r>
      <w:r w:rsidRPr="004A661F">
        <w:t xml:space="preserve">In particular, the measures in the Instrument continue to advance the rights of parents and children by facilitating access to </w:t>
      </w:r>
      <w:r w:rsidR="004A661F">
        <w:t xml:space="preserve">subsidised </w:t>
      </w:r>
      <w:r w:rsidRPr="004A661F">
        <w:t>child care in circumstances where, due to the COVID-19 crisis, families may not have been able to comply with the ordinary deadline for meeting the CCS reconciliation condition</w:t>
      </w:r>
      <w:r w:rsidR="004A661F">
        <w:t>s</w:t>
      </w:r>
      <w:r w:rsidRPr="004A661F">
        <w:t xml:space="preserve"> and as a consequence, would not have been entitled to CCS or ACCS. The measures in the Instrument will also work to ensure that vulnerable and disadvantaged families in particular continue to access child care at a reasonable cost. </w:t>
      </w:r>
    </w:p>
    <w:p w:rsidR="004A661F" w:rsidRPr="004A661F" w:rsidRDefault="004A661F" w:rsidP="004A661F"/>
    <w:p w:rsidR="002F5C66" w:rsidRPr="004A661F" w:rsidRDefault="002F5C66" w:rsidP="004A661F">
      <w:r w:rsidRPr="004A661F">
        <w:rPr>
          <w:b/>
        </w:rPr>
        <w:t>Article 9 of the ICECSR</w:t>
      </w:r>
      <w:r w:rsidRPr="004A661F">
        <w:t xml:space="preserve"> recognises the right of everyone to social security. </w:t>
      </w:r>
    </w:p>
    <w:p w:rsidR="002F5C66" w:rsidRDefault="002F5C66" w:rsidP="004A661F">
      <w:r w:rsidRPr="004A661F">
        <w:t>The Instrument supports the right to social security by providing flexibility to the deadline by which families must meet the CCS reconciliation condition, thereby ensuring that families and children continue to have access to subsidised child care during the COVID-19</w:t>
      </w:r>
      <w:r w:rsidR="002E4D98">
        <w:t xml:space="preserve"> pandemic</w:t>
      </w:r>
      <w:r w:rsidRPr="004A661F">
        <w:t>.</w:t>
      </w:r>
    </w:p>
    <w:p w:rsidR="004A661F" w:rsidRPr="004A661F" w:rsidRDefault="004A661F" w:rsidP="004A661F"/>
    <w:p w:rsidR="002F5C66" w:rsidRPr="004A661F" w:rsidRDefault="002F5C66" w:rsidP="004A661F">
      <w:pPr>
        <w:pStyle w:val="Heading2"/>
      </w:pPr>
      <w:r w:rsidRPr="004A661F">
        <w:t>Conclusion</w:t>
      </w:r>
    </w:p>
    <w:p w:rsidR="002F5C66" w:rsidRPr="004A661F" w:rsidRDefault="002F5C66" w:rsidP="004A661F">
      <w:r w:rsidRPr="004A661F">
        <w:t>The Instrument is compatible with human rights.</w:t>
      </w:r>
    </w:p>
    <w:p w:rsidR="008A4C02" w:rsidRPr="004A661F" w:rsidRDefault="008A4C02" w:rsidP="004A661F"/>
    <w:p w:rsidR="008A4C02" w:rsidRPr="004A661F" w:rsidRDefault="008A4C02" w:rsidP="004A661F"/>
    <w:p w:rsidR="008A4C02" w:rsidRPr="004A661F" w:rsidRDefault="008A4C02" w:rsidP="004A661F">
      <w:r w:rsidRPr="004A661F">
        <w:t>Dan Tehan</w:t>
      </w:r>
    </w:p>
    <w:p w:rsidR="008A4C02" w:rsidRPr="004A661F" w:rsidRDefault="008A4C02" w:rsidP="004A661F">
      <w:r w:rsidRPr="004A661F">
        <w:t>Minister for Education</w:t>
      </w:r>
    </w:p>
    <w:p w:rsidR="004064E0" w:rsidRPr="004A661F" w:rsidRDefault="004064E0" w:rsidP="004A661F"/>
    <w:p w:rsidR="004064E0" w:rsidRPr="004A661F" w:rsidRDefault="004064E0" w:rsidP="004A661F"/>
    <w:p w:rsidR="00AB1556" w:rsidRPr="004A661F" w:rsidRDefault="00AB1556" w:rsidP="004A661F"/>
    <w:p w:rsidR="00AB1CAA" w:rsidRPr="004A661F" w:rsidRDefault="00AB1CAA" w:rsidP="004A661F"/>
    <w:sectPr w:rsidR="00AB1CAA" w:rsidRPr="004A661F"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DB" w:rsidRDefault="001664DB" w:rsidP="00AC09DB">
      <w:r>
        <w:separator/>
      </w:r>
    </w:p>
  </w:endnote>
  <w:endnote w:type="continuationSeparator" w:id="0">
    <w:p w:rsidR="001664DB" w:rsidRDefault="001664DB" w:rsidP="00AC09DB">
      <w:r>
        <w:continuationSeparator/>
      </w:r>
    </w:p>
  </w:endnote>
  <w:endnote w:type="continuationNotice" w:id="1">
    <w:p w:rsidR="001664DB" w:rsidRDefault="0016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17" w:rsidRDefault="00472C17" w:rsidP="00AC09DB">
    <w:pPr>
      <w:pStyle w:val="Footer"/>
      <w:pBdr>
        <w:top w:val="single" w:sz="4" w:space="1" w:color="D9D9D9" w:themeColor="background1" w:themeShade="D9"/>
      </w:pBdr>
      <w:jc w:val="center"/>
    </w:pPr>
  </w:p>
  <w:p w:rsidR="00472C17" w:rsidRDefault="009C12B2"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472C17">
          <w:fldChar w:fldCharType="begin"/>
        </w:r>
        <w:r w:rsidR="00472C17">
          <w:instrText xml:space="preserve"> PAGE   \* MERGEFORMAT </w:instrText>
        </w:r>
        <w:r w:rsidR="00472C17">
          <w:fldChar w:fldCharType="separate"/>
        </w:r>
        <w:r w:rsidRPr="009C12B2">
          <w:rPr>
            <w:b/>
            <w:bCs/>
            <w:noProof/>
          </w:rPr>
          <w:t>1</w:t>
        </w:r>
        <w:r w:rsidR="00472C17">
          <w:rPr>
            <w:b/>
            <w:bCs/>
            <w:noProof/>
          </w:rPr>
          <w:fldChar w:fldCharType="end"/>
        </w:r>
        <w:r w:rsidR="00472C17">
          <w:rPr>
            <w:b/>
            <w:bCs/>
          </w:rPr>
          <w:t xml:space="preserve"> </w:t>
        </w:r>
      </w:sdtContent>
    </w:sdt>
  </w:p>
  <w:p w:rsidR="00472C17" w:rsidRDefault="0047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DB" w:rsidRDefault="001664DB" w:rsidP="00AC09DB">
      <w:r>
        <w:separator/>
      </w:r>
    </w:p>
  </w:footnote>
  <w:footnote w:type="continuationSeparator" w:id="0">
    <w:p w:rsidR="001664DB" w:rsidRDefault="001664DB" w:rsidP="00AC09DB">
      <w:r>
        <w:continuationSeparator/>
      </w:r>
    </w:p>
  </w:footnote>
  <w:footnote w:type="continuationNotice" w:id="1">
    <w:p w:rsidR="001664DB" w:rsidRDefault="001664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5F3"/>
    <w:multiLevelType w:val="hybridMultilevel"/>
    <w:tmpl w:val="0406C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513BA"/>
    <w:multiLevelType w:val="hybridMultilevel"/>
    <w:tmpl w:val="FBF0CC00"/>
    <w:lvl w:ilvl="0" w:tplc="BF8E3870">
      <w:start w:val="1"/>
      <w:numFmt w:val="bullet"/>
      <w:lvlText w:val=""/>
      <w:lvlJc w:val="left"/>
      <w:pPr>
        <w:ind w:left="720" w:hanging="360"/>
      </w:pPr>
      <w:rPr>
        <w:rFonts w:ascii="Symbol" w:hAnsi="Symbol" w:hint="default"/>
      </w:rPr>
    </w:lvl>
    <w:lvl w:ilvl="1" w:tplc="9F3E7B84">
      <w:start w:val="1"/>
      <w:numFmt w:val="bullet"/>
      <w:lvlText w:val="o"/>
      <w:lvlJc w:val="left"/>
      <w:pPr>
        <w:ind w:left="1440" w:hanging="360"/>
      </w:pPr>
      <w:rPr>
        <w:rFonts w:ascii="Courier New" w:hAnsi="Courier New" w:hint="default"/>
      </w:rPr>
    </w:lvl>
    <w:lvl w:ilvl="2" w:tplc="E4AAF458">
      <w:start w:val="1"/>
      <w:numFmt w:val="bullet"/>
      <w:lvlText w:val=""/>
      <w:lvlJc w:val="left"/>
      <w:pPr>
        <w:ind w:left="2160" w:hanging="360"/>
      </w:pPr>
      <w:rPr>
        <w:rFonts w:ascii="Wingdings" w:hAnsi="Wingdings" w:hint="default"/>
      </w:rPr>
    </w:lvl>
    <w:lvl w:ilvl="3" w:tplc="79228562">
      <w:start w:val="1"/>
      <w:numFmt w:val="bullet"/>
      <w:lvlText w:val=""/>
      <w:lvlJc w:val="left"/>
      <w:pPr>
        <w:ind w:left="2880" w:hanging="360"/>
      </w:pPr>
      <w:rPr>
        <w:rFonts w:ascii="Symbol" w:hAnsi="Symbol" w:hint="default"/>
      </w:rPr>
    </w:lvl>
    <w:lvl w:ilvl="4" w:tplc="7A408C32">
      <w:start w:val="1"/>
      <w:numFmt w:val="bullet"/>
      <w:lvlText w:val="o"/>
      <w:lvlJc w:val="left"/>
      <w:pPr>
        <w:ind w:left="3600" w:hanging="360"/>
      </w:pPr>
      <w:rPr>
        <w:rFonts w:ascii="Courier New" w:hAnsi="Courier New" w:hint="default"/>
      </w:rPr>
    </w:lvl>
    <w:lvl w:ilvl="5" w:tplc="D03ADF4A">
      <w:start w:val="1"/>
      <w:numFmt w:val="bullet"/>
      <w:lvlText w:val=""/>
      <w:lvlJc w:val="left"/>
      <w:pPr>
        <w:ind w:left="4320" w:hanging="360"/>
      </w:pPr>
      <w:rPr>
        <w:rFonts w:ascii="Wingdings" w:hAnsi="Wingdings" w:hint="default"/>
      </w:rPr>
    </w:lvl>
    <w:lvl w:ilvl="6" w:tplc="96B654E8">
      <w:start w:val="1"/>
      <w:numFmt w:val="bullet"/>
      <w:lvlText w:val=""/>
      <w:lvlJc w:val="left"/>
      <w:pPr>
        <w:ind w:left="5040" w:hanging="360"/>
      </w:pPr>
      <w:rPr>
        <w:rFonts w:ascii="Symbol" w:hAnsi="Symbol" w:hint="default"/>
      </w:rPr>
    </w:lvl>
    <w:lvl w:ilvl="7" w:tplc="DF402336">
      <w:start w:val="1"/>
      <w:numFmt w:val="bullet"/>
      <w:lvlText w:val="o"/>
      <w:lvlJc w:val="left"/>
      <w:pPr>
        <w:ind w:left="5760" w:hanging="360"/>
      </w:pPr>
      <w:rPr>
        <w:rFonts w:ascii="Courier New" w:hAnsi="Courier New" w:hint="default"/>
      </w:rPr>
    </w:lvl>
    <w:lvl w:ilvl="8" w:tplc="3EDC0C28">
      <w:start w:val="1"/>
      <w:numFmt w:val="bullet"/>
      <w:lvlText w:val=""/>
      <w:lvlJc w:val="left"/>
      <w:pPr>
        <w:ind w:left="6480" w:hanging="360"/>
      </w:pPr>
      <w:rPr>
        <w:rFonts w:ascii="Wingdings" w:hAnsi="Wingdings" w:hint="default"/>
      </w:rPr>
    </w:lvl>
  </w:abstractNum>
  <w:abstractNum w:abstractNumId="2" w15:restartNumberingAfterBreak="0">
    <w:nsid w:val="396B0987"/>
    <w:multiLevelType w:val="hybridMultilevel"/>
    <w:tmpl w:val="83A00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F14D72"/>
    <w:multiLevelType w:val="hybridMultilevel"/>
    <w:tmpl w:val="B6C056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2A62B1B"/>
    <w:multiLevelType w:val="hybridMultilevel"/>
    <w:tmpl w:val="9D543648"/>
    <w:lvl w:ilvl="0" w:tplc="0DA027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9A362E"/>
    <w:multiLevelType w:val="hybridMultilevel"/>
    <w:tmpl w:val="6E38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8E797F"/>
    <w:multiLevelType w:val="hybridMultilevel"/>
    <w:tmpl w:val="C4F44034"/>
    <w:lvl w:ilvl="0" w:tplc="6CD80E18">
      <w:start w:val="1"/>
      <w:numFmt w:val="bullet"/>
      <w:lvlText w:val=""/>
      <w:lvlJc w:val="left"/>
      <w:pPr>
        <w:ind w:left="720" w:hanging="360"/>
      </w:pPr>
      <w:rPr>
        <w:rFonts w:ascii="Symbol" w:hAnsi="Symbol" w:hint="default"/>
      </w:rPr>
    </w:lvl>
    <w:lvl w:ilvl="1" w:tplc="256C0BC4">
      <w:start w:val="1"/>
      <w:numFmt w:val="bullet"/>
      <w:lvlText w:val="o"/>
      <w:lvlJc w:val="left"/>
      <w:pPr>
        <w:ind w:left="1440" w:hanging="360"/>
      </w:pPr>
      <w:rPr>
        <w:rFonts w:ascii="Courier New" w:hAnsi="Courier New" w:hint="default"/>
      </w:rPr>
    </w:lvl>
    <w:lvl w:ilvl="2" w:tplc="BD028160">
      <w:start w:val="1"/>
      <w:numFmt w:val="bullet"/>
      <w:lvlText w:val=""/>
      <w:lvlJc w:val="left"/>
      <w:pPr>
        <w:ind w:left="2160" w:hanging="360"/>
      </w:pPr>
      <w:rPr>
        <w:rFonts w:ascii="Wingdings" w:hAnsi="Wingdings" w:hint="default"/>
      </w:rPr>
    </w:lvl>
    <w:lvl w:ilvl="3" w:tplc="DFAA3FC0">
      <w:start w:val="1"/>
      <w:numFmt w:val="bullet"/>
      <w:lvlText w:val=""/>
      <w:lvlJc w:val="left"/>
      <w:pPr>
        <w:ind w:left="2880" w:hanging="360"/>
      </w:pPr>
      <w:rPr>
        <w:rFonts w:ascii="Symbol" w:hAnsi="Symbol" w:hint="default"/>
      </w:rPr>
    </w:lvl>
    <w:lvl w:ilvl="4" w:tplc="2FB204BA">
      <w:start w:val="1"/>
      <w:numFmt w:val="bullet"/>
      <w:lvlText w:val="o"/>
      <w:lvlJc w:val="left"/>
      <w:pPr>
        <w:ind w:left="3600" w:hanging="360"/>
      </w:pPr>
      <w:rPr>
        <w:rFonts w:ascii="Courier New" w:hAnsi="Courier New" w:hint="default"/>
      </w:rPr>
    </w:lvl>
    <w:lvl w:ilvl="5" w:tplc="973A1A8A">
      <w:start w:val="1"/>
      <w:numFmt w:val="bullet"/>
      <w:lvlText w:val=""/>
      <w:lvlJc w:val="left"/>
      <w:pPr>
        <w:ind w:left="4320" w:hanging="360"/>
      </w:pPr>
      <w:rPr>
        <w:rFonts w:ascii="Wingdings" w:hAnsi="Wingdings" w:hint="default"/>
      </w:rPr>
    </w:lvl>
    <w:lvl w:ilvl="6" w:tplc="6B2E632E">
      <w:start w:val="1"/>
      <w:numFmt w:val="bullet"/>
      <w:lvlText w:val=""/>
      <w:lvlJc w:val="left"/>
      <w:pPr>
        <w:ind w:left="5040" w:hanging="360"/>
      </w:pPr>
      <w:rPr>
        <w:rFonts w:ascii="Symbol" w:hAnsi="Symbol" w:hint="default"/>
      </w:rPr>
    </w:lvl>
    <w:lvl w:ilvl="7" w:tplc="362E090C">
      <w:start w:val="1"/>
      <w:numFmt w:val="bullet"/>
      <w:lvlText w:val="o"/>
      <w:lvlJc w:val="left"/>
      <w:pPr>
        <w:ind w:left="5760" w:hanging="360"/>
      </w:pPr>
      <w:rPr>
        <w:rFonts w:ascii="Courier New" w:hAnsi="Courier New" w:hint="default"/>
      </w:rPr>
    </w:lvl>
    <w:lvl w:ilvl="8" w:tplc="7B38945C">
      <w:start w:val="1"/>
      <w:numFmt w:val="bullet"/>
      <w:lvlText w:val=""/>
      <w:lvlJc w:val="left"/>
      <w:pPr>
        <w:ind w:left="6480" w:hanging="360"/>
      </w:pPr>
      <w:rPr>
        <w:rFonts w:ascii="Wingdings" w:hAnsi="Wingdings" w:hint="default"/>
      </w:rPr>
    </w:lvl>
  </w:abstractNum>
  <w:abstractNum w:abstractNumId="8" w15:restartNumberingAfterBreak="0">
    <w:nsid w:val="76BC57BA"/>
    <w:multiLevelType w:val="hybridMultilevel"/>
    <w:tmpl w:val="0082B92A"/>
    <w:lvl w:ilvl="0" w:tplc="81307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8"/>
  </w:num>
  <w:num w:numId="5">
    <w:abstractNumId w:val="5"/>
  </w:num>
  <w:num w:numId="6">
    <w:abstractNumId w:val="2"/>
  </w:num>
  <w:num w:numId="7">
    <w:abstractNumId w:val="4"/>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110B8"/>
    <w:rsid w:val="000150E6"/>
    <w:rsid w:val="00025508"/>
    <w:rsid w:val="0002570E"/>
    <w:rsid w:val="00035894"/>
    <w:rsid w:val="00047182"/>
    <w:rsid w:val="00054018"/>
    <w:rsid w:val="0006026C"/>
    <w:rsid w:val="00064A79"/>
    <w:rsid w:val="0006561C"/>
    <w:rsid w:val="00066DEE"/>
    <w:rsid w:val="00083A2A"/>
    <w:rsid w:val="00084E83"/>
    <w:rsid w:val="00086029"/>
    <w:rsid w:val="0008633A"/>
    <w:rsid w:val="00096979"/>
    <w:rsid w:val="00097318"/>
    <w:rsid w:val="000A1F80"/>
    <w:rsid w:val="000A6FE1"/>
    <w:rsid w:val="000B092B"/>
    <w:rsid w:val="000B3553"/>
    <w:rsid w:val="000B7C69"/>
    <w:rsid w:val="000C60F9"/>
    <w:rsid w:val="000C622E"/>
    <w:rsid w:val="000D3C84"/>
    <w:rsid w:val="000E2E3F"/>
    <w:rsid w:val="000E4693"/>
    <w:rsid w:val="000E5F8D"/>
    <w:rsid w:val="000E6953"/>
    <w:rsid w:val="000F0389"/>
    <w:rsid w:val="000F1BB2"/>
    <w:rsid w:val="0010050A"/>
    <w:rsid w:val="00104831"/>
    <w:rsid w:val="00107A00"/>
    <w:rsid w:val="00115D2D"/>
    <w:rsid w:val="00123EB7"/>
    <w:rsid w:val="001262A7"/>
    <w:rsid w:val="001314B8"/>
    <w:rsid w:val="0013150A"/>
    <w:rsid w:val="00133919"/>
    <w:rsid w:val="00134FBE"/>
    <w:rsid w:val="00141CB8"/>
    <w:rsid w:val="0014363F"/>
    <w:rsid w:val="00144647"/>
    <w:rsid w:val="001479F5"/>
    <w:rsid w:val="001505FF"/>
    <w:rsid w:val="00150BB5"/>
    <w:rsid w:val="00151979"/>
    <w:rsid w:val="001519F2"/>
    <w:rsid w:val="00151B5C"/>
    <w:rsid w:val="00151E72"/>
    <w:rsid w:val="0015355D"/>
    <w:rsid w:val="00163474"/>
    <w:rsid w:val="001664DB"/>
    <w:rsid w:val="001721AD"/>
    <w:rsid w:val="001725C8"/>
    <w:rsid w:val="00176873"/>
    <w:rsid w:val="00176A40"/>
    <w:rsid w:val="0017719F"/>
    <w:rsid w:val="00183667"/>
    <w:rsid w:val="00196B23"/>
    <w:rsid w:val="001A5938"/>
    <w:rsid w:val="001B1D4E"/>
    <w:rsid w:val="001B56BD"/>
    <w:rsid w:val="001B56C2"/>
    <w:rsid w:val="001B60CC"/>
    <w:rsid w:val="001BDDB7"/>
    <w:rsid w:val="001D3A58"/>
    <w:rsid w:val="001D5FB5"/>
    <w:rsid w:val="001E25F1"/>
    <w:rsid w:val="001E335E"/>
    <w:rsid w:val="001E6F92"/>
    <w:rsid w:val="001F27E4"/>
    <w:rsid w:val="001F3887"/>
    <w:rsid w:val="001F4E62"/>
    <w:rsid w:val="001F5FF2"/>
    <w:rsid w:val="001F6536"/>
    <w:rsid w:val="001F68D8"/>
    <w:rsid w:val="00210A9F"/>
    <w:rsid w:val="00213994"/>
    <w:rsid w:val="00222FD2"/>
    <w:rsid w:val="002246FB"/>
    <w:rsid w:val="00226F77"/>
    <w:rsid w:val="002341AD"/>
    <w:rsid w:val="00253EC7"/>
    <w:rsid w:val="00256897"/>
    <w:rsid w:val="00257B13"/>
    <w:rsid w:val="00260DEC"/>
    <w:rsid w:val="002646A9"/>
    <w:rsid w:val="00266C74"/>
    <w:rsid w:val="00267BFE"/>
    <w:rsid w:val="00275CE0"/>
    <w:rsid w:val="002813B7"/>
    <w:rsid w:val="00285A27"/>
    <w:rsid w:val="00287BA1"/>
    <w:rsid w:val="00287C07"/>
    <w:rsid w:val="00287FE3"/>
    <w:rsid w:val="00293DA1"/>
    <w:rsid w:val="002A4DD7"/>
    <w:rsid w:val="002A7332"/>
    <w:rsid w:val="002B0B43"/>
    <w:rsid w:val="002B32FB"/>
    <w:rsid w:val="002B47A4"/>
    <w:rsid w:val="002C559A"/>
    <w:rsid w:val="002C6504"/>
    <w:rsid w:val="002C6F75"/>
    <w:rsid w:val="002D4C5C"/>
    <w:rsid w:val="002D5644"/>
    <w:rsid w:val="002E0D1E"/>
    <w:rsid w:val="002E4D98"/>
    <w:rsid w:val="002E6C86"/>
    <w:rsid w:val="002E7609"/>
    <w:rsid w:val="002F1E06"/>
    <w:rsid w:val="002F465E"/>
    <w:rsid w:val="002F5C66"/>
    <w:rsid w:val="002F5F60"/>
    <w:rsid w:val="0030101D"/>
    <w:rsid w:val="00303371"/>
    <w:rsid w:val="003035B5"/>
    <w:rsid w:val="00311F50"/>
    <w:rsid w:val="00312622"/>
    <w:rsid w:val="003149B8"/>
    <w:rsid w:val="00316FA4"/>
    <w:rsid w:val="003249A1"/>
    <w:rsid w:val="003249C0"/>
    <w:rsid w:val="00330055"/>
    <w:rsid w:val="0033240B"/>
    <w:rsid w:val="003349AC"/>
    <w:rsid w:val="00340A35"/>
    <w:rsid w:val="00344A14"/>
    <w:rsid w:val="00347797"/>
    <w:rsid w:val="003506AF"/>
    <w:rsid w:val="0035377E"/>
    <w:rsid w:val="00353BFD"/>
    <w:rsid w:val="00363381"/>
    <w:rsid w:val="00376029"/>
    <w:rsid w:val="003772ED"/>
    <w:rsid w:val="003802D0"/>
    <w:rsid w:val="003804D5"/>
    <w:rsid w:val="003872C8"/>
    <w:rsid w:val="003910C0"/>
    <w:rsid w:val="00397423"/>
    <w:rsid w:val="003A69C5"/>
    <w:rsid w:val="003A77EB"/>
    <w:rsid w:val="003B05B5"/>
    <w:rsid w:val="003B204B"/>
    <w:rsid w:val="003B2E60"/>
    <w:rsid w:val="003C7AAB"/>
    <w:rsid w:val="003D5ED0"/>
    <w:rsid w:val="003F31C4"/>
    <w:rsid w:val="003F60C0"/>
    <w:rsid w:val="003F78FA"/>
    <w:rsid w:val="00404B01"/>
    <w:rsid w:val="004064E0"/>
    <w:rsid w:val="004070AA"/>
    <w:rsid w:val="004204B5"/>
    <w:rsid w:val="0042170C"/>
    <w:rsid w:val="00422E40"/>
    <w:rsid w:val="00433DF7"/>
    <w:rsid w:val="00440598"/>
    <w:rsid w:val="004437E5"/>
    <w:rsid w:val="00451AAC"/>
    <w:rsid w:val="004576C9"/>
    <w:rsid w:val="0045788A"/>
    <w:rsid w:val="00461D73"/>
    <w:rsid w:val="00472C17"/>
    <w:rsid w:val="00486AE9"/>
    <w:rsid w:val="00491598"/>
    <w:rsid w:val="004A179A"/>
    <w:rsid w:val="004A5E88"/>
    <w:rsid w:val="004A661F"/>
    <w:rsid w:val="004A76DA"/>
    <w:rsid w:val="004B0427"/>
    <w:rsid w:val="004B15FD"/>
    <w:rsid w:val="004B7259"/>
    <w:rsid w:val="004C171F"/>
    <w:rsid w:val="004E0952"/>
    <w:rsid w:val="004E1B70"/>
    <w:rsid w:val="004E7CF2"/>
    <w:rsid w:val="004F1770"/>
    <w:rsid w:val="004F2BEE"/>
    <w:rsid w:val="004F44E2"/>
    <w:rsid w:val="004F76F0"/>
    <w:rsid w:val="00502B4F"/>
    <w:rsid w:val="0050347D"/>
    <w:rsid w:val="00504FF6"/>
    <w:rsid w:val="005068EA"/>
    <w:rsid w:val="00512557"/>
    <w:rsid w:val="005126AB"/>
    <w:rsid w:val="00514303"/>
    <w:rsid w:val="0051514B"/>
    <w:rsid w:val="0051728A"/>
    <w:rsid w:val="005244BA"/>
    <w:rsid w:val="005335FD"/>
    <w:rsid w:val="0053555B"/>
    <w:rsid w:val="00536A4C"/>
    <w:rsid w:val="00537690"/>
    <w:rsid w:val="00543A25"/>
    <w:rsid w:val="00553C47"/>
    <w:rsid w:val="00555F60"/>
    <w:rsid w:val="00560EAD"/>
    <w:rsid w:val="005710E1"/>
    <w:rsid w:val="00572240"/>
    <w:rsid w:val="00573E89"/>
    <w:rsid w:val="00573F34"/>
    <w:rsid w:val="00577DED"/>
    <w:rsid w:val="00582676"/>
    <w:rsid w:val="005837C6"/>
    <w:rsid w:val="0059224F"/>
    <w:rsid w:val="005A2AC6"/>
    <w:rsid w:val="005A7A87"/>
    <w:rsid w:val="005B2D32"/>
    <w:rsid w:val="005B7C80"/>
    <w:rsid w:val="005C06BC"/>
    <w:rsid w:val="005C244C"/>
    <w:rsid w:val="005C43D7"/>
    <w:rsid w:val="005D236C"/>
    <w:rsid w:val="005D6291"/>
    <w:rsid w:val="005D742C"/>
    <w:rsid w:val="005E1698"/>
    <w:rsid w:val="005E194C"/>
    <w:rsid w:val="005E4D33"/>
    <w:rsid w:val="005E5F4D"/>
    <w:rsid w:val="005E70EF"/>
    <w:rsid w:val="005F0912"/>
    <w:rsid w:val="005F1F8B"/>
    <w:rsid w:val="005F4587"/>
    <w:rsid w:val="005F7484"/>
    <w:rsid w:val="00604B25"/>
    <w:rsid w:val="0061113A"/>
    <w:rsid w:val="00614E75"/>
    <w:rsid w:val="006164C4"/>
    <w:rsid w:val="006222AD"/>
    <w:rsid w:val="00623199"/>
    <w:rsid w:val="00626899"/>
    <w:rsid w:val="006305BE"/>
    <w:rsid w:val="006307C9"/>
    <w:rsid w:val="00630C59"/>
    <w:rsid w:val="00632C5C"/>
    <w:rsid w:val="0063442F"/>
    <w:rsid w:val="006372F6"/>
    <w:rsid w:val="006423C3"/>
    <w:rsid w:val="00643A1F"/>
    <w:rsid w:val="00645B74"/>
    <w:rsid w:val="00646108"/>
    <w:rsid w:val="00651309"/>
    <w:rsid w:val="00662423"/>
    <w:rsid w:val="0066263C"/>
    <w:rsid w:val="00664E53"/>
    <w:rsid w:val="00667DC1"/>
    <w:rsid w:val="00671D14"/>
    <w:rsid w:val="00675DD5"/>
    <w:rsid w:val="006804B6"/>
    <w:rsid w:val="00680819"/>
    <w:rsid w:val="006866D2"/>
    <w:rsid w:val="006869E9"/>
    <w:rsid w:val="00694837"/>
    <w:rsid w:val="006A0920"/>
    <w:rsid w:val="006A11EB"/>
    <w:rsid w:val="006A4B23"/>
    <w:rsid w:val="006B26E4"/>
    <w:rsid w:val="006B4EE8"/>
    <w:rsid w:val="006C420A"/>
    <w:rsid w:val="006C461C"/>
    <w:rsid w:val="006D11A9"/>
    <w:rsid w:val="006D400F"/>
    <w:rsid w:val="006D5825"/>
    <w:rsid w:val="006D7AC5"/>
    <w:rsid w:val="006E0EFF"/>
    <w:rsid w:val="006E3F5F"/>
    <w:rsid w:val="00723C27"/>
    <w:rsid w:val="007241F7"/>
    <w:rsid w:val="0072746A"/>
    <w:rsid w:val="007308B9"/>
    <w:rsid w:val="00732A1D"/>
    <w:rsid w:val="00732F8A"/>
    <w:rsid w:val="00734B76"/>
    <w:rsid w:val="00737AB0"/>
    <w:rsid w:val="00740616"/>
    <w:rsid w:val="00742F1F"/>
    <w:rsid w:val="00745098"/>
    <w:rsid w:val="007466DB"/>
    <w:rsid w:val="00746C69"/>
    <w:rsid w:val="00750D51"/>
    <w:rsid w:val="0075486C"/>
    <w:rsid w:val="00762DE4"/>
    <w:rsid w:val="00766811"/>
    <w:rsid w:val="00766987"/>
    <w:rsid w:val="00770009"/>
    <w:rsid w:val="007805E5"/>
    <w:rsid w:val="00781474"/>
    <w:rsid w:val="00782F3C"/>
    <w:rsid w:val="007830F9"/>
    <w:rsid w:val="00785FD4"/>
    <w:rsid w:val="00791D05"/>
    <w:rsid w:val="007A2D5B"/>
    <w:rsid w:val="007A33D9"/>
    <w:rsid w:val="007B4348"/>
    <w:rsid w:val="007B4830"/>
    <w:rsid w:val="007B5009"/>
    <w:rsid w:val="007B500F"/>
    <w:rsid w:val="007C4801"/>
    <w:rsid w:val="007C6D96"/>
    <w:rsid w:val="007D1143"/>
    <w:rsid w:val="007D3DE9"/>
    <w:rsid w:val="007D434E"/>
    <w:rsid w:val="007D70F8"/>
    <w:rsid w:val="007E215D"/>
    <w:rsid w:val="007E37EB"/>
    <w:rsid w:val="007E4497"/>
    <w:rsid w:val="007F01A2"/>
    <w:rsid w:val="007F15A1"/>
    <w:rsid w:val="007F4A7B"/>
    <w:rsid w:val="007F6923"/>
    <w:rsid w:val="00800551"/>
    <w:rsid w:val="0080542E"/>
    <w:rsid w:val="00811362"/>
    <w:rsid w:val="00812910"/>
    <w:rsid w:val="008148C3"/>
    <w:rsid w:val="00820370"/>
    <w:rsid w:val="00820645"/>
    <w:rsid w:val="00823760"/>
    <w:rsid w:val="00826A55"/>
    <w:rsid w:val="00827600"/>
    <w:rsid w:val="0083451A"/>
    <w:rsid w:val="00836B27"/>
    <w:rsid w:val="0084545E"/>
    <w:rsid w:val="008512EC"/>
    <w:rsid w:val="008533A7"/>
    <w:rsid w:val="00860365"/>
    <w:rsid w:val="00860B19"/>
    <w:rsid w:val="008637A9"/>
    <w:rsid w:val="008647C9"/>
    <w:rsid w:val="00870F7D"/>
    <w:rsid w:val="00877111"/>
    <w:rsid w:val="008912DB"/>
    <w:rsid w:val="00891973"/>
    <w:rsid w:val="008924FA"/>
    <w:rsid w:val="008A392F"/>
    <w:rsid w:val="008A4C02"/>
    <w:rsid w:val="008C44A9"/>
    <w:rsid w:val="008C6DBB"/>
    <w:rsid w:val="008E27BF"/>
    <w:rsid w:val="008E75C9"/>
    <w:rsid w:val="008E7EEB"/>
    <w:rsid w:val="008F169A"/>
    <w:rsid w:val="008F1AC8"/>
    <w:rsid w:val="008F37BD"/>
    <w:rsid w:val="008F4F1F"/>
    <w:rsid w:val="008F75AC"/>
    <w:rsid w:val="00902C91"/>
    <w:rsid w:val="00903F68"/>
    <w:rsid w:val="0090417A"/>
    <w:rsid w:val="00910DD5"/>
    <w:rsid w:val="00910DDC"/>
    <w:rsid w:val="00911A65"/>
    <w:rsid w:val="00913B7B"/>
    <w:rsid w:val="00926971"/>
    <w:rsid w:val="00926E47"/>
    <w:rsid w:val="00927226"/>
    <w:rsid w:val="00930EA7"/>
    <w:rsid w:val="00932104"/>
    <w:rsid w:val="0093434E"/>
    <w:rsid w:val="00936EB5"/>
    <w:rsid w:val="00945F51"/>
    <w:rsid w:val="00955A5B"/>
    <w:rsid w:val="00957B60"/>
    <w:rsid w:val="0096285D"/>
    <w:rsid w:val="009674C1"/>
    <w:rsid w:val="00974EFF"/>
    <w:rsid w:val="00981935"/>
    <w:rsid w:val="009835B9"/>
    <w:rsid w:val="00984AC6"/>
    <w:rsid w:val="00985743"/>
    <w:rsid w:val="009A13A5"/>
    <w:rsid w:val="009A26A6"/>
    <w:rsid w:val="009A4B43"/>
    <w:rsid w:val="009A4E4F"/>
    <w:rsid w:val="009A6E00"/>
    <w:rsid w:val="009A7101"/>
    <w:rsid w:val="009B10DE"/>
    <w:rsid w:val="009B172C"/>
    <w:rsid w:val="009C12B2"/>
    <w:rsid w:val="009C6C39"/>
    <w:rsid w:val="009D1089"/>
    <w:rsid w:val="009D48AB"/>
    <w:rsid w:val="009D54A9"/>
    <w:rsid w:val="009D67F0"/>
    <w:rsid w:val="009E37BA"/>
    <w:rsid w:val="009F05ED"/>
    <w:rsid w:val="00A13F27"/>
    <w:rsid w:val="00A24509"/>
    <w:rsid w:val="00A31D39"/>
    <w:rsid w:val="00A35BAC"/>
    <w:rsid w:val="00A36E16"/>
    <w:rsid w:val="00A379A5"/>
    <w:rsid w:val="00A42BDB"/>
    <w:rsid w:val="00A45093"/>
    <w:rsid w:val="00A453B7"/>
    <w:rsid w:val="00A55D07"/>
    <w:rsid w:val="00A5713B"/>
    <w:rsid w:val="00A60435"/>
    <w:rsid w:val="00A64D0D"/>
    <w:rsid w:val="00A74C8E"/>
    <w:rsid w:val="00A84D76"/>
    <w:rsid w:val="00A90354"/>
    <w:rsid w:val="00A91C6E"/>
    <w:rsid w:val="00A92D9E"/>
    <w:rsid w:val="00A94197"/>
    <w:rsid w:val="00A9476B"/>
    <w:rsid w:val="00A96F3F"/>
    <w:rsid w:val="00AA19D4"/>
    <w:rsid w:val="00AA1EAF"/>
    <w:rsid w:val="00AA38FF"/>
    <w:rsid w:val="00AA469E"/>
    <w:rsid w:val="00AA46C4"/>
    <w:rsid w:val="00AB0442"/>
    <w:rsid w:val="00AB1489"/>
    <w:rsid w:val="00AB1556"/>
    <w:rsid w:val="00AB1CAA"/>
    <w:rsid w:val="00AB1FDB"/>
    <w:rsid w:val="00AB6FB1"/>
    <w:rsid w:val="00AC09DB"/>
    <w:rsid w:val="00AC56AF"/>
    <w:rsid w:val="00AD733C"/>
    <w:rsid w:val="00AE238A"/>
    <w:rsid w:val="00AE30DF"/>
    <w:rsid w:val="00AF549F"/>
    <w:rsid w:val="00AF6C7C"/>
    <w:rsid w:val="00AF784F"/>
    <w:rsid w:val="00B012D6"/>
    <w:rsid w:val="00B07208"/>
    <w:rsid w:val="00B12798"/>
    <w:rsid w:val="00B14A2F"/>
    <w:rsid w:val="00B17D21"/>
    <w:rsid w:val="00B22658"/>
    <w:rsid w:val="00B22982"/>
    <w:rsid w:val="00B23859"/>
    <w:rsid w:val="00B249BD"/>
    <w:rsid w:val="00B2718C"/>
    <w:rsid w:val="00B37514"/>
    <w:rsid w:val="00B412C4"/>
    <w:rsid w:val="00B42680"/>
    <w:rsid w:val="00B43C0F"/>
    <w:rsid w:val="00B4410E"/>
    <w:rsid w:val="00B5457C"/>
    <w:rsid w:val="00B5460B"/>
    <w:rsid w:val="00B5462F"/>
    <w:rsid w:val="00B556EC"/>
    <w:rsid w:val="00B56F6E"/>
    <w:rsid w:val="00B64431"/>
    <w:rsid w:val="00B6C8CF"/>
    <w:rsid w:val="00B7301E"/>
    <w:rsid w:val="00B768EE"/>
    <w:rsid w:val="00B76E4F"/>
    <w:rsid w:val="00B77DCD"/>
    <w:rsid w:val="00B82110"/>
    <w:rsid w:val="00B86A88"/>
    <w:rsid w:val="00B90DB4"/>
    <w:rsid w:val="00B93EC7"/>
    <w:rsid w:val="00B95635"/>
    <w:rsid w:val="00BA0A90"/>
    <w:rsid w:val="00BA1133"/>
    <w:rsid w:val="00BA2E9B"/>
    <w:rsid w:val="00BA3F5B"/>
    <w:rsid w:val="00BB3D04"/>
    <w:rsid w:val="00BC1A3B"/>
    <w:rsid w:val="00BC2F50"/>
    <w:rsid w:val="00BC38C7"/>
    <w:rsid w:val="00BC410F"/>
    <w:rsid w:val="00BC79F0"/>
    <w:rsid w:val="00BD5AAF"/>
    <w:rsid w:val="00BD5B73"/>
    <w:rsid w:val="00BE0C98"/>
    <w:rsid w:val="00BF19E4"/>
    <w:rsid w:val="00BF3223"/>
    <w:rsid w:val="00BF7D20"/>
    <w:rsid w:val="00C04478"/>
    <w:rsid w:val="00C04BEB"/>
    <w:rsid w:val="00C04C29"/>
    <w:rsid w:val="00C055E2"/>
    <w:rsid w:val="00C065F9"/>
    <w:rsid w:val="00C129D7"/>
    <w:rsid w:val="00C1440A"/>
    <w:rsid w:val="00C15ED9"/>
    <w:rsid w:val="00C17FD9"/>
    <w:rsid w:val="00C20AC1"/>
    <w:rsid w:val="00C32C95"/>
    <w:rsid w:val="00C32EF5"/>
    <w:rsid w:val="00C33058"/>
    <w:rsid w:val="00C33B8C"/>
    <w:rsid w:val="00C5187F"/>
    <w:rsid w:val="00C56E25"/>
    <w:rsid w:val="00C61769"/>
    <w:rsid w:val="00C62449"/>
    <w:rsid w:val="00C65FBF"/>
    <w:rsid w:val="00C6617D"/>
    <w:rsid w:val="00C67AB6"/>
    <w:rsid w:val="00C7392B"/>
    <w:rsid w:val="00C74A0B"/>
    <w:rsid w:val="00C7631C"/>
    <w:rsid w:val="00C81A95"/>
    <w:rsid w:val="00C81ACD"/>
    <w:rsid w:val="00C840A1"/>
    <w:rsid w:val="00CA4CF1"/>
    <w:rsid w:val="00CA7B05"/>
    <w:rsid w:val="00CB063C"/>
    <w:rsid w:val="00CB78FF"/>
    <w:rsid w:val="00CC22DA"/>
    <w:rsid w:val="00CC2A3F"/>
    <w:rsid w:val="00CC42F7"/>
    <w:rsid w:val="00CC546C"/>
    <w:rsid w:val="00CC7B57"/>
    <w:rsid w:val="00CD298F"/>
    <w:rsid w:val="00CD3C27"/>
    <w:rsid w:val="00CD7CAA"/>
    <w:rsid w:val="00CE110B"/>
    <w:rsid w:val="00CE413C"/>
    <w:rsid w:val="00CE671A"/>
    <w:rsid w:val="00D0089F"/>
    <w:rsid w:val="00D03E83"/>
    <w:rsid w:val="00D0411B"/>
    <w:rsid w:val="00D04231"/>
    <w:rsid w:val="00D12902"/>
    <w:rsid w:val="00D14573"/>
    <w:rsid w:val="00D16678"/>
    <w:rsid w:val="00D235A6"/>
    <w:rsid w:val="00D23F45"/>
    <w:rsid w:val="00D37391"/>
    <w:rsid w:val="00D37916"/>
    <w:rsid w:val="00D4421A"/>
    <w:rsid w:val="00D476C3"/>
    <w:rsid w:val="00D51116"/>
    <w:rsid w:val="00D5208B"/>
    <w:rsid w:val="00D57862"/>
    <w:rsid w:val="00D70983"/>
    <w:rsid w:val="00D70A84"/>
    <w:rsid w:val="00D727E4"/>
    <w:rsid w:val="00D7434B"/>
    <w:rsid w:val="00D825AA"/>
    <w:rsid w:val="00D84BA2"/>
    <w:rsid w:val="00D8602A"/>
    <w:rsid w:val="00D94F34"/>
    <w:rsid w:val="00DA0F19"/>
    <w:rsid w:val="00DA4AAF"/>
    <w:rsid w:val="00DB6769"/>
    <w:rsid w:val="00DB71C2"/>
    <w:rsid w:val="00DB7D8A"/>
    <w:rsid w:val="00DC504E"/>
    <w:rsid w:val="00DC6284"/>
    <w:rsid w:val="00DC6BB1"/>
    <w:rsid w:val="00DD1B09"/>
    <w:rsid w:val="00DD5782"/>
    <w:rsid w:val="00DD7070"/>
    <w:rsid w:val="00DE6DC1"/>
    <w:rsid w:val="00DE7BD7"/>
    <w:rsid w:val="00E07A8A"/>
    <w:rsid w:val="00E1090E"/>
    <w:rsid w:val="00E1560F"/>
    <w:rsid w:val="00E217F9"/>
    <w:rsid w:val="00E23614"/>
    <w:rsid w:val="00E2469E"/>
    <w:rsid w:val="00E25F4E"/>
    <w:rsid w:val="00E447F7"/>
    <w:rsid w:val="00E5181F"/>
    <w:rsid w:val="00E57EB5"/>
    <w:rsid w:val="00E6097A"/>
    <w:rsid w:val="00E638A8"/>
    <w:rsid w:val="00E650A4"/>
    <w:rsid w:val="00E65DE5"/>
    <w:rsid w:val="00E71440"/>
    <w:rsid w:val="00E814D1"/>
    <w:rsid w:val="00E82388"/>
    <w:rsid w:val="00E87893"/>
    <w:rsid w:val="00E93CBB"/>
    <w:rsid w:val="00E9404A"/>
    <w:rsid w:val="00E96F71"/>
    <w:rsid w:val="00E97425"/>
    <w:rsid w:val="00EA3497"/>
    <w:rsid w:val="00EA6E25"/>
    <w:rsid w:val="00EB39D1"/>
    <w:rsid w:val="00EC58B0"/>
    <w:rsid w:val="00EC6BA7"/>
    <w:rsid w:val="00EC76C5"/>
    <w:rsid w:val="00ED563A"/>
    <w:rsid w:val="00ED5F88"/>
    <w:rsid w:val="00EE245A"/>
    <w:rsid w:val="00EE41A2"/>
    <w:rsid w:val="00EE5C11"/>
    <w:rsid w:val="00EE65DB"/>
    <w:rsid w:val="00EE7081"/>
    <w:rsid w:val="00EF53FD"/>
    <w:rsid w:val="00F000C2"/>
    <w:rsid w:val="00F2164D"/>
    <w:rsid w:val="00F2240D"/>
    <w:rsid w:val="00F30EBB"/>
    <w:rsid w:val="00F45B4A"/>
    <w:rsid w:val="00F56DA5"/>
    <w:rsid w:val="00F574A8"/>
    <w:rsid w:val="00F61AAD"/>
    <w:rsid w:val="00F62690"/>
    <w:rsid w:val="00F630D6"/>
    <w:rsid w:val="00F6551E"/>
    <w:rsid w:val="00F673BC"/>
    <w:rsid w:val="00F6786E"/>
    <w:rsid w:val="00F732F7"/>
    <w:rsid w:val="00F752D7"/>
    <w:rsid w:val="00F816E0"/>
    <w:rsid w:val="00F847CB"/>
    <w:rsid w:val="00F84B6F"/>
    <w:rsid w:val="00F915CB"/>
    <w:rsid w:val="00F924A1"/>
    <w:rsid w:val="00F94509"/>
    <w:rsid w:val="00FB2109"/>
    <w:rsid w:val="00FB61F7"/>
    <w:rsid w:val="00FC0212"/>
    <w:rsid w:val="00FC5755"/>
    <w:rsid w:val="00FD16BC"/>
    <w:rsid w:val="00FD1FEE"/>
    <w:rsid w:val="00FD459A"/>
    <w:rsid w:val="00FD6C9D"/>
    <w:rsid w:val="00FD7959"/>
    <w:rsid w:val="00FE7D01"/>
    <w:rsid w:val="00FF37A2"/>
    <w:rsid w:val="00FF573D"/>
    <w:rsid w:val="011EBF83"/>
    <w:rsid w:val="01750718"/>
    <w:rsid w:val="022D7FE7"/>
    <w:rsid w:val="025144B1"/>
    <w:rsid w:val="0296ED4B"/>
    <w:rsid w:val="02B0AA7C"/>
    <w:rsid w:val="03CA0A2B"/>
    <w:rsid w:val="0440FD3B"/>
    <w:rsid w:val="0442D255"/>
    <w:rsid w:val="0444EE67"/>
    <w:rsid w:val="0475B381"/>
    <w:rsid w:val="04A18216"/>
    <w:rsid w:val="051BFA7E"/>
    <w:rsid w:val="05811318"/>
    <w:rsid w:val="05853226"/>
    <w:rsid w:val="058A27D7"/>
    <w:rsid w:val="05A4D0D2"/>
    <w:rsid w:val="05D718F6"/>
    <w:rsid w:val="05E8A035"/>
    <w:rsid w:val="060489E2"/>
    <w:rsid w:val="0612EBC1"/>
    <w:rsid w:val="0638F839"/>
    <w:rsid w:val="066450F8"/>
    <w:rsid w:val="0681A0BF"/>
    <w:rsid w:val="06AB6D3E"/>
    <w:rsid w:val="06EE06B5"/>
    <w:rsid w:val="070E2DDE"/>
    <w:rsid w:val="0717E395"/>
    <w:rsid w:val="0735E39D"/>
    <w:rsid w:val="0761F18E"/>
    <w:rsid w:val="07F048AE"/>
    <w:rsid w:val="0808223D"/>
    <w:rsid w:val="089D07CD"/>
    <w:rsid w:val="08AE8E89"/>
    <w:rsid w:val="08DB7E40"/>
    <w:rsid w:val="08F341DB"/>
    <w:rsid w:val="093BE5F7"/>
    <w:rsid w:val="09691DCA"/>
    <w:rsid w:val="0A78F7C0"/>
    <w:rsid w:val="0B126D9C"/>
    <w:rsid w:val="0C5800E5"/>
    <w:rsid w:val="0C9035B8"/>
    <w:rsid w:val="0C944AC3"/>
    <w:rsid w:val="0CB325F5"/>
    <w:rsid w:val="0CC01D0C"/>
    <w:rsid w:val="0CDF481B"/>
    <w:rsid w:val="0D2066AA"/>
    <w:rsid w:val="0D2E386C"/>
    <w:rsid w:val="0D2EF5D5"/>
    <w:rsid w:val="0D725C76"/>
    <w:rsid w:val="0DEA4EA6"/>
    <w:rsid w:val="0E6E1C23"/>
    <w:rsid w:val="0E7E4466"/>
    <w:rsid w:val="0F6EAA49"/>
    <w:rsid w:val="0F8D87DF"/>
    <w:rsid w:val="0FB05B81"/>
    <w:rsid w:val="0FC90C58"/>
    <w:rsid w:val="0FE2730E"/>
    <w:rsid w:val="10E82457"/>
    <w:rsid w:val="10F34601"/>
    <w:rsid w:val="111BAEDC"/>
    <w:rsid w:val="111E4C76"/>
    <w:rsid w:val="11624A32"/>
    <w:rsid w:val="11AECF55"/>
    <w:rsid w:val="11D17588"/>
    <w:rsid w:val="11F13743"/>
    <w:rsid w:val="120DF267"/>
    <w:rsid w:val="1213093C"/>
    <w:rsid w:val="121CFE80"/>
    <w:rsid w:val="12284DF0"/>
    <w:rsid w:val="127AA926"/>
    <w:rsid w:val="12862F1B"/>
    <w:rsid w:val="1291A74E"/>
    <w:rsid w:val="12DF3B0F"/>
    <w:rsid w:val="12DF5ECF"/>
    <w:rsid w:val="12F52D91"/>
    <w:rsid w:val="13AAE322"/>
    <w:rsid w:val="13E55E54"/>
    <w:rsid w:val="142590BB"/>
    <w:rsid w:val="142D4187"/>
    <w:rsid w:val="143282D9"/>
    <w:rsid w:val="14518497"/>
    <w:rsid w:val="1466B1A9"/>
    <w:rsid w:val="15489388"/>
    <w:rsid w:val="15656B11"/>
    <w:rsid w:val="156EFAB9"/>
    <w:rsid w:val="15914411"/>
    <w:rsid w:val="15D99948"/>
    <w:rsid w:val="15EE85E6"/>
    <w:rsid w:val="15EF0019"/>
    <w:rsid w:val="1602808A"/>
    <w:rsid w:val="16343EC2"/>
    <w:rsid w:val="1673DC89"/>
    <w:rsid w:val="16B38B0E"/>
    <w:rsid w:val="16D248ED"/>
    <w:rsid w:val="16DC7F3D"/>
    <w:rsid w:val="1721C0EC"/>
    <w:rsid w:val="18AE8618"/>
    <w:rsid w:val="1902C0CA"/>
    <w:rsid w:val="1979E317"/>
    <w:rsid w:val="1AA8886A"/>
    <w:rsid w:val="1B0D5C24"/>
    <w:rsid w:val="1B1CA7EB"/>
    <w:rsid w:val="1B210642"/>
    <w:rsid w:val="1B253FBA"/>
    <w:rsid w:val="1B2C872A"/>
    <w:rsid w:val="1B55FB1D"/>
    <w:rsid w:val="1B61BA33"/>
    <w:rsid w:val="1B6B0C53"/>
    <w:rsid w:val="1BAA8F79"/>
    <w:rsid w:val="1C16246D"/>
    <w:rsid w:val="1C96A533"/>
    <w:rsid w:val="1CC37D4F"/>
    <w:rsid w:val="1CE5B9DA"/>
    <w:rsid w:val="1D30EE67"/>
    <w:rsid w:val="1D565814"/>
    <w:rsid w:val="1DAAB15E"/>
    <w:rsid w:val="1F094D80"/>
    <w:rsid w:val="1FB716D1"/>
    <w:rsid w:val="1FEDE9B2"/>
    <w:rsid w:val="2065C952"/>
    <w:rsid w:val="2090D02C"/>
    <w:rsid w:val="20C019C2"/>
    <w:rsid w:val="210E6626"/>
    <w:rsid w:val="212D8101"/>
    <w:rsid w:val="2143E49F"/>
    <w:rsid w:val="21CC6737"/>
    <w:rsid w:val="21EEA260"/>
    <w:rsid w:val="223A7BF4"/>
    <w:rsid w:val="22C143E8"/>
    <w:rsid w:val="22E96BA7"/>
    <w:rsid w:val="230A342C"/>
    <w:rsid w:val="237F4C6E"/>
    <w:rsid w:val="23DB7444"/>
    <w:rsid w:val="24526932"/>
    <w:rsid w:val="24679017"/>
    <w:rsid w:val="24768DBF"/>
    <w:rsid w:val="24AE11C4"/>
    <w:rsid w:val="24CF7F80"/>
    <w:rsid w:val="2504BA3F"/>
    <w:rsid w:val="25294DAA"/>
    <w:rsid w:val="25C5FDB4"/>
    <w:rsid w:val="25E88F54"/>
    <w:rsid w:val="261A0673"/>
    <w:rsid w:val="263CA754"/>
    <w:rsid w:val="2646EBF0"/>
    <w:rsid w:val="265E589E"/>
    <w:rsid w:val="268C2AA3"/>
    <w:rsid w:val="2697D370"/>
    <w:rsid w:val="269C835A"/>
    <w:rsid w:val="26B6211F"/>
    <w:rsid w:val="27362EE6"/>
    <w:rsid w:val="28387F96"/>
    <w:rsid w:val="2851B2C2"/>
    <w:rsid w:val="28D5E789"/>
    <w:rsid w:val="28ED20A8"/>
    <w:rsid w:val="296D22E4"/>
    <w:rsid w:val="29A5EB3A"/>
    <w:rsid w:val="29AEB03D"/>
    <w:rsid w:val="29B02C89"/>
    <w:rsid w:val="29C14F9B"/>
    <w:rsid w:val="29C74B36"/>
    <w:rsid w:val="2A1C5654"/>
    <w:rsid w:val="2A559472"/>
    <w:rsid w:val="2A9DFB5F"/>
    <w:rsid w:val="2AC28314"/>
    <w:rsid w:val="2AEA6DB8"/>
    <w:rsid w:val="2B47C319"/>
    <w:rsid w:val="2B714F64"/>
    <w:rsid w:val="2B86F7A7"/>
    <w:rsid w:val="2B88E179"/>
    <w:rsid w:val="2BE0EFB3"/>
    <w:rsid w:val="2BFEDFFB"/>
    <w:rsid w:val="2C3454BE"/>
    <w:rsid w:val="2C6A193D"/>
    <w:rsid w:val="2C791C75"/>
    <w:rsid w:val="2C7CC2CB"/>
    <w:rsid w:val="2CD04835"/>
    <w:rsid w:val="2D33B6E9"/>
    <w:rsid w:val="2D6D0A5D"/>
    <w:rsid w:val="2D9967BE"/>
    <w:rsid w:val="2DB00E98"/>
    <w:rsid w:val="2E0079B1"/>
    <w:rsid w:val="2E0F976F"/>
    <w:rsid w:val="2EA2E555"/>
    <w:rsid w:val="2EBD245C"/>
    <w:rsid w:val="2ED7A468"/>
    <w:rsid w:val="2EE104A4"/>
    <w:rsid w:val="2F424DBA"/>
    <w:rsid w:val="2F42EB89"/>
    <w:rsid w:val="2F64648F"/>
    <w:rsid w:val="2FCFD300"/>
    <w:rsid w:val="30603E36"/>
    <w:rsid w:val="311EC3A8"/>
    <w:rsid w:val="31980F15"/>
    <w:rsid w:val="3199DB39"/>
    <w:rsid w:val="31DB0B17"/>
    <w:rsid w:val="327969C6"/>
    <w:rsid w:val="328BD10F"/>
    <w:rsid w:val="33310B30"/>
    <w:rsid w:val="33312BDE"/>
    <w:rsid w:val="3347891D"/>
    <w:rsid w:val="336B0F7A"/>
    <w:rsid w:val="33A9E8F4"/>
    <w:rsid w:val="33C2D9B3"/>
    <w:rsid w:val="346BE837"/>
    <w:rsid w:val="347C5A27"/>
    <w:rsid w:val="34BA189F"/>
    <w:rsid w:val="355D3C0D"/>
    <w:rsid w:val="35786323"/>
    <w:rsid w:val="35D570DB"/>
    <w:rsid w:val="35D87E87"/>
    <w:rsid w:val="35FB0F60"/>
    <w:rsid w:val="3623C63F"/>
    <w:rsid w:val="3640BC12"/>
    <w:rsid w:val="36A0D190"/>
    <w:rsid w:val="36C5E672"/>
    <w:rsid w:val="36E64837"/>
    <w:rsid w:val="37722BEF"/>
    <w:rsid w:val="3774AAF9"/>
    <w:rsid w:val="381B8774"/>
    <w:rsid w:val="383EA7E3"/>
    <w:rsid w:val="38588646"/>
    <w:rsid w:val="38D1ACDE"/>
    <w:rsid w:val="38DB573B"/>
    <w:rsid w:val="38E73FFC"/>
    <w:rsid w:val="38F6BC80"/>
    <w:rsid w:val="391294B6"/>
    <w:rsid w:val="3981B627"/>
    <w:rsid w:val="398FB164"/>
    <w:rsid w:val="39A674DA"/>
    <w:rsid w:val="3A3E696B"/>
    <w:rsid w:val="3A8DC741"/>
    <w:rsid w:val="3AD61D53"/>
    <w:rsid w:val="3AFF8D89"/>
    <w:rsid w:val="3B054D06"/>
    <w:rsid w:val="3B981015"/>
    <w:rsid w:val="3C020AA9"/>
    <w:rsid w:val="3C1F8152"/>
    <w:rsid w:val="3C2E5469"/>
    <w:rsid w:val="3C6B2DE5"/>
    <w:rsid w:val="3C8CC3E7"/>
    <w:rsid w:val="3CA176CF"/>
    <w:rsid w:val="3CC71E4B"/>
    <w:rsid w:val="3CE30FA2"/>
    <w:rsid w:val="3CF4200F"/>
    <w:rsid w:val="3D4ABDF8"/>
    <w:rsid w:val="3E470DC9"/>
    <w:rsid w:val="3E599083"/>
    <w:rsid w:val="3F309726"/>
    <w:rsid w:val="3F47C0B5"/>
    <w:rsid w:val="3F7D7CE2"/>
    <w:rsid w:val="3F8E7455"/>
    <w:rsid w:val="3FA9631B"/>
    <w:rsid w:val="3FAB065F"/>
    <w:rsid w:val="3FB3D7DA"/>
    <w:rsid w:val="3FE9F064"/>
    <w:rsid w:val="3FF8C833"/>
    <w:rsid w:val="40325A18"/>
    <w:rsid w:val="40631E7E"/>
    <w:rsid w:val="40D2BBA3"/>
    <w:rsid w:val="414658A7"/>
    <w:rsid w:val="415D716D"/>
    <w:rsid w:val="4193DDCF"/>
    <w:rsid w:val="41DB38DD"/>
    <w:rsid w:val="43C99050"/>
    <w:rsid w:val="43E54BCA"/>
    <w:rsid w:val="44233A45"/>
    <w:rsid w:val="4499B7E8"/>
    <w:rsid w:val="44C90856"/>
    <w:rsid w:val="45A6A24B"/>
    <w:rsid w:val="45CAF9C0"/>
    <w:rsid w:val="460F77F3"/>
    <w:rsid w:val="46399AC6"/>
    <w:rsid w:val="4664700A"/>
    <w:rsid w:val="470A596C"/>
    <w:rsid w:val="473D4503"/>
    <w:rsid w:val="476F2243"/>
    <w:rsid w:val="478B9F2B"/>
    <w:rsid w:val="47C00645"/>
    <w:rsid w:val="4843737C"/>
    <w:rsid w:val="4896C413"/>
    <w:rsid w:val="48C36A68"/>
    <w:rsid w:val="4962EE93"/>
    <w:rsid w:val="499D580F"/>
    <w:rsid w:val="49E8E708"/>
    <w:rsid w:val="4A606581"/>
    <w:rsid w:val="4A97DBCC"/>
    <w:rsid w:val="4AA88B6F"/>
    <w:rsid w:val="4ACE64DB"/>
    <w:rsid w:val="4B17D2F3"/>
    <w:rsid w:val="4B22E34A"/>
    <w:rsid w:val="4B3587AF"/>
    <w:rsid w:val="4B8A4F1E"/>
    <w:rsid w:val="4B8FD8EB"/>
    <w:rsid w:val="4BFE0BB6"/>
    <w:rsid w:val="4C752BC5"/>
    <w:rsid w:val="4CAA8352"/>
    <w:rsid w:val="4CD3C567"/>
    <w:rsid w:val="4CF43EAE"/>
    <w:rsid w:val="4D1EBF35"/>
    <w:rsid w:val="4D3E3132"/>
    <w:rsid w:val="4D62F076"/>
    <w:rsid w:val="4D72E077"/>
    <w:rsid w:val="4DAEA7CD"/>
    <w:rsid w:val="4DCAC4FA"/>
    <w:rsid w:val="4DCF6AE4"/>
    <w:rsid w:val="4DDEDB7D"/>
    <w:rsid w:val="4E02F755"/>
    <w:rsid w:val="4E64F179"/>
    <w:rsid w:val="4E7E67D5"/>
    <w:rsid w:val="4EEE711A"/>
    <w:rsid w:val="4F6279E3"/>
    <w:rsid w:val="4F6E8011"/>
    <w:rsid w:val="4F8B0F08"/>
    <w:rsid w:val="4FBEDFBD"/>
    <w:rsid w:val="4FDFBCE1"/>
    <w:rsid w:val="4FE6C398"/>
    <w:rsid w:val="502BCF32"/>
    <w:rsid w:val="5064A897"/>
    <w:rsid w:val="50C2E882"/>
    <w:rsid w:val="50C2FAA7"/>
    <w:rsid w:val="50ED7AEB"/>
    <w:rsid w:val="514C261C"/>
    <w:rsid w:val="51883B6E"/>
    <w:rsid w:val="51914BB2"/>
    <w:rsid w:val="5193B13D"/>
    <w:rsid w:val="51B6DF2F"/>
    <w:rsid w:val="5343536C"/>
    <w:rsid w:val="53A69AE5"/>
    <w:rsid w:val="53EBD132"/>
    <w:rsid w:val="540E296A"/>
    <w:rsid w:val="5449A6FC"/>
    <w:rsid w:val="54718C60"/>
    <w:rsid w:val="547C3A6F"/>
    <w:rsid w:val="54AF84A6"/>
    <w:rsid w:val="54F85013"/>
    <w:rsid w:val="55358941"/>
    <w:rsid w:val="554F7B5C"/>
    <w:rsid w:val="555744B2"/>
    <w:rsid w:val="556BE545"/>
    <w:rsid w:val="557B9161"/>
    <w:rsid w:val="55F8B1C9"/>
    <w:rsid w:val="563DBACC"/>
    <w:rsid w:val="566C4CE7"/>
    <w:rsid w:val="56797A4A"/>
    <w:rsid w:val="56952160"/>
    <w:rsid w:val="56CD82BE"/>
    <w:rsid w:val="56FD5BA4"/>
    <w:rsid w:val="5731B5C4"/>
    <w:rsid w:val="576F426A"/>
    <w:rsid w:val="57D7D8F8"/>
    <w:rsid w:val="57F6CA08"/>
    <w:rsid w:val="580073B9"/>
    <w:rsid w:val="58CC5C1F"/>
    <w:rsid w:val="58F9C4DC"/>
    <w:rsid w:val="591CBC1A"/>
    <w:rsid w:val="59564187"/>
    <w:rsid w:val="59719352"/>
    <w:rsid w:val="599A55DB"/>
    <w:rsid w:val="59A873B7"/>
    <w:rsid w:val="59B12610"/>
    <w:rsid w:val="59E3EAE2"/>
    <w:rsid w:val="5A186D4A"/>
    <w:rsid w:val="5A907165"/>
    <w:rsid w:val="5B04FCC0"/>
    <w:rsid w:val="5B4A917E"/>
    <w:rsid w:val="5B6E19DA"/>
    <w:rsid w:val="5B7E34C7"/>
    <w:rsid w:val="5C1EF805"/>
    <w:rsid w:val="5C253A83"/>
    <w:rsid w:val="5C91FE65"/>
    <w:rsid w:val="5C9F6438"/>
    <w:rsid w:val="5CAB2FAD"/>
    <w:rsid w:val="5D00496D"/>
    <w:rsid w:val="5D21DB05"/>
    <w:rsid w:val="5E410B38"/>
    <w:rsid w:val="5E55D6C8"/>
    <w:rsid w:val="5E6660DE"/>
    <w:rsid w:val="5F69648C"/>
    <w:rsid w:val="5F790177"/>
    <w:rsid w:val="60607184"/>
    <w:rsid w:val="6061BC26"/>
    <w:rsid w:val="606546DB"/>
    <w:rsid w:val="60A853ED"/>
    <w:rsid w:val="60C40609"/>
    <w:rsid w:val="610E63BE"/>
    <w:rsid w:val="614B38CE"/>
    <w:rsid w:val="618F4718"/>
    <w:rsid w:val="619DFCDE"/>
    <w:rsid w:val="62113492"/>
    <w:rsid w:val="6257ABBE"/>
    <w:rsid w:val="63256BC0"/>
    <w:rsid w:val="6365901E"/>
    <w:rsid w:val="642703C3"/>
    <w:rsid w:val="648180C6"/>
    <w:rsid w:val="64A41C15"/>
    <w:rsid w:val="64C17EA2"/>
    <w:rsid w:val="64E6C38A"/>
    <w:rsid w:val="64FBE83A"/>
    <w:rsid w:val="656C08D5"/>
    <w:rsid w:val="65969486"/>
    <w:rsid w:val="6621C567"/>
    <w:rsid w:val="663D79C2"/>
    <w:rsid w:val="66599DC6"/>
    <w:rsid w:val="669B8295"/>
    <w:rsid w:val="672D0A95"/>
    <w:rsid w:val="675ED761"/>
    <w:rsid w:val="67BBEB08"/>
    <w:rsid w:val="680ED4CF"/>
    <w:rsid w:val="68622B27"/>
    <w:rsid w:val="687910C0"/>
    <w:rsid w:val="6893CF9E"/>
    <w:rsid w:val="68D88C4D"/>
    <w:rsid w:val="68E56D25"/>
    <w:rsid w:val="68F1CC27"/>
    <w:rsid w:val="68F1CFEA"/>
    <w:rsid w:val="68FB22B0"/>
    <w:rsid w:val="69AE7C9C"/>
    <w:rsid w:val="69C99A56"/>
    <w:rsid w:val="6AA29226"/>
    <w:rsid w:val="6AAE797D"/>
    <w:rsid w:val="6B38A17A"/>
    <w:rsid w:val="6B5CAB49"/>
    <w:rsid w:val="6B80033F"/>
    <w:rsid w:val="6BBE085A"/>
    <w:rsid w:val="6BDA811A"/>
    <w:rsid w:val="6CB66889"/>
    <w:rsid w:val="6CEF1D65"/>
    <w:rsid w:val="6D725F19"/>
    <w:rsid w:val="6D83B7A7"/>
    <w:rsid w:val="6D920C7F"/>
    <w:rsid w:val="6DDFA305"/>
    <w:rsid w:val="6DDFE3AF"/>
    <w:rsid w:val="6DF1F0DA"/>
    <w:rsid w:val="6DF66A00"/>
    <w:rsid w:val="6E03BEDF"/>
    <w:rsid w:val="6E3C3170"/>
    <w:rsid w:val="6E66D745"/>
    <w:rsid w:val="6EBB087F"/>
    <w:rsid w:val="6EC64BFD"/>
    <w:rsid w:val="6ECC83B3"/>
    <w:rsid w:val="6EDD4556"/>
    <w:rsid w:val="6EE79399"/>
    <w:rsid w:val="6F359B76"/>
    <w:rsid w:val="6F445E5F"/>
    <w:rsid w:val="6FC4E3CE"/>
    <w:rsid w:val="702280B4"/>
    <w:rsid w:val="7052E18D"/>
    <w:rsid w:val="7055F40E"/>
    <w:rsid w:val="70666948"/>
    <w:rsid w:val="7066D7EA"/>
    <w:rsid w:val="706F3364"/>
    <w:rsid w:val="707A585E"/>
    <w:rsid w:val="7090CB27"/>
    <w:rsid w:val="70EA6060"/>
    <w:rsid w:val="70F214C3"/>
    <w:rsid w:val="71363C01"/>
    <w:rsid w:val="71FB2DA0"/>
    <w:rsid w:val="7203F385"/>
    <w:rsid w:val="720B5670"/>
    <w:rsid w:val="723C88CB"/>
    <w:rsid w:val="72BCB626"/>
    <w:rsid w:val="72BD106F"/>
    <w:rsid w:val="72DFDE2A"/>
    <w:rsid w:val="72F0C994"/>
    <w:rsid w:val="73C94BBE"/>
    <w:rsid w:val="73D78DE4"/>
    <w:rsid w:val="7409E1C5"/>
    <w:rsid w:val="744C62D9"/>
    <w:rsid w:val="7455794F"/>
    <w:rsid w:val="7511D693"/>
    <w:rsid w:val="761216E2"/>
    <w:rsid w:val="76A9CF0F"/>
    <w:rsid w:val="76DEA42F"/>
    <w:rsid w:val="76E984ED"/>
    <w:rsid w:val="777DD7F6"/>
    <w:rsid w:val="7783144B"/>
    <w:rsid w:val="7795D561"/>
    <w:rsid w:val="77C2960D"/>
    <w:rsid w:val="781E73A0"/>
    <w:rsid w:val="783E3A0B"/>
    <w:rsid w:val="7855C9E2"/>
    <w:rsid w:val="78767A9C"/>
    <w:rsid w:val="78EBFD9C"/>
    <w:rsid w:val="78F149A1"/>
    <w:rsid w:val="79089363"/>
    <w:rsid w:val="792342C4"/>
    <w:rsid w:val="795DE977"/>
    <w:rsid w:val="797355E6"/>
    <w:rsid w:val="799FA853"/>
    <w:rsid w:val="79C3F96B"/>
    <w:rsid w:val="7A0763B3"/>
    <w:rsid w:val="7B54EF03"/>
    <w:rsid w:val="7BC2070A"/>
    <w:rsid w:val="7BE354E2"/>
    <w:rsid w:val="7C5F8CD6"/>
    <w:rsid w:val="7CB4C4A9"/>
    <w:rsid w:val="7CB9ACA6"/>
    <w:rsid w:val="7CCA8D40"/>
    <w:rsid w:val="7CEE5B09"/>
    <w:rsid w:val="7CF72BE5"/>
    <w:rsid w:val="7D00A886"/>
    <w:rsid w:val="7D14E914"/>
    <w:rsid w:val="7D2B04E3"/>
    <w:rsid w:val="7D43BE23"/>
    <w:rsid w:val="7D918175"/>
    <w:rsid w:val="7E27C1EF"/>
    <w:rsid w:val="7E8CE939"/>
    <w:rsid w:val="7EB1EB8A"/>
    <w:rsid w:val="7ED065B7"/>
    <w:rsid w:val="7FE92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3"/>
      </w:numPr>
      <w:spacing w:before="120" w:after="120"/>
    </w:pPr>
    <w:rPr>
      <w:sz w:val="22"/>
      <w:lang w:eastAsia="en-AU"/>
    </w:rPr>
  </w:style>
  <w:style w:type="paragraph" w:customStyle="1" w:styleId="ChapterHeading">
    <w:name w:val="Chapter Heading"/>
    <w:next w:val="Heading2"/>
    <w:rsid w:val="00D51116"/>
    <w:pPr>
      <w:numPr>
        <w:numId w:val="3"/>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3"/>
      </w:numPr>
    </w:pPr>
  </w:style>
  <w:style w:type="paragraph" w:customStyle="1" w:styleId="Diagram">
    <w:name w:val="Diagram"/>
    <w:basedOn w:val="Normal"/>
    <w:next w:val="Normal"/>
    <w:rsid w:val="00D51116"/>
    <w:pPr>
      <w:keepNext/>
      <w:numPr>
        <w:ilvl w:val="2"/>
        <w:numId w:val="3"/>
      </w:numPr>
    </w:pPr>
    <w:rPr>
      <w:b/>
      <w:sz w:val="22"/>
      <w:lang w:eastAsia="en-AU"/>
    </w:rPr>
  </w:style>
  <w:style w:type="paragraph" w:customStyle="1" w:styleId="ExampleHeading">
    <w:name w:val="Example Heading"/>
    <w:basedOn w:val="Normal"/>
    <w:next w:val="Normal"/>
    <w:rsid w:val="00D51116"/>
    <w:pPr>
      <w:keepNext/>
      <w:numPr>
        <w:ilvl w:val="3"/>
        <w:numId w:val="3"/>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3"/>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character" w:customStyle="1" w:styleId="UnresolvedMention1">
    <w:name w:val="Unresolved Mention1"/>
    <w:basedOn w:val="DefaultParagraphFont"/>
    <w:uiPriority w:val="99"/>
    <w:semiHidden/>
    <w:unhideWhenUsed/>
    <w:rsid w:val="00F9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386">
      <w:bodyDiv w:val="1"/>
      <w:marLeft w:val="0"/>
      <w:marRight w:val="0"/>
      <w:marTop w:val="0"/>
      <w:marBottom w:val="0"/>
      <w:divBdr>
        <w:top w:val="none" w:sz="0" w:space="0" w:color="auto"/>
        <w:left w:val="none" w:sz="0" w:space="0" w:color="auto"/>
        <w:bottom w:val="none" w:sz="0" w:space="0" w:color="auto"/>
        <w:right w:val="none" w:sz="0" w:space="0" w:color="auto"/>
      </w:divBdr>
    </w:div>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358">
      <w:bodyDiv w:val="1"/>
      <w:marLeft w:val="0"/>
      <w:marRight w:val="0"/>
      <w:marTop w:val="0"/>
      <w:marBottom w:val="0"/>
      <w:divBdr>
        <w:top w:val="none" w:sz="0" w:space="0" w:color="auto"/>
        <w:left w:val="none" w:sz="0" w:space="0" w:color="auto"/>
        <w:bottom w:val="none" w:sz="0" w:space="0" w:color="auto"/>
        <w:right w:val="none" w:sz="0" w:space="0" w:color="auto"/>
      </w:divBdr>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80507">
      <w:bodyDiv w:val="1"/>
      <w:marLeft w:val="0"/>
      <w:marRight w:val="0"/>
      <w:marTop w:val="0"/>
      <w:marBottom w:val="0"/>
      <w:divBdr>
        <w:top w:val="none" w:sz="0" w:space="0" w:color="auto"/>
        <w:left w:val="none" w:sz="0" w:space="0" w:color="auto"/>
        <w:bottom w:val="none" w:sz="0" w:space="0" w:color="auto"/>
        <w:right w:val="none" w:sz="0" w:space="0" w:color="auto"/>
      </w:divBdr>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21935188">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680849">
      <w:bodyDiv w:val="1"/>
      <w:marLeft w:val="0"/>
      <w:marRight w:val="0"/>
      <w:marTop w:val="0"/>
      <w:marBottom w:val="0"/>
      <w:divBdr>
        <w:top w:val="none" w:sz="0" w:space="0" w:color="auto"/>
        <w:left w:val="none" w:sz="0" w:space="0" w:color="auto"/>
        <w:bottom w:val="none" w:sz="0" w:space="0" w:color="auto"/>
        <w:right w:val="none" w:sz="0" w:space="0" w:color="auto"/>
      </w:divBdr>
    </w:div>
    <w:div w:id="745611383">
      <w:bodyDiv w:val="1"/>
      <w:marLeft w:val="0"/>
      <w:marRight w:val="0"/>
      <w:marTop w:val="0"/>
      <w:marBottom w:val="0"/>
      <w:divBdr>
        <w:top w:val="none" w:sz="0" w:space="0" w:color="auto"/>
        <w:left w:val="none" w:sz="0" w:space="0" w:color="auto"/>
        <w:bottom w:val="none" w:sz="0" w:space="0" w:color="auto"/>
        <w:right w:val="none" w:sz="0" w:space="0" w:color="auto"/>
      </w:divBdr>
    </w:div>
    <w:div w:id="853763079">
      <w:bodyDiv w:val="1"/>
      <w:marLeft w:val="0"/>
      <w:marRight w:val="0"/>
      <w:marTop w:val="0"/>
      <w:marBottom w:val="0"/>
      <w:divBdr>
        <w:top w:val="none" w:sz="0" w:space="0" w:color="auto"/>
        <w:left w:val="none" w:sz="0" w:space="0" w:color="auto"/>
        <w:bottom w:val="none" w:sz="0" w:space="0" w:color="auto"/>
        <w:right w:val="none" w:sz="0" w:space="0" w:color="auto"/>
      </w:divBdr>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94913942">
      <w:bodyDiv w:val="1"/>
      <w:marLeft w:val="0"/>
      <w:marRight w:val="0"/>
      <w:marTop w:val="0"/>
      <w:marBottom w:val="0"/>
      <w:divBdr>
        <w:top w:val="none" w:sz="0" w:space="0" w:color="auto"/>
        <w:left w:val="none" w:sz="0" w:space="0" w:color="auto"/>
        <w:bottom w:val="none" w:sz="0" w:space="0" w:color="auto"/>
        <w:right w:val="none" w:sz="0" w:space="0" w:color="auto"/>
      </w:divBdr>
      <w:divsChild>
        <w:div w:id="2118864329">
          <w:marLeft w:val="0"/>
          <w:marRight w:val="0"/>
          <w:marTop w:val="0"/>
          <w:marBottom w:val="0"/>
          <w:divBdr>
            <w:top w:val="none" w:sz="0" w:space="0" w:color="auto"/>
            <w:left w:val="none" w:sz="0" w:space="0" w:color="auto"/>
            <w:bottom w:val="none" w:sz="0" w:space="0" w:color="auto"/>
            <w:right w:val="none" w:sz="0" w:space="0" w:color="auto"/>
          </w:divBdr>
          <w:divsChild>
            <w:div w:id="49497546">
              <w:marLeft w:val="0"/>
              <w:marRight w:val="0"/>
              <w:marTop w:val="0"/>
              <w:marBottom w:val="0"/>
              <w:divBdr>
                <w:top w:val="none" w:sz="0" w:space="0" w:color="auto"/>
                <w:left w:val="none" w:sz="0" w:space="0" w:color="auto"/>
                <w:bottom w:val="none" w:sz="0" w:space="0" w:color="auto"/>
                <w:right w:val="none" w:sz="0" w:space="0" w:color="auto"/>
              </w:divBdr>
              <w:divsChild>
                <w:div w:id="227766346">
                  <w:marLeft w:val="0"/>
                  <w:marRight w:val="0"/>
                  <w:marTop w:val="0"/>
                  <w:marBottom w:val="0"/>
                  <w:divBdr>
                    <w:top w:val="none" w:sz="0" w:space="0" w:color="auto"/>
                    <w:left w:val="none" w:sz="0" w:space="0" w:color="auto"/>
                    <w:bottom w:val="none" w:sz="0" w:space="0" w:color="auto"/>
                    <w:right w:val="none" w:sz="0" w:space="0" w:color="auto"/>
                  </w:divBdr>
                  <w:divsChild>
                    <w:div w:id="180321723">
                      <w:marLeft w:val="0"/>
                      <w:marRight w:val="0"/>
                      <w:marTop w:val="0"/>
                      <w:marBottom w:val="0"/>
                      <w:divBdr>
                        <w:top w:val="none" w:sz="0" w:space="0" w:color="auto"/>
                        <w:left w:val="none" w:sz="0" w:space="0" w:color="auto"/>
                        <w:bottom w:val="none" w:sz="0" w:space="0" w:color="auto"/>
                        <w:right w:val="none" w:sz="0" w:space="0" w:color="auto"/>
                      </w:divBdr>
                      <w:divsChild>
                        <w:div w:id="1022365173">
                          <w:marLeft w:val="0"/>
                          <w:marRight w:val="0"/>
                          <w:marTop w:val="0"/>
                          <w:marBottom w:val="0"/>
                          <w:divBdr>
                            <w:top w:val="none" w:sz="0" w:space="0" w:color="auto"/>
                            <w:left w:val="none" w:sz="0" w:space="0" w:color="auto"/>
                            <w:bottom w:val="none" w:sz="0" w:space="0" w:color="auto"/>
                            <w:right w:val="none" w:sz="0" w:space="0" w:color="auto"/>
                          </w:divBdr>
                          <w:divsChild>
                            <w:div w:id="1346638771">
                              <w:marLeft w:val="0"/>
                              <w:marRight w:val="0"/>
                              <w:marTop w:val="0"/>
                              <w:marBottom w:val="0"/>
                              <w:divBdr>
                                <w:top w:val="none" w:sz="0" w:space="0" w:color="auto"/>
                                <w:left w:val="none" w:sz="0" w:space="0" w:color="auto"/>
                                <w:bottom w:val="none" w:sz="0" w:space="0" w:color="auto"/>
                                <w:right w:val="none" w:sz="0" w:space="0" w:color="auto"/>
                              </w:divBdr>
                              <w:divsChild>
                                <w:div w:id="1507397632">
                                  <w:marLeft w:val="0"/>
                                  <w:marRight w:val="0"/>
                                  <w:marTop w:val="0"/>
                                  <w:marBottom w:val="0"/>
                                  <w:divBdr>
                                    <w:top w:val="none" w:sz="0" w:space="0" w:color="auto"/>
                                    <w:left w:val="none" w:sz="0" w:space="0" w:color="auto"/>
                                    <w:bottom w:val="none" w:sz="0" w:space="0" w:color="auto"/>
                                    <w:right w:val="none" w:sz="0" w:space="0" w:color="auto"/>
                                  </w:divBdr>
                                  <w:divsChild>
                                    <w:div w:id="1821144561">
                                      <w:marLeft w:val="0"/>
                                      <w:marRight w:val="0"/>
                                      <w:marTop w:val="0"/>
                                      <w:marBottom w:val="0"/>
                                      <w:divBdr>
                                        <w:top w:val="none" w:sz="0" w:space="0" w:color="auto"/>
                                        <w:left w:val="none" w:sz="0" w:space="0" w:color="auto"/>
                                        <w:bottom w:val="none" w:sz="0" w:space="0" w:color="auto"/>
                                        <w:right w:val="none" w:sz="0" w:space="0" w:color="auto"/>
                                      </w:divBdr>
                                      <w:divsChild>
                                        <w:div w:id="20591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39962969">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39285">
      <w:bodyDiv w:val="1"/>
      <w:marLeft w:val="0"/>
      <w:marRight w:val="0"/>
      <w:marTop w:val="0"/>
      <w:marBottom w:val="0"/>
      <w:divBdr>
        <w:top w:val="none" w:sz="0" w:space="0" w:color="auto"/>
        <w:left w:val="none" w:sz="0" w:space="0" w:color="auto"/>
        <w:bottom w:val="none" w:sz="0" w:space="0" w:color="auto"/>
        <w:right w:val="none" w:sz="0" w:space="0" w:color="auto"/>
      </w:divBdr>
    </w:div>
    <w:div w:id="1673529474">
      <w:bodyDiv w:val="1"/>
      <w:marLeft w:val="0"/>
      <w:marRight w:val="0"/>
      <w:marTop w:val="0"/>
      <w:marBottom w:val="0"/>
      <w:divBdr>
        <w:top w:val="none" w:sz="0" w:space="0" w:color="auto"/>
        <w:left w:val="none" w:sz="0" w:space="0" w:color="auto"/>
        <w:bottom w:val="none" w:sz="0" w:space="0" w:color="auto"/>
        <w:right w:val="none" w:sz="0" w:space="0" w:color="auto"/>
      </w:divBdr>
    </w:div>
    <w:div w:id="1802650095">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0914455">
      <w:bodyDiv w:val="1"/>
      <w:marLeft w:val="0"/>
      <w:marRight w:val="0"/>
      <w:marTop w:val="0"/>
      <w:marBottom w:val="0"/>
      <w:divBdr>
        <w:top w:val="none" w:sz="0" w:space="0" w:color="auto"/>
        <w:left w:val="none" w:sz="0" w:space="0" w:color="auto"/>
        <w:bottom w:val="none" w:sz="0" w:space="0" w:color="auto"/>
        <w:right w:val="none" w:sz="0" w:space="0" w:color="auto"/>
      </w:divBdr>
    </w:div>
    <w:div w:id="1954970774">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4" ma:contentTypeDescription="Create a new document." ma:contentTypeScope="" ma:versionID="51b4c270ded8ffea97e314b466332be4">
  <xsd:schema xmlns:xsd="http://www.w3.org/2001/XMLSchema" xmlns:xs="http://www.w3.org/2001/XMLSchema" xmlns:p="http://schemas.microsoft.com/office/2006/metadata/properties" xmlns:ns2="a3870de7-628d-4f96-ad09-9338c4ed9354" targetNamespace="http://schemas.microsoft.com/office/2006/metadata/properties" ma:root="true" ma:fieldsID="8386f5c2693bf75ea8409898d6d3830f" ns2:_="">
    <xsd:import namespace="a3870de7-628d-4f96-ad09-9338c4ed9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2B75-0DD8-489A-A569-49643AE69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66B90-D353-4767-9721-324081D918B4}">
  <ds:schemaRefs>
    <ds:schemaRef ds:uri="http://schemas.microsoft.com/office/2006/documentManagement/types"/>
    <ds:schemaRef ds:uri="http://schemas.microsoft.com/office/2006/metadata/properties"/>
    <ds:schemaRef ds:uri="a3870de7-628d-4f96-ad09-9338c4ed9354"/>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0DF646-49EA-460D-87B9-0EB94713D813}">
  <ds:schemaRefs>
    <ds:schemaRef ds:uri="http://schemas.microsoft.com/sharepoint/v3/contenttype/forms"/>
  </ds:schemaRefs>
</ds:datastoreItem>
</file>

<file path=customXml/itemProps4.xml><?xml version="1.0" encoding="utf-8"?>
<ds:datastoreItem xmlns:ds="http://schemas.openxmlformats.org/officeDocument/2006/customXml" ds:itemID="{31868C61-FCE6-4946-BA4F-04922E4D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11926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2020-06-26T02:38:00Z</dcterms:created>
  <dcterms:modified xsi:type="dcterms:W3CDTF">2020-06-26T02:38:00Z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0x0101007B53B5196E2F5640AA1500E82A7BF106</vt:lpwstr>
  </property>
</Properties>
</file>