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0275F942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96F69">
        <w:rPr>
          <w:i/>
          <w:sz w:val="24"/>
        </w:rPr>
        <w:t>nce and Accountability (Section </w:t>
      </w:r>
      <w:r w:rsidR="009F17EA">
        <w:rPr>
          <w:i/>
          <w:sz w:val="24"/>
        </w:rPr>
        <w:t>75 Transfers) 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A931D6">
        <w:rPr>
          <w:i/>
          <w:sz w:val="24"/>
        </w:rPr>
        <w:t>2020</w:t>
      </w:r>
      <w:r w:rsidR="00696F69">
        <w:rPr>
          <w:i/>
          <w:sz w:val="24"/>
        </w:rPr>
        <w:noBreakHyphen/>
      </w:r>
      <w:r w:rsidR="00A931D6">
        <w:rPr>
          <w:i/>
          <w:sz w:val="24"/>
        </w:rPr>
        <w:t>2021</w:t>
      </w:r>
      <w:r w:rsidR="00BE1474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14:paraId="242E47BD" w14:textId="77777777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3DB056EC" w14:textId="74BE3706" w:rsidR="006B7A9D" w:rsidRPr="0067455D" w:rsidRDefault="00146C4C" w:rsidP="0088640B">
      <w:pPr>
        <w:rPr>
          <w:sz w:val="24"/>
        </w:rPr>
      </w:pPr>
      <w:r w:rsidRPr="0067455D">
        <w:rPr>
          <w:sz w:val="24"/>
        </w:rPr>
        <w:t xml:space="preserve">The </w:t>
      </w:r>
      <w:r w:rsidR="00B57E08" w:rsidRPr="0067455D">
        <w:rPr>
          <w:sz w:val="24"/>
        </w:rPr>
        <w:t>d</w:t>
      </w:r>
      <w:r w:rsidRPr="0067455D">
        <w:rPr>
          <w:sz w:val="24"/>
        </w:rPr>
        <w:t>ete</w:t>
      </w:r>
      <w:r w:rsidR="00696F69" w:rsidRPr="0067455D">
        <w:rPr>
          <w:sz w:val="24"/>
        </w:rPr>
        <w:t>rmination is made under section </w:t>
      </w:r>
      <w:r w:rsidR="00B57E08" w:rsidRPr="0067455D">
        <w:rPr>
          <w:sz w:val="24"/>
        </w:rPr>
        <w:t>75</w:t>
      </w:r>
      <w:r w:rsidRPr="0067455D">
        <w:rPr>
          <w:sz w:val="24"/>
        </w:rPr>
        <w:t xml:space="preserve"> of the </w:t>
      </w:r>
      <w:r w:rsidR="00B57E08" w:rsidRPr="0067455D">
        <w:rPr>
          <w:i/>
          <w:sz w:val="24"/>
        </w:rPr>
        <w:t>Public Governance, Per</w:t>
      </w:r>
      <w:r w:rsidR="00696F69" w:rsidRPr="0067455D">
        <w:rPr>
          <w:i/>
          <w:sz w:val="24"/>
        </w:rPr>
        <w:t>formance and Accountability Act </w:t>
      </w:r>
      <w:r w:rsidR="00B57E08" w:rsidRPr="0067455D">
        <w:rPr>
          <w:i/>
          <w:sz w:val="24"/>
        </w:rPr>
        <w:t>2013</w:t>
      </w:r>
      <w:r w:rsidR="00B57E08" w:rsidRPr="0067455D">
        <w:rPr>
          <w:sz w:val="24"/>
        </w:rPr>
        <w:t xml:space="preserve"> </w:t>
      </w:r>
      <w:r w:rsidR="00696F69" w:rsidRPr="0067455D">
        <w:rPr>
          <w:sz w:val="24"/>
        </w:rPr>
        <w:t xml:space="preserve">(PGPA </w:t>
      </w:r>
      <w:r w:rsidR="00B57E08" w:rsidRPr="0067455D">
        <w:rPr>
          <w:sz w:val="24"/>
        </w:rPr>
        <w:t>Act)</w:t>
      </w:r>
      <w:r w:rsidRPr="0067455D">
        <w:rPr>
          <w:sz w:val="24"/>
        </w:rPr>
        <w:t xml:space="preserve">, to adjust amounts appropriated to </w:t>
      </w:r>
      <w:r w:rsidR="00542A41" w:rsidRPr="0067455D">
        <w:rPr>
          <w:sz w:val="24"/>
        </w:rPr>
        <w:t>non-corporate Commonwealth</w:t>
      </w:r>
      <w:r w:rsidRPr="0067455D">
        <w:rPr>
          <w:sz w:val="24"/>
        </w:rPr>
        <w:t xml:space="preserve"> </w:t>
      </w:r>
      <w:r w:rsidR="00D80EE8" w:rsidRPr="0067455D">
        <w:rPr>
          <w:sz w:val="24"/>
        </w:rPr>
        <w:t>entit</w:t>
      </w:r>
      <w:r w:rsidR="0037012D" w:rsidRPr="0067455D">
        <w:rPr>
          <w:sz w:val="24"/>
        </w:rPr>
        <w:t>ies</w:t>
      </w:r>
      <w:r w:rsidR="006B7A9D" w:rsidRPr="0067455D">
        <w:rPr>
          <w:sz w:val="24"/>
        </w:rPr>
        <w:t>,</w:t>
      </w:r>
      <w:r w:rsidR="003B4CEC" w:rsidRPr="0067455D">
        <w:rPr>
          <w:sz w:val="24"/>
        </w:rPr>
        <w:t xml:space="preserve"> in response </w:t>
      </w:r>
      <w:r w:rsidR="00025C1D" w:rsidRPr="0067455D">
        <w:rPr>
          <w:sz w:val="24"/>
        </w:rPr>
        <w:t xml:space="preserve">to </w:t>
      </w:r>
      <w:r w:rsidR="00904B1B" w:rsidRPr="0067455D">
        <w:rPr>
          <w:sz w:val="24"/>
        </w:rPr>
        <w:t>the commencement on 1 July 2020 of Sport Integrity Aus</w:t>
      </w:r>
      <w:r w:rsidR="005C4153">
        <w:rPr>
          <w:sz w:val="24"/>
        </w:rPr>
        <w:t>tralia (SIA) on commencement</w:t>
      </w:r>
      <w:r w:rsidR="00270DCE" w:rsidRPr="0067455D">
        <w:rPr>
          <w:sz w:val="24"/>
        </w:rPr>
        <w:t xml:space="preserve"> of the </w:t>
      </w:r>
      <w:r w:rsidR="00270DCE" w:rsidRPr="0067455D">
        <w:rPr>
          <w:i/>
          <w:sz w:val="24"/>
        </w:rPr>
        <w:t>Australian Sports Anti-Doping Authority Amendment (Sport Integrity Australia</w:t>
      </w:r>
      <w:r w:rsidR="007A78E9" w:rsidRPr="0067455D">
        <w:rPr>
          <w:i/>
          <w:sz w:val="24"/>
        </w:rPr>
        <w:t>)</w:t>
      </w:r>
      <w:r w:rsidR="00270DCE" w:rsidRPr="0067455D">
        <w:rPr>
          <w:i/>
          <w:sz w:val="24"/>
        </w:rPr>
        <w:t xml:space="preserve"> Act 2020</w:t>
      </w:r>
      <w:r w:rsidR="00270DCE" w:rsidRPr="0067455D">
        <w:rPr>
          <w:sz w:val="24"/>
        </w:rPr>
        <w:t>.</w:t>
      </w:r>
    </w:p>
    <w:p w14:paraId="01604C75" w14:textId="031F6A5F" w:rsidR="00343A84" w:rsidRPr="0067455D" w:rsidRDefault="00DB0381" w:rsidP="0088640B">
      <w:pPr>
        <w:rPr>
          <w:b/>
          <w:sz w:val="24"/>
        </w:rPr>
      </w:pPr>
      <w:bookmarkStart w:id="2" w:name="OLE_LINK1"/>
      <w:bookmarkStart w:id="3" w:name="OLE_LINK2"/>
      <w:r w:rsidRPr="0067455D">
        <w:rPr>
          <w:sz w:val="24"/>
        </w:rPr>
        <w:t xml:space="preserve">The determination </w:t>
      </w:r>
      <w:r w:rsidR="00A41A34" w:rsidRPr="0067455D">
        <w:rPr>
          <w:sz w:val="24"/>
        </w:rPr>
        <w:t>modifies</w:t>
      </w:r>
      <w:r w:rsidR="00F63AA7" w:rsidRPr="0067455D">
        <w:rPr>
          <w:sz w:val="24"/>
        </w:rPr>
        <w:t xml:space="preserve"> the</w:t>
      </w:r>
      <w:r w:rsidR="009B70EA" w:rsidRPr="0067455D">
        <w:rPr>
          <w:sz w:val="24"/>
        </w:rPr>
        <w:t xml:space="preserve"> </w:t>
      </w:r>
      <w:r w:rsidR="00270DCE" w:rsidRPr="0067455D">
        <w:rPr>
          <w:sz w:val="24"/>
        </w:rPr>
        <w:t>Appropriation Acts to support functions transferred to SIA from:</w:t>
      </w:r>
    </w:p>
    <w:p w14:paraId="0595CDA7" w14:textId="72C3C1C8" w:rsidR="00270DCE" w:rsidRPr="0067455D" w:rsidRDefault="00CA2D43" w:rsidP="000279BB">
      <w:pPr>
        <w:pStyle w:val="1NumberPointsStyle"/>
        <w:numPr>
          <w:ilvl w:val="1"/>
          <w:numId w:val="21"/>
        </w:numPr>
        <w:spacing w:after="120"/>
        <w:ind w:left="738" w:hanging="369"/>
        <w:rPr>
          <w:szCs w:val="22"/>
        </w:rPr>
      </w:pPr>
      <w:r w:rsidRPr="0067455D">
        <w:rPr>
          <w:szCs w:val="22"/>
        </w:rPr>
        <w:t>t</w:t>
      </w:r>
      <w:r w:rsidR="00270DCE" w:rsidRPr="0067455D">
        <w:rPr>
          <w:szCs w:val="22"/>
        </w:rPr>
        <w:t>he A</w:t>
      </w:r>
      <w:r w:rsidRPr="0067455D">
        <w:rPr>
          <w:szCs w:val="22"/>
        </w:rPr>
        <w:t>ustralian Sports Anti-Doping Authority (ASADA) in relation to all functions formerly undertaken by ASADA which will be abolished on 1 July 2020 following the commencement of SIA; and</w:t>
      </w:r>
    </w:p>
    <w:p w14:paraId="0F139186" w14:textId="45DF9ACC" w:rsidR="000279BB" w:rsidRPr="0067455D" w:rsidRDefault="00CA2D43" w:rsidP="000279BB">
      <w:pPr>
        <w:pStyle w:val="1NumberPointsStyle"/>
        <w:numPr>
          <w:ilvl w:val="1"/>
          <w:numId w:val="21"/>
        </w:numPr>
        <w:spacing w:after="120"/>
        <w:ind w:left="738" w:hanging="369"/>
        <w:rPr>
          <w:szCs w:val="22"/>
        </w:rPr>
      </w:pPr>
      <w:proofErr w:type="gramStart"/>
      <w:r w:rsidRPr="0067455D">
        <w:rPr>
          <w:szCs w:val="22"/>
        </w:rPr>
        <w:t>t</w:t>
      </w:r>
      <w:r w:rsidR="00270DCE" w:rsidRPr="0067455D">
        <w:rPr>
          <w:szCs w:val="22"/>
        </w:rPr>
        <w:t>he</w:t>
      </w:r>
      <w:proofErr w:type="gramEnd"/>
      <w:r w:rsidR="00270DCE" w:rsidRPr="0067455D">
        <w:rPr>
          <w:szCs w:val="22"/>
        </w:rPr>
        <w:t xml:space="preserve"> Department of Health</w:t>
      </w:r>
      <w:r w:rsidRPr="0067455D">
        <w:rPr>
          <w:szCs w:val="22"/>
        </w:rPr>
        <w:t xml:space="preserve"> </w:t>
      </w:r>
      <w:r w:rsidR="003579C5">
        <w:rPr>
          <w:szCs w:val="22"/>
        </w:rPr>
        <w:t xml:space="preserve">(Health) </w:t>
      </w:r>
      <w:bookmarkStart w:id="4" w:name="_GoBack"/>
      <w:bookmarkEnd w:id="4"/>
      <w:r w:rsidRPr="0067455D">
        <w:rPr>
          <w:szCs w:val="22"/>
        </w:rPr>
        <w:t xml:space="preserve">in relation to sport integrity </w:t>
      </w:r>
      <w:r w:rsidR="001C2FB8" w:rsidRPr="0067455D">
        <w:rPr>
          <w:szCs w:val="22"/>
        </w:rPr>
        <w:t>functions</w:t>
      </w:r>
      <w:r w:rsidRPr="0067455D">
        <w:rPr>
          <w:szCs w:val="22"/>
        </w:rPr>
        <w:t>.</w:t>
      </w:r>
    </w:p>
    <w:p w14:paraId="2B23E302" w14:textId="3E2CECC4" w:rsidR="00EA7262" w:rsidRPr="0067455D" w:rsidRDefault="00331AF2" w:rsidP="006F2F8C">
      <w:pPr>
        <w:rPr>
          <w:b/>
          <w:iCs/>
          <w:sz w:val="24"/>
          <w:szCs w:val="22"/>
        </w:rPr>
      </w:pPr>
      <w:r w:rsidRPr="0067455D">
        <w:rPr>
          <w:iCs/>
          <w:sz w:val="24"/>
          <w:szCs w:val="22"/>
        </w:rPr>
        <w:t xml:space="preserve">The determination results </w:t>
      </w:r>
      <w:r w:rsidRPr="0067455D">
        <w:rPr>
          <w:sz w:val="24"/>
        </w:rPr>
        <w:t>in</w:t>
      </w:r>
      <w:r w:rsidRPr="0067455D">
        <w:rPr>
          <w:iCs/>
          <w:sz w:val="24"/>
          <w:szCs w:val="22"/>
        </w:rPr>
        <w:t xml:space="preserve"> no change to the total amount appropriated by Parliament.</w:t>
      </w:r>
    </w:p>
    <w:bookmarkEnd w:id="2"/>
    <w:bookmarkEnd w:id="3"/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73327BC9" w:rsidR="003048C9" w:rsidRPr="0067455D" w:rsidRDefault="00ED0889" w:rsidP="0088640B">
      <w:pPr>
        <w:rPr>
          <w:b/>
          <w:sz w:val="24"/>
        </w:rPr>
      </w:pPr>
      <w:r w:rsidRPr="0067455D">
        <w:rPr>
          <w:sz w:val="24"/>
        </w:rPr>
        <w:t xml:space="preserve">The determination commences on </w:t>
      </w:r>
      <w:r w:rsidR="00CA2D43" w:rsidRPr="0067455D">
        <w:rPr>
          <w:sz w:val="24"/>
        </w:rPr>
        <w:t>1 July 2020</w:t>
      </w:r>
      <w:r w:rsidR="00D51722" w:rsidRPr="0067455D">
        <w:rPr>
          <w:sz w:val="24"/>
        </w:rPr>
        <w:t>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77777777" w:rsidR="00146C4C" w:rsidRPr="0067455D" w:rsidRDefault="00F9268B" w:rsidP="0088640B">
      <w:pPr>
        <w:rPr>
          <w:b/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1C7C482B" w14:textId="77777777" w:rsidR="00146C4C" w:rsidRPr="0067455D" w:rsidRDefault="00146C4C" w:rsidP="0088640B">
      <w:pPr>
        <w:rPr>
          <w:b/>
          <w:sz w:val="24"/>
        </w:rPr>
      </w:pPr>
      <w:r w:rsidRPr="0067455D">
        <w:rPr>
          <w:sz w:val="24"/>
        </w:rPr>
        <w:t xml:space="preserve">The </w:t>
      </w:r>
      <w:r w:rsidR="00B57E08" w:rsidRPr="0067455D">
        <w:rPr>
          <w:sz w:val="24"/>
        </w:rPr>
        <w:t>determination</w:t>
      </w:r>
      <w:r w:rsidRPr="0067455D">
        <w:rPr>
          <w:sz w:val="24"/>
        </w:rPr>
        <w:t xml:space="preserve"> is a legislative instrum</w:t>
      </w:r>
      <w:r w:rsidR="00696F69" w:rsidRPr="0067455D">
        <w:rPr>
          <w:sz w:val="24"/>
        </w:rPr>
        <w:t>ent for the purposes of section </w:t>
      </w:r>
      <w:r w:rsidR="00BB6345" w:rsidRPr="0067455D">
        <w:rPr>
          <w:sz w:val="24"/>
        </w:rPr>
        <w:t>8</w:t>
      </w:r>
      <w:r w:rsidRPr="0067455D">
        <w:rPr>
          <w:sz w:val="24"/>
        </w:rPr>
        <w:t xml:space="preserve"> of the </w:t>
      </w:r>
      <w:r w:rsidRPr="0067455D">
        <w:rPr>
          <w:i/>
          <w:sz w:val="24"/>
        </w:rPr>
        <w:t>Legislati</w:t>
      </w:r>
      <w:r w:rsidR="00BB6345" w:rsidRPr="0067455D">
        <w:rPr>
          <w:i/>
          <w:sz w:val="24"/>
        </w:rPr>
        <w:t>on</w:t>
      </w:r>
      <w:r w:rsidR="00F9268B" w:rsidRPr="0067455D">
        <w:rPr>
          <w:i/>
          <w:sz w:val="24"/>
        </w:rPr>
        <w:t xml:space="preserve"> Act </w:t>
      </w:r>
      <w:r w:rsidRPr="0067455D">
        <w:rPr>
          <w:i/>
          <w:sz w:val="24"/>
        </w:rPr>
        <w:t>2003</w:t>
      </w:r>
      <w:r w:rsidRPr="0067455D">
        <w:rPr>
          <w:sz w:val="24"/>
        </w:rPr>
        <w:t>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77777777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for the </w:t>
      </w:r>
      <w:r w:rsidR="00B57E08" w:rsidRPr="0067455D">
        <w:rPr>
          <w:sz w:val="24"/>
        </w:rPr>
        <w:t>determination</w:t>
      </w:r>
      <w:r w:rsidR="0067455D" w:rsidRPr="0067455D">
        <w:rPr>
          <w:sz w:val="24"/>
        </w:rPr>
        <w:t>.</w:t>
      </w:r>
    </w:p>
    <w:p w14:paraId="20873B03" w14:textId="05314616" w:rsidR="00146C4C" w:rsidRPr="0067455D" w:rsidRDefault="00F9268B" w:rsidP="0067455D">
      <w:pPr>
        <w:rPr>
          <w:sz w:val="24"/>
        </w:rPr>
      </w:pPr>
      <w:r w:rsidRPr="0067455D">
        <w:rPr>
          <w:sz w:val="24"/>
        </w:rPr>
        <w:t>Subsection </w:t>
      </w:r>
      <w:r w:rsidR="00146C4C" w:rsidRPr="0067455D">
        <w:rPr>
          <w:sz w:val="24"/>
        </w:rPr>
        <w:t>9(1) of the</w:t>
      </w:r>
      <w:r w:rsidR="00146C4C" w:rsidRPr="0067455D">
        <w:rPr>
          <w:i/>
          <w:iCs/>
          <w:sz w:val="24"/>
        </w:rPr>
        <w:t xml:space="preserve"> Human Righ</w:t>
      </w:r>
      <w:r w:rsidRPr="0067455D">
        <w:rPr>
          <w:i/>
          <w:iCs/>
          <w:sz w:val="24"/>
        </w:rPr>
        <w:t>ts (Parliamentary Scrutiny) Act </w:t>
      </w:r>
      <w:r w:rsidR="00146C4C" w:rsidRPr="0067455D">
        <w:rPr>
          <w:i/>
          <w:iCs/>
          <w:sz w:val="24"/>
        </w:rPr>
        <w:t xml:space="preserve">2011 </w:t>
      </w:r>
      <w:r w:rsidR="00146C4C" w:rsidRPr="0067455D">
        <w:rPr>
          <w:sz w:val="24"/>
        </w:rPr>
        <w:t xml:space="preserve">requires a Statement of Compatibility with Human Rights for all legislative instruments subject to </w:t>
      </w:r>
      <w:r w:rsidRPr="0067455D">
        <w:rPr>
          <w:sz w:val="24"/>
        </w:rPr>
        <w:t>disallowance under section </w:t>
      </w:r>
      <w:r w:rsidR="00146C4C" w:rsidRPr="0067455D">
        <w:rPr>
          <w:sz w:val="24"/>
        </w:rPr>
        <w:t>42 of the</w:t>
      </w:r>
      <w:r w:rsidR="00BB6345" w:rsidRPr="0067455D">
        <w:rPr>
          <w:i/>
          <w:iCs/>
          <w:sz w:val="24"/>
        </w:rPr>
        <w:t xml:space="preserve"> Legislation</w:t>
      </w:r>
      <w:r w:rsidRPr="0067455D">
        <w:rPr>
          <w:i/>
          <w:iCs/>
          <w:sz w:val="24"/>
        </w:rPr>
        <w:t xml:space="preserve"> Act 2003. </w:t>
      </w:r>
      <w:r w:rsidR="00146C4C" w:rsidRPr="0067455D">
        <w:rPr>
          <w:iCs/>
          <w:sz w:val="24"/>
        </w:rPr>
        <w:t>A</w:t>
      </w:r>
      <w:r w:rsidR="00146C4C" w:rsidRPr="0067455D">
        <w:rPr>
          <w:sz w:val="24"/>
        </w:rPr>
        <w:t xml:space="preserve"> determination under secti</w:t>
      </w:r>
      <w:r w:rsidRPr="0067455D">
        <w:rPr>
          <w:sz w:val="24"/>
        </w:rPr>
        <w:t>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is exempt fro</w:t>
      </w:r>
      <w:r w:rsidRPr="0067455D">
        <w:rPr>
          <w:sz w:val="24"/>
        </w:rPr>
        <w:t>m disallowance under subsection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>(7) of the</w:t>
      </w:r>
      <w:r w:rsidR="00146C4C" w:rsidRPr="0067455D">
        <w:rPr>
          <w:i/>
          <w:iCs/>
          <w:sz w:val="24"/>
        </w:rPr>
        <w:t xml:space="preserve"> </w:t>
      </w:r>
      <w:r w:rsidR="00B57E08" w:rsidRPr="0067455D">
        <w:rPr>
          <w:iCs/>
          <w:sz w:val="24"/>
        </w:rPr>
        <w:t>PGP</w:t>
      </w:r>
      <w:r w:rsidR="00146C4C" w:rsidRPr="0067455D">
        <w:rPr>
          <w:iCs/>
          <w:sz w:val="24"/>
        </w:rPr>
        <w:t>A Act.</w:t>
      </w:r>
      <w:r w:rsidR="00146C4C" w:rsidRPr="0067455D">
        <w:rPr>
          <w:sz w:val="24"/>
        </w:rPr>
        <w:t xml:space="preserve"> As such, a Statement of Compatibility with Human Rights is not required.</w:t>
      </w:r>
    </w:p>
    <w:p w14:paraId="7EEFB209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3EDC0B29" w:rsidR="00146C4C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1AA4E695" w14:textId="432EAEEE" w:rsidR="007B192B" w:rsidRDefault="007B192B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4C4BCC1C" w14:textId="3878419E" w:rsidR="00E95D13" w:rsidRPr="0067455D" w:rsidRDefault="00E95D13" w:rsidP="00AE2177">
      <w:pPr>
        <w:pStyle w:val="Heading3"/>
      </w:pPr>
      <w:r w:rsidRPr="0067455D">
        <w:lastRenderedPageBreak/>
        <w:t>Summary of Modifications</w:t>
      </w:r>
    </w:p>
    <w:p w14:paraId="32F5B6BD" w14:textId="0DA15C4A" w:rsidR="00505636" w:rsidRPr="00FE572B" w:rsidRDefault="00505636" w:rsidP="00FE572B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FE572B">
        <w:rPr>
          <w:bCs/>
          <w:sz w:val="24"/>
          <w:szCs w:val="22"/>
        </w:rPr>
        <w:t>Paragraphs</w:t>
      </w:r>
      <w:r w:rsidR="00D51722" w:rsidRPr="00FE572B">
        <w:rPr>
          <w:bCs/>
          <w:sz w:val="24"/>
          <w:szCs w:val="22"/>
        </w:rPr>
        <w:t xml:space="preserve"> 5(2</w:t>
      </w:r>
      <w:proofErr w:type="gramStart"/>
      <w:r w:rsidR="00D51722" w:rsidRPr="00FE572B">
        <w:rPr>
          <w:bCs/>
          <w:sz w:val="24"/>
          <w:szCs w:val="22"/>
        </w:rPr>
        <w:t>)(</w:t>
      </w:r>
      <w:proofErr w:type="gramEnd"/>
      <w:r w:rsidR="00D51722" w:rsidRPr="00FE572B">
        <w:rPr>
          <w:bCs/>
          <w:sz w:val="24"/>
          <w:szCs w:val="22"/>
        </w:rPr>
        <w:t xml:space="preserve">a) </w:t>
      </w:r>
      <w:r w:rsidRPr="00FE572B">
        <w:rPr>
          <w:bCs/>
          <w:sz w:val="24"/>
          <w:szCs w:val="22"/>
        </w:rPr>
        <w:t xml:space="preserve">and (b) have effect as if a departmental item and an administered item for SIA were included in Schedule 1 to the </w:t>
      </w:r>
      <w:r w:rsidRPr="00D55DDE">
        <w:rPr>
          <w:bCs/>
          <w:i/>
          <w:sz w:val="24"/>
          <w:szCs w:val="22"/>
        </w:rPr>
        <w:t>Supply Act (No. 1) 2020-2021</w:t>
      </w:r>
      <w:r w:rsidRPr="00FE572B">
        <w:rPr>
          <w:bCs/>
          <w:sz w:val="24"/>
          <w:szCs w:val="22"/>
        </w:rPr>
        <w:t xml:space="preserve"> within the Health Portfolio. Due to a transfer of functions from ASADA and Health to the newly established SIA, this determination has effect as if SIA were included in the </w:t>
      </w:r>
      <w:r w:rsidRPr="00D55DDE">
        <w:rPr>
          <w:bCs/>
          <w:i/>
          <w:sz w:val="24"/>
          <w:szCs w:val="22"/>
        </w:rPr>
        <w:t>Supply Act (No. 1) 2020</w:t>
      </w:r>
      <w:r w:rsidRPr="00D55DDE">
        <w:rPr>
          <w:bCs/>
          <w:i/>
          <w:sz w:val="24"/>
          <w:szCs w:val="22"/>
        </w:rPr>
        <w:noBreakHyphen/>
        <w:t>2021</w:t>
      </w:r>
      <w:r w:rsidRPr="00FE572B">
        <w:rPr>
          <w:bCs/>
          <w:sz w:val="24"/>
          <w:szCs w:val="22"/>
        </w:rPr>
        <w:t>.</w:t>
      </w:r>
    </w:p>
    <w:p w14:paraId="4AC71816" w14:textId="470F20C7" w:rsidR="00505636" w:rsidRPr="00FE572B" w:rsidRDefault="00505636" w:rsidP="00FE572B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FE572B">
        <w:rPr>
          <w:bCs/>
          <w:sz w:val="24"/>
          <w:szCs w:val="22"/>
        </w:rPr>
        <w:t xml:space="preserve">Subparagraph 5(2)(b)(ii) has effect as if the following Outcome </w:t>
      </w:r>
      <w:r w:rsidR="00966D13" w:rsidRPr="00FE572B">
        <w:rPr>
          <w:bCs/>
          <w:sz w:val="24"/>
          <w:szCs w:val="22"/>
        </w:rPr>
        <w:t>were</w:t>
      </w:r>
      <w:r w:rsidR="006236A7">
        <w:rPr>
          <w:bCs/>
          <w:sz w:val="24"/>
          <w:szCs w:val="22"/>
        </w:rPr>
        <w:t xml:space="preserve"> included in Schedule 1</w:t>
      </w:r>
      <w:r w:rsidRPr="00FE572B">
        <w:rPr>
          <w:bCs/>
          <w:sz w:val="24"/>
          <w:szCs w:val="22"/>
        </w:rPr>
        <w:t xml:space="preserve"> to the </w:t>
      </w:r>
      <w:r w:rsidRPr="00D55DDE">
        <w:rPr>
          <w:bCs/>
          <w:i/>
          <w:sz w:val="24"/>
          <w:szCs w:val="22"/>
        </w:rPr>
        <w:t>Supply Act (No. 1) 2020-2021</w:t>
      </w:r>
      <w:r w:rsidRPr="00FE572B">
        <w:rPr>
          <w:bCs/>
          <w:sz w:val="24"/>
          <w:szCs w:val="22"/>
        </w:rPr>
        <w:t xml:space="preserve"> for SIA:</w:t>
      </w:r>
    </w:p>
    <w:p w14:paraId="5037C242" w14:textId="77777777" w:rsidR="00505636" w:rsidRPr="00FE572B" w:rsidRDefault="00505636" w:rsidP="00966D13">
      <w:pPr>
        <w:pStyle w:val="subsection"/>
        <w:keepNext/>
        <w:keepLines/>
        <w:tabs>
          <w:tab w:val="clear" w:pos="1021"/>
          <w:tab w:val="right" w:pos="1560"/>
        </w:tabs>
        <w:spacing w:after="0"/>
        <w:ind w:firstLine="0"/>
        <w:rPr>
          <w:b/>
        </w:rPr>
      </w:pPr>
      <w:r w:rsidRPr="00FE572B">
        <w:rPr>
          <w:b/>
        </w:rPr>
        <w:t>Outcome 1</w:t>
      </w:r>
    </w:p>
    <w:p w14:paraId="10F77A2D" w14:textId="04ADB00E" w:rsidR="00D51722" w:rsidRPr="00FE572B" w:rsidRDefault="00505636" w:rsidP="00966D13">
      <w:pPr>
        <w:pStyle w:val="subsection"/>
        <w:keepNext/>
        <w:keepLines/>
        <w:tabs>
          <w:tab w:val="clear" w:pos="1021"/>
          <w:tab w:val="right" w:pos="1560"/>
        </w:tabs>
        <w:spacing w:before="0" w:after="0"/>
        <w:ind w:firstLine="0"/>
        <w:rPr>
          <w:sz w:val="24"/>
        </w:rPr>
      </w:pPr>
      <w:r w:rsidRPr="00FE572B">
        <w:t>Protection of the integrity of Australian sport and the health and welfare of those who participate in sport through the coordination of a national approach to all sports integrity matters</w:t>
      </w:r>
    </w:p>
    <w:p w14:paraId="47BB0C85" w14:textId="5805CDEC" w:rsidR="00173AC2" w:rsidRPr="00050C12" w:rsidRDefault="00460D61" w:rsidP="00050C12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050C12">
        <w:rPr>
          <w:bCs/>
          <w:sz w:val="24"/>
          <w:szCs w:val="22"/>
        </w:rPr>
        <w:t xml:space="preserve">Relevant </w:t>
      </w:r>
      <w:r w:rsidR="00F9268B" w:rsidRPr="00050C12">
        <w:rPr>
          <w:bCs/>
          <w:sz w:val="24"/>
          <w:szCs w:val="22"/>
        </w:rPr>
        <w:t>appropriation items in Schedule </w:t>
      </w:r>
      <w:r w:rsidRPr="00050C12">
        <w:rPr>
          <w:bCs/>
          <w:sz w:val="24"/>
          <w:szCs w:val="22"/>
        </w:rPr>
        <w:t>1</w:t>
      </w:r>
      <w:r w:rsidR="00707C29" w:rsidRPr="00050C12">
        <w:rPr>
          <w:bCs/>
          <w:sz w:val="24"/>
          <w:szCs w:val="22"/>
        </w:rPr>
        <w:t xml:space="preserve"> to the </w:t>
      </w:r>
      <w:r w:rsidR="009B70EA" w:rsidRPr="00050C12">
        <w:rPr>
          <w:bCs/>
          <w:i/>
          <w:sz w:val="24"/>
          <w:szCs w:val="22"/>
        </w:rPr>
        <w:t xml:space="preserve">Supply Act </w:t>
      </w:r>
      <w:r w:rsidR="00966D13" w:rsidRPr="00050C12">
        <w:rPr>
          <w:bCs/>
          <w:i/>
          <w:sz w:val="24"/>
          <w:szCs w:val="22"/>
        </w:rPr>
        <w:t>(No. 1) 2020</w:t>
      </w:r>
      <w:r w:rsidR="00966D13" w:rsidRPr="00050C12">
        <w:rPr>
          <w:bCs/>
          <w:i/>
          <w:sz w:val="24"/>
          <w:szCs w:val="22"/>
        </w:rPr>
        <w:noBreakHyphen/>
        <w:t>2021</w:t>
      </w:r>
      <w:r w:rsidRPr="00050C12">
        <w:rPr>
          <w:bCs/>
          <w:sz w:val="24"/>
          <w:szCs w:val="22"/>
        </w:rPr>
        <w:t xml:space="preserve"> have effect as if they were increased or decreased by s</w:t>
      </w:r>
      <w:r w:rsidR="00F9268B" w:rsidRPr="00050C12">
        <w:rPr>
          <w:bCs/>
          <w:sz w:val="24"/>
          <w:szCs w:val="22"/>
        </w:rPr>
        <w:t>ubsection </w:t>
      </w:r>
      <w:r w:rsidR="00966D13" w:rsidRPr="00050C12">
        <w:rPr>
          <w:bCs/>
          <w:sz w:val="24"/>
          <w:szCs w:val="22"/>
        </w:rPr>
        <w:t>5</w:t>
      </w:r>
      <w:r w:rsidR="00331AF2" w:rsidRPr="00050C12">
        <w:rPr>
          <w:bCs/>
          <w:sz w:val="24"/>
          <w:szCs w:val="22"/>
        </w:rPr>
        <w:t>(</w:t>
      </w:r>
      <w:r w:rsidR="00966D13" w:rsidRPr="00050C12">
        <w:rPr>
          <w:bCs/>
          <w:sz w:val="24"/>
          <w:szCs w:val="22"/>
        </w:rPr>
        <w:t>3</w:t>
      </w:r>
      <w:r w:rsidR="00F46FCC" w:rsidRPr="00050C12">
        <w:rPr>
          <w:bCs/>
          <w:sz w:val="24"/>
          <w:szCs w:val="22"/>
        </w:rPr>
        <w:t>) in the determination.</w:t>
      </w:r>
    </w:p>
    <w:p w14:paraId="446C8273" w14:textId="368B0E2E" w:rsidR="00AF6F0F" w:rsidRPr="00FE572B" w:rsidRDefault="00F9268B" w:rsidP="00FE572B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FE572B">
        <w:rPr>
          <w:bCs/>
          <w:sz w:val="24"/>
          <w:szCs w:val="22"/>
        </w:rPr>
        <w:t>Subsection </w:t>
      </w:r>
      <w:r w:rsidR="00966D13" w:rsidRPr="00FE572B">
        <w:rPr>
          <w:bCs/>
          <w:sz w:val="24"/>
          <w:szCs w:val="22"/>
        </w:rPr>
        <w:t>5</w:t>
      </w:r>
      <w:r w:rsidR="00173AC2" w:rsidRPr="00FE572B">
        <w:rPr>
          <w:bCs/>
          <w:sz w:val="24"/>
          <w:szCs w:val="22"/>
        </w:rPr>
        <w:t>(</w:t>
      </w:r>
      <w:r w:rsidR="00966D13" w:rsidRPr="00FE572B">
        <w:rPr>
          <w:bCs/>
          <w:sz w:val="24"/>
          <w:szCs w:val="22"/>
        </w:rPr>
        <w:t>3</w:t>
      </w:r>
      <w:r w:rsidR="00173AC2" w:rsidRPr="00FE572B">
        <w:rPr>
          <w:bCs/>
          <w:sz w:val="24"/>
          <w:szCs w:val="22"/>
        </w:rPr>
        <w:t>) in the determination also provides that when there is an increase for an appropriation item for a gaining entity, where the appropriation item only has effect because of this determination, the incre</w:t>
      </w:r>
      <w:r w:rsidR="006236A7">
        <w:rPr>
          <w:bCs/>
          <w:sz w:val="24"/>
          <w:szCs w:val="22"/>
        </w:rPr>
        <w:t>ase is applied to a nil amount.</w:t>
      </w:r>
    </w:p>
    <w:p w14:paraId="388D0C77" w14:textId="3080F824" w:rsidR="00B85994" w:rsidRPr="00FE572B" w:rsidRDefault="00460D61" w:rsidP="00FE572B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 w:rsidRPr="00FE572B">
        <w:rPr>
          <w:bCs/>
          <w:sz w:val="24"/>
          <w:szCs w:val="22"/>
        </w:rPr>
        <w:t xml:space="preserve">The table </w:t>
      </w:r>
      <w:r w:rsidR="00966D13" w:rsidRPr="00FE572B">
        <w:rPr>
          <w:bCs/>
          <w:sz w:val="24"/>
          <w:szCs w:val="22"/>
        </w:rPr>
        <w:t>at subsection 5</w:t>
      </w:r>
      <w:r w:rsidR="009F1523" w:rsidRPr="00FE572B">
        <w:rPr>
          <w:bCs/>
          <w:sz w:val="24"/>
          <w:szCs w:val="22"/>
        </w:rPr>
        <w:t>(</w:t>
      </w:r>
      <w:r w:rsidR="00966D13" w:rsidRPr="00FE572B">
        <w:rPr>
          <w:bCs/>
          <w:sz w:val="24"/>
          <w:szCs w:val="22"/>
        </w:rPr>
        <w:t>3</w:t>
      </w:r>
      <w:r w:rsidR="009F1523" w:rsidRPr="00FE572B">
        <w:rPr>
          <w:bCs/>
          <w:sz w:val="24"/>
          <w:szCs w:val="22"/>
        </w:rPr>
        <w:t>) of the determination affects relevant appropriation items in Schedule 1 to</w:t>
      </w:r>
      <w:r w:rsidR="007D0912" w:rsidRPr="00FE572B">
        <w:rPr>
          <w:bCs/>
          <w:sz w:val="24"/>
          <w:szCs w:val="22"/>
        </w:rPr>
        <w:t xml:space="preserve"> the</w:t>
      </w:r>
      <w:r w:rsidR="009F1523" w:rsidRPr="00FE572B">
        <w:rPr>
          <w:bCs/>
          <w:sz w:val="24"/>
          <w:szCs w:val="22"/>
        </w:rPr>
        <w:t xml:space="preserve"> </w:t>
      </w:r>
      <w:r w:rsidR="009B70EA" w:rsidRPr="006236A7">
        <w:rPr>
          <w:bCs/>
          <w:i/>
          <w:sz w:val="24"/>
          <w:szCs w:val="22"/>
        </w:rPr>
        <w:t>Supply</w:t>
      </w:r>
      <w:r w:rsidR="00966D13" w:rsidRPr="006236A7">
        <w:rPr>
          <w:bCs/>
          <w:i/>
          <w:sz w:val="24"/>
          <w:szCs w:val="22"/>
        </w:rPr>
        <w:t xml:space="preserve"> Act (No. 1) 2020</w:t>
      </w:r>
      <w:r w:rsidR="00D600AA" w:rsidRPr="006236A7">
        <w:rPr>
          <w:bCs/>
          <w:i/>
          <w:sz w:val="24"/>
          <w:szCs w:val="22"/>
        </w:rPr>
        <w:noBreakHyphen/>
      </w:r>
      <w:r w:rsidR="00966D13" w:rsidRPr="006236A7">
        <w:rPr>
          <w:bCs/>
          <w:i/>
          <w:sz w:val="24"/>
          <w:szCs w:val="22"/>
        </w:rPr>
        <w:t>2021</w:t>
      </w:r>
      <w:r w:rsidR="009F1523" w:rsidRPr="00FE572B">
        <w:rPr>
          <w:bCs/>
          <w:sz w:val="24"/>
          <w:szCs w:val="22"/>
        </w:rPr>
        <w:t xml:space="preserve"> in the following way</w:t>
      </w:r>
      <w:r w:rsidR="00F46FCC">
        <w:rPr>
          <w:bCs/>
          <w:sz w:val="24"/>
          <w:szCs w:val="22"/>
        </w:rPr>
        <w:t>:</w:t>
      </w:r>
    </w:p>
    <w:tbl>
      <w:tblPr>
        <w:tblW w:w="90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6"/>
        <w:gridCol w:w="3621"/>
        <w:gridCol w:w="2409"/>
        <w:gridCol w:w="2410"/>
      </w:tblGrid>
      <w:tr w:rsidR="009770E3" w:rsidRPr="00AE7B98" w14:paraId="7DA2915B" w14:textId="77777777" w:rsidTr="00966D13">
        <w:trPr>
          <w:cantSplit/>
          <w:trHeight w:val="566"/>
        </w:trPr>
        <w:tc>
          <w:tcPr>
            <w:tcW w:w="0" w:type="auto"/>
          </w:tcPr>
          <w:p w14:paraId="37CF44F6" w14:textId="77777777" w:rsidR="009F1523" w:rsidRPr="00AE7B98" w:rsidRDefault="009F1523" w:rsidP="0045079F">
            <w:pPr>
              <w:keepNext/>
              <w:keepLines/>
              <w:rPr>
                <w:b/>
                <w:bCs/>
                <w:color w:val="000000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Cs w:val="22"/>
                <w:lang w:eastAsia="en-AU"/>
              </w:rPr>
              <w:t>Item</w:t>
            </w:r>
          </w:p>
        </w:tc>
        <w:tc>
          <w:tcPr>
            <w:tcW w:w="3621" w:type="dxa"/>
            <w:hideMark/>
          </w:tcPr>
          <w:p w14:paraId="25955AE0" w14:textId="77777777" w:rsidR="009F1523" w:rsidRPr="00AE7B98" w:rsidRDefault="009F1523" w:rsidP="0045079F">
            <w:pPr>
              <w:keepNext/>
              <w:keepLines/>
              <w:rPr>
                <w:b/>
                <w:bCs/>
                <w:color w:val="000000"/>
                <w:szCs w:val="22"/>
                <w:lang w:eastAsia="en-AU"/>
              </w:rPr>
            </w:pPr>
            <w:r w:rsidRPr="00AE7B98">
              <w:rPr>
                <w:b/>
                <w:bCs/>
                <w:color w:val="000000"/>
                <w:szCs w:val="22"/>
                <w:lang w:eastAsia="en-AU"/>
              </w:rPr>
              <w:t xml:space="preserve">Entity </w:t>
            </w:r>
          </w:p>
        </w:tc>
        <w:tc>
          <w:tcPr>
            <w:tcW w:w="2409" w:type="dxa"/>
            <w:hideMark/>
          </w:tcPr>
          <w:p w14:paraId="6DCBFE1E" w14:textId="77777777" w:rsidR="009F1523" w:rsidRPr="00971CF5" w:rsidRDefault="009F1523" w:rsidP="0045079F">
            <w:pPr>
              <w:rPr>
                <w:b/>
                <w:bCs/>
                <w:color w:val="000000"/>
                <w:lang w:eastAsia="en-AU"/>
              </w:rPr>
            </w:pPr>
            <w:r w:rsidRPr="00971CF5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000000" w:fill="FFFFFF"/>
            <w:hideMark/>
          </w:tcPr>
          <w:p w14:paraId="419EA166" w14:textId="5DEDA40B" w:rsidR="009F1523" w:rsidRPr="00971CF5" w:rsidRDefault="009770E3" w:rsidP="0045079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Amount transferred by the Determination</w:t>
            </w:r>
            <w:r w:rsidRPr="00971CF5" w:rsidDel="009770E3">
              <w:rPr>
                <w:b/>
                <w:bCs/>
                <w:color w:val="000000"/>
                <w:lang w:eastAsia="en-AU"/>
              </w:rPr>
              <w:t xml:space="preserve"> </w:t>
            </w:r>
            <w:r w:rsidR="009F1523" w:rsidRPr="00971CF5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966D13" w:rsidRPr="00D55DDE" w14:paraId="24AFF9D2" w14:textId="77777777" w:rsidTr="00966D13">
        <w:trPr>
          <w:cantSplit/>
          <w:trHeight w:val="381"/>
        </w:trPr>
        <w:tc>
          <w:tcPr>
            <w:tcW w:w="0" w:type="auto"/>
            <w:shd w:val="clear" w:color="000000" w:fill="FFFFFF"/>
            <w:vAlign w:val="center"/>
          </w:tcPr>
          <w:p w14:paraId="5ADE17A5" w14:textId="4EA71B44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1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021D" w14:textId="631E2276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 of Health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EF7" w14:textId="6FB8CE53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Departmental item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D67B2" w14:textId="131C8EE9" w:rsidR="00966D13" w:rsidRPr="00D55DDE" w:rsidRDefault="00966D13" w:rsidP="00966D13">
            <w:pPr>
              <w:pStyle w:val="Tabletext"/>
              <w:jc w:val="right"/>
              <w:rPr>
                <w:color w:val="000000"/>
              </w:rPr>
            </w:pPr>
            <w:r w:rsidRPr="00D55DDE">
              <w:rPr>
                <w:color w:val="000000"/>
              </w:rPr>
              <w:t>-3,330,000.00</w:t>
            </w:r>
          </w:p>
        </w:tc>
      </w:tr>
      <w:tr w:rsidR="00966D13" w:rsidRPr="00D55DDE" w14:paraId="4D9DFC61" w14:textId="77777777" w:rsidTr="00966D13">
        <w:trPr>
          <w:cantSplit/>
          <w:trHeight w:val="361"/>
        </w:trPr>
        <w:tc>
          <w:tcPr>
            <w:tcW w:w="0" w:type="auto"/>
            <w:shd w:val="clear" w:color="000000" w:fill="FFFFFF"/>
            <w:vAlign w:val="center"/>
          </w:tcPr>
          <w:p w14:paraId="680B44CC" w14:textId="7360FCEE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2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6C4" w14:textId="170A644E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Australian Sports Anti-Doping Authority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7BF6" w14:textId="71CD4BB0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Departmental item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E4D09" w14:textId="2DB3B67B" w:rsidR="00966D13" w:rsidRPr="00D55DDE" w:rsidRDefault="00966D13" w:rsidP="00966D13">
            <w:pPr>
              <w:pStyle w:val="Tabletext"/>
              <w:jc w:val="right"/>
              <w:rPr>
                <w:color w:val="000000"/>
              </w:rPr>
            </w:pPr>
            <w:r w:rsidRPr="00D55DDE">
              <w:rPr>
                <w:color w:val="000000"/>
              </w:rPr>
              <w:t>-6,961,000.00</w:t>
            </w:r>
          </w:p>
        </w:tc>
      </w:tr>
      <w:tr w:rsidR="00966D13" w:rsidRPr="00D55DDE" w14:paraId="7055BC7D" w14:textId="77777777" w:rsidTr="00966D13">
        <w:trPr>
          <w:cantSplit/>
          <w:trHeight w:val="449"/>
        </w:trPr>
        <w:tc>
          <w:tcPr>
            <w:tcW w:w="0" w:type="auto"/>
            <w:shd w:val="clear" w:color="000000" w:fill="FFFFFF"/>
            <w:vAlign w:val="center"/>
          </w:tcPr>
          <w:p w14:paraId="6E9C8FAF" w14:textId="6FEEA2DA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3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14CE" w14:textId="742FEE24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Sport Integrity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C96C" w14:textId="5924F606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Departmental item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22FB" w14:textId="00548315" w:rsidR="00966D13" w:rsidRPr="00D55DDE" w:rsidRDefault="00C21132" w:rsidP="00966D13">
            <w:pPr>
              <w:pStyle w:val="Tabletext"/>
              <w:jc w:val="right"/>
              <w:rPr>
                <w:color w:val="000000"/>
              </w:rPr>
            </w:pPr>
            <w:r w:rsidRPr="00D55DDE">
              <w:rPr>
                <w:color w:val="000000"/>
              </w:rPr>
              <w:t>+</w:t>
            </w:r>
            <w:r w:rsidR="00966D13" w:rsidRPr="00D55DDE">
              <w:rPr>
                <w:color w:val="000000"/>
              </w:rPr>
              <w:t>10,291,000.00</w:t>
            </w:r>
          </w:p>
        </w:tc>
      </w:tr>
      <w:tr w:rsidR="00966D13" w:rsidRPr="00D55DDE" w14:paraId="5A953912" w14:textId="77777777" w:rsidTr="00966D13">
        <w:trPr>
          <w:cantSplit/>
          <w:trHeight w:val="449"/>
        </w:trPr>
        <w:tc>
          <w:tcPr>
            <w:tcW w:w="0" w:type="auto"/>
            <w:shd w:val="clear" w:color="000000" w:fill="FFFFFF"/>
            <w:vAlign w:val="center"/>
          </w:tcPr>
          <w:p w14:paraId="363233DE" w14:textId="5F9E6C0C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4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AF14" w14:textId="36558448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Department of Health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D86" w14:textId="38E50DBA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Administered item, Outcome 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7B706" w14:textId="7F15A912" w:rsidR="00966D13" w:rsidRPr="00D55DDE" w:rsidRDefault="00966D13" w:rsidP="00966D13">
            <w:pPr>
              <w:pStyle w:val="Tabletext"/>
              <w:jc w:val="right"/>
              <w:rPr>
                <w:color w:val="000000"/>
              </w:rPr>
            </w:pPr>
            <w:r w:rsidRPr="00D55DDE">
              <w:rPr>
                <w:color w:val="000000"/>
              </w:rPr>
              <w:t>-4,387,000.00</w:t>
            </w:r>
          </w:p>
        </w:tc>
      </w:tr>
      <w:tr w:rsidR="00966D13" w:rsidRPr="00D55DDE" w14:paraId="5D60E0C0" w14:textId="77777777" w:rsidTr="00966D13">
        <w:trPr>
          <w:cantSplit/>
          <w:trHeight w:val="449"/>
        </w:trPr>
        <w:tc>
          <w:tcPr>
            <w:tcW w:w="0" w:type="auto"/>
            <w:shd w:val="clear" w:color="000000" w:fill="FFFFFF"/>
            <w:vAlign w:val="center"/>
          </w:tcPr>
          <w:p w14:paraId="6CF74E6A" w14:textId="08F148A5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5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81B09" w14:textId="1F9436D8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Sport Integrity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2315" w14:textId="2E58114F" w:rsidR="00966D13" w:rsidRPr="00D55DDE" w:rsidRDefault="00966D13" w:rsidP="00966D13">
            <w:pPr>
              <w:pStyle w:val="Tabletext"/>
              <w:rPr>
                <w:color w:val="000000"/>
              </w:rPr>
            </w:pPr>
            <w:r w:rsidRPr="00D55DDE">
              <w:rPr>
                <w:color w:val="000000"/>
              </w:rPr>
              <w:t>Administered item, Outcome 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884F1" w14:textId="45357B0B" w:rsidR="00966D13" w:rsidRPr="00D55DDE" w:rsidRDefault="00C21132" w:rsidP="00966D13">
            <w:pPr>
              <w:pStyle w:val="Tabletext"/>
              <w:jc w:val="right"/>
              <w:rPr>
                <w:color w:val="000000"/>
              </w:rPr>
            </w:pPr>
            <w:r w:rsidRPr="00D55DDE">
              <w:rPr>
                <w:color w:val="000000"/>
              </w:rPr>
              <w:t>+</w:t>
            </w:r>
            <w:r w:rsidR="00966D13" w:rsidRPr="00D55DDE">
              <w:rPr>
                <w:color w:val="000000"/>
              </w:rPr>
              <w:t>4,387,000.00</w:t>
            </w:r>
          </w:p>
        </w:tc>
      </w:tr>
    </w:tbl>
    <w:p w14:paraId="5E90CE55" w14:textId="77777777" w:rsidR="006236A7" w:rsidRPr="006236A7" w:rsidRDefault="006236A7" w:rsidP="006236A7">
      <w:pPr>
        <w:spacing w:before="0" w:after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sectPr w:rsidR="006236A7" w:rsidRPr="006236A7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A17"/>
    <w:multiLevelType w:val="hybridMultilevel"/>
    <w:tmpl w:val="E40AF5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8"/>
  </w:num>
  <w:num w:numId="12">
    <w:abstractNumId w:val="19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  <w:num w:numId="19">
    <w:abstractNumId w:val="20"/>
  </w:num>
  <w:num w:numId="20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7"/>
  </w:num>
  <w:num w:numId="22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B12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6A2B"/>
    <w:rsid w:val="007B6B3C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5AC"/>
    <w:rsid w:val="00B829B7"/>
    <w:rsid w:val="00B829B9"/>
    <w:rsid w:val="00B82CA8"/>
    <w:rsid w:val="00B8342C"/>
    <w:rsid w:val="00B835B4"/>
    <w:rsid w:val="00B8398C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207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B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B342A-08B7-43EA-8579-C4E1EC17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Fearn, Paula</cp:lastModifiedBy>
  <cp:revision>21</cp:revision>
  <cp:lastPrinted>2019-06-26T01:42:00Z</cp:lastPrinted>
  <dcterms:created xsi:type="dcterms:W3CDTF">2019-06-26T23:55:00Z</dcterms:created>
  <dcterms:modified xsi:type="dcterms:W3CDTF">2020-06-19T02:36:00Z</dcterms:modified>
</cp:coreProperties>
</file>