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CA78C" w14:textId="77777777" w:rsidR="0001580A" w:rsidRPr="00D46AE9" w:rsidRDefault="0001580A" w:rsidP="0001580A">
      <w:pPr>
        <w:jc w:val="center"/>
        <w:rPr>
          <w:b/>
        </w:rPr>
      </w:pPr>
      <w:bookmarkStart w:id="0" w:name="_GoBack"/>
      <w:bookmarkEnd w:id="0"/>
      <w:r w:rsidRPr="00D46AE9">
        <w:rPr>
          <w:b/>
        </w:rPr>
        <w:t>EXPLANATORY STATEMENT</w:t>
      </w:r>
    </w:p>
    <w:p w14:paraId="2EB4707D" w14:textId="77777777" w:rsidR="0001580A" w:rsidRPr="00D46AE9" w:rsidRDefault="0001580A" w:rsidP="0001580A">
      <w:pPr>
        <w:jc w:val="center"/>
        <w:rPr>
          <w:b/>
          <w:i/>
        </w:rPr>
      </w:pPr>
      <w:r w:rsidRPr="00D46AE9">
        <w:rPr>
          <w:b/>
          <w:i/>
        </w:rPr>
        <w:t>Australian Communications and Media Authority Act 2005</w:t>
      </w:r>
    </w:p>
    <w:p w14:paraId="75EC93A6" w14:textId="7E17BE46" w:rsidR="00E60CA1" w:rsidRPr="00E60CA1" w:rsidRDefault="00E60CA1" w:rsidP="00E60CA1">
      <w:pPr>
        <w:jc w:val="center"/>
        <w:rPr>
          <w:b/>
          <w:lang w:eastAsia="en-AU"/>
        </w:rPr>
      </w:pPr>
      <w:r w:rsidRPr="00E60CA1">
        <w:rPr>
          <w:b/>
          <w:lang w:eastAsia="en-AU"/>
        </w:rPr>
        <w:t xml:space="preserve">Australian Communications and Media Authority </w:t>
      </w:r>
      <w:r>
        <w:rPr>
          <w:b/>
          <w:lang w:eastAsia="en-AU"/>
        </w:rPr>
        <w:t xml:space="preserve">                                                   </w:t>
      </w:r>
      <w:r w:rsidRPr="00E60CA1">
        <w:rPr>
          <w:b/>
          <w:lang w:eastAsia="en-AU"/>
        </w:rPr>
        <w:t>(Community Television) Direction 2020</w:t>
      </w:r>
    </w:p>
    <w:p w14:paraId="4A7CF8EF" w14:textId="77777777" w:rsidR="0001580A" w:rsidRPr="00D46AE9" w:rsidRDefault="0001580A" w:rsidP="0001580A">
      <w:pPr>
        <w:jc w:val="center"/>
      </w:pPr>
      <w:r w:rsidRPr="00D46AE9">
        <w:t>Issued by the Authority of the Minister for Communications, Cyber Safety and the Arts</w:t>
      </w:r>
    </w:p>
    <w:p w14:paraId="7DD093B5" w14:textId="77777777" w:rsidR="0001580A" w:rsidRPr="00D46AE9" w:rsidRDefault="0001580A" w:rsidP="0001580A">
      <w:pPr>
        <w:rPr>
          <w:u w:val="single"/>
        </w:rPr>
      </w:pPr>
      <w:r w:rsidRPr="00D46AE9">
        <w:rPr>
          <w:u w:val="single"/>
        </w:rPr>
        <w:t>Authority</w:t>
      </w:r>
    </w:p>
    <w:p w14:paraId="45BF915F" w14:textId="71566733" w:rsidR="0001580A" w:rsidRDefault="0001580A" w:rsidP="0001580A">
      <w:r w:rsidRPr="00D46AE9">
        <w:t xml:space="preserve">Section 14 of the </w:t>
      </w:r>
      <w:r w:rsidRPr="00D46AE9">
        <w:rPr>
          <w:i/>
        </w:rPr>
        <w:t xml:space="preserve">Australian Communications and Media Authority Act 2005 </w:t>
      </w:r>
      <w:r w:rsidRPr="00D46AE9">
        <w:t xml:space="preserve">(the </w:t>
      </w:r>
      <w:r w:rsidR="00BF0A2C">
        <w:t xml:space="preserve">ACMA </w:t>
      </w:r>
      <w:r w:rsidRPr="00D46AE9">
        <w:t>Act) enables the Minister for Communications, Cyber Safety and the Arts (the Minister) to direct the Australian Communications and Media Authority (ACMA), in writing, in relation to the performance of its functions and the exercise of its powers</w:t>
      </w:r>
      <w:r w:rsidR="0073355D">
        <w:t>, including functions relating to spectrum and broadcasting</w:t>
      </w:r>
      <w:r w:rsidRPr="00D46AE9">
        <w:t>.</w:t>
      </w:r>
    </w:p>
    <w:p w14:paraId="164E1B62" w14:textId="6B3490D3" w:rsidR="000F5899" w:rsidRPr="00D46AE9" w:rsidRDefault="000F5899" w:rsidP="0001580A">
      <w:r w:rsidRPr="00B015D4">
        <w:t xml:space="preserve">The ministerial power to give directions to the </w:t>
      </w:r>
      <w:r>
        <w:t>ACMA</w:t>
      </w:r>
      <w:r w:rsidRPr="00B015D4">
        <w:t xml:space="preserve"> under section 14 of the </w:t>
      </w:r>
      <w:r w:rsidR="0073355D">
        <w:t xml:space="preserve">ACMA </w:t>
      </w:r>
      <w:r w:rsidRPr="00B015D4">
        <w:t>Act includes a condition that the direction can only be of a general nature if it relates to the ACMA’s broadcasting, content and datacasting functions; or the ACMA’s powers relating to those functions in subsection 14(2)</w:t>
      </w:r>
      <w:r w:rsidR="00AF3AE9">
        <w:t xml:space="preserve"> of the ACMA Act</w:t>
      </w:r>
      <w:r w:rsidRPr="00B015D4">
        <w:t xml:space="preserve">. </w:t>
      </w:r>
      <w:r w:rsidR="0073355D">
        <w:t xml:space="preserve"> </w:t>
      </w:r>
      <w:r w:rsidRPr="00B015D4">
        <w:t>The Direction is also not subject to any statutory preconditions.</w:t>
      </w:r>
    </w:p>
    <w:p w14:paraId="2F1D83FC" w14:textId="77777777" w:rsidR="0001580A" w:rsidRPr="00D46AE9" w:rsidRDefault="0001580A" w:rsidP="0001580A">
      <w:pPr>
        <w:rPr>
          <w:u w:val="single"/>
        </w:rPr>
      </w:pPr>
      <w:r w:rsidRPr="00D46AE9">
        <w:rPr>
          <w:u w:val="single"/>
        </w:rPr>
        <w:t>Purpose</w:t>
      </w:r>
    </w:p>
    <w:p w14:paraId="5EC1FC67" w14:textId="4818DCDC" w:rsidR="00BF0A2C" w:rsidRDefault="0001580A" w:rsidP="0001580A">
      <w:r w:rsidRPr="00D46AE9">
        <w:t xml:space="preserve">The purpose of the </w:t>
      </w:r>
      <w:r w:rsidR="005767FE" w:rsidRPr="004709B6">
        <w:rPr>
          <w:i/>
        </w:rPr>
        <w:t>Australian Comm</w:t>
      </w:r>
      <w:r w:rsidR="005767FE">
        <w:rPr>
          <w:i/>
        </w:rPr>
        <w:t xml:space="preserve">unications and Media Authority </w:t>
      </w:r>
      <w:r w:rsidR="005767FE" w:rsidRPr="004709B6">
        <w:rPr>
          <w:i/>
        </w:rPr>
        <w:t>(Community Television) Direction</w:t>
      </w:r>
      <w:r w:rsidR="005767FE" w:rsidRPr="004709B6">
        <w:t xml:space="preserve"> </w:t>
      </w:r>
      <w:r w:rsidR="005767FE">
        <w:t xml:space="preserve">(the </w:t>
      </w:r>
      <w:r w:rsidRPr="00D46AE9">
        <w:t>Direction</w:t>
      </w:r>
      <w:r w:rsidR="005767FE">
        <w:t xml:space="preserve">) </w:t>
      </w:r>
      <w:r w:rsidRPr="00D46AE9">
        <w:t>is to instruct the ACMA, in accor</w:t>
      </w:r>
      <w:r w:rsidR="000F5899">
        <w:t>dance with section 14 of the ACMA Act.</w:t>
      </w:r>
    </w:p>
    <w:p w14:paraId="4B60652C" w14:textId="4919D98A" w:rsidR="00FA707E" w:rsidRDefault="0001580A" w:rsidP="00FA707E">
      <w:r w:rsidRPr="00D46AE9">
        <w:t xml:space="preserve">This instruction will give effect to the Australian Government’s </w:t>
      </w:r>
      <w:r w:rsidR="007F69BB">
        <w:t xml:space="preserve">policy </w:t>
      </w:r>
      <w:r w:rsidR="004709B6" w:rsidRPr="004709B6">
        <w:t>to achieve two listed Government policy objectives that advance the primary Federal Government objective for community</w:t>
      </w:r>
      <w:r w:rsidR="005767FE">
        <w:t>-based</w:t>
      </w:r>
      <w:r w:rsidR="004709B6" w:rsidRPr="004709B6">
        <w:t xml:space="preserve"> television broadcasting in </w:t>
      </w:r>
      <w:r w:rsidR="00FE56DC">
        <w:t xml:space="preserve">metropolitan licence areas (being Adelaide, Brisbane, Hobart, Melbourne, Perth, and Sydney) </w:t>
      </w:r>
      <w:r w:rsidR="004709B6" w:rsidRPr="004709B6">
        <w:t>being delivered using online delivery platforms.</w:t>
      </w:r>
      <w:r w:rsidR="005767FE">
        <w:t xml:space="preserve"> This has been the </w:t>
      </w:r>
      <w:r w:rsidR="004071D8">
        <w:t xml:space="preserve">Federal Government’s policy </w:t>
      </w:r>
      <w:r w:rsidR="005767FE">
        <w:t xml:space="preserve">since 2014. </w:t>
      </w:r>
    </w:p>
    <w:p w14:paraId="5840FD01" w14:textId="39A35E2B" w:rsidR="00FA707E" w:rsidRPr="00B547BF" w:rsidRDefault="00FA707E" w:rsidP="00FA707E">
      <w:pPr>
        <w:rPr>
          <w:u w:val="single"/>
        </w:rPr>
      </w:pPr>
      <w:r w:rsidRPr="00B547BF">
        <w:rPr>
          <w:u w:val="single"/>
        </w:rPr>
        <w:t>Background</w:t>
      </w:r>
    </w:p>
    <w:p w14:paraId="359D0730" w14:textId="363E45F3" w:rsidR="007D01E2" w:rsidRDefault="007D01E2" w:rsidP="005767FE">
      <w:r>
        <w:t>At the time the Direction was made, there were two community–based television broadcasters. One in Melbourne</w:t>
      </w:r>
      <w:r w:rsidR="00915626">
        <w:t xml:space="preserve"> (providing community television broadcasting services under a licence issued under Part 6 of the </w:t>
      </w:r>
      <w:r w:rsidR="00915626" w:rsidRPr="00CD2208">
        <w:rPr>
          <w:i/>
        </w:rPr>
        <w:t>Broadcasting Services Act 1992</w:t>
      </w:r>
      <w:r w:rsidR="00A04B57">
        <w:rPr>
          <w:i/>
        </w:rPr>
        <w:t xml:space="preserve"> </w:t>
      </w:r>
      <w:r w:rsidR="00A04B57">
        <w:t>(</w:t>
      </w:r>
      <w:r w:rsidR="004F3893" w:rsidRPr="004F3893">
        <w:t>Broadcasting Act</w:t>
      </w:r>
      <w:r w:rsidR="00915626">
        <w:t xml:space="preserve">) </w:t>
      </w:r>
      <w:r>
        <w:t xml:space="preserve">and one in Adelaide (providing </w:t>
      </w:r>
      <w:r w:rsidR="00915626">
        <w:t xml:space="preserve">CTV Trial Services, being </w:t>
      </w:r>
      <w:r w:rsidR="00915626" w:rsidRPr="00915626">
        <w:t xml:space="preserve">open </w:t>
      </w:r>
      <w:r w:rsidR="00915626" w:rsidRPr="00915626">
        <w:lastRenderedPageBreak/>
        <w:t xml:space="preserve">narrowcasting television services transmitted from one or more stations using an apparatus licence issued under section 100 of the </w:t>
      </w:r>
      <w:r w:rsidR="00915626" w:rsidRPr="00CD2208">
        <w:rPr>
          <w:i/>
        </w:rPr>
        <w:t>Radiocommunications Act 1992</w:t>
      </w:r>
      <w:r w:rsidR="00915626" w:rsidRPr="00915626">
        <w:t xml:space="preserve"> </w:t>
      </w:r>
      <w:r w:rsidR="00A04B57" w:rsidRPr="00A04B57">
        <w:t>(</w:t>
      </w:r>
      <w:r w:rsidR="00A04B57" w:rsidRPr="004F3893">
        <w:t>Radcomms Act)</w:t>
      </w:r>
      <w:r w:rsidR="00A04B57">
        <w:rPr>
          <w:i/>
        </w:rPr>
        <w:t xml:space="preserve"> </w:t>
      </w:r>
      <w:r w:rsidR="00915626" w:rsidRPr="00915626">
        <w:t>for community and ed</w:t>
      </w:r>
      <w:r w:rsidR="00915626">
        <w:t>ucational non-profit purposes</w:t>
      </w:r>
      <w:r>
        <w:t>).</w:t>
      </w:r>
    </w:p>
    <w:p w14:paraId="61B3464A" w14:textId="717CA7C5" w:rsidR="0044127B" w:rsidRDefault="004071D8" w:rsidP="00D201F8">
      <w:r>
        <w:t>The Community Television Trial Service in Adelaide</w:t>
      </w:r>
      <w:r w:rsidR="00915626">
        <w:t xml:space="preserve"> is known as ‘C44</w:t>
      </w:r>
      <w:r w:rsidR="00E56C39">
        <w:t xml:space="preserve"> Adelaide</w:t>
      </w:r>
      <w:r w:rsidR="00915626">
        <w:t>’</w:t>
      </w:r>
      <w:r w:rsidR="00E56C39">
        <w:t>.</w:t>
      </w:r>
      <w:r w:rsidR="00915626">
        <w:t xml:space="preserve"> </w:t>
      </w:r>
      <w:r>
        <w:t>The current expiry date for th</w:t>
      </w:r>
      <w:r w:rsidR="00915626">
        <w:t xml:space="preserve">e C44 </w:t>
      </w:r>
      <w:r>
        <w:t xml:space="preserve">licencing arrangement is 30 June 2020. </w:t>
      </w:r>
    </w:p>
    <w:p w14:paraId="2ADA4667" w14:textId="5B36A2C0" w:rsidR="004071D8" w:rsidRDefault="004071D8" w:rsidP="004071D8">
      <w:r>
        <w:t>In the lead up to this expiry date, Channel 44 Adelaide</w:t>
      </w:r>
      <w:r w:rsidR="005767FE">
        <w:t xml:space="preserve"> Ltd (C44</w:t>
      </w:r>
      <w:r w:rsidR="00E56C39">
        <w:t xml:space="preserve"> Adelaide</w:t>
      </w:r>
      <w:r w:rsidR="005767FE">
        <w:t xml:space="preserve">) demonstrated to the Minister </w:t>
      </w:r>
      <w:r>
        <w:t xml:space="preserve">that it has a </w:t>
      </w:r>
      <w:r w:rsidR="005767FE">
        <w:t xml:space="preserve">feasible </w:t>
      </w:r>
      <w:r>
        <w:t xml:space="preserve">plan to </w:t>
      </w:r>
      <w:r w:rsidR="005767FE">
        <w:t xml:space="preserve">transition from terrestrial broadcasting operations and move to an </w:t>
      </w:r>
      <w:r>
        <w:t xml:space="preserve">online </w:t>
      </w:r>
      <w:r w:rsidR="005767FE">
        <w:t xml:space="preserve">delivery platform </w:t>
      </w:r>
      <w:r>
        <w:t>but that it needs until 30 June 2021 to do so.</w:t>
      </w:r>
    </w:p>
    <w:p w14:paraId="09A631D6" w14:textId="1CB4D198" w:rsidR="004071D8" w:rsidRDefault="004071D8">
      <w:r>
        <w:t xml:space="preserve">C44 Adelaide has committed to complete the transition away from terrestrial broadcasting operations and cease using radiofrequency spectrum by 30 June 2021. It has developed a transition plan which identifies new non-terrestrial revenue sources and has shown how it will fund the costs of divesting itself of existing terrestrial infrastructure costs. </w:t>
      </w:r>
      <w:r w:rsidR="005767FE">
        <w:t xml:space="preserve">The transition plan for part of </w:t>
      </w:r>
      <w:r>
        <w:t xml:space="preserve">C44 </w:t>
      </w:r>
      <w:r w:rsidR="005767FE">
        <w:t xml:space="preserve">Adelaide’s </w:t>
      </w:r>
      <w:r>
        <w:t xml:space="preserve">a detailed plan to reinvent itself as Studio 44 by 1 July 2021. </w:t>
      </w:r>
    </w:p>
    <w:p w14:paraId="01CCCCE1" w14:textId="7782B1C5" w:rsidR="0001580A" w:rsidRPr="00D46AE9" w:rsidRDefault="0001580A">
      <w:r w:rsidRPr="00D46AE9">
        <w:t>This Direction specifically requires the ACMA to</w:t>
      </w:r>
      <w:r w:rsidR="0072533B">
        <w:t xml:space="preserve"> </w:t>
      </w:r>
      <w:r w:rsidR="007F69BB">
        <w:t xml:space="preserve">exercise its relevant powers and perform its relevant functions under the </w:t>
      </w:r>
      <w:r w:rsidR="0073355D">
        <w:t xml:space="preserve">ACMA </w:t>
      </w:r>
      <w:r w:rsidR="00743A6F">
        <w:t>Act</w:t>
      </w:r>
      <w:r w:rsidR="00FA707E">
        <w:t>, the</w:t>
      </w:r>
      <w:r w:rsidR="00FA707E" w:rsidRPr="00A04B57">
        <w:t xml:space="preserve"> </w:t>
      </w:r>
      <w:r w:rsidR="00743A6F" w:rsidRPr="004F3893">
        <w:t>Rad</w:t>
      </w:r>
      <w:r w:rsidR="00A04B57">
        <w:t xml:space="preserve">comms Act </w:t>
      </w:r>
      <w:r w:rsidR="00743A6F">
        <w:t xml:space="preserve">and </w:t>
      </w:r>
      <w:r w:rsidR="004F3893">
        <w:t xml:space="preserve">the </w:t>
      </w:r>
      <w:r w:rsidR="004F3893" w:rsidRPr="004F3893">
        <w:t>Broadcasting Act</w:t>
      </w:r>
      <w:r w:rsidR="00A04B57">
        <w:t xml:space="preserve"> </w:t>
      </w:r>
      <w:r w:rsidR="00743A6F">
        <w:t xml:space="preserve">generally </w:t>
      </w:r>
      <w:r w:rsidR="00FA707E">
        <w:t xml:space="preserve">in order </w:t>
      </w:r>
      <w:r w:rsidR="007F69BB">
        <w:t xml:space="preserve">to </w:t>
      </w:r>
      <w:r w:rsidR="00743A6F">
        <w:t xml:space="preserve">help advance the stated Federal </w:t>
      </w:r>
      <w:r w:rsidR="007F69BB">
        <w:t>Government’s policy</w:t>
      </w:r>
      <w:r w:rsidR="00743A6F">
        <w:t xml:space="preserve"> that community television broadcasting should be delivered using on-line delivery platforms</w:t>
      </w:r>
      <w:r w:rsidR="007F69BB">
        <w:t xml:space="preserve">. </w:t>
      </w:r>
      <w:r w:rsidR="001A7A79" w:rsidRPr="000341D9">
        <w:rPr>
          <w:color w:val="000000" w:themeColor="text1"/>
        </w:rPr>
        <w:t xml:space="preserve">The Direction will help ensure that </w:t>
      </w:r>
      <w:r w:rsidR="00544E14" w:rsidRPr="000341D9">
        <w:rPr>
          <w:color w:val="000000" w:themeColor="text1"/>
        </w:rPr>
        <w:t xml:space="preserve">the </w:t>
      </w:r>
      <w:r w:rsidR="00C92218" w:rsidRPr="000341D9">
        <w:rPr>
          <w:color w:val="000000" w:themeColor="text1"/>
        </w:rPr>
        <w:t xml:space="preserve">transmitter </w:t>
      </w:r>
      <w:r w:rsidR="00544E14" w:rsidRPr="000341D9">
        <w:rPr>
          <w:color w:val="000000" w:themeColor="text1"/>
        </w:rPr>
        <w:t xml:space="preserve">licence associated with the </w:t>
      </w:r>
      <w:r w:rsidR="001A7A79" w:rsidRPr="000341D9">
        <w:rPr>
          <w:color w:val="000000" w:themeColor="text1"/>
        </w:rPr>
        <w:t xml:space="preserve">CTV Trial Services in Adelaide </w:t>
      </w:r>
      <w:r w:rsidR="007117E8" w:rsidRPr="000341D9">
        <w:rPr>
          <w:color w:val="000000" w:themeColor="text1"/>
        </w:rPr>
        <w:t xml:space="preserve">is able to </w:t>
      </w:r>
      <w:r w:rsidR="00544E14" w:rsidRPr="000341D9">
        <w:rPr>
          <w:color w:val="000000" w:themeColor="text1"/>
        </w:rPr>
        <w:t xml:space="preserve">be renewed, providing a pathway for C44 </w:t>
      </w:r>
      <w:r w:rsidR="00C92218" w:rsidRPr="000341D9">
        <w:rPr>
          <w:color w:val="000000" w:themeColor="text1"/>
        </w:rPr>
        <w:t xml:space="preserve">Adelaide </w:t>
      </w:r>
      <w:r w:rsidR="00544E14" w:rsidRPr="000341D9">
        <w:rPr>
          <w:color w:val="000000" w:themeColor="text1"/>
        </w:rPr>
        <w:t xml:space="preserve">to continue to deliver the CTV Trial Services </w:t>
      </w:r>
      <w:r w:rsidR="001A7A79" w:rsidRPr="000341D9">
        <w:rPr>
          <w:color w:val="000000" w:themeColor="text1"/>
        </w:rPr>
        <w:t xml:space="preserve">for </w:t>
      </w:r>
      <w:r w:rsidR="00544E14" w:rsidRPr="000341D9">
        <w:rPr>
          <w:color w:val="000000" w:themeColor="text1"/>
        </w:rPr>
        <w:t xml:space="preserve">a further period of up to </w:t>
      </w:r>
      <w:r w:rsidR="001A7A79" w:rsidRPr="000341D9">
        <w:rPr>
          <w:color w:val="000000" w:themeColor="text1"/>
        </w:rPr>
        <w:t>12 months</w:t>
      </w:r>
      <w:r w:rsidR="00544E14" w:rsidRPr="000341D9">
        <w:rPr>
          <w:color w:val="000000" w:themeColor="text1"/>
        </w:rPr>
        <w:t xml:space="preserve"> as it implements its transition plan to online delivery</w:t>
      </w:r>
      <w:r w:rsidR="001A7A79" w:rsidRPr="000341D9">
        <w:rPr>
          <w:color w:val="000000" w:themeColor="text1"/>
        </w:rPr>
        <w:t>.</w:t>
      </w:r>
    </w:p>
    <w:p w14:paraId="1A134345" w14:textId="55E5EF53" w:rsidR="00BB7D1A" w:rsidRDefault="0044127B" w:rsidP="004071D8">
      <w:r>
        <w:t xml:space="preserve">By operation of the </w:t>
      </w:r>
      <w:r w:rsidRPr="004F3893">
        <w:rPr>
          <w:i/>
        </w:rPr>
        <w:t>Radiocommunications (Duration of Community Television Transmitter Licences) Determination 2018 (Amendment No.1 of 2020)</w:t>
      </w:r>
      <w:r>
        <w:rPr>
          <w:i/>
        </w:rPr>
        <w:t xml:space="preserve">, </w:t>
      </w:r>
      <w:r w:rsidRPr="004F3893">
        <w:t>t</w:t>
      </w:r>
      <w:r w:rsidR="004071D8">
        <w:t xml:space="preserve">he </w:t>
      </w:r>
      <w:r w:rsidR="000017FB">
        <w:t xml:space="preserve">apparatus (transmitter) licence </w:t>
      </w:r>
      <w:r w:rsidR="000017FB" w:rsidRPr="000017FB">
        <w:t>issued under subsection 102(1) of the Rad</w:t>
      </w:r>
      <w:r w:rsidR="004312A6">
        <w:t>comms</w:t>
      </w:r>
      <w:r w:rsidR="000017FB" w:rsidRPr="000017FB">
        <w:t xml:space="preserve"> Act </w:t>
      </w:r>
      <w:r w:rsidR="00915626">
        <w:t xml:space="preserve">to </w:t>
      </w:r>
      <w:r w:rsidR="00996FD1">
        <w:t xml:space="preserve">Melbourne </w:t>
      </w:r>
      <w:r w:rsidR="00915626">
        <w:t xml:space="preserve">Community Television Consortium Ltd </w:t>
      </w:r>
      <w:r w:rsidR="000017FB">
        <w:t xml:space="preserve">(MCTC Ltd) </w:t>
      </w:r>
      <w:r w:rsidR="004071D8">
        <w:t xml:space="preserve">as part of </w:t>
      </w:r>
      <w:r w:rsidR="00BB7D1A">
        <w:t xml:space="preserve">its community television broadcasting licence under </w:t>
      </w:r>
      <w:r w:rsidR="00716F3A">
        <w:t xml:space="preserve">Part 6 of </w:t>
      </w:r>
      <w:r w:rsidR="00BB7D1A">
        <w:t xml:space="preserve">the </w:t>
      </w:r>
      <w:r w:rsidR="004F3893" w:rsidRPr="004F3893">
        <w:t>Broadcasting Act</w:t>
      </w:r>
      <w:r w:rsidR="00BB7D1A">
        <w:t xml:space="preserve">, </w:t>
      </w:r>
      <w:r>
        <w:t xml:space="preserve">will </w:t>
      </w:r>
      <w:r w:rsidR="000017FB">
        <w:t xml:space="preserve">be </w:t>
      </w:r>
      <w:r w:rsidR="000017FB" w:rsidRPr="000017FB">
        <w:t>extend</w:t>
      </w:r>
      <w:r w:rsidR="000017FB">
        <w:t>ed</w:t>
      </w:r>
      <w:r w:rsidR="000017FB" w:rsidRPr="000017FB">
        <w:t xml:space="preserve"> by twelve months, from 30 June 2020 to 30 June 2021. This will </w:t>
      </w:r>
      <w:r w:rsidR="000017FB">
        <w:t xml:space="preserve">allow MCTC Ltd </w:t>
      </w:r>
      <w:r w:rsidR="000017FB" w:rsidRPr="000017FB">
        <w:t xml:space="preserve">to continue to use spectrum intended for the sixth channel </w:t>
      </w:r>
      <w:r w:rsidR="00FF0B14">
        <w:t xml:space="preserve">up to and </w:t>
      </w:r>
      <w:r w:rsidR="000017FB" w:rsidRPr="000017FB">
        <w:t>until 30 June 2021</w:t>
      </w:r>
      <w:r w:rsidR="00BB7D1A">
        <w:t xml:space="preserve"> in areas covered by the Melbourne television licence area plan. MCTC Ltd </w:t>
      </w:r>
      <w:r w:rsidR="000017FB" w:rsidRPr="000017FB">
        <w:t xml:space="preserve">broadcaster </w:t>
      </w:r>
      <w:r w:rsidR="00BB7D1A">
        <w:t xml:space="preserve">is expected to </w:t>
      </w:r>
      <w:r w:rsidR="000017FB" w:rsidRPr="000017FB">
        <w:t>fully complete the transition to exclusive online delivery of its services</w:t>
      </w:r>
      <w:r w:rsidR="00BB7D1A">
        <w:t xml:space="preserve"> by </w:t>
      </w:r>
      <w:r>
        <w:t>30 June 2021</w:t>
      </w:r>
      <w:r w:rsidR="004071D8">
        <w:t xml:space="preserve">. </w:t>
      </w:r>
    </w:p>
    <w:p w14:paraId="5915C369" w14:textId="7C086448" w:rsidR="0044127B" w:rsidRDefault="00BB7D1A" w:rsidP="004071D8">
      <w:r>
        <w:lastRenderedPageBreak/>
        <w:t xml:space="preserve">The Adelaide arrangement and the </w:t>
      </w:r>
      <w:r w:rsidR="004071D8">
        <w:t xml:space="preserve">Melbourne arrangement </w:t>
      </w:r>
      <w:r w:rsidR="0044127B">
        <w:t xml:space="preserve">will be </w:t>
      </w:r>
      <w:r w:rsidR="004071D8">
        <w:t xml:space="preserve">the last of </w:t>
      </w:r>
      <w:r>
        <w:t xml:space="preserve">their </w:t>
      </w:r>
      <w:r w:rsidR="004071D8">
        <w:t>type</w:t>
      </w:r>
      <w:r>
        <w:t>s</w:t>
      </w:r>
      <w:r w:rsidR="004071D8">
        <w:t xml:space="preserve"> and, on 1 July 202</w:t>
      </w:r>
      <w:r w:rsidR="0044127B">
        <w:t>1</w:t>
      </w:r>
      <w:r w:rsidR="004071D8">
        <w:t xml:space="preserve">, the removal of all planned television licences for community broadcasting purposes in </w:t>
      </w:r>
      <w:r w:rsidR="00FE56DC">
        <w:t xml:space="preserve">metropolitan licence areas in </w:t>
      </w:r>
      <w:r w:rsidR="004071D8">
        <w:t xml:space="preserve">Australia will represent another milestone in the implementation of the </w:t>
      </w:r>
      <w:r w:rsidR="007D785B">
        <w:t>Govern</w:t>
      </w:r>
      <w:r>
        <w:t xml:space="preserve">ment’s </w:t>
      </w:r>
      <w:r w:rsidR="004071D8">
        <w:t xml:space="preserve">policy. </w:t>
      </w:r>
    </w:p>
    <w:p w14:paraId="3507794C" w14:textId="477F1C51" w:rsidR="004071D8" w:rsidRDefault="004071D8" w:rsidP="004071D8">
      <w:r>
        <w:t xml:space="preserve">This development means </w:t>
      </w:r>
      <w:r w:rsidR="00BB7D1A">
        <w:t xml:space="preserve">that </w:t>
      </w:r>
      <w:r>
        <w:t xml:space="preserve">C44 Adelaide </w:t>
      </w:r>
      <w:r w:rsidR="00BB7D1A">
        <w:t xml:space="preserve">and MCTC Ltd </w:t>
      </w:r>
      <w:r>
        <w:t xml:space="preserve">will be </w:t>
      </w:r>
      <w:r w:rsidR="003C5E40">
        <w:t xml:space="preserve">the </w:t>
      </w:r>
      <w:r w:rsidR="00BB7D1A">
        <w:t xml:space="preserve">two </w:t>
      </w:r>
      <w:r>
        <w:t>only remaining community-based television broadcaster using radiofrequency spectrum</w:t>
      </w:r>
      <w:r w:rsidR="00D201F8">
        <w:t xml:space="preserve"> in prescribed metropolitan areas</w:t>
      </w:r>
      <w:r>
        <w:t xml:space="preserve">. </w:t>
      </w:r>
    </w:p>
    <w:p w14:paraId="05D8801D" w14:textId="711B2010" w:rsidR="00FE56DC" w:rsidRDefault="004071D8" w:rsidP="004071D8">
      <w:r>
        <w:t xml:space="preserve">Unlike the Melbourne situation, key decisions in relation to the type of licence Adelaide operates under are ACMA’s responsibility. The </w:t>
      </w:r>
      <w:r w:rsidR="003C5E40">
        <w:t xml:space="preserve">Minister is </w:t>
      </w:r>
      <w:r>
        <w:t xml:space="preserve">therefore looking to </w:t>
      </w:r>
      <w:r w:rsidR="00FE56DC">
        <w:t xml:space="preserve">provide general </w:t>
      </w:r>
      <w:r>
        <w:t>direct</w:t>
      </w:r>
      <w:r w:rsidR="00FE56DC">
        <w:t>ion to</w:t>
      </w:r>
      <w:r>
        <w:t xml:space="preserve"> ACMA to exercise its relevant powers and perform its relevant functions as conferred by or under the Broadcasting Act, the Rad</w:t>
      </w:r>
      <w:r w:rsidR="004312A6">
        <w:t xml:space="preserve">comms </w:t>
      </w:r>
      <w:r>
        <w:t xml:space="preserve">Act and the </w:t>
      </w:r>
      <w:r w:rsidR="007D01E2">
        <w:t xml:space="preserve">ACMA </w:t>
      </w:r>
      <w:r>
        <w:t xml:space="preserve">Act, to </w:t>
      </w:r>
      <w:r w:rsidR="00FE56DC">
        <w:t xml:space="preserve">help </w:t>
      </w:r>
      <w:r>
        <w:t>achieve the policy objective</w:t>
      </w:r>
      <w:r w:rsidR="00FE56DC">
        <w:t>s</w:t>
      </w:r>
      <w:r>
        <w:t>.</w:t>
      </w:r>
    </w:p>
    <w:p w14:paraId="5B3C9018" w14:textId="3D1971A9" w:rsidR="0001580A" w:rsidRPr="00B015D4" w:rsidRDefault="00D201F8" w:rsidP="0001580A">
      <w:pPr>
        <w:rPr>
          <w:u w:val="single"/>
        </w:rPr>
      </w:pPr>
      <w:r>
        <w:rPr>
          <w:u w:val="single"/>
        </w:rPr>
        <w:br w:type="column"/>
      </w:r>
      <w:r w:rsidR="0001580A" w:rsidRPr="00B015D4">
        <w:rPr>
          <w:u w:val="single"/>
        </w:rPr>
        <w:lastRenderedPageBreak/>
        <w:t>Consultation</w:t>
      </w:r>
    </w:p>
    <w:p w14:paraId="079AEAAA" w14:textId="77777777" w:rsidR="00FE56DC" w:rsidRDefault="0001580A" w:rsidP="006F719C">
      <w:r w:rsidRPr="00DB5537">
        <w:t xml:space="preserve">The ACMA was consulted during the </w:t>
      </w:r>
      <w:r w:rsidR="006F3DD8" w:rsidRPr="00DB5537">
        <w:t xml:space="preserve">Direction’s </w:t>
      </w:r>
      <w:r w:rsidRPr="00DB5537">
        <w:t xml:space="preserve">development and the ACMA </w:t>
      </w:r>
      <w:r w:rsidR="009249C6" w:rsidRPr="00DB5537">
        <w:t xml:space="preserve">provided comment </w:t>
      </w:r>
      <w:r w:rsidRPr="00DB5537">
        <w:t xml:space="preserve">on drafts of the Direction. The </w:t>
      </w:r>
      <w:r w:rsidR="006F3DD8" w:rsidRPr="00DB5537">
        <w:t xml:space="preserve">Direction’s </w:t>
      </w:r>
      <w:r w:rsidRPr="00DB5537">
        <w:t xml:space="preserve">final form has incorporated the </w:t>
      </w:r>
      <w:r w:rsidR="006F3DD8" w:rsidRPr="00DB5537">
        <w:t xml:space="preserve">ACMA’s </w:t>
      </w:r>
      <w:r w:rsidRPr="00DB5537">
        <w:t>feedback.</w:t>
      </w:r>
      <w:r w:rsidRPr="00B015D4">
        <w:t xml:space="preserve"> </w:t>
      </w:r>
    </w:p>
    <w:p w14:paraId="5F6C4873" w14:textId="52FB23D8" w:rsidR="006F719C" w:rsidRDefault="006F719C" w:rsidP="006F719C">
      <w:pPr>
        <w:rPr>
          <w:u w:val="single"/>
        </w:rPr>
      </w:pPr>
      <w:r w:rsidRPr="00FF233F">
        <w:rPr>
          <w:u w:val="single"/>
        </w:rPr>
        <w:t>Statement of Compatibility with Human Rights</w:t>
      </w:r>
    </w:p>
    <w:p w14:paraId="58243BBE" w14:textId="1653A648" w:rsidR="006F719C" w:rsidRDefault="006F719C" w:rsidP="006F719C">
      <w:pPr>
        <w:shd w:val="clear" w:color="auto" w:fill="FFFFFF"/>
        <w:spacing w:before="100" w:beforeAutospacing="1" w:after="100" w:afterAutospacing="1"/>
        <w:rPr>
          <w:i/>
          <w:iCs/>
          <w:color w:val="000000"/>
          <w:shd w:val="clear" w:color="auto" w:fill="FFFFFF"/>
        </w:rPr>
      </w:pPr>
      <w:r>
        <w:t xml:space="preserve">As </w:t>
      </w:r>
      <w:r>
        <w:rPr>
          <w:color w:val="000000"/>
          <w:shd w:val="clear" w:color="auto" w:fill="FFFFFF"/>
        </w:rPr>
        <w:t>section 42 of the </w:t>
      </w:r>
      <w:r>
        <w:rPr>
          <w:i/>
          <w:iCs/>
          <w:color w:val="000000"/>
          <w:shd w:val="clear" w:color="auto" w:fill="FFFFFF"/>
        </w:rPr>
        <w:t>Legislation Act 2003 </w:t>
      </w:r>
      <w:r>
        <w:rPr>
          <w:color w:val="000000"/>
          <w:shd w:val="clear" w:color="auto" w:fill="FFFFFF"/>
        </w:rPr>
        <w:t xml:space="preserve">does not apply to this instrument, being exempted under Part 4 of the </w:t>
      </w:r>
      <w:r w:rsidRPr="00626ED0">
        <w:rPr>
          <w:i/>
          <w:color w:val="000000"/>
          <w:shd w:val="clear" w:color="auto" w:fill="FFFFFF"/>
        </w:rPr>
        <w:t>Legislation (Exemption and Other Matters) Regulation 2015</w:t>
      </w:r>
      <w:r>
        <w:rPr>
          <w:color w:val="000000"/>
          <w:shd w:val="clear" w:color="auto" w:fill="FFFFFF"/>
        </w:rPr>
        <w:t>, a Statement of Compatibility with Human Rights is not required under section 9 of the </w:t>
      </w:r>
      <w:r>
        <w:rPr>
          <w:i/>
          <w:iCs/>
          <w:color w:val="000000"/>
          <w:shd w:val="clear" w:color="auto" w:fill="FFFFFF"/>
        </w:rPr>
        <w:t>Human Rights (Parliamentary Scrutiny) Act 2011.</w:t>
      </w:r>
    </w:p>
    <w:p w14:paraId="3DCC0A9E" w14:textId="4CC50093" w:rsidR="0001580A" w:rsidRPr="00B015D4" w:rsidRDefault="0001580A" w:rsidP="0001580A">
      <w:pPr>
        <w:shd w:val="clear" w:color="auto" w:fill="FFFFFF"/>
        <w:spacing w:before="100" w:beforeAutospacing="1" w:after="100" w:afterAutospacing="1"/>
        <w:rPr>
          <w:rFonts w:ascii="Helvetica Neue" w:hAnsi="Helvetica Neue"/>
        </w:rPr>
      </w:pPr>
      <w:r w:rsidRPr="00B015D4">
        <w:rPr>
          <w:rFonts w:ascii="Helvetica Neue" w:hAnsi="Helvetica Neue"/>
          <w:u w:val="single"/>
        </w:rPr>
        <w:t>Further Details</w:t>
      </w:r>
    </w:p>
    <w:p w14:paraId="57C031F7" w14:textId="77777777" w:rsidR="0001580A" w:rsidRPr="00B015D4" w:rsidRDefault="0001580A" w:rsidP="0001580A">
      <w:pPr>
        <w:rPr>
          <w:rFonts w:ascii="Helvetica Neue" w:eastAsia="Times New Roman" w:hAnsi="Helvetica Neue"/>
          <w:lang w:eastAsia="en-AU"/>
        </w:rPr>
      </w:pPr>
      <w:r w:rsidRPr="00B015D4">
        <w:rPr>
          <w:rFonts w:ascii="Helvetica Neue" w:eastAsia="Times New Roman" w:hAnsi="Helvetica Neue"/>
          <w:lang w:eastAsia="en-AU"/>
        </w:rPr>
        <w:t xml:space="preserve">Further details of the Direction are set out at </w:t>
      </w:r>
      <w:r w:rsidRPr="00B015D4">
        <w:rPr>
          <w:rFonts w:ascii="Helvetica Neue" w:eastAsia="Times New Roman" w:hAnsi="Helvetica Neue"/>
          <w:u w:val="single"/>
          <w:lang w:eastAsia="en-AU"/>
        </w:rPr>
        <w:t>Attachment A</w:t>
      </w:r>
      <w:r w:rsidRPr="00B015D4">
        <w:rPr>
          <w:rFonts w:ascii="Helvetica Neue" w:eastAsia="Times New Roman" w:hAnsi="Helvetica Neue"/>
          <w:lang w:eastAsia="en-AU"/>
        </w:rPr>
        <w:t xml:space="preserve">. </w:t>
      </w:r>
    </w:p>
    <w:p w14:paraId="0349BBBB" w14:textId="128B5C83" w:rsidR="0001580A" w:rsidRPr="00B015D4" w:rsidRDefault="0001580A" w:rsidP="0001580A">
      <w:pPr>
        <w:rPr>
          <w:b/>
          <w:color w:val="FF0000"/>
          <w:u w:val="single"/>
        </w:rPr>
      </w:pPr>
      <w:r w:rsidRPr="00B015D4">
        <w:rPr>
          <w:rFonts w:ascii="Helvetica Neue" w:eastAsia="Times New Roman" w:hAnsi="Helvetica Neue"/>
          <w:lang w:eastAsia="en-AU"/>
        </w:rPr>
        <w:t xml:space="preserve">The Direction is a legislative instrument for the purposes of the </w:t>
      </w:r>
      <w:r w:rsidRPr="0072533B">
        <w:rPr>
          <w:rFonts w:ascii="Helvetica Neue" w:eastAsia="Times New Roman" w:hAnsi="Helvetica Neue"/>
          <w:i/>
          <w:lang w:eastAsia="en-AU"/>
        </w:rPr>
        <w:t>Legislation Act 2003</w:t>
      </w:r>
      <w:r w:rsidRPr="00B015D4">
        <w:rPr>
          <w:rFonts w:ascii="Helvetica Neue" w:eastAsia="Times New Roman" w:hAnsi="Helvetica Neue"/>
          <w:lang w:eastAsia="en-AU"/>
        </w:rPr>
        <w:t xml:space="preserve">. However, this instrument is not subject to disallowance, as it is a direction by a Minister to a body (see item 2 of the table in section 9 of the </w:t>
      </w:r>
      <w:r w:rsidRPr="00B015D4">
        <w:rPr>
          <w:rFonts w:ascii="Helvetica Neue" w:eastAsia="Times New Roman" w:hAnsi="Helvetica Neue"/>
          <w:i/>
          <w:lang w:eastAsia="en-AU"/>
        </w:rPr>
        <w:t>Legislation (Exemptions and Other Matters) Regulation 2015</w:t>
      </w:r>
      <w:r w:rsidRPr="00B015D4">
        <w:rPr>
          <w:rFonts w:ascii="Helvetica Neue" w:eastAsia="Times New Roman" w:hAnsi="Helvetica Neue"/>
          <w:lang w:eastAsia="en-AU"/>
        </w:rPr>
        <w:t>).</w:t>
      </w:r>
      <w:r w:rsidR="00FE56DC">
        <w:rPr>
          <w:rFonts w:ascii="Helvetica Neue" w:eastAsia="Times New Roman" w:hAnsi="Helvetica Neue"/>
          <w:lang w:eastAsia="en-AU"/>
        </w:rPr>
        <w:t xml:space="preserve"> </w:t>
      </w:r>
    </w:p>
    <w:p w14:paraId="3EB3B718" w14:textId="77777777" w:rsidR="0001580A" w:rsidRPr="00B015D4" w:rsidRDefault="0001580A" w:rsidP="0001580A">
      <w:pPr>
        <w:rPr>
          <w:b/>
          <w:color w:val="FF0000"/>
          <w:u w:val="single"/>
        </w:rPr>
      </w:pPr>
    </w:p>
    <w:p w14:paraId="0F83FC79" w14:textId="77777777" w:rsidR="0001580A" w:rsidRPr="00B015D4" w:rsidRDefault="0001580A" w:rsidP="0001580A">
      <w:pPr>
        <w:jc w:val="right"/>
        <w:rPr>
          <w:b/>
          <w:u w:val="single"/>
        </w:rPr>
      </w:pPr>
      <w:r w:rsidRPr="00B015D4">
        <w:rPr>
          <w:b/>
          <w:u w:val="single"/>
        </w:rPr>
        <w:br w:type="column"/>
      </w:r>
      <w:r w:rsidRPr="00B015D4">
        <w:rPr>
          <w:b/>
          <w:u w:val="single"/>
        </w:rPr>
        <w:lastRenderedPageBreak/>
        <w:t>Attachment A</w:t>
      </w:r>
    </w:p>
    <w:p w14:paraId="53EFB374" w14:textId="001A2354" w:rsidR="00240306" w:rsidRPr="00E60CA1" w:rsidRDefault="00240306" w:rsidP="00240306">
      <w:pPr>
        <w:jc w:val="center"/>
        <w:rPr>
          <w:b/>
          <w:lang w:eastAsia="en-AU"/>
        </w:rPr>
      </w:pPr>
      <w:r>
        <w:rPr>
          <w:b/>
          <w:lang w:eastAsia="en-AU"/>
        </w:rPr>
        <w:t xml:space="preserve">Notes on sections to </w:t>
      </w:r>
      <w:r w:rsidRPr="00E60CA1">
        <w:rPr>
          <w:b/>
          <w:lang w:eastAsia="en-AU"/>
        </w:rPr>
        <w:t xml:space="preserve">Australian Communications and Media Authority </w:t>
      </w:r>
      <w:r>
        <w:rPr>
          <w:b/>
          <w:lang w:eastAsia="en-AU"/>
        </w:rPr>
        <w:t xml:space="preserve">                                                   </w:t>
      </w:r>
      <w:r w:rsidRPr="00E60CA1">
        <w:rPr>
          <w:b/>
          <w:lang w:eastAsia="en-AU"/>
        </w:rPr>
        <w:t>(Community Television) Direction 2020</w:t>
      </w:r>
    </w:p>
    <w:p w14:paraId="06B1B802" w14:textId="77777777" w:rsidR="00240306" w:rsidRPr="00240306" w:rsidRDefault="00240306" w:rsidP="0001580A">
      <w:pPr>
        <w:autoSpaceDE w:val="0"/>
        <w:autoSpaceDN w:val="0"/>
        <w:rPr>
          <w:u w:val="single"/>
        </w:rPr>
      </w:pPr>
      <w:r w:rsidRPr="00240306">
        <w:rPr>
          <w:u w:val="single"/>
        </w:rPr>
        <w:t xml:space="preserve">Section 1 </w:t>
      </w:r>
    </w:p>
    <w:p w14:paraId="2FAC6DB1" w14:textId="05CA0B7C" w:rsidR="0001580A" w:rsidRPr="00DB5537" w:rsidRDefault="00240306" w:rsidP="0001580A">
      <w:pPr>
        <w:autoSpaceDE w:val="0"/>
        <w:autoSpaceDN w:val="0"/>
      </w:pPr>
      <w:r>
        <w:t xml:space="preserve">This section </w:t>
      </w:r>
      <w:r w:rsidR="0001580A" w:rsidRPr="00B015D4">
        <w:t>provides</w:t>
      </w:r>
      <w:r w:rsidR="0072533B">
        <w:t xml:space="preserve"> that</w:t>
      </w:r>
      <w:r w:rsidR="00DB5537">
        <w:t xml:space="preserve"> the name of the Direction is the </w:t>
      </w:r>
      <w:r w:rsidR="00E60CA1" w:rsidRPr="00E60CA1">
        <w:rPr>
          <w:i/>
        </w:rPr>
        <w:t>Australian Communications and Media Authority (Community Television) Direction 2020</w:t>
      </w:r>
      <w:r w:rsidR="00E60CA1">
        <w:t>.</w:t>
      </w:r>
    </w:p>
    <w:p w14:paraId="301F95B7" w14:textId="77777777" w:rsidR="00B23256" w:rsidRPr="00B23256" w:rsidRDefault="00B23256" w:rsidP="0001580A">
      <w:pPr>
        <w:autoSpaceDE w:val="0"/>
        <w:autoSpaceDN w:val="0"/>
        <w:rPr>
          <w:u w:val="single"/>
        </w:rPr>
      </w:pPr>
      <w:r w:rsidRPr="00B23256">
        <w:rPr>
          <w:u w:val="single"/>
        </w:rPr>
        <w:t xml:space="preserve">Section 2 </w:t>
      </w:r>
    </w:p>
    <w:p w14:paraId="04F8EC2E" w14:textId="12D5D380" w:rsidR="0001580A" w:rsidRDefault="0001580A" w:rsidP="0001580A">
      <w:pPr>
        <w:autoSpaceDE w:val="0"/>
        <w:autoSpaceDN w:val="0"/>
      </w:pPr>
      <w:r w:rsidRPr="00B015D4">
        <w:t>Section 2 provides that</w:t>
      </w:r>
      <w:r w:rsidR="00DB5537">
        <w:t xml:space="preserve"> the Direction will commence on the day it is registered on the Federal Register of Legislation.</w:t>
      </w:r>
    </w:p>
    <w:p w14:paraId="332733EB" w14:textId="67EE28C4" w:rsidR="00B23256" w:rsidRPr="00B23256" w:rsidRDefault="00B23256" w:rsidP="00DB5537">
      <w:pPr>
        <w:autoSpaceDE w:val="0"/>
        <w:autoSpaceDN w:val="0"/>
        <w:rPr>
          <w:u w:val="single"/>
        </w:rPr>
      </w:pPr>
      <w:r w:rsidRPr="00B23256">
        <w:rPr>
          <w:u w:val="single"/>
        </w:rPr>
        <w:t>Section 3</w:t>
      </w:r>
    </w:p>
    <w:p w14:paraId="3B84DFB8" w14:textId="41DF6B61" w:rsidR="00DB5537" w:rsidRDefault="00DB5537" w:rsidP="00DB5537">
      <w:pPr>
        <w:autoSpaceDE w:val="0"/>
        <w:autoSpaceDN w:val="0"/>
      </w:pPr>
      <w:r w:rsidRPr="00E60CA1">
        <w:t>Section 3 provides that the Direction will be self-repealed on 1 July 2022.</w:t>
      </w:r>
      <w:r w:rsidR="00E60CA1">
        <w:t xml:space="preserve"> </w:t>
      </w:r>
    </w:p>
    <w:p w14:paraId="438EC58F" w14:textId="5EA8BFDE" w:rsidR="00B23256" w:rsidRPr="00B23256" w:rsidRDefault="00B23256" w:rsidP="00DB5537">
      <w:pPr>
        <w:autoSpaceDE w:val="0"/>
        <w:autoSpaceDN w:val="0"/>
        <w:rPr>
          <w:u w:val="single"/>
        </w:rPr>
      </w:pPr>
      <w:r w:rsidRPr="00B23256">
        <w:rPr>
          <w:u w:val="single"/>
        </w:rPr>
        <w:t>Section 4</w:t>
      </w:r>
    </w:p>
    <w:p w14:paraId="47922225" w14:textId="062ED15F" w:rsidR="00DB5537" w:rsidRDefault="00DB5537" w:rsidP="00DB5537">
      <w:pPr>
        <w:autoSpaceDE w:val="0"/>
        <w:autoSpaceDN w:val="0"/>
      </w:pPr>
      <w:r>
        <w:t xml:space="preserve">Section 4 states the legislative authority for the Direction as being section 14 of the </w:t>
      </w:r>
      <w:r w:rsidR="00A04B57" w:rsidRPr="004F3893">
        <w:t>ACMA Act</w:t>
      </w:r>
      <w:r w:rsidR="004709B6" w:rsidRPr="004709B6">
        <w:t>.</w:t>
      </w:r>
      <w:r>
        <w:t xml:space="preserve"> </w:t>
      </w:r>
    </w:p>
    <w:p w14:paraId="31DF7C88" w14:textId="77777777" w:rsidR="00B23256" w:rsidRPr="00B23256" w:rsidRDefault="00B23256" w:rsidP="00DB5537">
      <w:pPr>
        <w:autoSpaceDE w:val="0"/>
        <w:autoSpaceDN w:val="0"/>
        <w:rPr>
          <w:u w:val="single"/>
        </w:rPr>
      </w:pPr>
      <w:r w:rsidRPr="00B23256">
        <w:rPr>
          <w:u w:val="single"/>
        </w:rPr>
        <w:t xml:space="preserve">Section 5 </w:t>
      </w:r>
    </w:p>
    <w:p w14:paraId="011958C6" w14:textId="0AF7C151" w:rsidR="00DB5537" w:rsidRDefault="00B23256" w:rsidP="00DB5537">
      <w:pPr>
        <w:autoSpaceDE w:val="0"/>
        <w:autoSpaceDN w:val="0"/>
      </w:pPr>
      <w:r>
        <w:t>This s</w:t>
      </w:r>
      <w:r w:rsidR="00DB5537">
        <w:t xml:space="preserve">ection defines the </w:t>
      </w:r>
      <w:r w:rsidR="00E60CA1">
        <w:t xml:space="preserve">key </w:t>
      </w:r>
      <w:r w:rsidR="00DB5537">
        <w:t>terms used throughout the Direction.</w:t>
      </w:r>
    </w:p>
    <w:p w14:paraId="3B9B87F5" w14:textId="08397D17" w:rsidR="00E60CA1" w:rsidRDefault="00E60CA1" w:rsidP="00E60CA1">
      <w:pPr>
        <w:autoSpaceDE w:val="0"/>
        <w:autoSpaceDN w:val="0"/>
      </w:pPr>
      <w:r>
        <w:t xml:space="preserve">The term, </w:t>
      </w:r>
      <w:r w:rsidRPr="00E60CA1">
        <w:rPr>
          <w:b/>
          <w:i/>
        </w:rPr>
        <w:t>ACMA</w:t>
      </w:r>
      <w:r>
        <w:t xml:space="preserve"> means the Australian Communications and Media Authority.</w:t>
      </w:r>
    </w:p>
    <w:p w14:paraId="58BBA07D" w14:textId="4F7D20E2" w:rsidR="00E60CA1" w:rsidRDefault="00E60CA1" w:rsidP="00E60CA1">
      <w:pPr>
        <w:autoSpaceDE w:val="0"/>
        <w:autoSpaceDN w:val="0"/>
      </w:pPr>
      <w:r w:rsidRPr="00E60CA1">
        <w:rPr>
          <w:b/>
          <w:i/>
        </w:rPr>
        <w:t>Act</w:t>
      </w:r>
      <w:r>
        <w:t xml:space="preserve"> means the </w:t>
      </w:r>
      <w:r w:rsidR="00A04B57" w:rsidRPr="004F3893">
        <w:t>A</w:t>
      </w:r>
      <w:r w:rsidR="00A04B57" w:rsidRPr="00A04B57">
        <w:t>CMA Act</w:t>
      </w:r>
      <w:r>
        <w:t>.</w:t>
      </w:r>
    </w:p>
    <w:p w14:paraId="3108B720" w14:textId="2DDBA5F6" w:rsidR="00E60CA1" w:rsidRDefault="00E60CA1" w:rsidP="00E60CA1">
      <w:pPr>
        <w:autoSpaceDE w:val="0"/>
        <w:autoSpaceDN w:val="0"/>
      </w:pPr>
      <w:r w:rsidRPr="00E60CA1">
        <w:rPr>
          <w:b/>
          <w:i/>
        </w:rPr>
        <w:t>Broadcasting Act</w:t>
      </w:r>
      <w:r>
        <w:t xml:space="preserve"> means the </w:t>
      </w:r>
      <w:r w:rsidRPr="004709B6">
        <w:rPr>
          <w:i/>
        </w:rPr>
        <w:t>Broadcasting Services Act 1992</w:t>
      </w:r>
      <w:r>
        <w:t>.</w:t>
      </w:r>
    </w:p>
    <w:p w14:paraId="366606B1" w14:textId="28D53F44" w:rsidR="00E60CA1" w:rsidRDefault="00E60CA1" w:rsidP="00E60CA1">
      <w:pPr>
        <w:autoSpaceDE w:val="0"/>
        <w:autoSpaceDN w:val="0"/>
      </w:pPr>
      <w:r w:rsidRPr="00E60CA1">
        <w:t>The term</w:t>
      </w:r>
      <w:r w:rsidRPr="003521CC">
        <w:t>,</w:t>
      </w:r>
      <w:r>
        <w:rPr>
          <w:b/>
        </w:rPr>
        <w:t xml:space="preserve"> </w:t>
      </w:r>
      <w:r w:rsidRPr="00E60CA1">
        <w:rPr>
          <w:b/>
          <w:i/>
        </w:rPr>
        <w:t>broadcasting services bands</w:t>
      </w:r>
      <w:r>
        <w:t xml:space="preserve"> has the meaning given in section 6 of the</w:t>
      </w:r>
      <w:r w:rsidR="00A04B57">
        <w:t xml:space="preserve"> </w:t>
      </w:r>
      <w:r w:rsidR="004F3893" w:rsidRPr="004F3893">
        <w:t>Broadcasting Act</w:t>
      </w:r>
      <w:r>
        <w:t>.</w:t>
      </w:r>
    </w:p>
    <w:p w14:paraId="2A1DE692" w14:textId="385B2EBA" w:rsidR="004F3893" w:rsidRDefault="00333B98" w:rsidP="00E60CA1">
      <w:pPr>
        <w:autoSpaceDE w:val="0"/>
        <w:autoSpaceDN w:val="0"/>
      </w:pPr>
      <w:r>
        <w:t xml:space="preserve">The term, </w:t>
      </w:r>
      <w:r w:rsidR="004F3893" w:rsidRPr="004F3893">
        <w:rPr>
          <w:b/>
          <w:i/>
        </w:rPr>
        <w:t>CTV licence</w:t>
      </w:r>
      <w:r w:rsidR="004F3893" w:rsidRPr="004F3893">
        <w:t xml:space="preserve"> has the meaning given in section 6 of the Broadcasting Act.</w:t>
      </w:r>
      <w:r w:rsidR="00D201F8" w:rsidRPr="00D201F8">
        <w:t xml:space="preserve"> CTV licences are community broadcasting licences which provide television programs but are not targeted to a significant extent to </w:t>
      </w:r>
      <w:r w:rsidR="00D201F8">
        <w:t xml:space="preserve">remote </w:t>
      </w:r>
      <w:r w:rsidR="00D201F8" w:rsidRPr="00D201F8">
        <w:t>Indigenous communities</w:t>
      </w:r>
      <w:r w:rsidR="00D201F8">
        <w:t>.</w:t>
      </w:r>
    </w:p>
    <w:p w14:paraId="031B7365" w14:textId="50A27C60" w:rsidR="00E60CA1" w:rsidRDefault="00E60CA1" w:rsidP="00E60CA1">
      <w:pPr>
        <w:autoSpaceDE w:val="0"/>
        <w:autoSpaceDN w:val="0"/>
      </w:pPr>
      <w:r w:rsidRPr="00E60CA1">
        <w:rPr>
          <w:b/>
          <w:i/>
        </w:rPr>
        <w:t xml:space="preserve">CTV Trial Service </w:t>
      </w:r>
      <w:r w:rsidRPr="004709B6">
        <w:t>is a central term to the Direction.</w:t>
      </w:r>
      <w:r>
        <w:rPr>
          <w:b/>
        </w:rPr>
        <w:t xml:space="preserve"> </w:t>
      </w:r>
      <w:r w:rsidRPr="004709B6">
        <w:t xml:space="preserve">It </w:t>
      </w:r>
      <w:r>
        <w:t xml:space="preserve">covers all open narrowcasting television services transmitted from one or more stations using an apparatus licence issued under section 100 of the </w:t>
      </w:r>
      <w:r w:rsidR="00A04B57" w:rsidRPr="00A04B57">
        <w:t xml:space="preserve">Radcomms </w:t>
      </w:r>
      <w:r w:rsidR="00A04B57" w:rsidRPr="004F3893">
        <w:t>Act</w:t>
      </w:r>
      <w:r w:rsidR="00A04B57">
        <w:rPr>
          <w:i/>
        </w:rPr>
        <w:t xml:space="preserve"> </w:t>
      </w:r>
      <w:r>
        <w:t>for community and educational non-profit purposes in a prescribed metropolitan area.</w:t>
      </w:r>
    </w:p>
    <w:p w14:paraId="4F269AEB" w14:textId="201FFF50" w:rsidR="00E60CA1" w:rsidRDefault="00E60CA1" w:rsidP="00E60CA1">
      <w:pPr>
        <w:autoSpaceDE w:val="0"/>
        <w:autoSpaceDN w:val="0"/>
      </w:pPr>
      <w:r w:rsidRPr="00E60CA1">
        <w:rPr>
          <w:b/>
          <w:i/>
        </w:rPr>
        <w:lastRenderedPageBreak/>
        <w:t xml:space="preserve">community broadcasting service </w:t>
      </w:r>
      <w:r>
        <w:t>has the meaning given in section 15 of the</w:t>
      </w:r>
      <w:r w:rsidR="00A04B57">
        <w:t xml:space="preserve"> </w:t>
      </w:r>
      <w:r w:rsidR="004F3893" w:rsidRPr="004F3893">
        <w:t>Broadcasting Act</w:t>
      </w:r>
      <w:r>
        <w:t>.</w:t>
      </w:r>
    </w:p>
    <w:p w14:paraId="1712102E" w14:textId="11003D5F" w:rsidR="00E60CA1" w:rsidRDefault="00E60CA1" w:rsidP="00E60CA1">
      <w:pPr>
        <w:autoSpaceDE w:val="0"/>
        <w:autoSpaceDN w:val="0"/>
      </w:pPr>
      <w:r w:rsidRPr="003521CC">
        <w:rPr>
          <w:b/>
          <w:i/>
        </w:rPr>
        <w:t>open narrowcasting television service</w:t>
      </w:r>
      <w:r>
        <w:t xml:space="preserve"> means a service under a class licence determined under paragraph 117(e) of the </w:t>
      </w:r>
      <w:r w:rsidR="004F3893" w:rsidRPr="004F3893">
        <w:t>Broadcasting Act</w:t>
      </w:r>
      <w:r>
        <w:t xml:space="preserve">. </w:t>
      </w:r>
    </w:p>
    <w:p w14:paraId="4896C962" w14:textId="1DA3ADD8" w:rsidR="004F3893" w:rsidRDefault="004F3893" w:rsidP="00E60CA1">
      <w:pPr>
        <w:autoSpaceDE w:val="0"/>
        <w:autoSpaceDN w:val="0"/>
      </w:pPr>
      <w:r w:rsidRPr="004F3893">
        <w:rPr>
          <w:b/>
          <w:i/>
        </w:rPr>
        <w:t>Part 6 CTV Service</w:t>
      </w:r>
      <w:r w:rsidRPr="004F3893">
        <w:t xml:space="preserve"> means a community broadcasting service provided under a CTV licence.</w:t>
      </w:r>
    </w:p>
    <w:p w14:paraId="6554DE3F" w14:textId="2E0F60E2" w:rsidR="00E60CA1" w:rsidRDefault="00E60CA1" w:rsidP="00E60CA1">
      <w:pPr>
        <w:autoSpaceDE w:val="0"/>
        <w:autoSpaceDN w:val="0"/>
      </w:pPr>
      <w:r w:rsidRPr="00E60CA1">
        <w:rPr>
          <w:b/>
          <w:i/>
        </w:rPr>
        <w:t>prescribed metropolitan area</w:t>
      </w:r>
      <w:r>
        <w:t xml:space="preserve"> covers the areas in Adelaide, Brisbane, </w:t>
      </w:r>
      <w:r w:rsidR="003521CC">
        <w:t xml:space="preserve">Hobart, Melbourne, </w:t>
      </w:r>
      <w:r>
        <w:t>P</w:t>
      </w:r>
      <w:r w:rsidR="003521CC">
        <w:t xml:space="preserve">erth, </w:t>
      </w:r>
      <w:r w:rsidR="00996FD1">
        <w:t xml:space="preserve">and </w:t>
      </w:r>
      <w:r>
        <w:t>Sydney</w:t>
      </w:r>
      <w:r w:rsidR="003521CC">
        <w:t xml:space="preserve"> and </w:t>
      </w:r>
      <w:r w:rsidR="009F227C">
        <w:t xml:space="preserve">this definition </w:t>
      </w:r>
      <w:r w:rsidR="003521CC">
        <w:t xml:space="preserve">specifically does not include Darwin </w:t>
      </w:r>
      <w:r w:rsidR="00996FD1">
        <w:t xml:space="preserve">or Canberra </w:t>
      </w:r>
      <w:r w:rsidR="003521CC">
        <w:t xml:space="preserve">as </w:t>
      </w:r>
      <w:r w:rsidR="00996FD1">
        <w:t xml:space="preserve">those </w:t>
      </w:r>
      <w:r w:rsidR="003521CC">
        <w:t>capital cit</w:t>
      </w:r>
      <w:r w:rsidR="00996FD1">
        <w:t xml:space="preserve">ies are </w:t>
      </w:r>
      <w:r w:rsidR="003521CC">
        <w:t>not metropolitan licence area</w:t>
      </w:r>
      <w:r w:rsidR="00996FD1">
        <w:t>s</w:t>
      </w:r>
      <w:r w:rsidR="003521CC">
        <w:t>.</w:t>
      </w:r>
    </w:p>
    <w:p w14:paraId="30A46875" w14:textId="03DF003D" w:rsidR="00E60CA1" w:rsidRDefault="00E60CA1" w:rsidP="00E60CA1">
      <w:pPr>
        <w:autoSpaceDE w:val="0"/>
        <w:autoSpaceDN w:val="0"/>
      </w:pPr>
      <w:r w:rsidRPr="003521CC">
        <w:rPr>
          <w:b/>
          <w:i/>
        </w:rPr>
        <w:t>Radiocommunications Act</w:t>
      </w:r>
      <w:r>
        <w:t xml:space="preserve"> means the </w:t>
      </w:r>
      <w:r w:rsidRPr="004709B6">
        <w:rPr>
          <w:i/>
        </w:rPr>
        <w:t>Radiocommunications Act 1992</w:t>
      </w:r>
      <w:r>
        <w:t>.</w:t>
      </w:r>
    </w:p>
    <w:p w14:paraId="36623370" w14:textId="77777777" w:rsidR="00240306" w:rsidRPr="00240306" w:rsidRDefault="00240306" w:rsidP="00DB5537">
      <w:pPr>
        <w:autoSpaceDE w:val="0"/>
        <w:autoSpaceDN w:val="0"/>
        <w:rPr>
          <w:u w:val="single"/>
        </w:rPr>
      </w:pPr>
      <w:r w:rsidRPr="00240306">
        <w:rPr>
          <w:u w:val="single"/>
        </w:rPr>
        <w:t>Section 6</w:t>
      </w:r>
    </w:p>
    <w:p w14:paraId="11E45853" w14:textId="5138B04B" w:rsidR="00743A6F" w:rsidRDefault="00BE0B2C" w:rsidP="00DB5537">
      <w:pPr>
        <w:autoSpaceDE w:val="0"/>
        <w:autoSpaceDN w:val="0"/>
      </w:pPr>
      <w:r>
        <w:t>S</w:t>
      </w:r>
      <w:r w:rsidRPr="004709B6">
        <w:t xml:space="preserve">ection </w:t>
      </w:r>
      <w:r w:rsidR="00DB5537" w:rsidRPr="004709B6">
        <w:t>6</w:t>
      </w:r>
      <w:r>
        <w:t xml:space="preserve"> </w:t>
      </w:r>
      <w:r w:rsidR="00AB39E9" w:rsidRPr="004709B6">
        <w:t>directs the ACMA to exercise its relevant powers and perform its relevant functions under</w:t>
      </w:r>
      <w:r w:rsidR="007F69BB" w:rsidRPr="004709B6">
        <w:t xml:space="preserve"> the</w:t>
      </w:r>
      <w:r w:rsidR="004709B6">
        <w:t xml:space="preserve"> </w:t>
      </w:r>
      <w:r w:rsidR="004F3893" w:rsidRPr="004F3893">
        <w:t>Broadcasting Act</w:t>
      </w:r>
      <w:r w:rsidR="004709B6">
        <w:rPr>
          <w:i/>
        </w:rPr>
        <w:t xml:space="preserve">, </w:t>
      </w:r>
      <w:r w:rsidR="004709B6" w:rsidRPr="004709B6">
        <w:t xml:space="preserve">the </w:t>
      </w:r>
      <w:r w:rsidR="00A04B57">
        <w:t xml:space="preserve">Radcomms Act </w:t>
      </w:r>
      <w:r w:rsidR="00264156">
        <w:t xml:space="preserve">and the </w:t>
      </w:r>
      <w:r w:rsidR="00A04B57" w:rsidRPr="004F3893">
        <w:t>ACMA Act</w:t>
      </w:r>
      <w:r w:rsidR="00A04B57">
        <w:rPr>
          <w:i/>
        </w:rPr>
        <w:t xml:space="preserve"> </w:t>
      </w:r>
      <w:r w:rsidR="007F69BB" w:rsidRPr="004709B6">
        <w:t xml:space="preserve">to </w:t>
      </w:r>
      <w:r w:rsidR="00C215C7">
        <w:t xml:space="preserve">help </w:t>
      </w:r>
      <w:r w:rsidR="007F69BB" w:rsidRPr="004709B6">
        <w:t xml:space="preserve">achieve </w:t>
      </w:r>
      <w:r w:rsidR="004709B6">
        <w:t xml:space="preserve">two </w:t>
      </w:r>
      <w:r w:rsidR="007F69BB" w:rsidRPr="004709B6">
        <w:t>listed G</w:t>
      </w:r>
      <w:r w:rsidR="00AB39E9" w:rsidRPr="004709B6">
        <w:t>overnment policy objectives</w:t>
      </w:r>
      <w:r w:rsidR="004709B6" w:rsidRPr="004709B6">
        <w:t>.</w:t>
      </w:r>
      <w:r w:rsidR="004709B6">
        <w:t xml:space="preserve"> </w:t>
      </w:r>
    </w:p>
    <w:p w14:paraId="436C85D5" w14:textId="5E9F9C14" w:rsidR="00AB39E9" w:rsidRDefault="00AB39E9" w:rsidP="00DB5537">
      <w:pPr>
        <w:autoSpaceDE w:val="0"/>
        <w:autoSpaceDN w:val="0"/>
      </w:pPr>
      <w:r>
        <w:t>Paragraph 6(</w:t>
      </w:r>
      <w:r w:rsidR="001A7A79">
        <w:t>a</w:t>
      </w:r>
      <w:r>
        <w:t>) describes</w:t>
      </w:r>
      <w:r w:rsidR="007F69BB">
        <w:t xml:space="preserve"> the G</w:t>
      </w:r>
      <w:r>
        <w:t>overnment policy objective that, from 1 July 2020, the broadcasting services bands must not be used for CTV Trial Services, with the exception of CTV Trial Services in Adelaide.</w:t>
      </w:r>
      <w:r w:rsidRPr="00AB39E9">
        <w:t xml:space="preserve"> </w:t>
      </w:r>
      <w:r>
        <w:t>A</w:t>
      </w:r>
      <w:r w:rsidR="003521CC">
        <w:t xml:space="preserve">s noted above, a </w:t>
      </w:r>
      <w:r w:rsidRPr="00AB39E9">
        <w:t xml:space="preserve">CTV Trial Service </w:t>
      </w:r>
      <w:r>
        <w:t xml:space="preserve">is defined in </w:t>
      </w:r>
      <w:r w:rsidR="00FE56DC">
        <w:t xml:space="preserve">section 5 of </w:t>
      </w:r>
      <w:r>
        <w:t xml:space="preserve">the Direction </w:t>
      </w:r>
      <w:r w:rsidR="003521CC">
        <w:t xml:space="preserve">and covers a specific type of </w:t>
      </w:r>
      <w:r w:rsidRPr="00AB39E9">
        <w:t xml:space="preserve">open narrowcasting television service transmitted </w:t>
      </w:r>
      <w:r w:rsidR="003521CC">
        <w:t xml:space="preserve">in the </w:t>
      </w:r>
      <w:r w:rsidR="00FE56DC">
        <w:t xml:space="preserve">prescribed metropolitan </w:t>
      </w:r>
      <w:r w:rsidR="003521CC">
        <w:t xml:space="preserve">areas </w:t>
      </w:r>
      <w:r w:rsidR="00FE56DC">
        <w:t>(</w:t>
      </w:r>
      <w:r w:rsidR="00C248E6">
        <w:t xml:space="preserve">i.e. </w:t>
      </w:r>
      <w:r w:rsidR="00FE56DC">
        <w:t>Adelaide, Brisbane, Hobart, Melbourne, Perth, and Sydney)</w:t>
      </w:r>
      <w:r>
        <w:t>.</w:t>
      </w:r>
    </w:p>
    <w:p w14:paraId="529D52B3" w14:textId="38A9E8A5" w:rsidR="00AB39E9" w:rsidRDefault="00AB39E9" w:rsidP="00DB5537">
      <w:pPr>
        <w:autoSpaceDE w:val="0"/>
        <w:autoSpaceDN w:val="0"/>
      </w:pPr>
      <w:r>
        <w:t>Paragraph 6(</w:t>
      </w:r>
      <w:r w:rsidR="001A7A79">
        <w:t>b</w:t>
      </w:r>
      <w:r>
        <w:t>)</w:t>
      </w:r>
      <w:r w:rsidR="007F69BB">
        <w:t xml:space="preserve"> describes the G</w:t>
      </w:r>
      <w:r>
        <w:t>overnment policy objective that, from 1 July 2021, the broadcasting services bands must not be used for providing any CTV Trial Services</w:t>
      </w:r>
      <w:r w:rsidR="007565EC">
        <w:t xml:space="preserve"> </w:t>
      </w:r>
      <w:r w:rsidR="007565EC" w:rsidRPr="007565EC">
        <w:t xml:space="preserve">or any </w:t>
      </w:r>
      <w:r w:rsidR="004312A6">
        <w:t xml:space="preserve">Part 6 </w:t>
      </w:r>
      <w:r w:rsidR="007565EC" w:rsidRPr="007565EC">
        <w:t>CTV Services</w:t>
      </w:r>
      <w:r w:rsidR="003521CC">
        <w:t>.</w:t>
      </w:r>
      <w:r w:rsidR="001D0673">
        <w:t xml:space="preserve"> </w:t>
      </w:r>
      <w:r w:rsidR="004F3893">
        <w:t>The term, ‘Part 6 C</w:t>
      </w:r>
      <w:r w:rsidR="007015B1">
        <w:t>T</w:t>
      </w:r>
      <w:r w:rsidR="004F3893">
        <w:t>V</w:t>
      </w:r>
      <w:r w:rsidR="007015B1">
        <w:t xml:space="preserve"> </w:t>
      </w:r>
      <w:r w:rsidR="004F3893">
        <w:t xml:space="preserve">Service’ </w:t>
      </w:r>
      <w:r w:rsidR="001D0673">
        <w:t>is define</w:t>
      </w:r>
      <w:r w:rsidR="004F3893">
        <w:t xml:space="preserve">d in section 5 of the Direction; it essentially is a </w:t>
      </w:r>
      <w:r w:rsidR="001D0673" w:rsidRPr="007565EC">
        <w:t xml:space="preserve">community broadcasting service that provides television programs </w:t>
      </w:r>
      <w:r w:rsidR="00F0448F">
        <w:t xml:space="preserve">(not </w:t>
      </w:r>
      <w:r w:rsidR="00F0448F" w:rsidRPr="00333B98">
        <w:t>targeted to a significant extent to Indigenous communities</w:t>
      </w:r>
      <w:r w:rsidR="00F0448F">
        <w:t xml:space="preserve">) under </w:t>
      </w:r>
      <w:r w:rsidR="004F3893">
        <w:t>a community broadcasting licence</w:t>
      </w:r>
      <w:r w:rsidR="00F0448F">
        <w:t xml:space="preserve"> issued under Part 6 of the </w:t>
      </w:r>
      <w:r w:rsidR="004F3893" w:rsidRPr="004F3893">
        <w:t>Broadcasting Act</w:t>
      </w:r>
      <w:r w:rsidR="00F0448F">
        <w:t xml:space="preserve">. </w:t>
      </w:r>
    </w:p>
    <w:p w14:paraId="72D0AB20" w14:textId="30E6E6A0" w:rsidR="00C248E6" w:rsidRDefault="00743A6F" w:rsidP="00825F1E">
      <w:pPr>
        <w:autoSpaceDE w:val="0"/>
        <w:autoSpaceDN w:val="0"/>
        <w:spacing w:after="0" w:line="240" w:lineRule="auto"/>
      </w:pPr>
      <w:r>
        <w:t xml:space="preserve">The </w:t>
      </w:r>
      <w:r w:rsidR="007D01E2">
        <w:t>D</w:t>
      </w:r>
      <w:r>
        <w:t xml:space="preserve">irection would </w:t>
      </w:r>
      <w:r w:rsidR="001D0673">
        <w:t xml:space="preserve">help </w:t>
      </w:r>
      <w:r w:rsidRPr="004709B6">
        <w:t>advance the Federal Government</w:t>
      </w:r>
      <w:r>
        <w:t xml:space="preserve">’s </w:t>
      </w:r>
      <w:r w:rsidR="00BB7D1A">
        <w:t xml:space="preserve">overarching </w:t>
      </w:r>
      <w:r>
        <w:t xml:space="preserve">policy that </w:t>
      </w:r>
      <w:r w:rsidR="00996FD1">
        <w:t xml:space="preserve">the following kinds of services: </w:t>
      </w:r>
    </w:p>
    <w:p w14:paraId="5389D1A9" w14:textId="62AACD7D" w:rsidR="00C248E6" w:rsidRDefault="00C248E6" w:rsidP="00825F1E">
      <w:pPr>
        <w:pStyle w:val="ListParagraph"/>
        <w:numPr>
          <w:ilvl w:val="0"/>
          <w:numId w:val="21"/>
        </w:numPr>
        <w:autoSpaceDE w:val="0"/>
        <w:autoSpaceDN w:val="0"/>
        <w:spacing w:after="0" w:line="240" w:lineRule="auto"/>
      </w:pPr>
      <w:r>
        <w:t>CTV Trial Services;</w:t>
      </w:r>
      <w:r w:rsidR="007565EC">
        <w:t xml:space="preserve"> and</w:t>
      </w:r>
    </w:p>
    <w:p w14:paraId="7D46FF3C" w14:textId="48D1768F" w:rsidR="007565EC" w:rsidRDefault="00C813DF" w:rsidP="007565EC">
      <w:pPr>
        <w:pStyle w:val="ListParagraph"/>
        <w:numPr>
          <w:ilvl w:val="0"/>
          <w:numId w:val="21"/>
        </w:numPr>
        <w:autoSpaceDE w:val="0"/>
        <w:autoSpaceDN w:val="0"/>
        <w:spacing w:after="0" w:line="240" w:lineRule="auto"/>
      </w:pPr>
      <w:r>
        <w:t>P</w:t>
      </w:r>
      <w:r w:rsidR="004F3893">
        <w:t xml:space="preserve">art 6 </w:t>
      </w:r>
      <w:r w:rsidR="007565EC" w:rsidRPr="007565EC">
        <w:t>CTV Services</w:t>
      </w:r>
      <w:r w:rsidR="007565EC">
        <w:t>;</w:t>
      </w:r>
    </w:p>
    <w:p w14:paraId="04E2C343" w14:textId="77777777" w:rsidR="00BB7D1A" w:rsidRDefault="00743A6F" w:rsidP="00825F1E">
      <w:pPr>
        <w:autoSpaceDE w:val="0"/>
        <w:autoSpaceDN w:val="0"/>
      </w:pPr>
      <w:r w:rsidRPr="004709B6">
        <w:t xml:space="preserve">in </w:t>
      </w:r>
      <w:r w:rsidR="00FE56DC">
        <w:t xml:space="preserve">prescribed </w:t>
      </w:r>
      <w:r w:rsidR="00C248E6">
        <w:t>metropolitan areas, a</w:t>
      </w:r>
      <w:r w:rsidR="00996FD1">
        <w:t xml:space="preserve">re </w:t>
      </w:r>
      <w:r>
        <w:t xml:space="preserve">to be </w:t>
      </w:r>
      <w:r w:rsidRPr="004709B6">
        <w:t>delivered using online delivery platform</w:t>
      </w:r>
      <w:r>
        <w:t>s</w:t>
      </w:r>
      <w:r w:rsidR="00BB7D1A">
        <w:t>.</w:t>
      </w:r>
    </w:p>
    <w:p w14:paraId="46138EAC" w14:textId="694ECBE5" w:rsidR="00C248E6" w:rsidRDefault="00BB7D1A" w:rsidP="00825F1E">
      <w:pPr>
        <w:autoSpaceDE w:val="0"/>
        <w:autoSpaceDN w:val="0"/>
      </w:pPr>
      <w:r>
        <w:lastRenderedPageBreak/>
        <w:t>From 1 July 2021</w:t>
      </w:r>
      <w:r w:rsidR="004312A6">
        <w:t>,</w:t>
      </w:r>
      <w:r>
        <w:t xml:space="preserve"> this overarching policy should be fully realised with CTV Trial Services in Adelaide and </w:t>
      </w:r>
      <w:r w:rsidR="004312A6">
        <w:t xml:space="preserve">the Part 6 </w:t>
      </w:r>
      <w:r>
        <w:t>CTV Services in Melbourne expected to have fully transition transitioned to online delivery by that time</w:t>
      </w:r>
      <w:r w:rsidR="00743A6F">
        <w:t xml:space="preserve">. </w:t>
      </w:r>
    </w:p>
    <w:p w14:paraId="0C3F0CCC" w14:textId="4A6F216B" w:rsidR="00743A6F" w:rsidRDefault="00C57191" w:rsidP="00825F1E">
      <w:pPr>
        <w:autoSpaceDE w:val="0"/>
        <w:autoSpaceDN w:val="0"/>
      </w:pPr>
      <w:r>
        <w:t xml:space="preserve">The </w:t>
      </w:r>
      <w:r w:rsidR="00FE56DC">
        <w:t>D</w:t>
      </w:r>
      <w:r>
        <w:t>irection</w:t>
      </w:r>
      <w:r w:rsidR="00743A6F">
        <w:t xml:space="preserve"> </w:t>
      </w:r>
      <w:r>
        <w:t xml:space="preserve">is </w:t>
      </w:r>
      <w:r w:rsidR="00743A6F">
        <w:t xml:space="preserve">intended to be general in nature. It is envisaged that the ACMA would need to consider exercising various functions and powers conferred </w:t>
      </w:r>
      <w:r w:rsidR="00C215C7">
        <w:t>on it</w:t>
      </w:r>
      <w:r w:rsidR="00FE56DC">
        <w:t>,</w:t>
      </w:r>
      <w:r w:rsidR="00C215C7">
        <w:t xml:space="preserve"> </w:t>
      </w:r>
      <w:r w:rsidR="00743A6F">
        <w:t>by or under the specified Acts, such as section 130 of the</w:t>
      </w:r>
      <w:r w:rsidR="00A04B57">
        <w:t xml:space="preserve"> Radcomms Act </w:t>
      </w:r>
      <w:r w:rsidR="00743A6F">
        <w:t xml:space="preserve">(relating to the </w:t>
      </w:r>
      <w:r w:rsidR="00D201F8">
        <w:t xml:space="preserve">renewal </w:t>
      </w:r>
      <w:r w:rsidR="00743A6F">
        <w:t xml:space="preserve">of apparatus licences), section 34 of the </w:t>
      </w:r>
      <w:r w:rsidR="004F3893" w:rsidRPr="004F3893">
        <w:t>Broadcasting Act</w:t>
      </w:r>
      <w:r w:rsidR="00A04B57">
        <w:t xml:space="preserve"> </w:t>
      </w:r>
      <w:r w:rsidR="00743A6F">
        <w:t xml:space="preserve">(relating to a determination of whether parts of the radiofrequency spectrum are available for allocation for a particular period of time and purpose) and </w:t>
      </w:r>
      <w:r w:rsidR="00C215C7">
        <w:t xml:space="preserve">any </w:t>
      </w:r>
      <w:r w:rsidR="00743A6F">
        <w:t xml:space="preserve">incidental powers under section 12 of the </w:t>
      </w:r>
      <w:r w:rsidR="00505A00">
        <w:t xml:space="preserve">ACMA Act </w:t>
      </w:r>
      <w:r w:rsidR="00743A6F">
        <w:t>(</w:t>
      </w:r>
      <w:r w:rsidR="003C215A">
        <w:t xml:space="preserve">a broad power for the ACMA </w:t>
      </w:r>
      <w:r w:rsidR="00C215C7">
        <w:t xml:space="preserve">to </w:t>
      </w:r>
      <w:r w:rsidR="00743A6F" w:rsidRPr="0073355D">
        <w:t>do all things necessary or convenient in the performance of its functions and powers</w:t>
      </w:r>
      <w:r w:rsidR="00743A6F">
        <w:t xml:space="preserve">) to </w:t>
      </w:r>
      <w:r>
        <w:t xml:space="preserve">give effect to </w:t>
      </w:r>
      <w:r w:rsidR="00C215C7">
        <w:t xml:space="preserve">the </w:t>
      </w:r>
      <w:r w:rsidR="007D01E2">
        <w:t>D</w:t>
      </w:r>
      <w:r w:rsidR="00743A6F">
        <w:t xml:space="preserve">irection. </w:t>
      </w:r>
    </w:p>
    <w:p w14:paraId="1A5CE000" w14:textId="77777777" w:rsidR="00743A6F" w:rsidRDefault="00743A6F" w:rsidP="00DB5537">
      <w:pPr>
        <w:autoSpaceDE w:val="0"/>
        <w:autoSpaceDN w:val="0"/>
      </w:pPr>
    </w:p>
    <w:sectPr w:rsidR="00743A6F" w:rsidSect="0013385E">
      <w:headerReference w:type="default" r:id="rId11"/>
      <w:footerReference w:type="default" r:id="rId1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FBC951" w16cid:durableId="2202305E"/>
  <w16cid:commentId w16cid:paraId="26DF7648" w16cid:durableId="21FA38A6"/>
  <w16cid:commentId w16cid:paraId="3F2243AC" w16cid:durableId="21FA394B"/>
  <w16cid:commentId w16cid:paraId="36FB75D6" w16cid:durableId="21FE7D7B"/>
  <w16cid:commentId w16cid:paraId="31A42DB3" w16cid:durableId="21FE7DE7"/>
  <w16cid:commentId w16cid:paraId="181C8692" w16cid:durableId="220231B8"/>
  <w16cid:commentId w16cid:paraId="4DC73F92" w16cid:durableId="2202326A"/>
  <w16cid:commentId w16cid:paraId="7269FBAB" w16cid:durableId="21FE7E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AE708" w14:textId="77777777" w:rsidR="00D47A88" w:rsidRDefault="00D47A88" w:rsidP="0050328D">
      <w:pPr>
        <w:spacing w:after="0" w:line="240" w:lineRule="auto"/>
      </w:pPr>
      <w:r>
        <w:separator/>
      </w:r>
    </w:p>
  </w:endnote>
  <w:endnote w:type="continuationSeparator" w:id="0">
    <w:p w14:paraId="603D9B2D" w14:textId="77777777" w:rsidR="00D47A88" w:rsidRDefault="00D47A88" w:rsidP="0050328D">
      <w:pPr>
        <w:spacing w:after="0" w:line="240" w:lineRule="auto"/>
      </w:pPr>
      <w:r>
        <w:continuationSeparator/>
      </w:r>
    </w:p>
  </w:endnote>
  <w:endnote w:type="continuationNotice" w:id="1">
    <w:p w14:paraId="0A1FD328" w14:textId="77777777" w:rsidR="00D47A88" w:rsidRDefault="00D47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4364"/>
      <w:docPartObj>
        <w:docPartGallery w:val="Page Numbers (Bottom of Page)"/>
        <w:docPartUnique/>
      </w:docPartObj>
    </w:sdtPr>
    <w:sdtEndPr/>
    <w:sdtContent>
      <w:p w14:paraId="63AF8C3E" w14:textId="3A99D327" w:rsidR="00D14E6C" w:rsidRDefault="00D14E6C">
        <w:pPr>
          <w:pStyle w:val="Footer"/>
          <w:jc w:val="center"/>
        </w:pPr>
        <w:r>
          <w:rPr>
            <w:noProof/>
          </w:rPr>
          <w:fldChar w:fldCharType="begin"/>
        </w:r>
        <w:r>
          <w:rPr>
            <w:noProof/>
          </w:rPr>
          <w:instrText xml:space="preserve"> PAGE   \* MERGEFORMAT </w:instrText>
        </w:r>
        <w:r>
          <w:rPr>
            <w:noProof/>
          </w:rPr>
          <w:fldChar w:fldCharType="separate"/>
        </w:r>
        <w:r w:rsidR="00B125EC">
          <w:rPr>
            <w:noProof/>
          </w:rPr>
          <w:t>1</w:t>
        </w:r>
        <w:r>
          <w:rPr>
            <w:noProof/>
          </w:rPr>
          <w:fldChar w:fldCharType="end"/>
        </w:r>
      </w:p>
    </w:sdtContent>
  </w:sdt>
  <w:p w14:paraId="60A41B09" w14:textId="77777777" w:rsidR="00D14E6C" w:rsidRDefault="00D14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2C8BF" w14:textId="77777777" w:rsidR="00D47A88" w:rsidRDefault="00D47A88" w:rsidP="0050328D">
      <w:pPr>
        <w:spacing w:after="0" w:line="240" w:lineRule="auto"/>
      </w:pPr>
      <w:r>
        <w:separator/>
      </w:r>
    </w:p>
  </w:footnote>
  <w:footnote w:type="continuationSeparator" w:id="0">
    <w:p w14:paraId="09CFCE61" w14:textId="77777777" w:rsidR="00D47A88" w:rsidRDefault="00D47A88" w:rsidP="0050328D">
      <w:pPr>
        <w:spacing w:after="0" w:line="240" w:lineRule="auto"/>
      </w:pPr>
      <w:r>
        <w:continuationSeparator/>
      </w:r>
    </w:p>
  </w:footnote>
  <w:footnote w:type="continuationNotice" w:id="1">
    <w:p w14:paraId="4FA40E9E" w14:textId="77777777" w:rsidR="00D47A88" w:rsidRDefault="00D47A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0BA71" w14:textId="2A932F23" w:rsidR="00D14E6C" w:rsidRPr="00C23096" w:rsidRDefault="00D14E6C" w:rsidP="00C23096">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A84"/>
    <w:multiLevelType w:val="hybridMultilevel"/>
    <w:tmpl w:val="466021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24130CD"/>
    <w:multiLevelType w:val="hybridMultilevel"/>
    <w:tmpl w:val="BC546DCC"/>
    <w:lvl w:ilvl="0" w:tplc="856AA3D0">
      <w:start w:val="1"/>
      <w:numFmt w:val="bullet"/>
      <w:lvlText w:val="-"/>
      <w:lvlJc w:val="left"/>
      <w:pPr>
        <w:ind w:left="360" w:hanging="360"/>
      </w:pPr>
      <w:rPr>
        <w:rFonts w:ascii="Times New Roman" w:hAnsi="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FB484E"/>
    <w:multiLevelType w:val="hybridMultilevel"/>
    <w:tmpl w:val="9754E004"/>
    <w:lvl w:ilvl="0" w:tplc="524A4836">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DA01FC"/>
    <w:multiLevelType w:val="hybridMultilevel"/>
    <w:tmpl w:val="AD948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F804A5"/>
    <w:multiLevelType w:val="hybridMultilevel"/>
    <w:tmpl w:val="708652B2"/>
    <w:lvl w:ilvl="0" w:tplc="DCD2E0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9A5A5B"/>
    <w:multiLevelType w:val="hybridMultilevel"/>
    <w:tmpl w:val="4884648C"/>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797EEA"/>
    <w:multiLevelType w:val="hybridMultilevel"/>
    <w:tmpl w:val="F9AA8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49720C"/>
    <w:multiLevelType w:val="hybridMultilevel"/>
    <w:tmpl w:val="0ECC0A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45C5E77"/>
    <w:multiLevelType w:val="hybridMultilevel"/>
    <w:tmpl w:val="7310B3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8E588A"/>
    <w:multiLevelType w:val="hybridMultilevel"/>
    <w:tmpl w:val="C9DECB6E"/>
    <w:lvl w:ilvl="0" w:tplc="39B2BCA6">
      <w:start w:val="9"/>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B64072"/>
    <w:multiLevelType w:val="hybridMultilevel"/>
    <w:tmpl w:val="51128F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966C04"/>
    <w:multiLevelType w:val="hybridMultilevel"/>
    <w:tmpl w:val="3508DC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146AFD"/>
    <w:multiLevelType w:val="hybridMultilevel"/>
    <w:tmpl w:val="F8487E0E"/>
    <w:lvl w:ilvl="0" w:tplc="322AE4A4">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AA6AC4"/>
    <w:multiLevelType w:val="hybridMultilevel"/>
    <w:tmpl w:val="3B7EE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8030F73"/>
    <w:multiLevelType w:val="hybridMultilevel"/>
    <w:tmpl w:val="CA141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C75089"/>
    <w:multiLevelType w:val="hybridMultilevel"/>
    <w:tmpl w:val="5B1A8B5E"/>
    <w:lvl w:ilvl="0" w:tplc="E120483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0925FF"/>
    <w:multiLevelType w:val="hybridMultilevel"/>
    <w:tmpl w:val="74B483D8"/>
    <w:lvl w:ilvl="0" w:tplc="70A253AC">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CF0C72"/>
    <w:multiLevelType w:val="hybridMultilevel"/>
    <w:tmpl w:val="DE54F5A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5FD4BFE"/>
    <w:multiLevelType w:val="hybridMultilevel"/>
    <w:tmpl w:val="A7AC1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D15A14"/>
    <w:multiLevelType w:val="hybridMultilevel"/>
    <w:tmpl w:val="F0DE3E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
  </w:num>
  <w:num w:numId="3">
    <w:abstractNumId w:val="7"/>
  </w:num>
  <w:num w:numId="4">
    <w:abstractNumId w:val="4"/>
  </w:num>
  <w:num w:numId="5">
    <w:abstractNumId w:val="8"/>
  </w:num>
  <w:num w:numId="6">
    <w:abstractNumId w:val="17"/>
  </w:num>
  <w:num w:numId="7">
    <w:abstractNumId w:val="14"/>
  </w:num>
  <w:num w:numId="8">
    <w:abstractNumId w:val="11"/>
  </w:num>
  <w:num w:numId="9">
    <w:abstractNumId w:val="1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10"/>
  </w:num>
  <w:num w:numId="15">
    <w:abstractNumId w:val="18"/>
  </w:num>
  <w:num w:numId="16">
    <w:abstractNumId w:val="6"/>
  </w:num>
  <w:num w:numId="17">
    <w:abstractNumId w:val="9"/>
  </w:num>
  <w:num w:numId="18">
    <w:abstractNumId w:val="19"/>
  </w:num>
  <w:num w:numId="19">
    <w:abstractNumId w:val="16"/>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54"/>
    <w:rsid w:val="000017FB"/>
    <w:rsid w:val="00001B18"/>
    <w:rsid w:val="00002C15"/>
    <w:rsid w:val="00011D61"/>
    <w:rsid w:val="00012B89"/>
    <w:rsid w:val="0001580A"/>
    <w:rsid w:val="00021A3E"/>
    <w:rsid w:val="00026408"/>
    <w:rsid w:val="000341D9"/>
    <w:rsid w:val="000367C9"/>
    <w:rsid w:val="00042C12"/>
    <w:rsid w:val="00043EF5"/>
    <w:rsid w:val="000443D7"/>
    <w:rsid w:val="0004581C"/>
    <w:rsid w:val="00047CEE"/>
    <w:rsid w:val="00053EA1"/>
    <w:rsid w:val="00055DD6"/>
    <w:rsid w:val="00056B10"/>
    <w:rsid w:val="00083204"/>
    <w:rsid w:val="0008409B"/>
    <w:rsid w:val="00085B87"/>
    <w:rsid w:val="000904F8"/>
    <w:rsid w:val="0009186D"/>
    <w:rsid w:val="00094B24"/>
    <w:rsid w:val="00096CFE"/>
    <w:rsid w:val="00097EA2"/>
    <w:rsid w:val="000A3449"/>
    <w:rsid w:val="000A6DE1"/>
    <w:rsid w:val="000B2231"/>
    <w:rsid w:val="000C328E"/>
    <w:rsid w:val="000D118A"/>
    <w:rsid w:val="000D11CF"/>
    <w:rsid w:val="000D2A8B"/>
    <w:rsid w:val="000D4560"/>
    <w:rsid w:val="000F5899"/>
    <w:rsid w:val="00100E5A"/>
    <w:rsid w:val="00101822"/>
    <w:rsid w:val="00102C93"/>
    <w:rsid w:val="00110AD3"/>
    <w:rsid w:val="00112E95"/>
    <w:rsid w:val="00120F63"/>
    <w:rsid w:val="0012189A"/>
    <w:rsid w:val="00125DBB"/>
    <w:rsid w:val="0013385E"/>
    <w:rsid w:val="001409D6"/>
    <w:rsid w:val="001416F3"/>
    <w:rsid w:val="00141703"/>
    <w:rsid w:val="00142CC0"/>
    <w:rsid w:val="001527E5"/>
    <w:rsid w:val="00162F2D"/>
    <w:rsid w:val="00163667"/>
    <w:rsid w:val="001727A9"/>
    <w:rsid w:val="00173D7F"/>
    <w:rsid w:val="00186585"/>
    <w:rsid w:val="001938A2"/>
    <w:rsid w:val="00197DC0"/>
    <w:rsid w:val="001A6DDF"/>
    <w:rsid w:val="001A79F0"/>
    <w:rsid w:val="001A7A79"/>
    <w:rsid w:val="001B2B92"/>
    <w:rsid w:val="001B55C5"/>
    <w:rsid w:val="001B7744"/>
    <w:rsid w:val="001B7E6B"/>
    <w:rsid w:val="001C00B5"/>
    <w:rsid w:val="001C50BE"/>
    <w:rsid w:val="001C53DB"/>
    <w:rsid w:val="001C6187"/>
    <w:rsid w:val="001C6B0C"/>
    <w:rsid w:val="001D0673"/>
    <w:rsid w:val="001D7CAE"/>
    <w:rsid w:val="001E4ECA"/>
    <w:rsid w:val="00201325"/>
    <w:rsid w:val="00201AF9"/>
    <w:rsid w:val="0020331A"/>
    <w:rsid w:val="00216C91"/>
    <w:rsid w:val="00220CAF"/>
    <w:rsid w:val="0022213A"/>
    <w:rsid w:val="002224BF"/>
    <w:rsid w:val="00233BF9"/>
    <w:rsid w:val="002370B8"/>
    <w:rsid w:val="00240306"/>
    <w:rsid w:val="00240883"/>
    <w:rsid w:val="0024477D"/>
    <w:rsid w:val="002448E4"/>
    <w:rsid w:val="00246FA3"/>
    <w:rsid w:val="00247C5A"/>
    <w:rsid w:val="0025191F"/>
    <w:rsid w:val="00253EBA"/>
    <w:rsid w:val="00254768"/>
    <w:rsid w:val="00264156"/>
    <w:rsid w:val="00271417"/>
    <w:rsid w:val="00271D43"/>
    <w:rsid w:val="00272ED7"/>
    <w:rsid w:val="00273D3F"/>
    <w:rsid w:val="00275B38"/>
    <w:rsid w:val="00290252"/>
    <w:rsid w:val="002949DE"/>
    <w:rsid w:val="00295122"/>
    <w:rsid w:val="002A5572"/>
    <w:rsid w:val="002C418A"/>
    <w:rsid w:val="002C4C4B"/>
    <w:rsid w:val="002D4497"/>
    <w:rsid w:val="002E3185"/>
    <w:rsid w:val="002E559E"/>
    <w:rsid w:val="002E560A"/>
    <w:rsid w:val="002E5C43"/>
    <w:rsid w:val="002E7E2B"/>
    <w:rsid w:val="002F1911"/>
    <w:rsid w:val="002F551D"/>
    <w:rsid w:val="002F6B4D"/>
    <w:rsid w:val="00300376"/>
    <w:rsid w:val="0030063A"/>
    <w:rsid w:val="00303BF8"/>
    <w:rsid w:val="0031001F"/>
    <w:rsid w:val="0031096D"/>
    <w:rsid w:val="003114DA"/>
    <w:rsid w:val="00313559"/>
    <w:rsid w:val="003209DC"/>
    <w:rsid w:val="00322A6B"/>
    <w:rsid w:val="00322D93"/>
    <w:rsid w:val="00323C63"/>
    <w:rsid w:val="003274E8"/>
    <w:rsid w:val="003314A0"/>
    <w:rsid w:val="00332A6F"/>
    <w:rsid w:val="00333B98"/>
    <w:rsid w:val="003346E8"/>
    <w:rsid w:val="00343233"/>
    <w:rsid w:val="00343A41"/>
    <w:rsid w:val="003445C0"/>
    <w:rsid w:val="003521CC"/>
    <w:rsid w:val="003550B9"/>
    <w:rsid w:val="0035766F"/>
    <w:rsid w:val="0036067A"/>
    <w:rsid w:val="00360A5F"/>
    <w:rsid w:val="00371BC1"/>
    <w:rsid w:val="00372DA3"/>
    <w:rsid w:val="00374B42"/>
    <w:rsid w:val="003A379A"/>
    <w:rsid w:val="003B1ADC"/>
    <w:rsid w:val="003B3AE9"/>
    <w:rsid w:val="003C215A"/>
    <w:rsid w:val="003C2E6E"/>
    <w:rsid w:val="003C5E40"/>
    <w:rsid w:val="003D2322"/>
    <w:rsid w:val="003E15EB"/>
    <w:rsid w:val="003F063C"/>
    <w:rsid w:val="004002FF"/>
    <w:rsid w:val="00400417"/>
    <w:rsid w:val="00400A75"/>
    <w:rsid w:val="00405FFB"/>
    <w:rsid w:val="0040625C"/>
    <w:rsid w:val="004071D8"/>
    <w:rsid w:val="0042625E"/>
    <w:rsid w:val="004312A6"/>
    <w:rsid w:val="00437A0E"/>
    <w:rsid w:val="00437CBD"/>
    <w:rsid w:val="00437F7B"/>
    <w:rsid w:val="0044127B"/>
    <w:rsid w:val="004567F3"/>
    <w:rsid w:val="0046628D"/>
    <w:rsid w:val="004709B6"/>
    <w:rsid w:val="004714A8"/>
    <w:rsid w:val="00480358"/>
    <w:rsid w:val="0048640D"/>
    <w:rsid w:val="00491838"/>
    <w:rsid w:val="004A485C"/>
    <w:rsid w:val="004B55C3"/>
    <w:rsid w:val="004C0AC1"/>
    <w:rsid w:val="004C56ED"/>
    <w:rsid w:val="004D07D9"/>
    <w:rsid w:val="004D43D9"/>
    <w:rsid w:val="004D5236"/>
    <w:rsid w:val="004D5A7F"/>
    <w:rsid w:val="004E13B7"/>
    <w:rsid w:val="004E4B0E"/>
    <w:rsid w:val="004F0558"/>
    <w:rsid w:val="004F0D50"/>
    <w:rsid w:val="004F23A0"/>
    <w:rsid w:val="004F3893"/>
    <w:rsid w:val="004F5597"/>
    <w:rsid w:val="0050328D"/>
    <w:rsid w:val="00504C96"/>
    <w:rsid w:val="00505A00"/>
    <w:rsid w:val="00511007"/>
    <w:rsid w:val="0051148E"/>
    <w:rsid w:val="00516952"/>
    <w:rsid w:val="005235B4"/>
    <w:rsid w:val="00525417"/>
    <w:rsid w:val="0053051A"/>
    <w:rsid w:val="00540E4A"/>
    <w:rsid w:val="00544E14"/>
    <w:rsid w:val="00551D2B"/>
    <w:rsid w:val="00552878"/>
    <w:rsid w:val="00555C07"/>
    <w:rsid w:val="005737D9"/>
    <w:rsid w:val="005767FE"/>
    <w:rsid w:val="005803B6"/>
    <w:rsid w:val="005824BE"/>
    <w:rsid w:val="005A07A5"/>
    <w:rsid w:val="005A2FE3"/>
    <w:rsid w:val="005A5B8C"/>
    <w:rsid w:val="005A7C9D"/>
    <w:rsid w:val="005B18E5"/>
    <w:rsid w:val="005B64E7"/>
    <w:rsid w:val="005B6FE1"/>
    <w:rsid w:val="005C434F"/>
    <w:rsid w:val="005D5C90"/>
    <w:rsid w:val="005D7055"/>
    <w:rsid w:val="005F3D49"/>
    <w:rsid w:val="00601198"/>
    <w:rsid w:val="00610A82"/>
    <w:rsid w:val="00610F60"/>
    <w:rsid w:val="006112B2"/>
    <w:rsid w:val="00615525"/>
    <w:rsid w:val="00616F2F"/>
    <w:rsid w:val="00620C5A"/>
    <w:rsid w:val="00621EFD"/>
    <w:rsid w:val="00626ED0"/>
    <w:rsid w:val="006358CF"/>
    <w:rsid w:val="00637134"/>
    <w:rsid w:val="0064414C"/>
    <w:rsid w:val="00645911"/>
    <w:rsid w:val="0064650E"/>
    <w:rsid w:val="006503F7"/>
    <w:rsid w:val="006524B5"/>
    <w:rsid w:val="00653A3B"/>
    <w:rsid w:val="00656296"/>
    <w:rsid w:val="006571A6"/>
    <w:rsid w:val="00660538"/>
    <w:rsid w:val="006662D6"/>
    <w:rsid w:val="00681ECF"/>
    <w:rsid w:val="00682644"/>
    <w:rsid w:val="006831FE"/>
    <w:rsid w:val="00693359"/>
    <w:rsid w:val="00693DDF"/>
    <w:rsid w:val="006A1D46"/>
    <w:rsid w:val="006B479E"/>
    <w:rsid w:val="006B6BAC"/>
    <w:rsid w:val="006B6F8D"/>
    <w:rsid w:val="006C2139"/>
    <w:rsid w:val="006C3ED1"/>
    <w:rsid w:val="006C4E45"/>
    <w:rsid w:val="006D1096"/>
    <w:rsid w:val="006D1B79"/>
    <w:rsid w:val="006D2C78"/>
    <w:rsid w:val="006D3781"/>
    <w:rsid w:val="006D3B16"/>
    <w:rsid w:val="006D6AA9"/>
    <w:rsid w:val="006E61CD"/>
    <w:rsid w:val="006E6442"/>
    <w:rsid w:val="006F1454"/>
    <w:rsid w:val="006F3646"/>
    <w:rsid w:val="006F375D"/>
    <w:rsid w:val="006F37CC"/>
    <w:rsid w:val="006F3DD8"/>
    <w:rsid w:val="006F57F4"/>
    <w:rsid w:val="006F719C"/>
    <w:rsid w:val="007015B1"/>
    <w:rsid w:val="00703A1A"/>
    <w:rsid w:val="00704A13"/>
    <w:rsid w:val="00705B7C"/>
    <w:rsid w:val="00706075"/>
    <w:rsid w:val="007117E8"/>
    <w:rsid w:val="00716F3A"/>
    <w:rsid w:val="00720DD3"/>
    <w:rsid w:val="00724802"/>
    <w:rsid w:val="0072533B"/>
    <w:rsid w:val="00727384"/>
    <w:rsid w:val="0073355D"/>
    <w:rsid w:val="00735B9A"/>
    <w:rsid w:val="00743A6F"/>
    <w:rsid w:val="007476B9"/>
    <w:rsid w:val="007510AE"/>
    <w:rsid w:val="00751FD3"/>
    <w:rsid w:val="0075292F"/>
    <w:rsid w:val="007537A9"/>
    <w:rsid w:val="007565EC"/>
    <w:rsid w:val="00767C84"/>
    <w:rsid w:val="007716C7"/>
    <w:rsid w:val="00772880"/>
    <w:rsid w:val="00774B7D"/>
    <w:rsid w:val="00784822"/>
    <w:rsid w:val="00787983"/>
    <w:rsid w:val="007910E5"/>
    <w:rsid w:val="00797BC9"/>
    <w:rsid w:val="007A01DE"/>
    <w:rsid w:val="007B046D"/>
    <w:rsid w:val="007B2AA3"/>
    <w:rsid w:val="007B35DA"/>
    <w:rsid w:val="007C2D61"/>
    <w:rsid w:val="007C5A6C"/>
    <w:rsid w:val="007C61FB"/>
    <w:rsid w:val="007D01E2"/>
    <w:rsid w:val="007D6307"/>
    <w:rsid w:val="007D785B"/>
    <w:rsid w:val="007F263B"/>
    <w:rsid w:val="007F4277"/>
    <w:rsid w:val="007F4BEA"/>
    <w:rsid w:val="007F69BB"/>
    <w:rsid w:val="007F6EEF"/>
    <w:rsid w:val="008014DB"/>
    <w:rsid w:val="00810ED6"/>
    <w:rsid w:val="00821D9D"/>
    <w:rsid w:val="00825F1E"/>
    <w:rsid w:val="00830C41"/>
    <w:rsid w:val="0084010E"/>
    <w:rsid w:val="00852833"/>
    <w:rsid w:val="0087094F"/>
    <w:rsid w:val="00877A38"/>
    <w:rsid w:val="008B682B"/>
    <w:rsid w:val="008B6B5A"/>
    <w:rsid w:val="008C1013"/>
    <w:rsid w:val="008C1FBF"/>
    <w:rsid w:val="008C5EF1"/>
    <w:rsid w:val="008C7EAE"/>
    <w:rsid w:val="008D0531"/>
    <w:rsid w:val="008D7AE8"/>
    <w:rsid w:val="008E24FE"/>
    <w:rsid w:val="008E67AD"/>
    <w:rsid w:val="008F0DB1"/>
    <w:rsid w:val="008F480A"/>
    <w:rsid w:val="009003C1"/>
    <w:rsid w:val="009029EE"/>
    <w:rsid w:val="00902D20"/>
    <w:rsid w:val="009033C5"/>
    <w:rsid w:val="00915365"/>
    <w:rsid w:val="00915626"/>
    <w:rsid w:val="009156E7"/>
    <w:rsid w:val="00915C9B"/>
    <w:rsid w:val="00915E1D"/>
    <w:rsid w:val="0092045F"/>
    <w:rsid w:val="009249C6"/>
    <w:rsid w:val="00932B44"/>
    <w:rsid w:val="00936955"/>
    <w:rsid w:val="00936F30"/>
    <w:rsid w:val="00941516"/>
    <w:rsid w:val="00950683"/>
    <w:rsid w:val="00952A67"/>
    <w:rsid w:val="009566AE"/>
    <w:rsid w:val="00962070"/>
    <w:rsid w:val="00975E79"/>
    <w:rsid w:val="009770B5"/>
    <w:rsid w:val="009846C6"/>
    <w:rsid w:val="00984B39"/>
    <w:rsid w:val="009962D5"/>
    <w:rsid w:val="00996FD1"/>
    <w:rsid w:val="009973E1"/>
    <w:rsid w:val="00997637"/>
    <w:rsid w:val="009A07CE"/>
    <w:rsid w:val="009A13B2"/>
    <w:rsid w:val="009A25FC"/>
    <w:rsid w:val="009A3A77"/>
    <w:rsid w:val="009B26EC"/>
    <w:rsid w:val="009B46CB"/>
    <w:rsid w:val="009B4A50"/>
    <w:rsid w:val="009B6D67"/>
    <w:rsid w:val="009B77F2"/>
    <w:rsid w:val="009C32DF"/>
    <w:rsid w:val="009C48FD"/>
    <w:rsid w:val="009D227E"/>
    <w:rsid w:val="009D3426"/>
    <w:rsid w:val="009D3AE7"/>
    <w:rsid w:val="009E343C"/>
    <w:rsid w:val="009E5E91"/>
    <w:rsid w:val="009E73A5"/>
    <w:rsid w:val="009F227C"/>
    <w:rsid w:val="009F4C6A"/>
    <w:rsid w:val="009F54CB"/>
    <w:rsid w:val="009F6A7E"/>
    <w:rsid w:val="009F7B41"/>
    <w:rsid w:val="00A04B57"/>
    <w:rsid w:val="00A057B1"/>
    <w:rsid w:val="00A1397A"/>
    <w:rsid w:val="00A14E6F"/>
    <w:rsid w:val="00A154CA"/>
    <w:rsid w:val="00A17137"/>
    <w:rsid w:val="00A2319B"/>
    <w:rsid w:val="00A25CD5"/>
    <w:rsid w:val="00A311BC"/>
    <w:rsid w:val="00A37ABC"/>
    <w:rsid w:val="00A41518"/>
    <w:rsid w:val="00A445A3"/>
    <w:rsid w:val="00A52C81"/>
    <w:rsid w:val="00A53EE4"/>
    <w:rsid w:val="00A5589C"/>
    <w:rsid w:val="00A66261"/>
    <w:rsid w:val="00A67A34"/>
    <w:rsid w:val="00A72E4A"/>
    <w:rsid w:val="00A75994"/>
    <w:rsid w:val="00A827CE"/>
    <w:rsid w:val="00A82EE5"/>
    <w:rsid w:val="00A84DE8"/>
    <w:rsid w:val="00A85BAD"/>
    <w:rsid w:val="00A95655"/>
    <w:rsid w:val="00AA2CE6"/>
    <w:rsid w:val="00AB2146"/>
    <w:rsid w:val="00AB3415"/>
    <w:rsid w:val="00AB3801"/>
    <w:rsid w:val="00AB39E9"/>
    <w:rsid w:val="00AC2C77"/>
    <w:rsid w:val="00AC6C33"/>
    <w:rsid w:val="00AD2B0A"/>
    <w:rsid w:val="00AD52B2"/>
    <w:rsid w:val="00AD5476"/>
    <w:rsid w:val="00AE0DA2"/>
    <w:rsid w:val="00AE2D33"/>
    <w:rsid w:val="00AE6CF7"/>
    <w:rsid w:val="00AE7354"/>
    <w:rsid w:val="00AE7C5E"/>
    <w:rsid w:val="00AF3AE9"/>
    <w:rsid w:val="00AF58C6"/>
    <w:rsid w:val="00B032D5"/>
    <w:rsid w:val="00B039DF"/>
    <w:rsid w:val="00B125EC"/>
    <w:rsid w:val="00B23256"/>
    <w:rsid w:val="00B2332D"/>
    <w:rsid w:val="00B304EE"/>
    <w:rsid w:val="00B40202"/>
    <w:rsid w:val="00B41B1A"/>
    <w:rsid w:val="00B45CBE"/>
    <w:rsid w:val="00B47591"/>
    <w:rsid w:val="00B50B63"/>
    <w:rsid w:val="00B54085"/>
    <w:rsid w:val="00B547BF"/>
    <w:rsid w:val="00B554E6"/>
    <w:rsid w:val="00B56C9C"/>
    <w:rsid w:val="00B75150"/>
    <w:rsid w:val="00B77821"/>
    <w:rsid w:val="00B80743"/>
    <w:rsid w:val="00B84964"/>
    <w:rsid w:val="00B867C6"/>
    <w:rsid w:val="00B8728E"/>
    <w:rsid w:val="00B8775D"/>
    <w:rsid w:val="00B97F80"/>
    <w:rsid w:val="00BA1230"/>
    <w:rsid w:val="00BA2ED4"/>
    <w:rsid w:val="00BA424D"/>
    <w:rsid w:val="00BA64EF"/>
    <w:rsid w:val="00BA71F0"/>
    <w:rsid w:val="00BB29BA"/>
    <w:rsid w:val="00BB3258"/>
    <w:rsid w:val="00BB51F1"/>
    <w:rsid w:val="00BB7D1A"/>
    <w:rsid w:val="00BC2772"/>
    <w:rsid w:val="00BD36FD"/>
    <w:rsid w:val="00BD7FB4"/>
    <w:rsid w:val="00BE0B2C"/>
    <w:rsid w:val="00BE395C"/>
    <w:rsid w:val="00BF0A2C"/>
    <w:rsid w:val="00BF65FA"/>
    <w:rsid w:val="00BF6F02"/>
    <w:rsid w:val="00BF7A11"/>
    <w:rsid w:val="00C005AB"/>
    <w:rsid w:val="00C12E56"/>
    <w:rsid w:val="00C20916"/>
    <w:rsid w:val="00C215C7"/>
    <w:rsid w:val="00C21752"/>
    <w:rsid w:val="00C23096"/>
    <w:rsid w:val="00C248A1"/>
    <w:rsid w:val="00C248E6"/>
    <w:rsid w:val="00C25339"/>
    <w:rsid w:val="00C2658C"/>
    <w:rsid w:val="00C3297A"/>
    <w:rsid w:val="00C338EE"/>
    <w:rsid w:val="00C33DA1"/>
    <w:rsid w:val="00C34DFB"/>
    <w:rsid w:val="00C41EC5"/>
    <w:rsid w:val="00C440E1"/>
    <w:rsid w:val="00C5159C"/>
    <w:rsid w:val="00C54CE2"/>
    <w:rsid w:val="00C57191"/>
    <w:rsid w:val="00C605F2"/>
    <w:rsid w:val="00C61F01"/>
    <w:rsid w:val="00C674D9"/>
    <w:rsid w:val="00C67DE8"/>
    <w:rsid w:val="00C721DF"/>
    <w:rsid w:val="00C7398B"/>
    <w:rsid w:val="00C7694C"/>
    <w:rsid w:val="00C813DF"/>
    <w:rsid w:val="00C81B8E"/>
    <w:rsid w:val="00C871E1"/>
    <w:rsid w:val="00C92218"/>
    <w:rsid w:val="00C94B2B"/>
    <w:rsid w:val="00CA0CFB"/>
    <w:rsid w:val="00CA21D4"/>
    <w:rsid w:val="00CB3549"/>
    <w:rsid w:val="00CB40B9"/>
    <w:rsid w:val="00CB48D3"/>
    <w:rsid w:val="00CB53FF"/>
    <w:rsid w:val="00CB5D40"/>
    <w:rsid w:val="00CC4823"/>
    <w:rsid w:val="00CC50D8"/>
    <w:rsid w:val="00CC599E"/>
    <w:rsid w:val="00CC5A01"/>
    <w:rsid w:val="00CD2208"/>
    <w:rsid w:val="00CD493C"/>
    <w:rsid w:val="00CD58CA"/>
    <w:rsid w:val="00CD7C5E"/>
    <w:rsid w:val="00CE3E04"/>
    <w:rsid w:val="00D02C62"/>
    <w:rsid w:val="00D04E9B"/>
    <w:rsid w:val="00D05C52"/>
    <w:rsid w:val="00D10897"/>
    <w:rsid w:val="00D13F1B"/>
    <w:rsid w:val="00D1460C"/>
    <w:rsid w:val="00D14E6C"/>
    <w:rsid w:val="00D157BB"/>
    <w:rsid w:val="00D15DEE"/>
    <w:rsid w:val="00D16BC9"/>
    <w:rsid w:val="00D201F8"/>
    <w:rsid w:val="00D245EE"/>
    <w:rsid w:val="00D27E31"/>
    <w:rsid w:val="00D346A3"/>
    <w:rsid w:val="00D37AE0"/>
    <w:rsid w:val="00D427F9"/>
    <w:rsid w:val="00D47A88"/>
    <w:rsid w:val="00D5108B"/>
    <w:rsid w:val="00D518B0"/>
    <w:rsid w:val="00D53DEB"/>
    <w:rsid w:val="00D5639F"/>
    <w:rsid w:val="00D567B4"/>
    <w:rsid w:val="00D62998"/>
    <w:rsid w:val="00D65A19"/>
    <w:rsid w:val="00D777CC"/>
    <w:rsid w:val="00D83C32"/>
    <w:rsid w:val="00D84491"/>
    <w:rsid w:val="00D87D8A"/>
    <w:rsid w:val="00DA2444"/>
    <w:rsid w:val="00DA4E95"/>
    <w:rsid w:val="00DA645D"/>
    <w:rsid w:val="00DA6E88"/>
    <w:rsid w:val="00DB3A4F"/>
    <w:rsid w:val="00DB3AEB"/>
    <w:rsid w:val="00DB5537"/>
    <w:rsid w:val="00DB79C4"/>
    <w:rsid w:val="00DC0DDE"/>
    <w:rsid w:val="00DC3627"/>
    <w:rsid w:val="00DC4002"/>
    <w:rsid w:val="00DC405F"/>
    <w:rsid w:val="00DD2FC2"/>
    <w:rsid w:val="00DD3F1B"/>
    <w:rsid w:val="00DD67FF"/>
    <w:rsid w:val="00DE27D6"/>
    <w:rsid w:val="00DE642E"/>
    <w:rsid w:val="00E038D3"/>
    <w:rsid w:val="00E05235"/>
    <w:rsid w:val="00E053F8"/>
    <w:rsid w:val="00E1380F"/>
    <w:rsid w:val="00E22DBC"/>
    <w:rsid w:val="00E27A2D"/>
    <w:rsid w:val="00E310F3"/>
    <w:rsid w:val="00E314A4"/>
    <w:rsid w:val="00E32012"/>
    <w:rsid w:val="00E3644D"/>
    <w:rsid w:val="00E43053"/>
    <w:rsid w:val="00E4771B"/>
    <w:rsid w:val="00E50C6D"/>
    <w:rsid w:val="00E56C39"/>
    <w:rsid w:val="00E6061D"/>
    <w:rsid w:val="00E60CA1"/>
    <w:rsid w:val="00E64EBB"/>
    <w:rsid w:val="00E67CFF"/>
    <w:rsid w:val="00E823E5"/>
    <w:rsid w:val="00E856A2"/>
    <w:rsid w:val="00E9232C"/>
    <w:rsid w:val="00E927B3"/>
    <w:rsid w:val="00E92AED"/>
    <w:rsid w:val="00E960DE"/>
    <w:rsid w:val="00E961BD"/>
    <w:rsid w:val="00EA2CFB"/>
    <w:rsid w:val="00EA52AF"/>
    <w:rsid w:val="00EB301A"/>
    <w:rsid w:val="00EB762E"/>
    <w:rsid w:val="00EC74FC"/>
    <w:rsid w:val="00EC758B"/>
    <w:rsid w:val="00EC76DF"/>
    <w:rsid w:val="00EC7EB8"/>
    <w:rsid w:val="00ED3430"/>
    <w:rsid w:val="00ED5B6E"/>
    <w:rsid w:val="00ED7454"/>
    <w:rsid w:val="00EE09BA"/>
    <w:rsid w:val="00EE1D49"/>
    <w:rsid w:val="00EF094B"/>
    <w:rsid w:val="00EF1A35"/>
    <w:rsid w:val="00EF7ECF"/>
    <w:rsid w:val="00F00639"/>
    <w:rsid w:val="00F03DB0"/>
    <w:rsid w:val="00F0448F"/>
    <w:rsid w:val="00F05B3D"/>
    <w:rsid w:val="00F10F9E"/>
    <w:rsid w:val="00F112EE"/>
    <w:rsid w:val="00F15697"/>
    <w:rsid w:val="00F17C20"/>
    <w:rsid w:val="00F24F58"/>
    <w:rsid w:val="00F338F5"/>
    <w:rsid w:val="00F35D59"/>
    <w:rsid w:val="00F41EAA"/>
    <w:rsid w:val="00F42762"/>
    <w:rsid w:val="00F438F8"/>
    <w:rsid w:val="00F478F7"/>
    <w:rsid w:val="00F548D7"/>
    <w:rsid w:val="00F54B3E"/>
    <w:rsid w:val="00F54FE0"/>
    <w:rsid w:val="00F60C95"/>
    <w:rsid w:val="00F6159F"/>
    <w:rsid w:val="00F64EFA"/>
    <w:rsid w:val="00F65B5F"/>
    <w:rsid w:val="00F66197"/>
    <w:rsid w:val="00F706E6"/>
    <w:rsid w:val="00F73B0A"/>
    <w:rsid w:val="00F74B09"/>
    <w:rsid w:val="00F770B9"/>
    <w:rsid w:val="00F83F90"/>
    <w:rsid w:val="00F936E7"/>
    <w:rsid w:val="00FA5D8A"/>
    <w:rsid w:val="00FA707E"/>
    <w:rsid w:val="00FC68CA"/>
    <w:rsid w:val="00FD17E6"/>
    <w:rsid w:val="00FD3ED7"/>
    <w:rsid w:val="00FD4476"/>
    <w:rsid w:val="00FD597C"/>
    <w:rsid w:val="00FE00B8"/>
    <w:rsid w:val="00FE4F62"/>
    <w:rsid w:val="00FE56DC"/>
    <w:rsid w:val="00FF0B14"/>
    <w:rsid w:val="00FF0E96"/>
    <w:rsid w:val="00FF233F"/>
    <w:rsid w:val="00FF2DCC"/>
    <w:rsid w:val="00FF717D"/>
    <w:rsid w:val="00FF78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29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85E"/>
  </w:style>
  <w:style w:type="paragraph" w:styleId="Heading2">
    <w:name w:val="heading 2"/>
    <w:basedOn w:val="Normal"/>
    <w:next w:val="Normal"/>
    <w:link w:val="Heading2Char"/>
    <w:uiPriority w:val="9"/>
    <w:unhideWhenUsed/>
    <w:qFormat/>
    <w:rsid w:val="007716C7"/>
    <w:pPr>
      <w:spacing w:before="360" w:after="120" w:line="240" w:lineRule="auto"/>
      <w:jc w:val="center"/>
      <w:outlineLvl w:val="1"/>
    </w:pPr>
    <w:rPr>
      <w:rFonts w:cstheme="minorBidi"/>
      <w:b/>
      <w:sz w:val="28"/>
      <w:szCs w:val="28"/>
    </w:rPr>
  </w:style>
  <w:style w:type="paragraph" w:styleId="Heading3">
    <w:name w:val="heading 3"/>
    <w:basedOn w:val="Normal"/>
    <w:next w:val="Normal"/>
    <w:link w:val="Heading3Char"/>
    <w:uiPriority w:val="9"/>
    <w:unhideWhenUsed/>
    <w:qFormat/>
    <w:rsid w:val="007716C7"/>
    <w:pPr>
      <w:spacing w:before="120" w:after="120" w:line="240" w:lineRule="auto"/>
      <w:jc w:val="both"/>
      <w:outlineLvl w:val="2"/>
    </w:pPr>
    <w:rPr>
      <w:rFonts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AE7354"/>
    <w:pPr>
      <w:autoSpaceDE w:val="0"/>
      <w:autoSpaceDN w:val="0"/>
      <w:spacing w:before="480" w:after="0" w:line="240" w:lineRule="auto"/>
      <w:jc w:val="center"/>
    </w:pPr>
    <w:rPr>
      <w:rFonts w:ascii="Times" w:eastAsia="Times New Roman" w:hAnsi="Times" w:cs="Times"/>
      <w:b/>
      <w:bCs/>
      <w:sz w:val="36"/>
      <w:szCs w:val="36"/>
      <w:lang w:eastAsia="en-AU"/>
    </w:rPr>
  </w:style>
  <w:style w:type="character" w:customStyle="1" w:styleId="TitleChar">
    <w:name w:val="Title Char"/>
    <w:basedOn w:val="DefaultParagraphFont"/>
    <w:link w:val="Title"/>
    <w:uiPriority w:val="99"/>
    <w:rsid w:val="00AE7354"/>
    <w:rPr>
      <w:rFonts w:ascii="Times" w:eastAsia="Times New Roman" w:hAnsi="Times" w:cs="Times"/>
      <w:b/>
      <w:bCs/>
      <w:sz w:val="36"/>
      <w:szCs w:val="36"/>
      <w:lang w:eastAsia="en-AU"/>
    </w:rPr>
  </w:style>
  <w:style w:type="paragraph" w:styleId="NormalWeb">
    <w:name w:val="Normal (Web)"/>
    <w:basedOn w:val="Normal"/>
    <w:uiPriority w:val="99"/>
    <w:semiHidden/>
    <w:unhideWhenUsed/>
    <w:rsid w:val="006F57F4"/>
    <w:pPr>
      <w:spacing w:before="100" w:beforeAutospacing="1" w:after="100" w:afterAutospacing="1" w:line="240" w:lineRule="auto"/>
    </w:pPr>
    <w:rPr>
      <w:rFonts w:eastAsia="Times New Roman"/>
      <w:lang w:eastAsia="en-AU"/>
    </w:rPr>
  </w:style>
  <w:style w:type="paragraph" w:styleId="ListParagraph">
    <w:name w:val="List Paragraph"/>
    <w:aliases w:val="Bullet List,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qFormat/>
    <w:rsid w:val="00162F2D"/>
    <w:pPr>
      <w:ind w:left="720"/>
      <w:contextualSpacing/>
    </w:pPr>
  </w:style>
  <w:style w:type="character" w:customStyle="1" w:styleId="Text-Normal">
    <w:name w:val="Text - Normal"/>
    <w:basedOn w:val="DefaultParagraphFont"/>
    <w:uiPriority w:val="1"/>
    <w:semiHidden/>
    <w:unhideWhenUsed/>
    <w:qFormat/>
    <w:rsid w:val="00220CAF"/>
    <w:rPr>
      <w:color w:val="000000"/>
      <w:sz w:val="24"/>
      <w:szCs w:val="24"/>
    </w:rPr>
  </w:style>
  <w:style w:type="paragraph" w:styleId="BalloonText">
    <w:name w:val="Balloon Text"/>
    <w:basedOn w:val="Normal"/>
    <w:link w:val="BalloonTextChar"/>
    <w:uiPriority w:val="99"/>
    <w:semiHidden/>
    <w:unhideWhenUsed/>
    <w:rsid w:val="00F6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197"/>
    <w:rPr>
      <w:rFonts w:ascii="Tahoma" w:hAnsi="Tahoma" w:cs="Tahoma"/>
      <w:sz w:val="16"/>
      <w:szCs w:val="16"/>
    </w:rPr>
  </w:style>
  <w:style w:type="table" w:styleId="TableGrid">
    <w:name w:val="Table Grid"/>
    <w:basedOn w:val="TableNormal"/>
    <w:uiPriority w:val="59"/>
    <w:rsid w:val="001A79F0"/>
    <w:pPr>
      <w:spacing w:after="0" w:line="240" w:lineRule="auto"/>
    </w:pPr>
    <w:rPr>
      <w:rFonts w:asciiTheme="minorHAnsi" w:eastAsia="Times New Roman" w:hAnsiTheme="minorHAnsi" w:cs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3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28D"/>
  </w:style>
  <w:style w:type="paragraph" w:styleId="Footer">
    <w:name w:val="footer"/>
    <w:basedOn w:val="Normal"/>
    <w:link w:val="FooterChar"/>
    <w:uiPriority w:val="99"/>
    <w:unhideWhenUsed/>
    <w:rsid w:val="005032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28D"/>
  </w:style>
  <w:style w:type="character" w:styleId="CommentReference">
    <w:name w:val="annotation reference"/>
    <w:basedOn w:val="DefaultParagraphFont"/>
    <w:uiPriority w:val="99"/>
    <w:semiHidden/>
    <w:unhideWhenUsed/>
    <w:rsid w:val="00254768"/>
    <w:rPr>
      <w:sz w:val="16"/>
      <w:szCs w:val="16"/>
    </w:rPr>
  </w:style>
  <w:style w:type="paragraph" w:styleId="CommentText">
    <w:name w:val="annotation text"/>
    <w:basedOn w:val="Normal"/>
    <w:link w:val="CommentTextChar"/>
    <w:uiPriority w:val="99"/>
    <w:unhideWhenUsed/>
    <w:rsid w:val="00254768"/>
    <w:pPr>
      <w:spacing w:line="240" w:lineRule="auto"/>
    </w:pPr>
    <w:rPr>
      <w:sz w:val="20"/>
      <w:szCs w:val="20"/>
    </w:rPr>
  </w:style>
  <w:style w:type="character" w:customStyle="1" w:styleId="CommentTextChar">
    <w:name w:val="Comment Text Char"/>
    <w:basedOn w:val="DefaultParagraphFont"/>
    <w:link w:val="CommentText"/>
    <w:uiPriority w:val="99"/>
    <w:rsid w:val="00254768"/>
    <w:rPr>
      <w:sz w:val="20"/>
      <w:szCs w:val="20"/>
    </w:rPr>
  </w:style>
  <w:style w:type="paragraph" w:styleId="CommentSubject">
    <w:name w:val="annotation subject"/>
    <w:basedOn w:val="CommentText"/>
    <w:next w:val="CommentText"/>
    <w:link w:val="CommentSubjectChar"/>
    <w:uiPriority w:val="99"/>
    <w:semiHidden/>
    <w:unhideWhenUsed/>
    <w:rsid w:val="00254768"/>
    <w:rPr>
      <w:b/>
      <w:bCs/>
    </w:rPr>
  </w:style>
  <w:style w:type="character" w:customStyle="1" w:styleId="CommentSubjectChar">
    <w:name w:val="Comment Subject Char"/>
    <w:basedOn w:val="CommentTextChar"/>
    <w:link w:val="CommentSubject"/>
    <w:uiPriority w:val="99"/>
    <w:semiHidden/>
    <w:rsid w:val="00254768"/>
    <w:rPr>
      <w:b/>
      <w:bCs/>
      <w:sz w:val="20"/>
      <w:szCs w:val="20"/>
    </w:rPr>
  </w:style>
  <w:style w:type="character" w:styleId="Emphasis">
    <w:name w:val="Emphasis"/>
    <w:basedOn w:val="DefaultParagraphFont"/>
    <w:uiPriority w:val="20"/>
    <w:qFormat/>
    <w:rsid w:val="0025191F"/>
    <w:rPr>
      <w:i/>
      <w:iCs/>
    </w:rPr>
  </w:style>
  <w:style w:type="character" w:styleId="Hyperlink">
    <w:name w:val="Hyperlink"/>
    <w:basedOn w:val="DefaultParagraphFont"/>
    <w:uiPriority w:val="99"/>
    <w:unhideWhenUsed/>
    <w:rsid w:val="008D0531"/>
    <w:rPr>
      <w:color w:val="0000FF" w:themeColor="hyperlink"/>
      <w:u w:val="single"/>
    </w:r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343233"/>
  </w:style>
  <w:style w:type="paragraph" w:customStyle="1" w:styleId="TableTextform">
    <w:name w:val="TableText form"/>
    <w:basedOn w:val="Normal"/>
    <w:qFormat/>
    <w:rsid w:val="00097EA2"/>
    <w:pPr>
      <w:spacing w:before="40" w:after="240" w:line="240" w:lineRule="auto"/>
    </w:pPr>
    <w:rPr>
      <w:rFonts w:ascii="Arial" w:eastAsiaTheme="majorEastAsia" w:hAnsi="Arial" w:cs="Arial"/>
      <w:bCs/>
      <w:sz w:val="20"/>
      <w:szCs w:val="20"/>
    </w:rPr>
  </w:style>
  <w:style w:type="character" w:customStyle="1" w:styleId="text-normal0">
    <w:name w:val="text-normal"/>
    <w:basedOn w:val="DefaultParagraphFont"/>
    <w:rsid w:val="00D62998"/>
  </w:style>
  <w:style w:type="paragraph" w:styleId="Revision">
    <w:name w:val="Revision"/>
    <w:hidden/>
    <w:uiPriority w:val="99"/>
    <w:semiHidden/>
    <w:rsid w:val="005F3D49"/>
    <w:pPr>
      <w:spacing w:after="0" w:line="240" w:lineRule="auto"/>
    </w:pPr>
  </w:style>
  <w:style w:type="character" w:customStyle="1" w:styleId="Heading2Char">
    <w:name w:val="Heading 2 Char"/>
    <w:basedOn w:val="DefaultParagraphFont"/>
    <w:link w:val="Heading2"/>
    <w:uiPriority w:val="9"/>
    <w:rsid w:val="007716C7"/>
    <w:rPr>
      <w:rFonts w:cstheme="minorBidi"/>
      <w:b/>
      <w:sz w:val="28"/>
      <w:szCs w:val="28"/>
    </w:rPr>
  </w:style>
  <w:style w:type="character" w:customStyle="1" w:styleId="Heading3Char">
    <w:name w:val="Heading 3 Char"/>
    <w:basedOn w:val="DefaultParagraphFont"/>
    <w:link w:val="Heading3"/>
    <w:uiPriority w:val="9"/>
    <w:rsid w:val="007716C7"/>
    <w:rPr>
      <w:rFonts w:cstheme="min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475">
      <w:bodyDiv w:val="1"/>
      <w:marLeft w:val="0"/>
      <w:marRight w:val="0"/>
      <w:marTop w:val="0"/>
      <w:marBottom w:val="0"/>
      <w:divBdr>
        <w:top w:val="none" w:sz="0" w:space="0" w:color="auto"/>
        <w:left w:val="none" w:sz="0" w:space="0" w:color="auto"/>
        <w:bottom w:val="none" w:sz="0" w:space="0" w:color="auto"/>
        <w:right w:val="none" w:sz="0" w:space="0" w:color="auto"/>
      </w:divBdr>
    </w:div>
    <w:div w:id="493499055">
      <w:bodyDiv w:val="1"/>
      <w:marLeft w:val="0"/>
      <w:marRight w:val="0"/>
      <w:marTop w:val="0"/>
      <w:marBottom w:val="0"/>
      <w:divBdr>
        <w:top w:val="none" w:sz="0" w:space="0" w:color="auto"/>
        <w:left w:val="none" w:sz="0" w:space="0" w:color="auto"/>
        <w:bottom w:val="none" w:sz="0" w:space="0" w:color="auto"/>
        <w:right w:val="none" w:sz="0" w:space="0" w:color="auto"/>
      </w:divBdr>
    </w:div>
    <w:div w:id="516310704">
      <w:bodyDiv w:val="1"/>
      <w:marLeft w:val="0"/>
      <w:marRight w:val="0"/>
      <w:marTop w:val="0"/>
      <w:marBottom w:val="0"/>
      <w:divBdr>
        <w:top w:val="none" w:sz="0" w:space="0" w:color="auto"/>
        <w:left w:val="none" w:sz="0" w:space="0" w:color="auto"/>
        <w:bottom w:val="none" w:sz="0" w:space="0" w:color="auto"/>
        <w:right w:val="none" w:sz="0" w:space="0" w:color="auto"/>
      </w:divBdr>
      <w:divsChild>
        <w:div w:id="119692575">
          <w:marLeft w:val="0"/>
          <w:marRight w:val="0"/>
          <w:marTop w:val="0"/>
          <w:marBottom w:val="0"/>
          <w:divBdr>
            <w:top w:val="none" w:sz="0" w:space="0" w:color="auto"/>
            <w:left w:val="none" w:sz="0" w:space="0" w:color="auto"/>
            <w:bottom w:val="none" w:sz="0" w:space="0" w:color="auto"/>
            <w:right w:val="none" w:sz="0" w:space="0" w:color="auto"/>
          </w:divBdr>
          <w:divsChild>
            <w:div w:id="1235972531">
              <w:marLeft w:val="0"/>
              <w:marRight w:val="0"/>
              <w:marTop w:val="0"/>
              <w:marBottom w:val="0"/>
              <w:divBdr>
                <w:top w:val="none" w:sz="0" w:space="0" w:color="auto"/>
                <w:left w:val="none" w:sz="0" w:space="0" w:color="auto"/>
                <w:bottom w:val="none" w:sz="0" w:space="0" w:color="auto"/>
                <w:right w:val="none" w:sz="0" w:space="0" w:color="auto"/>
              </w:divBdr>
              <w:divsChild>
                <w:div w:id="1683506059">
                  <w:marLeft w:val="2850"/>
                  <w:marRight w:val="180"/>
                  <w:marTop w:val="0"/>
                  <w:marBottom w:val="0"/>
                  <w:divBdr>
                    <w:top w:val="none" w:sz="0" w:space="0" w:color="auto"/>
                    <w:left w:val="none" w:sz="0" w:space="0" w:color="auto"/>
                    <w:bottom w:val="none" w:sz="0" w:space="0" w:color="auto"/>
                    <w:right w:val="none" w:sz="0" w:space="0" w:color="auto"/>
                  </w:divBdr>
                  <w:divsChild>
                    <w:div w:id="4357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564074">
      <w:bodyDiv w:val="1"/>
      <w:marLeft w:val="0"/>
      <w:marRight w:val="0"/>
      <w:marTop w:val="0"/>
      <w:marBottom w:val="0"/>
      <w:divBdr>
        <w:top w:val="none" w:sz="0" w:space="0" w:color="auto"/>
        <w:left w:val="none" w:sz="0" w:space="0" w:color="auto"/>
        <w:bottom w:val="none" w:sz="0" w:space="0" w:color="auto"/>
        <w:right w:val="none" w:sz="0" w:space="0" w:color="auto"/>
      </w:divBdr>
      <w:divsChild>
        <w:div w:id="968558271">
          <w:marLeft w:val="0"/>
          <w:marRight w:val="0"/>
          <w:marTop w:val="0"/>
          <w:marBottom w:val="0"/>
          <w:divBdr>
            <w:top w:val="none" w:sz="0" w:space="0" w:color="auto"/>
            <w:left w:val="none" w:sz="0" w:space="0" w:color="auto"/>
            <w:bottom w:val="none" w:sz="0" w:space="0" w:color="auto"/>
            <w:right w:val="none" w:sz="0" w:space="0" w:color="auto"/>
          </w:divBdr>
          <w:divsChild>
            <w:div w:id="1633558552">
              <w:marLeft w:val="0"/>
              <w:marRight w:val="0"/>
              <w:marTop w:val="0"/>
              <w:marBottom w:val="0"/>
              <w:divBdr>
                <w:top w:val="none" w:sz="0" w:space="0" w:color="auto"/>
                <w:left w:val="none" w:sz="0" w:space="0" w:color="auto"/>
                <w:bottom w:val="none" w:sz="0" w:space="0" w:color="auto"/>
                <w:right w:val="none" w:sz="0" w:space="0" w:color="auto"/>
              </w:divBdr>
            </w:div>
          </w:divsChild>
        </w:div>
        <w:div w:id="1906336405">
          <w:marLeft w:val="0"/>
          <w:marRight w:val="0"/>
          <w:marTop w:val="0"/>
          <w:marBottom w:val="0"/>
          <w:divBdr>
            <w:top w:val="none" w:sz="0" w:space="0" w:color="auto"/>
            <w:left w:val="none" w:sz="0" w:space="0" w:color="auto"/>
            <w:bottom w:val="none" w:sz="0" w:space="0" w:color="auto"/>
            <w:right w:val="none" w:sz="0" w:space="0" w:color="auto"/>
          </w:divBdr>
          <w:divsChild>
            <w:div w:id="1177766156">
              <w:marLeft w:val="0"/>
              <w:marRight w:val="0"/>
              <w:marTop w:val="1200"/>
              <w:marBottom w:val="0"/>
              <w:divBdr>
                <w:top w:val="none" w:sz="0" w:space="0" w:color="auto"/>
                <w:left w:val="none" w:sz="0" w:space="0" w:color="auto"/>
                <w:bottom w:val="none" w:sz="0" w:space="0" w:color="auto"/>
                <w:right w:val="none" w:sz="0" w:space="0" w:color="auto"/>
              </w:divBdr>
              <w:divsChild>
                <w:div w:id="663318965">
                  <w:marLeft w:val="0"/>
                  <w:marRight w:val="0"/>
                  <w:marTop w:val="0"/>
                  <w:marBottom w:val="0"/>
                  <w:divBdr>
                    <w:top w:val="none" w:sz="0" w:space="0" w:color="auto"/>
                    <w:left w:val="none" w:sz="0" w:space="0" w:color="auto"/>
                    <w:bottom w:val="none" w:sz="0" w:space="0" w:color="auto"/>
                    <w:right w:val="none" w:sz="0" w:space="0" w:color="auto"/>
                  </w:divBdr>
                  <w:divsChild>
                    <w:div w:id="1146438544">
                      <w:marLeft w:val="0"/>
                      <w:marRight w:val="0"/>
                      <w:marTop w:val="0"/>
                      <w:marBottom w:val="0"/>
                      <w:divBdr>
                        <w:top w:val="none" w:sz="0" w:space="0" w:color="auto"/>
                        <w:left w:val="none" w:sz="0" w:space="0" w:color="auto"/>
                        <w:bottom w:val="none" w:sz="0" w:space="0" w:color="auto"/>
                        <w:right w:val="none" w:sz="0" w:space="0" w:color="auto"/>
                      </w:divBdr>
                      <w:divsChild>
                        <w:div w:id="740566951">
                          <w:marLeft w:val="0"/>
                          <w:marRight w:val="0"/>
                          <w:marTop w:val="0"/>
                          <w:marBottom w:val="225"/>
                          <w:divBdr>
                            <w:top w:val="none" w:sz="0" w:space="0" w:color="auto"/>
                            <w:left w:val="none" w:sz="0" w:space="0" w:color="auto"/>
                            <w:bottom w:val="none" w:sz="0" w:space="0" w:color="auto"/>
                            <w:right w:val="none" w:sz="0" w:space="0" w:color="auto"/>
                          </w:divBdr>
                        </w:div>
                      </w:divsChild>
                    </w:div>
                    <w:div w:id="725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878">
      <w:bodyDiv w:val="1"/>
      <w:marLeft w:val="0"/>
      <w:marRight w:val="0"/>
      <w:marTop w:val="0"/>
      <w:marBottom w:val="0"/>
      <w:divBdr>
        <w:top w:val="none" w:sz="0" w:space="0" w:color="auto"/>
        <w:left w:val="none" w:sz="0" w:space="0" w:color="auto"/>
        <w:bottom w:val="none" w:sz="0" w:space="0" w:color="auto"/>
        <w:right w:val="none" w:sz="0" w:space="0" w:color="auto"/>
      </w:divBdr>
      <w:divsChild>
        <w:div w:id="2104916911">
          <w:marLeft w:val="0"/>
          <w:marRight w:val="0"/>
          <w:marTop w:val="0"/>
          <w:marBottom w:val="0"/>
          <w:divBdr>
            <w:top w:val="none" w:sz="0" w:space="0" w:color="auto"/>
            <w:left w:val="none" w:sz="0" w:space="0" w:color="auto"/>
            <w:bottom w:val="none" w:sz="0" w:space="0" w:color="auto"/>
            <w:right w:val="none" w:sz="0" w:space="0" w:color="auto"/>
          </w:divBdr>
          <w:divsChild>
            <w:div w:id="1607958030">
              <w:marLeft w:val="0"/>
              <w:marRight w:val="0"/>
              <w:marTop w:val="0"/>
              <w:marBottom w:val="0"/>
              <w:divBdr>
                <w:top w:val="none" w:sz="0" w:space="0" w:color="auto"/>
                <w:left w:val="none" w:sz="0" w:space="0" w:color="auto"/>
                <w:bottom w:val="none" w:sz="0" w:space="0" w:color="auto"/>
                <w:right w:val="none" w:sz="0" w:space="0" w:color="auto"/>
              </w:divBdr>
              <w:divsChild>
                <w:div w:id="328602694">
                  <w:marLeft w:val="0"/>
                  <w:marRight w:val="0"/>
                  <w:marTop w:val="0"/>
                  <w:marBottom w:val="0"/>
                  <w:divBdr>
                    <w:top w:val="none" w:sz="0" w:space="0" w:color="auto"/>
                    <w:left w:val="none" w:sz="0" w:space="0" w:color="auto"/>
                    <w:bottom w:val="none" w:sz="0" w:space="0" w:color="auto"/>
                    <w:right w:val="none" w:sz="0" w:space="0" w:color="auto"/>
                  </w:divBdr>
                  <w:divsChild>
                    <w:div w:id="1277642774">
                      <w:marLeft w:val="0"/>
                      <w:marRight w:val="0"/>
                      <w:marTop w:val="0"/>
                      <w:marBottom w:val="0"/>
                      <w:divBdr>
                        <w:top w:val="none" w:sz="0" w:space="0" w:color="auto"/>
                        <w:left w:val="none" w:sz="0" w:space="0" w:color="auto"/>
                        <w:bottom w:val="none" w:sz="0" w:space="0" w:color="auto"/>
                        <w:right w:val="none" w:sz="0" w:space="0" w:color="auto"/>
                      </w:divBdr>
                      <w:divsChild>
                        <w:div w:id="605501145">
                          <w:marLeft w:val="0"/>
                          <w:marRight w:val="0"/>
                          <w:marTop w:val="0"/>
                          <w:marBottom w:val="0"/>
                          <w:divBdr>
                            <w:top w:val="none" w:sz="0" w:space="0" w:color="auto"/>
                            <w:left w:val="none" w:sz="0" w:space="0" w:color="auto"/>
                            <w:bottom w:val="none" w:sz="0" w:space="0" w:color="auto"/>
                            <w:right w:val="none" w:sz="0" w:space="0" w:color="auto"/>
                          </w:divBdr>
                          <w:divsChild>
                            <w:div w:id="406613918">
                              <w:marLeft w:val="0"/>
                              <w:marRight w:val="0"/>
                              <w:marTop w:val="0"/>
                              <w:marBottom w:val="0"/>
                              <w:divBdr>
                                <w:top w:val="none" w:sz="0" w:space="0" w:color="auto"/>
                                <w:left w:val="none" w:sz="0" w:space="0" w:color="auto"/>
                                <w:bottom w:val="none" w:sz="0" w:space="0" w:color="auto"/>
                                <w:right w:val="none" w:sz="0" w:space="0" w:color="auto"/>
                              </w:divBdr>
                              <w:divsChild>
                                <w:div w:id="463500400">
                                  <w:marLeft w:val="0"/>
                                  <w:marRight w:val="0"/>
                                  <w:marTop w:val="0"/>
                                  <w:marBottom w:val="0"/>
                                  <w:divBdr>
                                    <w:top w:val="none" w:sz="0" w:space="0" w:color="auto"/>
                                    <w:left w:val="none" w:sz="0" w:space="0" w:color="auto"/>
                                    <w:bottom w:val="none" w:sz="0" w:space="0" w:color="auto"/>
                                    <w:right w:val="none" w:sz="0" w:space="0" w:color="auto"/>
                                  </w:divBdr>
                                  <w:divsChild>
                                    <w:div w:id="6518703">
                                      <w:marLeft w:val="0"/>
                                      <w:marRight w:val="0"/>
                                      <w:marTop w:val="0"/>
                                      <w:marBottom w:val="0"/>
                                      <w:divBdr>
                                        <w:top w:val="none" w:sz="0" w:space="0" w:color="auto"/>
                                        <w:left w:val="none" w:sz="0" w:space="0" w:color="auto"/>
                                        <w:bottom w:val="none" w:sz="0" w:space="0" w:color="auto"/>
                                        <w:right w:val="none" w:sz="0" w:space="0" w:color="auto"/>
                                      </w:divBdr>
                                      <w:divsChild>
                                        <w:div w:id="1144932864">
                                          <w:marLeft w:val="0"/>
                                          <w:marRight w:val="0"/>
                                          <w:marTop w:val="0"/>
                                          <w:marBottom w:val="0"/>
                                          <w:divBdr>
                                            <w:top w:val="none" w:sz="0" w:space="0" w:color="auto"/>
                                            <w:left w:val="none" w:sz="0" w:space="0" w:color="auto"/>
                                            <w:bottom w:val="none" w:sz="0" w:space="0" w:color="auto"/>
                                            <w:right w:val="none" w:sz="0" w:space="0" w:color="auto"/>
                                          </w:divBdr>
                                          <w:divsChild>
                                            <w:div w:id="1707752020">
                                              <w:marLeft w:val="0"/>
                                              <w:marRight w:val="0"/>
                                              <w:marTop w:val="0"/>
                                              <w:marBottom w:val="0"/>
                                              <w:divBdr>
                                                <w:top w:val="none" w:sz="0" w:space="0" w:color="auto"/>
                                                <w:left w:val="none" w:sz="0" w:space="0" w:color="auto"/>
                                                <w:bottom w:val="none" w:sz="0" w:space="0" w:color="auto"/>
                                                <w:right w:val="none" w:sz="0" w:space="0" w:color="auto"/>
                                              </w:divBdr>
                                              <w:divsChild>
                                                <w:div w:id="1986205066">
                                                  <w:marLeft w:val="0"/>
                                                  <w:marRight w:val="0"/>
                                                  <w:marTop w:val="0"/>
                                                  <w:marBottom w:val="0"/>
                                                  <w:divBdr>
                                                    <w:top w:val="none" w:sz="0" w:space="0" w:color="auto"/>
                                                    <w:left w:val="none" w:sz="0" w:space="0" w:color="auto"/>
                                                    <w:bottom w:val="none" w:sz="0" w:space="0" w:color="auto"/>
                                                    <w:right w:val="none" w:sz="0" w:space="0" w:color="auto"/>
                                                  </w:divBdr>
                                                  <w:divsChild>
                                                    <w:div w:id="1899391166">
                                                      <w:marLeft w:val="0"/>
                                                      <w:marRight w:val="0"/>
                                                      <w:marTop w:val="0"/>
                                                      <w:marBottom w:val="0"/>
                                                      <w:divBdr>
                                                        <w:top w:val="none" w:sz="0" w:space="0" w:color="auto"/>
                                                        <w:left w:val="none" w:sz="0" w:space="0" w:color="auto"/>
                                                        <w:bottom w:val="none" w:sz="0" w:space="0" w:color="auto"/>
                                                        <w:right w:val="none" w:sz="0" w:space="0" w:color="auto"/>
                                                      </w:divBdr>
                                                      <w:divsChild>
                                                        <w:div w:id="12373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8193782">
      <w:bodyDiv w:val="1"/>
      <w:marLeft w:val="0"/>
      <w:marRight w:val="0"/>
      <w:marTop w:val="0"/>
      <w:marBottom w:val="0"/>
      <w:divBdr>
        <w:top w:val="none" w:sz="0" w:space="0" w:color="auto"/>
        <w:left w:val="none" w:sz="0" w:space="0" w:color="auto"/>
        <w:bottom w:val="none" w:sz="0" w:space="0" w:color="auto"/>
        <w:right w:val="none" w:sz="0" w:space="0" w:color="auto"/>
      </w:divBdr>
    </w:div>
    <w:div w:id="930620095">
      <w:bodyDiv w:val="1"/>
      <w:marLeft w:val="0"/>
      <w:marRight w:val="0"/>
      <w:marTop w:val="0"/>
      <w:marBottom w:val="0"/>
      <w:divBdr>
        <w:top w:val="none" w:sz="0" w:space="0" w:color="auto"/>
        <w:left w:val="none" w:sz="0" w:space="0" w:color="auto"/>
        <w:bottom w:val="none" w:sz="0" w:space="0" w:color="auto"/>
        <w:right w:val="none" w:sz="0" w:space="0" w:color="auto"/>
      </w:divBdr>
    </w:div>
    <w:div w:id="1018239507">
      <w:bodyDiv w:val="1"/>
      <w:marLeft w:val="0"/>
      <w:marRight w:val="0"/>
      <w:marTop w:val="0"/>
      <w:marBottom w:val="0"/>
      <w:divBdr>
        <w:top w:val="none" w:sz="0" w:space="0" w:color="auto"/>
        <w:left w:val="none" w:sz="0" w:space="0" w:color="auto"/>
        <w:bottom w:val="none" w:sz="0" w:space="0" w:color="auto"/>
        <w:right w:val="none" w:sz="0" w:space="0" w:color="auto"/>
      </w:divBdr>
    </w:div>
    <w:div w:id="1293748439">
      <w:bodyDiv w:val="1"/>
      <w:marLeft w:val="0"/>
      <w:marRight w:val="0"/>
      <w:marTop w:val="0"/>
      <w:marBottom w:val="0"/>
      <w:divBdr>
        <w:top w:val="none" w:sz="0" w:space="0" w:color="auto"/>
        <w:left w:val="none" w:sz="0" w:space="0" w:color="auto"/>
        <w:bottom w:val="none" w:sz="0" w:space="0" w:color="auto"/>
        <w:right w:val="none" w:sz="0" w:space="0" w:color="auto"/>
      </w:divBdr>
    </w:div>
    <w:div w:id="1581791829">
      <w:bodyDiv w:val="1"/>
      <w:marLeft w:val="0"/>
      <w:marRight w:val="0"/>
      <w:marTop w:val="0"/>
      <w:marBottom w:val="0"/>
      <w:divBdr>
        <w:top w:val="none" w:sz="0" w:space="0" w:color="auto"/>
        <w:left w:val="none" w:sz="0" w:space="0" w:color="auto"/>
        <w:bottom w:val="none" w:sz="0" w:space="0" w:color="auto"/>
        <w:right w:val="none" w:sz="0" w:space="0" w:color="auto"/>
      </w:divBdr>
      <w:divsChild>
        <w:div w:id="489250335">
          <w:marLeft w:val="0"/>
          <w:marRight w:val="0"/>
          <w:marTop w:val="0"/>
          <w:marBottom w:val="0"/>
          <w:divBdr>
            <w:top w:val="none" w:sz="0" w:space="0" w:color="auto"/>
            <w:left w:val="none" w:sz="0" w:space="0" w:color="auto"/>
            <w:bottom w:val="none" w:sz="0" w:space="0" w:color="auto"/>
            <w:right w:val="none" w:sz="0" w:space="0" w:color="auto"/>
          </w:divBdr>
          <w:divsChild>
            <w:div w:id="2140301500">
              <w:marLeft w:val="0"/>
              <w:marRight w:val="0"/>
              <w:marTop w:val="0"/>
              <w:marBottom w:val="0"/>
              <w:divBdr>
                <w:top w:val="none" w:sz="0" w:space="0" w:color="auto"/>
                <w:left w:val="none" w:sz="0" w:space="0" w:color="auto"/>
                <w:bottom w:val="none" w:sz="0" w:space="0" w:color="auto"/>
                <w:right w:val="none" w:sz="0" w:space="0" w:color="auto"/>
              </w:divBdr>
              <w:divsChild>
                <w:div w:id="598567900">
                  <w:marLeft w:val="0"/>
                  <w:marRight w:val="0"/>
                  <w:marTop w:val="0"/>
                  <w:marBottom w:val="0"/>
                  <w:divBdr>
                    <w:top w:val="none" w:sz="0" w:space="0" w:color="auto"/>
                    <w:left w:val="none" w:sz="0" w:space="0" w:color="auto"/>
                    <w:bottom w:val="none" w:sz="0" w:space="0" w:color="auto"/>
                    <w:right w:val="none" w:sz="0" w:space="0" w:color="auto"/>
                  </w:divBdr>
                  <w:divsChild>
                    <w:div w:id="2087192491">
                      <w:marLeft w:val="0"/>
                      <w:marRight w:val="0"/>
                      <w:marTop w:val="0"/>
                      <w:marBottom w:val="0"/>
                      <w:divBdr>
                        <w:top w:val="none" w:sz="0" w:space="0" w:color="auto"/>
                        <w:left w:val="none" w:sz="0" w:space="0" w:color="auto"/>
                        <w:bottom w:val="none" w:sz="0" w:space="0" w:color="auto"/>
                        <w:right w:val="none" w:sz="0" w:space="0" w:color="auto"/>
                      </w:divBdr>
                      <w:divsChild>
                        <w:div w:id="115756010">
                          <w:marLeft w:val="0"/>
                          <w:marRight w:val="0"/>
                          <w:marTop w:val="0"/>
                          <w:marBottom w:val="0"/>
                          <w:divBdr>
                            <w:top w:val="none" w:sz="0" w:space="0" w:color="auto"/>
                            <w:left w:val="none" w:sz="0" w:space="0" w:color="auto"/>
                            <w:bottom w:val="none" w:sz="0" w:space="0" w:color="auto"/>
                            <w:right w:val="none" w:sz="0" w:space="0" w:color="auto"/>
                          </w:divBdr>
                          <w:divsChild>
                            <w:div w:id="2024625181">
                              <w:marLeft w:val="0"/>
                              <w:marRight w:val="0"/>
                              <w:marTop w:val="0"/>
                              <w:marBottom w:val="0"/>
                              <w:divBdr>
                                <w:top w:val="none" w:sz="0" w:space="0" w:color="auto"/>
                                <w:left w:val="none" w:sz="0" w:space="0" w:color="auto"/>
                                <w:bottom w:val="none" w:sz="0" w:space="0" w:color="auto"/>
                                <w:right w:val="none" w:sz="0" w:space="0" w:color="auto"/>
                              </w:divBdr>
                              <w:divsChild>
                                <w:div w:id="1491213140">
                                  <w:marLeft w:val="0"/>
                                  <w:marRight w:val="0"/>
                                  <w:marTop w:val="0"/>
                                  <w:marBottom w:val="0"/>
                                  <w:divBdr>
                                    <w:top w:val="none" w:sz="0" w:space="0" w:color="auto"/>
                                    <w:left w:val="none" w:sz="0" w:space="0" w:color="auto"/>
                                    <w:bottom w:val="none" w:sz="0" w:space="0" w:color="auto"/>
                                    <w:right w:val="none" w:sz="0" w:space="0" w:color="auto"/>
                                  </w:divBdr>
                                  <w:divsChild>
                                    <w:div w:id="359203505">
                                      <w:marLeft w:val="0"/>
                                      <w:marRight w:val="0"/>
                                      <w:marTop w:val="0"/>
                                      <w:marBottom w:val="0"/>
                                      <w:divBdr>
                                        <w:top w:val="none" w:sz="0" w:space="0" w:color="auto"/>
                                        <w:left w:val="none" w:sz="0" w:space="0" w:color="auto"/>
                                        <w:bottom w:val="none" w:sz="0" w:space="0" w:color="auto"/>
                                        <w:right w:val="none" w:sz="0" w:space="0" w:color="auto"/>
                                      </w:divBdr>
                                      <w:divsChild>
                                        <w:div w:id="207841691">
                                          <w:marLeft w:val="0"/>
                                          <w:marRight w:val="0"/>
                                          <w:marTop w:val="0"/>
                                          <w:marBottom w:val="0"/>
                                          <w:divBdr>
                                            <w:top w:val="none" w:sz="0" w:space="0" w:color="auto"/>
                                            <w:left w:val="none" w:sz="0" w:space="0" w:color="auto"/>
                                            <w:bottom w:val="none" w:sz="0" w:space="0" w:color="auto"/>
                                            <w:right w:val="none" w:sz="0" w:space="0" w:color="auto"/>
                                          </w:divBdr>
                                          <w:divsChild>
                                            <w:div w:id="387000850">
                                              <w:marLeft w:val="0"/>
                                              <w:marRight w:val="0"/>
                                              <w:marTop w:val="0"/>
                                              <w:marBottom w:val="0"/>
                                              <w:divBdr>
                                                <w:top w:val="none" w:sz="0" w:space="0" w:color="auto"/>
                                                <w:left w:val="none" w:sz="0" w:space="0" w:color="auto"/>
                                                <w:bottom w:val="none" w:sz="0" w:space="0" w:color="auto"/>
                                                <w:right w:val="none" w:sz="0" w:space="0" w:color="auto"/>
                                              </w:divBdr>
                                              <w:divsChild>
                                                <w:div w:id="3869577">
                                                  <w:marLeft w:val="0"/>
                                                  <w:marRight w:val="0"/>
                                                  <w:marTop w:val="0"/>
                                                  <w:marBottom w:val="0"/>
                                                  <w:divBdr>
                                                    <w:top w:val="none" w:sz="0" w:space="0" w:color="auto"/>
                                                    <w:left w:val="none" w:sz="0" w:space="0" w:color="auto"/>
                                                    <w:bottom w:val="none" w:sz="0" w:space="0" w:color="auto"/>
                                                    <w:right w:val="none" w:sz="0" w:space="0" w:color="auto"/>
                                                  </w:divBdr>
                                                  <w:divsChild>
                                                    <w:div w:id="28654453">
                                                      <w:marLeft w:val="0"/>
                                                      <w:marRight w:val="0"/>
                                                      <w:marTop w:val="0"/>
                                                      <w:marBottom w:val="0"/>
                                                      <w:divBdr>
                                                        <w:top w:val="none" w:sz="0" w:space="0" w:color="auto"/>
                                                        <w:left w:val="none" w:sz="0" w:space="0" w:color="auto"/>
                                                        <w:bottom w:val="none" w:sz="0" w:space="0" w:color="auto"/>
                                                        <w:right w:val="none" w:sz="0" w:space="0" w:color="auto"/>
                                                      </w:divBdr>
                                                      <w:divsChild>
                                                        <w:div w:id="2985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2726773">
      <w:bodyDiv w:val="1"/>
      <w:marLeft w:val="0"/>
      <w:marRight w:val="0"/>
      <w:marTop w:val="0"/>
      <w:marBottom w:val="0"/>
      <w:divBdr>
        <w:top w:val="none" w:sz="0" w:space="0" w:color="auto"/>
        <w:left w:val="none" w:sz="0" w:space="0" w:color="auto"/>
        <w:bottom w:val="none" w:sz="0" w:space="0" w:color="auto"/>
        <w:right w:val="none" w:sz="0" w:space="0" w:color="auto"/>
      </w:divBdr>
    </w:div>
    <w:div w:id="2111580584">
      <w:bodyDiv w:val="1"/>
      <w:marLeft w:val="0"/>
      <w:marRight w:val="0"/>
      <w:marTop w:val="0"/>
      <w:marBottom w:val="0"/>
      <w:divBdr>
        <w:top w:val="none" w:sz="0" w:space="0" w:color="auto"/>
        <w:left w:val="none" w:sz="0" w:space="0" w:color="auto"/>
        <w:bottom w:val="none" w:sz="0" w:space="0" w:color="auto"/>
        <w:right w:val="none" w:sz="0" w:space="0" w:color="auto"/>
      </w:divBdr>
    </w:div>
    <w:div w:id="21236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48731D8BC983F47B6F2E11207B1F9A9" ma:contentTypeVersion="" ma:contentTypeDescription="PDMS Document Site Content Type" ma:contentTypeScope="" ma:versionID="dea28373828967c5097f8c7a43aea433">
  <xsd:schema xmlns:xsd="http://www.w3.org/2001/XMLSchema" xmlns:xs="http://www.w3.org/2001/XMLSchema" xmlns:p="http://schemas.microsoft.com/office/2006/metadata/properties" xmlns:ns2="108322F0-9FA6-489E-8291-0E2742F789CB" targetNamespace="http://schemas.microsoft.com/office/2006/metadata/properties" ma:root="true" ma:fieldsID="3205a5291e9ff08a43f4346bb14dd7eb" ns2:_="">
    <xsd:import namespace="108322F0-9FA6-489E-8291-0E2742F789C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322F0-9FA6-489E-8291-0E2742F789C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08322F0-9FA6-489E-8291-0E2742F789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24AD4-CC22-4F30-8FFF-2AEE9320F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322F0-9FA6-489E-8291-0E2742F78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2CCF-8F47-41FA-82E3-D5E02277C752}">
  <ds:schemaRefs>
    <ds:schemaRef ds:uri="http://schemas.microsoft.com/sharepoint/v3/contenttype/forms"/>
  </ds:schemaRefs>
</ds:datastoreItem>
</file>

<file path=customXml/itemProps3.xml><?xml version="1.0" encoding="utf-8"?>
<ds:datastoreItem xmlns:ds="http://schemas.openxmlformats.org/officeDocument/2006/customXml" ds:itemID="{EE34ED6F-9319-4591-879C-3904604366AD}">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108322F0-9FA6-489E-8291-0E2742F789CB"/>
    <ds:schemaRef ds:uri="http://www.w3.org/XML/1998/namespace"/>
    <ds:schemaRef ds:uri="http://purl.org/dc/dcmitype/"/>
  </ds:schemaRefs>
</ds:datastoreItem>
</file>

<file path=customXml/itemProps4.xml><?xml version="1.0" encoding="utf-8"?>
<ds:datastoreItem xmlns:ds="http://schemas.openxmlformats.org/officeDocument/2006/customXml" ds:itemID="{15FDBFFE-1F6D-43AB-9ADF-8EC92ABD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Explanatory Statement to the Ministerial Direction to ACMA - EME Offset.docx</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to the Ministerial Direction to ACMA - EME Offset.docx</dc:title>
  <dc:creator/>
  <cp:lastModifiedBy/>
  <cp:revision>1</cp:revision>
  <dcterms:created xsi:type="dcterms:W3CDTF">2020-06-29T05:04:00Z</dcterms:created>
  <dcterms:modified xsi:type="dcterms:W3CDTF">2020-06-29T05:04:00Z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0x010100266966F133664895A6EE3632470D45F500A48731D8BC983F47B6F2E11207B1F9A9</vt:lpwstr>
  </property>
  <property fmtid="{D5CDD505-2E9C-101B-9397-08002B2CF9AE}" pid="3" name="_dlc_DocIdItemGuid">
    <vt:lpwstr>f3a7eb8b-b41a-4431-a61b-ade114f8334a</vt:lpwstr>
  </property>
  <property fmtid="{D5CDD505-2E9C-101B-9397-08002B2CF9AE}" pid="4" name="TrimRevisionNumber">
    <vt:i4>35</vt:i4>
  </property>
</Properties>
</file>