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FA4903" wp14:editId="1ECFEFC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4807D2" w:rsidP="00554826">
      <w:pPr>
        <w:pStyle w:val="ShortT"/>
      </w:pPr>
      <w:r w:rsidRPr="004807D2">
        <w:t xml:space="preserve">Therapeutic Goods </w:t>
      </w:r>
      <w:r w:rsidR="00554826" w:rsidRPr="004807D2">
        <w:t>(</w:t>
      </w:r>
      <w:r w:rsidRPr="004807D2">
        <w:t>Manufacturing Principles</w:t>
      </w:r>
      <w:r w:rsidR="00554826" w:rsidRPr="004807D2">
        <w:t xml:space="preserve">) </w:t>
      </w:r>
      <w:r w:rsidRPr="004807D2">
        <w:t>Determination 2020</w:t>
      </w:r>
    </w:p>
    <w:p w:rsidR="004807D2" w:rsidRPr="0092181F" w:rsidRDefault="004807D2" w:rsidP="004807D2">
      <w:pPr>
        <w:pStyle w:val="SignCoverPageStart"/>
        <w:spacing w:before="240"/>
        <w:ind w:right="91"/>
        <w:rPr>
          <w:szCs w:val="22"/>
        </w:rPr>
      </w:pPr>
      <w:r w:rsidRPr="0092181F">
        <w:rPr>
          <w:szCs w:val="22"/>
        </w:rPr>
        <w:t>I, Tracey Duffy, as delegate of the Minister</w:t>
      </w:r>
      <w:r>
        <w:rPr>
          <w:szCs w:val="22"/>
        </w:rPr>
        <w:t xml:space="preserve"> for Health</w:t>
      </w:r>
      <w:r w:rsidRPr="0092181F">
        <w:rPr>
          <w:szCs w:val="22"/>
        </w:rPr>
        <w:t>, make the following determination.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42C3F">
        <w:rPr>
          <w:szCs w:val="22"/>
        </w:rPr>
        <w:t xml:space="preserve"> 30 </w:t>
      </w:r>
      <w:r w:rsidR="00C13F7D">
        <w:rPr>
          <w:szCs w:val="22"/>
        </w:rPr>
        <w:t>June 2020</w:t>
      </w:r>
    </w:p>
    <w:p w:rsidR="00554826" w:rsidRDefault="004807D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2181F">
        <w:rPr>
          <w:szCs w:val="22"/>
        </w:rPr>
        <w:t>Tracey Duffy</w:t>
      </w:r>
    </w:p>
    <w:p w:rsidR="004807D2" w:rsidRPr="0092181F" w:rsidRDefault="004807D2" w:rsidP="004807D2">
      <w:pPr>
        <w:pStyle w:val="SignCoverPageEnd"/>
        <w:ind w:right="91"/>
        <w:rPr>
          <w:sz w:val="22"/>
        </w:rPr>
      </w:pPr>
      <w:r w:rsidRPr="0092181F">
        <w:rPr>
          <w:sz w:val="22"/>
        </w:rPr>
        <w:t>First Assistant Secretary</w:t>
      </w:r>
    </w:p>
    <w:p w:rsidR="004807D2" w:rsidRPr="0092181F" w:rsidRDefault="004807D2" w:rsidP="004807D2">
      <w:pPr>
        <w:pStyle w:val="SignCoverPageEnd"/>
        <w:ind w:right="91"/>
        <w:rPr>
          <w:sz w:val="22"/>
        </w:rPr>
      </w:pPr>
      <w:r w:rsidRPr="0092181F">
        <w:rPr>
          <w:sz w:val="22"/>
        </w:rPr>
        <w:t>Medical Devices and Product Quality Division</w:t>
      </w:r>
    </w:p>
    <w:p w:rsidR="004807D2" w:rsidRPr="0092181F" w:rsidRDefault="004807D2" w:rsidP="004807D2">
      <w:pPr>
        <w:pStyle w:val="SignCoverPageEnd"/>
        <w:ind w:right="91"/>
        <w:rPr>
          <w:sz w:val="22"/>
        </w:rPr>
      </w:pPr>
      <w:r w:rsidRPr="0092181F">
        <w:rPr>
          <w:sz w:val="22"/>
        </w:rPr>
        <w:t>Health Products Regulation Group</w:t>
      </w:r>
    </w:p>
    <w:p w:rsidR="00554826" w:rsidRPr="008E0027" w:rsidRDefault="004807D2" w:rsidP="00554826">
      <w:pPr>
        <w:pStyle w:val="SignCoverPageEnd"/>
        <w:ind w:right="91"/>
        <w:rPr>
          <w:sz w:val="22"/>
        </w:rPr>
      </w:pPr>
      <w:r w:rsidRPr="004807D2">
        <w:rPr>
          <w:sz w:val="22"/>
        </w:rPr>
        <w:t>Department of Health</w:t>
      </w:r>
    </w:p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622AD2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622AD2">
        <w:rPr>
          <w:noProof/>
        </w:rPr>
        <w:t>Part 1—Preliminary</w:t>
      </w:r>
      <w:r w:rsidR="00622AD2">
        <w:rPr>
          <w:noProof/>
        </w:rPr>
        <w:tab/>
      </w:r>
      <w:r w:rsidR="00622AD2">
        <w:rPr>
          <w:noProof/>
        </w:rPr>
        <w:fldChar w:fldCharType="begin"/>
      </w:r>
      <w:r w:rsidR="00622AD2">
        <w:rPr>
          <w:noProof/>
        </w:rPr>
        <w:instrText xml:space="preserve"> PAGEREF _Toc44412434 \h </w:instrText>
      </w:r>
      <w:r w:rsidR="00622AD2">
        <w:rPr>
          <w:noProof/>
        </w:rPr>
      </w:r>
      <w:r w:rsidR="00622AD2">
        <w:rPr>
          <w:noProof/>
        </w:rPr>
        <w:fldChar w:fldCharType="separate"/>
      </w:r>
      <w:r w:rsidR="00622AD2">
        <w:rPr>
          <w:noProof/>
        </w:rPr>
        <w:t>1</w:t>
      </w:r>
      <w:r w:rsidR="00622AD2">
        <w:rPr>
          <w:noProof/>
        </w:rPr>
        <w:fldChar w:fldCharType="end"/>
      </w:r>
    </w:p>
    <w:p w:rsidR="00622AD2" w:rsidRDefault="00622A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22AD2" w:rsidRDefault="00622A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22AD2" w:rsidRDefault="00622A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22AD2" w:rsidRDefault="00622A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22AD2" w:rsidRDefault="00622A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22AD2" w:rsidRDefault="00622AD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2—Manufacturing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2AD2" w:rsidRDefault="00622A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Manufacturing principles—therapeutic goods other than blood, blood components, haematopoietic progenitor cells etc.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2AD2" w:rsidRDefault="00622A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Manufacturing principles—therapeutic goods that are blood, blood components, haematopoietic progenitor cells and biologicals that do not contain live animal cells, tissues or organs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2AD2" w:rsidRDefault="00622AD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3—Transitional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2AD2" w:rsidRDefault="00622A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2AD2" w:rsidRDefault="00622A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Transitional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22AD2" w:rsidRDefault="00622AD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1—Manufacturing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22AD2" w:rsidRDefault="00622AD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1—Therapeutic goods other than blood, blood components, haematopoietic progenitor cells etc.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22AD2" w:rsidRDefault="00622AD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2—Therapeutic goods that are blood, blood components, haematopoietic progenitor cells and biologicals that do not contain live animal cells, tissues or organs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622AD2" w:rsidRDefault="00622AD2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_Toc44412449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22AD2" w:rsidRDefault="00622A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7E79">
        <w:rPr>
          <w:i w:val="0"/>
          <w:noProof/>
        </w:rPr>
        <w:t>Therapeutic Goods (Manufacturing Principles) Determination 2018</w:t>
      </w:r>
      <w:r>
        <w:rPr>
          <w:noProof/>
        </w:rPr>
        <w:tab/>
      </w:r>
      <w:r w:rsidRPr="00EF3A05">
        <w:rPr>
          <w:i w:val="0"/>
          <w:noProof/>
        </w:rPr>
        <w:fldChar w:fldCharType="begin"/>
      </w:r>
      <w:r w:rsidRPr="00EF3A05">
        <w:rPr>
          <w:i w:val="0"/>
          <w:noProof/>
        </w:rPr>
        <w:instrText xml:space="preserve"> PAGEREF _Toc44412450 \h </w:instrText>
      </w:r>
      <w:r w:rsidRPr="00EF3A05">
        <w:rPr>
          <w:i w:val="0"/>
          <w:noProof/>
        </w:rPr>
      </w:r>
      <w:r w:rsidRPr="00EF3A05">
        <w:rPr>
          <w:i w:val="0"/>
          <w:noProof/>
        </w:rPr>
        <w:fldChar w:fldCharType="separate"/>
      </w:r>
      <w:r w:rsidRPr="00EF3A05">
        <w:rPr>
          <w:i w:val="0"/>
          <w:noProof/>
        </w:rPr>
        <w:t>9</w:t>
      </w:r>
      <w:r w:rsidRPr="00EF3A05">
        <w:rPr>
          <w:i w:val="0"/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58673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BB751F" w:rsidRPr="00EF1635" w:rsidRDefault="00BB751F" w:rsidP="00BB751F">
      <w:pPr>
        <w:pStyle w:val="ActHead2"/>
        <w:rPr>
          <w:rStyle w:val="CharPartNo"/>
        </w:rPr>
      </w:pPr>
      <w:bookmarkStart w:id="0" w:name="_Toc44412434"/>
      <w:r w:rsidRPr="00EF1635">
        <w:rPr>
          <w:rStyle w:val="CharPartNo"/>
        </w:rPr>
        <w:lastRenderedPageBreak/>
        <w:t>Part 1—</w:t>
      </w:r>
      <w:r>
        <w:rPr>
          <w:rStyle w:val="CharPartNo"/>
        </w:rPr>
        <w:t>Preliminary</w:t>
      </w:r>
      <w:bookmarkEnd w:id="0"/>
    </w:p>
    <w:p w:rsidR="00554826" w:rsidRPr="00554826" w:rsidRDefault="00554826" w:rsidP="00554826">
      <w:pPr>
        <w:pStyle w:val="ActHead5"/>
      </w:pPr>
      <w:bookmarkStart w:id="1" w:name="_Toc44412435"/>
      <w:proofErr w:type="gramStart"/>
      <w:r w:rsidRPr="00554826"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4807D2" w:rsidRPr="0092181F">
        <w:rPr>
          <w:i/>
        </w:rPr>
        <w:t>Therapeutic Goods (Manufacturing Principles) Determination 2020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44412436"/>
      <w:proofErr w:type="gramStart"/>
      <w:r w:rsidRPr="00554826">
        <w:t>2  Commencement</w:t>
      </w:r>
      <w:bookmarkEnd w:id="3"/>
      <w:proofErr w:type="gramEnd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58673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586738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58673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58673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58673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586738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58673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58673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58673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586738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58673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58673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4807D2" w:rsidRPr="004C430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A14A69" w:rsidP="004807D2">
            <w:pPr>
              <w:pStyle w:val="Tabletext"/>
              <w:rPr>
                <w:i/>
              </w:rPr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A14A69" w:rsidRDefault="003767E2" w:rsidP="00586738">
            <w:pPr>
              <w:pStyle w:val="Tabletext"/>
            </w:pP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44412437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807D2" w:rsidRPr="0092181F">
        <w:t xml:space="preserve">section 36 of the </w:t>
      </w:r>
      <w:r w:rsidR="004807D2" w:rsidRPr="0092181F">
        <w:rPr>
          <w:i/>
        </w:rPr>
        <w:t>Therapeutic Goods Act 1989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44412438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1D6CBB" w:rsidRPr="001D6CBB">
        <w:t>sub</w:t>
      </w:r>
      <w:r w:rsidRPr="001D6CBB">
        <w:t>section</w:t>
      </w:r>
      <w:r w:rsidR="001D6CBB">
        <w:t xml:space="preserve"> 3(1)</w:t>
      </w:r>
      <w:r>
        <w:t xml:space="preserve"> of the Act</w:t>
      </w:r>
      <w:r w:rsidRPr="009C2562">
        <w:t>, including the following:</w:t>
      </w:r>
    </w:p>
    <w:p w:rsidR="00554826" w:rsidRDefault="00554826" w:rsidP="00554826">
      <w:pPr>
        <w:pStyle w:val="notepara"/>
      </w:pPr>
      <w:r w:rsidRPr="009C2562">
        <w:t>(a)</w:t>
      </w:r>
      <w:r w:rsidRPr="009C2562">
        <w:tab/>
      </w:r>
      <w:proofErr w:type="gramStart"/>
      <w:r w:rsidR="004807D2" w:rsidRPr="004807D2">
        <w:t>biological</w:t>
      </w:r>
      <w:proofErr w:type="gramEnd"/>
      <w:r w:rsidR="004807D2">
        <w:t>;</w:t>
      </w:r>
    </w:p>
    <w:p w:rsidR="00C6161F" w:rsidRDefault="00C6161F" w:rsidP="00554826">
      <w:pPr>
        <w:pStyle w:val="notepara"/>
      </w:pPr>
      <w:r>
        <w:t>(b)</w:t>
      </w:r>
      <w:r>
        <w:tab/>
      </w:r>
      <w:proofErr w:type="gramStart"/>
      <w:r>
        <w:t>licence</w:t>
      </w:r>
      <w:proofErr w:type="gramEnd"/>
      <w:r>
        <w:t>;</w:t>
      </w:r>
    </w:p>
    <w:p w:rsidR="001F2E9F" w:rsidRPr="00A90813" w:rsidRDefault="001F2E9F" w:rsidP="00554826">
      <w:pPr>
        <w:pStyle w:val="notepara"/>
      </w:pPr>
      <w:r>
        <w:t>(</w:t>
      </w:r>
      <w:r w:rsidR="00C6161F">
        <w:t>c</w:t>
      </w:r>
      <w:r>
        <w:t>)</w:t>
      </w:r>
      <w:r>
        <w:tab/>
      </w:r>
      <w:proofErr w:type="gramStart"/>
      <w:r w:rsidRPr="006427AC">
        <w:t>manufacture</w:t>
      </w:r>
      <w:proofErr w:type="gramEnd"/>
      <w:r w:rsidRPr="00A90813">
        <w:t>;</w:t>
      </w:r>
    </w:p>
    <w:p w:rsidR="001F2E9F" w:rsidRPr="008718A8" w:rsidRDefault="001F2E9F" w:rsidP="00554826">
      <w:pPr>
        <w:pStyle w:val="notepara"/>
      </w:pPr>
      <w:r w:rsidRPr="008718A8">
        <w:t>(</w:t>
      </w:r>
      <w:r w:rsidR="00C6161F">
        <w:t>d</w:t>
      </w:r>
      <w:r w:rsidRPr="008718A8">
        <w:t>)</w:t>
      </w:r>
      <w:r w:rsidRPr="008718A8">
        <w:tab/>
      </w:r>
      <w:proofErr w:type="gramStart"/>
      <w:r w:rsidRPr="008718A8">
        <w:t>manufacturing</w:t>
      </w:r>
      <w:proofErr w:type="gramEnd"/>
      <w:r w:rsidRPr="008718A8">
        <w:t xml:space="preserve"> principles;</w:t>
      </w:r>
    </w:p>
    <w:p w:rsidR="004807D2" w:rsidRPr="006427AC" w:rsidRDefault="001F2E9F" w:rsidP="00554826">
      <w:pPr>
        <w:pStyle w:val="notepara"/>
      </w:pPr>
      <w:r w:rsidRPr="006427AC">
        <w:t>(</w:t>
      </w:r>
      <w:r w:rsidR="00C6161F">
        <w:t>e</w:t>
      </w:r>
      <w:r w:rsidR="004807D2" w:rsidRPr="006427AC">
        <w:t>)</w:t>
      </w:r>
      <w:r w:rsidR="004807D2" w:rsidRPr="006427AC">
        <w:tab/>
      </w:r>
      <w:proofErr w:type="gramStart"/>
      <w:r w:rsidR="004807D2" w:rsidRPr="006427AC">
        <w:t>medicine</w:t>
      </w:r>
      <w:proofErr w:type="gramEnd"/>
      <w:r w:rsidR="004807D2" w:rsidRPr="006427AC">
        <w:t>;</w:t>
      </w:r>
    </w:p>
    <w:p w:rsidR="00E372EC" w:rsidRPr="006427AC" w:rsidRDefault="004807D2" w:rsidP="00554826">
      <w:pPr>
        <w:pStyle w:val="notepara"/>
      </w:pPr>
      <w:r w:rsidRPr="006427AC">
        <w:t>(</w:t>
      </w:r>
      <w:r w:rsidR="00C6161F">
        <w:t>f</w:t>
      </w:r>
      <w:r w:rsidRPr="006427AC">
        <w:t>)</w:t>
      </w:r>
      <w:r w:rsidRPr="006427AC">
        <w:tab/>
      </w:r>
      <w:proofErr w:type="gramStart"/>
      <w:r w:rsidRPr="006427AC">
        <w:t>standard</w:t>
      </w:r>
      <w:proofErr w:type="gramEnd"/>
      <w:r w:rsidR="00E372EC" w:rsidRPr="006427AC">
        <w:t xml:space="preserve">; </w:t>
      </w:r>
      <w:r w:rsidR="001F2E9F" w:rsidRPr="006427AC">
        <w:t>a</w:t>
      </w:r>
      <w:r w:rsidR="00E372EC" w:rsidRPr="006427AC">
        <w:t>nd</w:t>
      </w:r>
    </w:p>
    <w:p w:rsidR="00554826" w:rsidRPr="009C2562" w:rsidRDefault="001F2E9F" w:rsidP="00554826">
      <w:pPr>
        <w:pStyle w:val="notepara"/>
      </w:pPr>
      <w:r w:rsidRPr="006427AC">
        <w:t>(</w:t>
      </w:r>
      <w:r w:rsidR="00C6161F">
        <w:t>g</w:t>
      </w:r>
      <w:r w:rsidR="00E372EC" w:rsidRPr="006427AC">
        <w:t>)</w:t>
      </w:r>
      <w:r w:rsidR="00E372EC" w:rsidRPr="006427AC">
        <w:tab/>
      </w:r>
      <w:proofErr w:type="gramStart"/>
      <w:r w:rsidR="00E372EC" w:rsidRPr="006427AC">
        <w:t>therapeutic</w:t>
      </w:r>
      <w:proofErr w:type="gramEnd"/>
      <w:r w:rsidR="00E372EC" w:rsidRPr="006427AC">
        <w:t xml:space="preserve"> goods</w:t>
      </w:r>
      <w:r w:rsidR="00554826" w:rsidRPr="006427AC"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4807D2" w:rsidRPr="009779BE">
        <w:rPr>
          <w:i/>
        </w:rPr>
        <w:t>Therapeutic Goods Act 1989</w:t>
      </w:r>
      <w:r>
        <w:t>.</w:t>
      </w:r>
    </w:p>
    <w:p w:rsidR="001D6CBB" w:rsidRDefault="004807D2" w:rsidP="00554826">
      <w:pPr>
        <w:pStyle w:val="Definition"/>
      </w:pPr>
      <w:proofErr w:type="gramStart"/>
      <w:r>
        <w:rPr>
          <w:b/>
          <w:i/>
        </w:rPr>
        <w:t>a</w:t>
      </w:r>
      <w:r w:rsidRPr="00AA1FED">
        <w:rPr>
          <w:b/>
          <w:i/>
        </w:rPr>
        <w:t>ctive</w:t>
      </w:r>
      <w:proofErr w:type="gramEnd"/>
      <w:r w:rsidRPr="00AA1FED">
        <w:rPr>
          <w:b/>
          <w:i/>
        </w:rPr>
        <w:t xml:space="preserve"> pharmaceutical ingredien</w:t>
      </w:r>
      <w:r w:rsidR="001D6CBB">
        <w:rPr>
          <w:b/>
          <w:i/>
        </w:rPr>
        <w:t>t</w:t>
      </w:r>
      <w:r>
        <w:rPr>
          <w:b/>
          <w:i/>
        </w:rPr>
        <w:t xml:space="preserve"> </w:t>
      </w:r>
      <w:r w:rsidRPr="009779BE">
        <w:t>m</w:t>
      </w:r>
      <w:r w:rsidRPr="00AA1FED">
        <w:t xml:space="preserve">eans </w:t>
      </w:r>
      <w:r w:rsidR="00753033">
        <w:t xml:space="preserve">any </w:t>
      </w:r>
      <w:r w:rsidRPr="00AA1FED">
        <w:t>substance or mixture of substances intended to be used in the manufacture of a medicin</w:t>
      </w:r>
      <w:r>
        <w:t>e</w:t>
      </w:r>
      <w:r w:rsidRPr="00AA1FED">
        <w:t xml:space="preserve"> and</w:t>
      </w:r>
      <w:r w:rsidR="00753033">
        <w:t xml:space="preserve"> that</w:t>
      </w:r>
      <w:r w:rsidR="00D22AB8">
        <w:t>,</w:t>
      </w:r>
      <w:r w:rsidRPr="00AA1FED">
        <w:t xml:space="preserve"> when used in the </w:t>
      </w:r>
      <w:r w:rsidR="0001301B">
        <w:t xml:space="preserve">manufacture </w:t>
      </w:r>
      <w:r w:rsidRPr="00AA1FED">
        <w:t xml:space="preserve">of a </w:t>
      </w:r>
      <w:r>
        <w:t>medicine</w:t>
      </w:r>
      <w:r w:rsidRPr="00AA1FED">
        <w:t>, becomes an active ingredient of th</w:t>
      </w:r>
      <w:r>
        <w:t>at medicine</w:t>
      </w:r>
      <w:r w:rsidR="001D6CBB">
        <w:t>.</w:t>
      </w:r>
    </w:p>
    <w:p w:rsidR="004807D2" w:rsidRDefault="001D6CBB" w:rsidP="001D6CBB">
      <w:pPr>
        <w:pStyle w:val="notetext"/>
      </w:pPr>
      <w:r w:rsidRPr="001D6CBB">
        <w:t>Note:</w:t>
      </w:r>
      <w:r w:rsidRPr="001D6CBB">
        <w:tab/>
      </w:r>
      <w:r w:rsidR="00D22AB8">
        <w:t>A</w:t>
      </w:r>
      <w:r w:rsidR="0001301B">
        <w:t>n a</w:t>
      </w:r>
      <w:r w:rsidR="00D22AB8">
        <w:t>ctive pharmaceutical ingredient</w:t>
      </w:r>
      <w:r w:rsidR="004807D2" w:rsidRPr="00AA1FED">
        <w:t xml:space="preserve"> </w:t>
      </w:r>
      <w:r w:rsidR="0001301B">
        <w:t>is</w:t>
      </w:r>
      <w:r w:rsidR="0001301B" w:rsidRPr="00AA1FED">
        <w:t xml:space="preserve"> </w:t>
      </w:r>
      <w:r w:rsidR="004807D2" w:rsidRPr="00452117">
        <w:t>intended to furnish</w:t>
      </w:r>
      <w:r w:rsidR="004807D2" w:rsidRPr="00AA1FED">
        <w:t xml:space="preserve"> pharmacological activity or other direct effect in the diagnosis, cure, mitigation, treatment, or prevention of disease or to affect the structure and function of the body.</w:t>
      </w:r>
    </w:p>
    <w:p w:rsidR="00144639" w:rsidRPr="001D62B4" w:rsidRDefault="00144639" w:rsidP="00B4094F">
      <w:pPr>
        <w:pStyle w:val="Definition"/>
        <w:keepNext/>
        <w:keepLines/>
      </w:pPr>
      <w:r w:rsidRPr="001D62B4">
        <w:rPr>
          <w:b/>
          <w:i/>
        </w:rPr>
        <w:t xml:space="preserve">Australian Code of Good Manufacturing Practice </w:t>
      </w:r>
      <w:r w:rsidR="00EE4C0A">
        <w:t xml:space="preserve">means the </w:t>
      </w:r>
      <w:r w:rsidR="00731285" w:rsidRPr="00731285">
        <w:rPr>
          <w:i/>
        </w:rPr>
        <w:t>Australian</w:t>
      </w:r>
      <w:r w:rsidR="00731285">
        <w:rPr>
          <w:i/>
        </w:rPr>
        <w:t xml:space="preserve"> C</w:t>
      </w:r>
      <w:r w:rsidRPr="00EE4C0A">
        <w:rPr>
          <w:i/>
        </w:rPr>
        <w:t>ode of G</w:t>
      </w:r>
      <w:r w:rsidR="003F0176" w:rsidRPr="00EE4C0A">
        <w:rPr>
          <w:i/>
        </w:rPr>
        <w:t>ood Manufacturing Practice for human b</w:t>
      </w:r>
      <w:r w:rsidRPr="00EE4C0A">
        <w:rPr>
          <w:i/>
        </w:rPr>
        <w:t>lood</w:t>
      </w:r>
      <w:r w:rsidR="00EE4C0A" w:rsidRPr="00EE4C0A">
        <w:rPr>
          <w:i/>
        </w:rPr>
        <w:t xml:space="preserve"> and b</w:t>
      </w:r>
      <w:r w:rsidRPr="00EE4C0A">
        <w:rPr>
          <w:i/>
        </w:rPr>
        <w:t xml:space="preserve">lood </w:t>
      </w:r>
      <w:r w:rsidR="00EE4C0A" w:rsidRPr="00EE4C0A">
        <w:rPr>
          <w:i/>
        </w:rPr>
        <w:t>c</w:t>
      </w:r>
      <w:r w:rsidRPr="00EE4C0A">
        <w:rPr>
          <w:i/>
        </w:rPr>
        <w:t xml:space="preserve">omponents, </w:t>
      </w:r>
      <w:r w:rsidR="00EE4C0A" w:rsidRPr="00EE4C0A">
        <w:rPr>
          <w:i/>
        </w:rPr>
        <w:t>h</w:t>
      </w:r>
      <w:r w:rsidRPr="00EE4C0A">
        <w:rPr>
          <w:i/>
        </w:rPr>
        <w:t xml:space="preserve">uman tissues and </w:t>
      </w:r>
      <w:r w:rsidR="00EE4C0A" w:rsidRPr="00EE4C0A">
        <w:rPr>
          <w:i/>
        </w:rPr>
        <w:t>h</w:t>
      </w:r>
      <w:r w:rsidRPr="00EE4C0A">
        <w:rPr>
          <w:i/>
        </w:rPr>
        <w:t>uman cellular therapy products</w:t>
      </w:r>
      <w:r w:rsidRPr="001D62B4">
        <w:t xml:space="preserve"> </w:t>
      </w:r>
      <w:r w:rsidR="00EE4C0A">
        <w:t>(Version 1.0,</w:t>
      </w:r>
      <w:r w:rsidRPr="001D62B4">
        <w:t xml:space="preserve"> April 2013</w:t>
      </w:r>
      <w:r w:rsidR="00EE4C0A">
        <w:t>)</w:t>
      </w:r>
      <w:r w:rsidRPr="001D62B4">
        <w:t xml:space="preserve"> </w:t>
      </w:r>
      <w:r w:rsidR="00EE4C0A">
        <w:t xml:space="preserve">published by the </w:t>
      </w:r>
      <w:r w:rsidR="00EE4C0A" w:rsidRPr="004A3B16">
        <w:rPr>
          <w:szCs w:val="22"/>
        </w:rPr>
        <w:t>T</w:t>
      </w:r>
      <w:r w:rsidR="00731285">
        <w:rPr>
          <w:szCs w:val="22"/>
        </w:rPr>
        <w:t>herapeutic Goods Administration</w:t>
      </w:r>
      <w:r w:rsidR="00BA0343">
        <w:rPr>
          <w:szCs w:val="22"/>
        </w:rPr>
        <w:t xml:space="preserve">, </w:t>
      </w:r>
      <w:r w:rsidR="00BA0343" w:rsidRPr="00BA0343">
        <w:rPr>
          <w:szCs w:val="22"/>
        </w:rPr>
        <w:t>as in force or existing at the commencement of this instrume</w:t>
      </w:r>
      <w:r w:rsidR="00BA0343">
        <w:rPr>
          <w:szCs w:val="22"/>
        </w:rPr>
        <w:t>nt</w:t>
      </w:r>
      <w:r w:rsidRPr="001D62B4">
        <w:t>.</w:t>
      </w:r>
    </w:p>
    <w:p w:rsidR="00EE4C0A" w:rsidRPr="006427AC" w:rsidRDefault="00EE4C0A" w:rsidP="00EE4C0A">
      <w:pPr>
        <w:pStyle w:val="notetext"/>
      </w:pPr>
      <w:r w:rsidRPr="006427AC">
        <w:t>Note:</w:t>
      </w:r>
      <w:r w:rsidRPr="006427AC">
        <w:tab/>
        <w:t xml:space="preserve">The Australian Code of Good Manufacturing Practice is published </w:t>
      </w:r>
      <w:r w:rsidR="00262FB4" w:rsidRPr="006427AC">
        <w:t xml:space="preserve">on the TGA website </w:t>
      </w:r>
      <w:r w:rsidRPr="006427AC">
        <w:t xml:space="preserve">at </w:t>
      </w:r>
      <w:r w:rsidR="00566B42" w:rsidRPr="006427AC">
        <w:t>www.tga.gov.au</w:t>
      </w:r>
      <w:r w:rsidRPr="006427AC">
        <w:t>.</w:t>
      </w:r>
    </w:p>
    <w:p w:rsidR="004807D2" w:rsidRDefault="004807D2" w:rsidP="004807D2">
      <w:pPr>
        <w:pStyle w:val="Definition"/>
      </w:pPr>
      <w:proofErr w:type="gramStart"/>
      <w:r w:rsidRPr="00DA3EE4">
        <w:rPr>
          <w:b/>
          <w:i/>
        </w:rPr>
        <w:t>blood</w:t>
      </w:r>
      <w:proofErr w:type="gramEnd"/>
      <w:r w:rsidRPr="00A72C39">
        <w:t xml:space="preserve"> means whole blood </w:t>
      </w:r>
      <w:r>
        <w:t>collected from a single human donor and processed either for transfusion or further manufacturing.</w:t>
      </w:r>
    </w:p>
    <w:p w:rsidR="00214A43" w:rsidRPr="00964912" w:rsidRDefault="00214A43" w:rsidP="00214A43">
      <w:pPr>
        <w:pStyle w:val="Definition"/>
        <w:rPr>
          <w:szCs w:val="22"/>
        </w:rPr>
      </w:pPr>
      <w:proofErr w:type="gramStart"/>
      <w:r w:rsidRPr="00964912">
        <w:rPr>
          <w:b/>
          <w:i/>
          <w:szCs w:val="22"/>
        </w:rPr>
        <w:lastRenderedPageBreak/>
        <w:t>blood</w:t>
      </w:r>
      <w:proofErr w:type="gramEnd"/>
      <w:r w:rsidRPr="00964912">
        <w:rPr>
          <w:b/>
          <w:i/>
          <w:szCs w:val="22"/>
        </w:rPr>
        <w:t xml:space="preserve"> components</w:t>
      </w:r>
      <w:r w:rsidRPr="00964912">
        <w:rPr>
          <w:szCs w:val="22"/>
        </w:rPr>
        <w:t xml:space="preserve"> means any of the following therapeutic components of blood that can be prepared by centrifugation, filtration or freezing using conventional methodologies in blood establishment:</w:t>
      </w:r>
    </w:p>
    <w:p w:rsidR="00214A43" w:rsidRPr="00964912" w:rsidRDefault="00214A43" w:rsidP="00214A43">
      <w:pPr>
        <w:pStyle w:val="paragraph"/>
      </w:pPr>
      <w:r>
        <w:tab/>
      </w:r>
      <w:r w:rsidRPr="00964912">
        <w:t>(a)</w:t>
      </w:r>
      <w:r>
        <w:tab/>
      </w:r>
      <w:proofErr w:type="gramStart"/>
      <w:r w:rsidRPr="00964912">
        <w:t>red</w:t>
      </w:r>
      <w:proofErr w:type="gramEnd"/>
      <w:r w:rsidRPr="00964912">
        <w:t xml:space="preserve"> cells;</w:t>
      </w:r>
    </w:p>
    <w:p w:rsidR="00214A43" w:rsidRPr="00964912" w:rsidRDefault="00214A43" w:rsidP="00214A43">
      <w:pPr>
        <w:pStyle w:val="paragraph"/>
      </w:pPr>
      <w:r>
        <w:tab/>
      </w:r>
      <w:r w:rsidRPr="00964912">
        <w:t>(b)</w:t>
      </w:r>
      <w:r>
        <w:tab/>
      </w:r>
      <w:proofErr w:type="gramStart"/>
      <w:r w:rsidRPr="00964912">
        <w:t>white</w:t>
      </w:r>
      <w:proofErr w:type="gramEnd"/>
      <w:r w:rsidRPr="00964912">
        <w:t xml:space="preserve"> cells;</w:t>
      </w:r>
    </w:p>
    <w:p w:rsidR="00214A43" w:rsidRPr="00964912" w:rsidRDefault="00214A43" w:rsidP="00214A43">
      <w:pPr>
        <w:pStyle w:val="paragraph"/>
      </w:pPr>
      <w:r>
        <w:tab/>
      </w:r>
      <w:r w:rsidRPr="00964912">
        <w:t>(c)</w:t>
      </w:r>
      <w:r>
        <w:tab/>
      </w:r>
      <w:proofErr w:type="gramStart"/>
      <w:r w:rsidRPr="00964912">
        <w:t>platelets</w:t>
      </w:r>
      <w:proofErr w:type="gramEnd"/>
      <w:r w:rsidRPr="00964912">
        <w:t>;</w:t>
      </w:r>
    </w:p>
    <w:p w:rsidR="00214A43" w:rsidRPr="00964912" w:rsidRDefault="00214A43" w:rsidP="00214A43">
      <w:pPr>
        <w:pStyle w:val="paragraph"/>
      </w:pPr>
      <w:r>
        <w:tab/>
      </w:r>
      <w:r w:rsidRPr="00964912">
        <w:t>(d)</w:t>
      </w:r>
      <w:r>
        <w:tab/>
      </w:r>
      <w:proofErr w:type="gramStart"/>
      <w:r w:rsidRPr="00964912">
        <w:t>plasma</w:t>
      </w:r>
      <w:proofErr w:type="gramEnd"/>
      <w:r w:rsidRPr="00964912">
        <w:t>;</w:t>
      </w:r>
    </w:p>
    <w:p w:rsidR="00214A43" w:rsidRPr="00964912" w:rsidRDefault="00214A43" w:rsidP="00214A43">
      <w:pPr>
        <w:pStyle w:val="subsection2"/>
      </w:pPr>
      <w:proofErr w:type="gramStart"/>
      <w:r w:rsidRPr="00964912">
        <w:t>but</w:t>
      </w:r>
      <w:proofErr w:type="gramEnd"/>
      <w:r w:rsidRPr="00964912">
        <w:t xml:space="preserve"> does not include haematopoietic progenitor cells.</w:t>
      </w:r>
    </w:p>
    <w:p w:rsidR="004807D2" w:rsidRPr="00A72C39" w:rsidRDefault="004807D2" w:rsidP="004807D2">
      <w:pPr>
        <w:pStyle w:val="Definition"/>
      </w:pPr>
      <w:proofErr w:type="gramStart"/>
      <w:r w:rsidRPr="00DA3EE4">
        <w:rPr>
          <w:b/>
          <w:i/>
        </w:rPr>
        <w:t>haematopoietic</w:t>
      </w:r>
      <w:proofErr w:type="gramEnd"/>
      <w:r w:rsidRPr="00DA3EE4">
        <w:rPr>
          <w:b/>
          <w:i/>
        </w:rPr>
        <w:t xml:space="preserve"> progenitor cells </w:t>
      </w:r>
      <w:r w:rsidRPr="00341539">
        <w:rPr>
          <w:rFonts w:eastAsia="Calibri"/>
          <w:color w:val="000000"/>
        </w:rPr>
        <w:t xml:space="preserve">means self-renewing or multi-potent stem cells, or both, capable of maturation into haematopoietic lineages, lineage-restricted </w:t>
      </w:r>
      <w:proofErr w:type="spellStart"/>
      <w:r w:rsidRPr="00341539">
        <w:rPr>
          <w:rFonts w:eastAsia="Calibri"/>
          <w:color w:val="000000"/>
        </w:rPr>
        <w:t>pluri</w:t>
      </w:r>
      <w:proofErr w:type="spellEnd"/>
      <w:r w:rsidRPr="00341539">
        <w:rPr>
          <w:rFonts w:eastAsia="Calibri"/>
          <w:color w:val="000000"/>
        </w:rPr>
        <w:t>-potent progenitor cells, or committed progenitor cells.</w:t>
      </w:r>
    </w:p>
    <w:p w:rsidR="00684720" w:rsidRPr="00684720" w:rsidRDefault="00684720" w:rsidP="00684720">
      <w:pPr>
        <w:pStyle w:val="Definition"/>
        <w:rPr>
          <w:rFonts w:eastAsia="MS Mincho"/>
          <w:lang w:eastAsia="ja-JP"/>
        </w:rPr>
      </w:pPr>
      <w:r w:rsidRPr="006427AC">
        <w:rPr>
          <w:rFonts w:eastAsia="MS Mincho"/>
          <w:b/>
          <w:i/>
          <w:lang w:eastAsia="ja-JP"/>
        </w:rPr>
        <w:t xml:space="preserve">PIC/S </w:t>
      </w:r>
      <w:r w:rsidRPr="006427AC">
        <w:rPr>
          <w:rFonts w:eastAsia="MS Mincho"/>
          <w:lang w:eastAsia="ja-JP"/>
        </w:rPr>
        <w:t xml:space="preserve">means the </w:t>
      </w:r>
      <w:r w:rsidR="00C14564" w:rsidRPr="006427AC">
        <w:rPr>
          <w:rFonts w:eastAsia="MS Mincho"/>
          <w:lang w:eastAsia="ja-JP"/>
        </w:rPr>
        <w:t>Pharmaceutical Inspection Co-operation Scheme established in 1995 as an extension to the Pharmaceutical Inspection Convention.</w:t>
      </w:r>
    </w:p>
    <w:p w:rsidR="00144639" w:rsidRDefault="00144639" w:rsidP="00684720">
      <w:pPr>
        <w:pStyle w:val="Definition"/>
      </w:pPr>
      <w:r w:rsidRPr="008255F3">
        <w:rPr>
          <w:rFonts w:eastAsia="MS Mincho"/>
          <w:b/>
          <w:i/>
          <w:lang w:eastAsia="ja-JP"/>
        </w:rPr>
        <w:t>PIC/S Guide to GMP</w:t>
      </w:r>
      <w:r>
        <w:rPr>
          <w:b/>
          <w:i/>
        </w:rPr>
        <w:t xml:space="preserve"> </w:t>
      </w:r>
      <w:r>
        <w:t xml:space="preserve">means the document </w:t>
      </w:r>
      <w:r w:rsidRPr="00767E27">
        <w:rPr>
          <w:i/>
        </w:rPr>
        <w:t>Guide to Good Manufacturing Practice for Medicinal Products</w:t>
      </w:r>
      <w:r w:rsidR="00684720">
        <w:rPr>
          <w:i/>
        </w:rPr>
        <w:t xml:space="preserve"> </w:t>
      </w:r>
      <w:r w:rsidR="00684720">
        <w:t xml:space="preserve">(PE 009-14, 1 July 2018) </w:t>
      </w:r>
      <w:r w:rsidR="00881D74">
        <w:t xml:space="preserve">published by PIC/S, </w:t>
      </w:r>
      <w:r w:rsidR="00BA0343" w:rsidRPr="00BA0343">
        <w:t xml:space="preserve">as in force or existing at the commencement of this </w:t>
      </w:r>
      <w:r w:rsidR="00BA0343">
        <w:t xml:space="preserve">instrument, </w:t>
      </w:r>
      <w:r w:rsidR="00937D30">
        <w:t xml:space="preserve">and includes the Annexes to that document other than the </w:t>
      </w:r>
      <w:r>
        <w:t>following:</w:t>
      </w:r>
    </w:p>
    <w:p w:rsidR="00144639" w:rsidRPr="00144639" w:rsidRDefault="00144639" w:rsidP="00144639">
      <w:pPr>
        <w:pStyle w:val="paragraph"/>
      </w:pPr>
      <w:r w:rsidRPr="00144639">
        <w:tab/>
        <w:t>(a)</w:t>
      </w:r>
      <w:r w:rsidRPr="00144639">
        <w:tab/>
        <w:t xml:space="preserve">Annex 4 (Manufacture of veterinary medicinal products other than </w:t>
      </w:r>
      <w:proofErr w:type="spellStart"/>
      <w:r w:rsidRPr="00144639">
        <w:t>immunologicals</w:t>
      </w:r>
      <w:proofErr w:type="spellEnd"/>
      <w:r w:rsidRPr="00144639">
        <w:t>);</w:t>
      </w:r>
    </w:p>
    <w:p w:rsidR="00144639" w:rsidRPr="00144639" w:rsidRDefault="00144639" w:rsidP="00144639">
      <w:pPr>
        <w:pStyle w:val="paragraph"/>
      </w:pPr>
      <w:r w:rsidRPr="00144639">
        <w:tab/>
        <w:t>(b)</w:t>
      </w:r>
      <w:r w:rsidRPr="00144639">
        <w:tab/>
        <w:t>Annex 5 (Manufacture of immunological veterinary medical products);</w:t>
      </w:r>
    </w:p>
    <w:p w:rsidR="00144639" w:rsidRDefault="00144639" w:rsidP="00144639">
      <w:pPr>
        <w:pStyle w:val="paragraph"/>
      </w:pPr>
      <w:r w:rsidRPr="00144639">
        <w:tab/>
        <w:t>(c)</w:t>
      </w:r>
      <w:r w:rsidRPr="00144639">
        <w:tab/>
        <w:t>Annex 14 (Manufacture of medicinal products derived from human blood or plasma).</w:t>
      </w:r>
    </w:p>
    <w:p w:rsidR="00731285" w:rsidRPr="006427AC" w:rsidRDefault="00731285" w:rsidP="00731285">
      <w:pPr>
        <w:pStyle w:val="notetext"/>
      </w:pPr>
      <w:r w:rsidRPr="006427AC">
        <w:t>Note:</w:t>
      </w:r>
      <w:r w:rsidRPr="006427AC">
        <w:tab/>
        <w:t xml:space="preserve">The PIC/S Guide to GMP is published </w:t>
      </w:r>
      <w:r w:rsidR="00262FB4" w:rsidRPr="006427AC">
        <w:t xml:space="preserve">on the PIC/S website </w:t>
      </w:r>
      <w:r w:rsidRPr="006427AC">
        <w:t xml:space="preserve">at </w:t>
      </w:r>
      <w:r w:rsidR="008F152E" w:rsidRPr="008F152E">
        <w:t>https://picscheme.org</w:t>
      </w:r>
      <w:r w:rsidR="008F152E">
        <w:t xml:space="preserve"> and reproduced on the TGA website at www.tga.gov.au.</w:t>
      </w:r>
    </w:p>
    <w:p w:rsidR="00144639" w:rsidRDefault="00144639" w:rsidP="00144639">
      <w:pPr>
        <w:pStyle w:val="Definition"/>
      </w:pPr>
      <w:proofErr w:type="gramStart"/>
      <w:r w:rsidRPr="00DA3EE4">
        <w:rPr>
          <w:b/>
          <w:i/>
        </w:rPr>
        <w:t>plasma</w:t>
      </w:r>
      <w:proofErr w:type="gramEnd"/>
      <w:r w:rsidRPr="00A72C39">
        <w:t xml:space="preserve"> </w:t>
      </w:r>
      <w:r>
        <w:t>means plasma, separated from human donor blood,</w:t>
      </w:r>
      <w:r>
        <w:rPr>
          <w:rFonts w:ascii="Arial" w:hAnsi="Arial" w:cs="Arial"/>
          <w:color w:val="000000"/>
          <w:sz w:val="20"/>
        </w:rPr>
        <w:t xml:space="preserve"> </w:t>
      </w:r>
      <w:r w:rsidRPr="00A72C39">
        <w:t xml:space="preserve">intended for a number of purposes including the </w:t>
      </w:r>
      <w:r w:rsidR="00BA0343">
        <w:t>manufacture</w:t>
      </w:r>
      <w:r w:rsidR="00BA0343" w:rsidRPr="00A72C39">
        <w:t xml:space="preserve"> </w:t>
      </w:r>
      <w:r w:rsidRPr="00A72C39">
        <w:t>of further blood components</w:t>
      </w:r>
      <w:r>
        <w:t xml:space="preserve">, the </w:t>
      </w:r>
      <w:r w:rsidR="00BA0343">
        <w:t xml:space="preserve">manufacture </w:t>
      </w:r>
      <w:r>
        <w:t xml:space="preserve">of which is </w:t>
      </w:r>
      <w:r w:rsidRPr="00A72C39">
        <w:t>required to be licensed under Part 3-3 of the Act.</w:t>
      </w:r>
    </w:p>
    <w:p w:rsidR="00421BB1" w:rsidRPr="001D62B4" w:rsidRDefault="00421BB1" w:rsidP="00421BB1">
      <w:pPr>
        <w:pStyle w:val="Definition"/>
      </w:pPr>
      <w:r>
        <w:rPr>
          <w:b/>
          <w:i/>
        </w:rPr>
        <w:t xml:space="preserve">PMF Guideline </w:t>
      </w:r>
      <w:r>
        <w:t xml:space="preserve">means the </w:t>
      </w:r>
      <w:r>
        <w:rPr>
          <w:i/>
        </w:rPr>
        <w:t>Guideline on the Scientific Data Requirements for a Plasma Master File (PMF)</w:t>
      </w:r>
      <w:r w:rsidRPr="001D62B4">
        <w:t xml:space="preserve"> </w:t>
      </w:r>
      <w:r>
        <w:t>Revision 1 (2006)</w:t>
      </w:r>
      <w:r w:rsidRPr="001D62B4">
        <w:t xml:space="preserve"> </w:t>
      </w:r>
      <w:r>
        <w:t>(EMEA/CHMP/BWP/3794/03</w:t>
      </w:r>
      <w:r w:rsidR="006F36A9">
        <w:t xml:space="preserve"> Rev. 1</w:t>
      </w:r>
      <w:r>
        <w:t xml:space="preserve">) published by the </w:t>
      </w:r>
      <w:r>
        <w:rPr>
          <w:szCs w:val="22"/>
        </w:rPr>
        <w:t>European Medicines Agency</w:t>
      </w:r>
      <w:r w:rsidR="00BA0343">
        <w:rPr>
          <w:szCs w:val="22"/>
        </w:rPr>
        <w:t xml:space="preserve">, </w:t>
      </w:r>
      <w:r w:rsidR="00BA0343" w:rsidRPr="00BA0343">
        <w:rPr>
          <w:szCs w:val="22"/>
        </w:rPr>
        <w:t>as in force or existing at the commencement of this instrumen</w:t>
      </w:r>
      <w:r w:rsidR="00BA0343">
        <w:rPr>
          <w:szCs w:val="22"/>
        </w:rPr>
        <w:t>t</w:t>
      </w:r>
      <w:r w:rsidRPr="001D62B4">
        <w:t>.</w:t>
      </w:r>
    </w:p>
    <w:p w:rsidR="00421BB1" w:rsidRDefault="00421BB1" w:rsidP="00421BB1">
      <w:pPr>
        <w:pStyle w:val="notetext"/>
      </w:pPr>
      <w:r w:rsidRPr="006427AC">
        <w:t>Note:</w:t>
      </w:r>
      <w:r w:rsidRPr="006427AC">
        <w:tab/>
        <w:t xml:space="preserve">The </w:t>
      </w:r>
      <w:r w:rsidR="00121F49" w:rsidRPr="006427AC">
        <w:t xml:space="preserve">PMF Guideline </w:t>
      </w:r>
      <w:r w:rsidRPr="006427AC">
        <w:t xml:space="preserve">is published </w:t>
      </w:r>
      <w:r w:rsidR="006F36A9" w:rsidRPr="006427AC">
        <w:t>on the European Medicines Agency</w:t>
      </w:r>
      <w:r w:rsidR="004D50D9">
        <w:t xml:space="preserve"> website</w:t>
      </w:r>
      <w:r w:rsidR="006F36A9" w:rsidRPr="006427AC">
        <w:t xml:space="preserve"> </w:t>
      </w:r>
      <w:r w:rsidRPr="006427AC">
        <w:t>at www.</w:t>
      </w:r>
      <w:r w:rsidR="00121F49" w:rsidRPr="006427AC">
        <w:t>ema.europa.eu</w:t>
      </w:r>
      <w:r w:rsidRPr="006427AC">
        <w:t>.</w:t>
      </w:r>
    </w:p>
    <w:p w:rsidR="00843089" w:rsidRPr="00843089" w:rsidRDefault="00843089" w:rsidP="00144639">
      <w:pPr>
        <w:pStyle w:val="Definition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officer </w:t>
      </w:r>
      <w:r>
        <w:t>means a</w:t>
      </w:r>
      <w:r w:rsidR="00136FF0">
        <w:t xml:space="preserve">n </w:t>
      </w:r>
      <w:r w:rsidRPr="00843089">
        <w:t>officer of the T</w:t>
      </w:r>
      <w:r>
        <w:t>herapeutic Goods Administration.</w:t>
      </w:r>
    </w:p>
    <w:p w:rsidR="00375997" w:rsidRDefault="00375997" w:rsidP="00144639">
      <w:pPr>
        <w:pStyle w:val="Definition"/>
      </w:pPr>
      <w:proofErr w:type="gramStart"/>
      <w:r>
        <w:rPr>
          <w:b/>
          <w:i/>
        </w:rPr>
        <w:t>technical</w:t>
      </w:r>
      <w:proofErr w:type="gramEnd"/>
      <w:r>
        <w:rPr>
          <w:b/>
          <w:i/>
        </w:rPr>
        <w:t xml:space="preserve"> master file</w:t>
      </w:r>
      <w:r>
        <w:t xml:space="preserve">, in relation to </w:t>
      </w:r>
      <w:r w:rsidR="004A5474">
        <w:t xml:space="preserve">the manufacture of </w:t>
      </w:r>
      <w:r>
        <w:t>therapeutic goods</w:t>
      </w:r>
      <w:r w:rsidR="009962CD">
        <w:t xml:space="preserve"> that are blood, blood components </w:t>
      </w:r>
      <w:r w:rsidR="005B3503">
        <w:t>or</w:t>
      </w:r>
      <w:r w:rsidR="009962CD">
        <w:t xml:space="preserve"> haematopoietic progenitor cells</w:t>
      </w:r>
      <w:r>
        <w:t>, means:</w:t>
      </w:r>
    </w:p>
    <w:p w:rsidR="00375997" w:rsidRDefault="00375997" w:rsidP="00375997">
      <w:pPr>
        <w:pStyle w:val="paragraph"/>
      </w:pPr>
      <w:r>
        <w:tab/>
      </w:r>
      <w:r w:rsidRPr="00144639">
        <w:t>(a)</w:t>
      </w:r>
      <w:r w:rsidRPr="00144639">
        <w:tab/>
      </w:r>
      <w:proofErr w:type="gramStart"/>
      <w:r>
        <w:t>compilations</w:t>
      </w:r>
      <w:proofErr w:type="gramEnd"/>
      <w:r>
        <w:t xml:space="preserve"> of scientific and technical data provided by a manufacturer</w:t>
      </w:r>
      <w:r w:rsidR="004A5474">
        <w:t xml:space="preserve">, including </w:t>
      </w:r>
      <w:r>
        <w:t>a description of the steps of manufacture</w:t>
      </w:r>
      <w:r w:rsidR="004A5474">
        <w:t xml:space="preserve"> that is </w:t>
      </w:r>
      <w:r>
        <w:t xml:space="preserve">consistent with the </w:t>
      </w:r>
      <w:r w:rsidR="00731082">
        <w:t xml:space="preserve">TMF </w:t>
      </w:r>
      <w:r>
        <w:t>Guideline</w:t>
      </w:r>
      <w:r w:rsidR="00561E12">
        <w:t>;</w:t>
      </w:r>
      <w:r>
        <w:t xml:space="preserve"> </w:t>
      </w:r>
      <w:r w:rsidR="00561E12">
        <w:t>and</w:t>
      </w:r>
    </w:p>
    <w:p w:rsidR="00375997" w:rsidRDefault="00375997" w:rsidP="00375997">
      <w:pPr>
        <w:pStyle w:val="paragraph"/>
      </w:pPr>
      <w:r>
        <w:tab/>
      </w:r>
      <w:r w:rsidRPr="00144639">
        <w:t>(b)</w:t>
      </w:r>
      <w:r w:rsidRPr="00144639">
        <w:tab/>
      </w:r>
      <w:proofErr w:type="gramStart"/>
      <w:r>
        <w:t>detailed</w:t>
      </w:r>
      <w:proofErr w:type="gramEnd"/>
      <w:r>
        <w:t xml:space="preserve"> scientific and technical data or information that must satisfy </w:t>
      </w:r>
      <w:r w:rsidR="00ED7270">
        <w:t xml:space="preserve">a </w:t>
      </w:r>
      <w:r w:rsidR="00843089">
        <w:t xml:space="preserve">relevant </w:t>
      </w:r>
      <w:r w:rsidR="00ED7270">
        <w:t xml:space="preserve">officer </w:t>
      </w:r>
      <w:r>
        <w:t>that:</w:t>
      </w:r>
    </w:p>
    <w:p w:rsidR="00375997" w:rsidRDefault="00375997" w:rsidP="0037599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in</w:t>
      </w:r>
      <w:proofErr w:type="gramEnd"/>
      <w:r>
        <w:t xml:space="preserve"> relation to the manufacture of blood or blood components—the therapeutic goods conform to </w:t>
      </w:r>
      <w:r w:rsidRPr="00375997">
        <w:t>TGO 102</w:t>
      </w:r>
      <w:r>
        <w:t>;</w:t>
      </w:r>
    </w:p>
    <w:p w:rsidR="00375997" w:rsidRDefault="00375997" w:rsidP="00375997">
      <w:pPr>
        <w:pStyle w:val="paragraphsub"/>
      </w:pPr>
      <w:r>
        <w:tab/>
        <w:t>(ii)</w:t>
      </w:r>
      <w:r>
        <w:tab/>
      </w:r>
      <w:proofErr w:type="gramStart"/>
      <w:r>
        <w:t>in</w:t>
      </w:r>
      <w:proofErr w:type="gramEnd"/>
      <w:r>
        <w:t xml:space="preserve"> relation to the manufacture of haematopoietic progenitor cells derived from cord blood—the therap</w:t>
      </w:r>
      <w:r w:rsidR="00561E12">
        <w:t>eutic goods conform to TGO </w:t>
      </w:r>
      <w:r>
        <w:t>94;</w:t>
      </w:r>
    </w:p>
    <w:p w:rsidR="00375997" w:rsidRPr="00375997" w:rsidRDefault="00375997" w:rsidP="009968A4">
      <w:pPr>
        <w:pStyle w:val="paragraphsub"/>
      </w:pPr>
      <w:r>
        <w:tab/>
        <w:t>(iii)</w:t>
      </w:r>
      <w:r>
        <w:tab/>
      </w:r>
      <w:proofErr w:type="gramStart"/>
      <w:r w:rsidR="009968A4">
        <w:t>in</w:t>
      </w:r>
      <w:proofErr w:type="gramEnd"/>
      <w:r w:rsidR="009968A4">
        <w:t xml:space="preserve"> relation to the manufacture of blood</w:t>
      </w:r>
      <w:r w:rsidR="004703A4">
        <w:t>, blood components</w:t>
      </w:r>
      <w:r w:rsidR="00561E12">
        <w:t>, or haematopoietic progenitor cells</w:t>
      </w:r>
      <w:r w:rsidR="009968A4">
        <w:t>—the therapeutic goods conform to TGO 88.</w:t>
      </w:r>
    </w:p>
    <w:p w:rsidR="009C736E" w:rsidRDefault="009C736E" w:rsidP="009C736E">
      <w:pPr>
        <w:pStyle w:val="Definition"/>
        <w:rPr>
          <w:i/>
          <w:iCs/>
        </w:rPr>
      </w:pPr>
      <w:r>
        <w:rPr>
          <w:b/>
          <w:bCs/>
          <w:i/>
          <w:iCs/>
        </w:rPr>
        <w:t xml:space="preserve">TGO 88 </w:t>
      </w:r>
      <w:r>
        <w:t>means the</w:t>
      </w:r>
      <w:r>
        <w:rPr>
          <w:i/>
          <w:iCs/>
        </w:rPr>
        <w:t xml:space="preserve"> Therapeutic Goods Order No. </w:t>
      </w:r>
      <w:proofErr w:type="gramStart"/>
      <w:r w:rsidRPr="008F152E">
        <w:rPr>
          <w:bCs/>
          <w:i/>
          <w:iCs/>
        </w:rPr>
        <w:t>88</w:t>
      </w:r>
      <w:r w:rsidR="00A14A69">
        <w:rPr>
          <w:bCs/>
          <w:i/>
          <w:iCs/>
        </w:rPr>
        <w:t xml:space="preserve"> </w:t>
      </w:r>
      <w:r w:rsidRPr="008F152E">
        <w:rPr>
          <w:i/>
          <w:iCs/>
        </w:rPr>
        <w:t xml:space="preserve"> </w:t>
      </w:r>
      <w:r>
        <w:rPr>
          <w:i/>
          <w:iCs/>
        </w:rPr>
        <w:t>Standards</w:t>
      </w:r>
      <w:proofErr w:type="gramEnd"/>
      <w:r>
        <w:rPr>
          <w:i/>
          <w:iCs/>
        </w:rPr>
        <w:t xml:space="preserve"> for donor selection, testing, and minimising infectious disease transmission via therapeutic goods that are human blood and blood components, human tissues and human cellular therapy products.</w:t>
      </w:r>
    </w:p>
    <w:p w:rsidR="009C736E" w:rsidRDefault="009C736E" w:rsidP="009C736E">
      <w:pPr>
        <w:pStyle w:val="notetext"/>
      </w:pPr>
      <w:r>
        <w:t>Note:</w:t>
      </w:r>
      <w:r>
        <w:tab/>
        <w:t xml:space="preserve">TGO 88 is published on the Federal Register of Legislation at </w:t>
      </w:r>
      <w:hyperlink r:id="rId19" w:history="1">
        <w:r w:rsidRPr="009C736E">
          <w:t>www.legislation.gov.au</w:t>
        </w:r>
      </w:hyperlink>
      <w:r>
        <w:t>.</w:t>
      </w:r>
    </w:p>
    <w:p w:rsidR="00521074" w:rsidRDefault="00521074" w:rsidP="00521074">
      <w:pPr>
        <w:pStyle w:val="Definition"/>
        <w:rPr>
          <w:i/>
          <w:iCs/>
        </w:rPr>
      </w:pPr>
      <w:r>
        <w:rPr>
          <w:b/>
          <w:bCs/>
          <w:i/>
          <w:iCs/>
        </w:rPr>
        <w:t>TGO 94</w:t>
      </w:r>
      <w:r w:rsidRPr="00521074">
        <w:t xml:space="preserve"> </w:t>
      </w:r>
      <w:r>
        <w:t>means the</w:t>
      </w:r>
      <w:r w:rsidRPr="00521074">
        <w:rPr>
          <w:i/>
          <w:szCs w:val="22"/>
        </w:rPr>
        <w:t xml:space="preserve"> </w:t>
      </w:r>
      <w:r w:rsidRPr="00521074">
        <w:rPr>
          <w:i/>
        </w:rPr>
        <w:t>Therapeutic Goods Order No. 94 (Standard for Haematopoietic Progenitor Cells derived from Cord Blood) 2017</w:t>
      </w:r>
      <w:r>
        <w:rPr>
          <w:i/>
          <w:iCs/>
        </w:rPr>
        <w:t>.</w:t>
      </w:r>
    </w:p>
    <w:p w:rsidR="00521074" w:rsidRDefault="00521074" w:rsidP="00521074">
      <w:pPr>
        <w:pStyle w:val="notetext"/>
      </w:pPr>
      <w:r>
        <w:t>Note:</w:t>
      </w:r>
      <w:r>
        <w:tab/>
        <w:t xml:space="preserve">TGO 94 is published on the Federal Register of Legislation at </w:t>
      </w:r>
      <w:hyperlink r:id="rId20" w:history="1">
        <w:r w:rsidRPr="009C736E">
          <w:t>www.legislation.gov.au</w:t>
        </w:r>
      </w:hyperlink>
      <w:r>
        <w:t>.</w:t>
      </w:r>
    </w:p>
    <w:p w:rsidR="009C736E" w:rsidRDefault="009C736E" w:rsidP="009C736E">
      <w:pPr>
        <w:pStyle w:val="Definition"/>
        <w:rPr>
          <w:i/>
          <w:iCs/>
        </w:rPr>
      </w:pPr>
      <w:r>
        <w:rPr>
          <w:b/>
          <w:bCs/>
          <w:i/>
          <w:iCs/>
        </w:rPr>
        <w:t xml:space="preserve">TGO 102 </w:t>
      </w:r>
      <w:r>
        <w:t>means the</w:t>
      </w:r>
      <w:r>
        <w:rPr>
          <w:i/>
          <w:iCs/>
        </w:rPr>
        <w:t xml:space="preserve"> Therapeutic Goods (Standard for Blood and Blood Components) (TGO 102) Order 2019.</w:t>
      </w:r>
    </w:p>
    <w:p w:rsidR="009C736E" w:rsidRDefault="009C736E" w:rsidP="009C736E">
      <w:pPr>
        <w:pStyle w:val="notetext"/>
      </w:pPr>
      <w:r>
        <w:lastRenderedPageBreak/>
        <w:t>Note:</w:t>
      </w:r>
      <w:r>
        <w:tab/>
        <w:t xml:space="preserve">TGO 102 is published on the Federal Register of Legislation at </w:t>
      </w:r>
      <w:r w:rsidRPr="009C736E">
        <w:t>www.legislation.gov.au</w:t>
      </w:r>
      <w:r>
        <w:t>.</w:t>
      </w:r>
    </w:p>
    <w:p w:rsidR="00144639" w:rsidRDefault="00144639" w:rsidP="00144639">
      <w:pPr>
        <w:pStyle w:val="Definition"/>
      </w:pPr>
      <w:r w:rsidRPr="00144639">
        <w:rPr>
          <w:b/>
          <w:i/>
        </w:rPr>
        <w:t>Therapeutic Goods Administration</w:t>
      </w:r>
      <w:r>
        <w:t xml:space="preserve"> or</w:t>
      </w:r>
      <w:r w:rsidRPr="00BC0BED">
        <w:rPr>
          <w:b/>
          <w:i/>
        </w:rPr>
        <w:t xml:space="preserve"> TGA</w:t>
      </w:r>
      <w:r w:rsidRPr="00BC0BED">
        <w:t xml:space="preserve"> </w:t>
      </w:r>
      <w:r w:rsidR="00692D6E">
        <w:t>means that part of the Department known as the Therapeutic Goods Administration</w:t>
      </w:r>
      <w:r w:rsidRPr="00BC0BED">
        <w:t>.</w:t>
      </w:r>
    </w:p>
    <w:p w:rsidR="00731082" w:rsidRPr="00731082" w:rsidRDefault="00731082" w:rsidP="00731082">
      <w:pPr>
        <w:pStyle w:val="Definition"/>
      </w:pPr>
      <w:r w:rsidRPr="00731082">
        <w:rPr>
          <w:b/>
          <w:i/>
        </w:rPr>
        <w:t xml:space="preserve">TMF Guideline </w:t>
      </w:r>
      <w:r>
        <w:t xml:space="preserve">means the </w:t>
      </w:r>
      <w:r w:rsidRPr="00731082">
        <w:rPr>
          <w:i/>
        </w:rPr>
        <w:t>Guideline for the Preparation of Technical Master Files for Blood, Blood Components and Haematopoietic Progenitor Cells</w:t>
      </w:r>
      <w:r w:rsidRPr="00731082">
        <w:t xml:space="preserve"> </w:t>
      </w:r>
      <w:r>
        <w:t xml:space="preserve">(Third Edition, 2008), </w:t>
      </w:r>
      <w:r w:rsidRPr="00731082">
        <w:t xml:space="preserve">published by </w:t>
      </w:r>
      <w:r>
        <w:t xml:space="preserve">the </w:t>
      </w:r>
      <w:r w:rsidR="009C736E" w:rsidRPr="009C736E">
        <w:t>Therapeutic Goods Administration</w:t>
      </w:r>
      <w:r w:rsidRPr="00731082">
        <w:t>, as in force or existing at the commencement of this instrument</w:t>
      </w:r>
      <w:r>
        <w:t>.</w:t>
      </w:r>
    </w:p>
    <w:p w:rsidR="00731082" w:rsidRDefault="00731082" w:rsidP="00731082">
      <w:pPr>
        <w:pStyle w:val="notetext"/>
      </w:pPr>
      <w:r w:rsidRPr="006427AC">
        <w:t>Note:</w:t>
      </w:r>
      <w:r w:rsidRPr="006427AC">
        <w:tab/>
        <w:t xml:space="preserve">The </w:t>
      </w:r>
      <w:r>
        <w:t>T</w:t>
      </w:r>
      <w:r w:rsidRPr="006427AC">
        <w:t xml:space="preserve">MF Guideline is published on the </w:t>
      </w:r>
      <w:r>
        <w:t xml:space="preserve">TGA website </w:t>
      </w:r>
      <w:r w:rsidRPr="006427AC">
        <w:t xml:space="preserve">at </w:t>
      </w:r>
      <w:r w:rsidR="007C5352" w:rsidRPr="00420001">
        <w:t>www.tga.gov.au</w:t>
      </w:r>
      <w:r w:rsidRPr="006427AC">
        <w:t>.</w:t>
      </w:r>
    </w:p>
    <w:p w:rsidR="007C5352" w:rsidRPr="004F6A45" w:rsidRDefault="007C5352" w:rsidP="007C5352">
      <w:pPr>
        <w:pStyle w:val="ActHead5"/>
        <w:ind w:left="0" w:firstLine="0"/>
      </w:pPr>
      <w:bookmarkStart w:id="6" w:name="_Toc44412439"/>
      <w:proofErr w:type="gramStart"/>
      <w:r>
        <w:rPr>
          <w:rStyle w:val="CharSectno"/>
        </w:rPr>
        <w:t>5</w:t>
      </w:r>
      <w:r w:rsidRPr="004F6A45">
        <w:t xml:space="preserve">  </w:t>
      </w:r>
      <w:r w:rsidR="00E831BC">
        <w:t>Repeals</w:t>
      </w:r>
      <w:bookmarkEnd w:id="6"/>
      <w:proofErr w:type="gramEnd"/>
    </w:p>
    <w:p w:rsidR="007C5352" w:rsidRDefault="007C5352" w:rsidP="007C5352">
      <w:pPr>
        <w:pStyle w:val="subsection"/>
      </w:pPr>
      <w:r>
        <w:tab/>
      </w:r>
      <w:r>
        <w:tab/>
        <w:t xml:space="preserve">Each instrument that is specified in Schedule </w:t>
      </w:r>
      <w:r w:rsidR="00E831BC">
        <w:t xml:space="preserve">2 </w:t>
      </w:r>
      <w:r>
        <w:t xml:space="preserve">is repealed as set out in the applicable items in </w:t>
      </w:r>
      <w:r w:rsidR="00E831BC">
        <w:t xml:space="preserve">that </w:t>
      </w:r>
      <w:r>
        <w:t>Schedule.</w:t>
      </w:r>
    </w:p>
    <w:p w:rsidR="00BB751F" w:rsidRPr="00EF1635" w:rsidRDefault="00BB751F" w:rsidP="00BB751F">
      <w:pPr>
        <w:pStyle w:val="ActHead2"/>
        <w:rPr>
          <w:rStyle w:val="CharPartNo"/>
        </w:rPr>
      </w:pPr>
      <w:bookmarkStart w:id="7" w:name="_Toc44412440"/>
      <w:bookmarkStart w:id="8" w:name="_Toc454781205"/>
      <w:r>
        <w:rPr>
          <w:rStyle w:val="CharPartNo"/>
        </w:rPr>
        <w:t>Part 2</w:t>
      </w:r>
      <w:r w:rsidRPr="00EF1635">
        <w:rPr>
          <w:rStyle w:val="CharPartNo"/>
        </w:rPr>
        <w:t>—</w:t>
      </w:r>
      <w:proofErr w:type="gramStart"/>
      <w:r>
        <w:rPr>
          <w:rStyle w:val="CharPartNo"/>
        </w:rPr>
        <w:t>Manufacturing</w:t>
      </w:r>
      <w:proofErr w:type="gramEnd"/>
      <w:r>
        <w:rPr>
          <w:rStyle w:val="CharPartNo"/>
        </w:rPr>
        <w:t xml:space="preserve"> principles</w:t>
      </w:r>
      <w:bookmarkEnd w:id="7"/>
    </w:p>
    <w:p w:rsidR="00554826" w:rsidRPr="00554826" w:rsidRDefault="007C5352" w:rsidP="00554826">
      <w:pPr>
        <w:pStyle w:val="ActHead5"/>
      </w:pPr>
      <w:bookmarkStart w:id="9" w:name="_Toc44412441"/>
      <w:proofErr w:type="gramStart"/>
      <w:r>
        <w:t>6</w:t>
      </w:r>
      <w:r w:rsidR="00554826" w:rsidRPr="00554826">
        <w:t xml:space="preserve">  </w:t>
      </w:r>
      <w:bookmarkEnd w:id="8"/>
      <w:r w:rsidR="00581B33">
        <w:t>Manufacturing</w:t>
      </w:r>
      <w:proofErr w:type="gramEnd"/>
      <w:r w:rsidR="00581B33">
        <w:t xml:space="preserve"> principles—therapeutic goods other than blood, blood components, haematopoietic progenitor cells</w:t>
      </w:r>
      <w:r w:rsidR="000C2B24">
        <w:t xml:space="preserve"> etc.</w:t>
      </w:r>
      <w:bookmarkEnd w:id="9"/>
    </w:p>
    <w:p w:rsidR="00876E8F" w:rsidRPr="00876E8F" w:rsidRDefault="00144639" w:rsidP="006427AC">
      <w:pPr>
        <w:pStyle w:val="subsection"/>
      </w:pPr>
      <w:r>
        <w:tab/>
      </w:r>
      <w:r>
        <w:tab/>
      </w:r>
      <w:r w:rsidRPr="00330AEA">
        <w:t>The manufacturing principles</w:t>
      </w:r>
      <w:r w:rsidR="00581B33">
        <w:t xml:space="preserve"> in Part 1 of Schedule 1 are to be observed in the manufacture of therapeutic goods</w:t>
      </w:r>
      <w:r w:rsidR="006F36A9">
        <w:t xml:space="preserve">, </w:t>
      </w:r>
      <w:r w:rsidR="0049681F">
        <w:t xml:space="preserve">including active pharmaceutical ingredients </w:t>
      </w:r>
      <w:r w:rsidR="0049681F" w:rsidRPr="00A90813">
        <w:t>and sunscreens</w:t>
      </w:r>
      <w:r w:rsidR="006F36A9" w:rsidRPr="00A90813">
        <w:t>,</w:t>
      </w:r>
      <w:r w:rsidR="0049681F" w:rsidRPr="008718A8">
        <w:t xml:space="preserve"> </w:t>
      </w:r>
      <w:r w:rsidR="00850EE7" w:rsidRPr="008718A8">
        <w:t xml:space="preserve">for use in humans, </w:t>
      </w:r>
      <w:r w:rsidR="0049681F" w:rsidRPr="006427AC">
        <w:t>other than</w:t>
      </w:r>
      <w:r w:rsidR="009E410C" w:rsidRPr="006427AC">
        <w:t xml:space="preserve"> </w:t>
      </w:r>
      <w:r w:rsidR="00F96392">
        <w:t xml:space="preserve">the therapeutic goods specified in paragraphs </w:t>
      </w:r>
      <w:r w:rsidR="007C5352">
        <w:t>7</w:t>
      </w:r>
      <w:r w:rsidR="00F96392">
        <w:t>(a) to (d)</w:t>
      </w:r>
      <w:r w:rsidR="00B9735A" w:rsidRPr="006427AC">
        <w:t>.</w:t>
      </w:r>
    </w:p>
    <w:p w:rsidR="00581B33" w:rsidRPr="00554826" w:rsidRDefault="007C5352" w:rsidP="00581B33">
      <w:pPr>
        <w:pStyle w:val="ActHead5"/>
      </w:pPr>
      <w:bookmarkStart w:id="10" w:name="_Toc44412442"/>
      <w:proofErr w:type="gramStart"/>
      <w:r>
        <w:t>7</w:t>
      </w:r>
      <w:r w:rsidR="00581B33" w:rsidRPr="00554826">
        <w:t xml:space="preserve">  </w:t>
      </w:r>
      <w:r w:rsidR="00581B33">
        <w:t>Manufacturing</w:t>
      </w:r>
      <w:proofErr w:type="gramEnd"/>
      <w:r w:rsidR="00581B33">
        <w:t xml:space="preserve"> principles—therapeutic goods that are blood, blood components, haematopoietic progenitor cells </w:t>
      </w:r>
      <w:r w:rsidR="00A04445">
        <w:t xml:space="preserve">and biologicals that </w:t>
      </w:r>
      <w:r w:rsidR="00140AF6">
        <w:t xml:space="preserve">do not </w:t>
      </w:r>
      <w:r w:rsidR="00A04445">
        <w:t>contain live a</w:t>
      </w:r>
      <w:r w:rsidR="00140AF6">
        <w:t>n</w:t>
      </w:r>
      <w:r w:rsidR="00A04445">
        <w:t>imal cells, tissues or organs</w:t>
      </w:r>
      <w:bookmarkEnd w:id="10"/>
    </w:p>
    <w:p w:rsidR="00941C63" w:rsidRDefault="00581B33" w:rsidP="00E36DE3">
      <w:pPr>
        <w:pStyle w:val="subsection"/>
      </w:pPr>
      <w:r>
        <w:tab/>
      </w:r>
      <w:r>
        <w:tab/>
      </w:r>
      <w:r w:rsidR="00850EE7" w:rsidRPr="00330AEA">
        <w:t>The manufacturing principles</w:t>
      </w:r>
      <w:r w:rsidR="00850EE7">
        <w:t xml:space="preserve"> in Part 2 of Schedule 1 are to be observed in the manufacture of </w:t>
      </w:r>
      <w:r w:rsidR="00941C63">
        <w:t xml:space="preserve">the following </w:t>
      </w:r>
      <w:r w:rsidR="00850EE7">
        <w:t>therapeutic goods for use in humans</w:t>
      </w:r>
      <w:r w:rsidR="00941C63">
        <w:t>:</w:t>
      </w:r>
    </w:p>
    <w:p w:rsidR="00F96392" w:rsidRDefault="00941C63" w:rsidP="00F96392">
      <w:pPr>
        <w:pStyle w:val="paragraph"/>
      </w:pPr>
      <w:r>
        <w:tab/>
      </w:r>
      <w:r w:rsidR="00F96392">
        <w:t>(a)</w:t>
      </w:r>
      <w:r w:rsidR="00F96392">
        <w:tab/>
      </w:r>
      <w:proofErr w:type="gramStart"/>
      <w:r w:rsidR="00F96392" w:rsidRPr="00941C63">
        <w:t>biologicals</w:t>
      </w:r>
      <w:proofErr w:type="gramEnd"/>
      <w:r w:rsidR="00F96392" w:rsidRPr="00941C63">
        <w:t xml:space="preserve"> that do not</w:t>
      </w:r>
      <w:r w:rsidR="00F96392">
        <w:t xml:space="preserve"> comprise or contain:</w:t>
      </w:r>
    </w:p>
    <w:p w:rsidR="00F96392" w:rsidRPr="00876E8F" w:rsidRDefault="00F96392" w:rsidP="00F96392">
      <w:pPr>
        <w:pStyle w:val="paragraphsub"/>
      </w:pPr>
      <w:r w:rsidRPr="00876E8F">
        <w:tab/>
        <w:t>(</w:t>
      </w:r>
      <w:proofErr w:type="spellStart"/>
      <w:r w:rsidRPr="00876E8F">
        <w:t>i</w:t>
      </w:r>
      <w:proofErr w:type="spellEnd"/>
      <w:r w:rsidRPr="00876E8F">
        <w:t>)</w:t>
      </w:r>
      <w:r w:rsidRPr="00876E8F">
        <w:tab/>
      </w:r>
      <w:proofErr w:type="gramStart"/>
      <w:r w:rsidRPr="00876E8F">
        <w:t>live</w:t>
      </w:r>
      <w:proofErr w:type="gramEnd"/>
      <w:r w:rsidRPr="00876E8F">
        <w:t xml:space="preserve"> animal cells;</w:t>
      </w:r>
      <w:r>
        <w:t xml:space="preserve"> or</w:t>
      </w:r>
    </w:p>
    <w:p w:rsidR="00F96392" w:rsidRPr="00876E8F" w:rsidRDefault="00F96392" w:rsidP="00F96392">
      <w:pPr>
        <w:pStyle w:val="paragraphsub"/>
      </w:pPr>
      <w:r w:rsidRPr="00876E8F">
        <w:tab/>
        <w:t>(ii)</w:t>
      </w:r>
      <w:r w:rsidRPr="00876E8F">
        <w:tab/>
      </w:r>
      <w:proofErr w:type="gramStart"/>
      <w:r w:rsidRPr="00876E8F">
        <w:t>live</w:t>
      </w:r>
      <w:proofErr w:type="gramEnd"/>
      <w:r w:rsidRPr="00876E8F">
        <w:t xml:space="preserve"> animal tissues;</w:t>
      </w:r>
      <w:r>
        <w:t xml:space="preserve"> or</w:t>
      </w:r>
    </w:p>
    <w:p w:rsidR="00F96392" w:rsidRPr="00876E8F" w:rsidRDefault="00F96392" w:rsidP="00F96392">
      <w:pPr>
        <w:pStyle w:val="paragraphsub"/>
      </w:pPr>
      <w:r w:rsidRPr="00876E8F">
        <w:tab/>
        <w:t>(iii)</w:t>
      </w:r>
      <w:r w:rsidRPr="00876E8F">
        <w:tab/>
      </w:r>
      <w:proofErr w:type="gramStart"/>
      <w:r w:rsidRPr="00876E8F">
        <w:t>live</w:t>
      </w:r>
      <w:proofErr w:type="gramEnd"/>
      <w:r w:rsidRPr="00876E8F">
        <w:t xml:space="preserve"> animal organs</w:t>
      </w:r>
      <w:r>
        <w:t>;</w:t>
      </w:r>
    </w:p>
    <w:p w:rsidR="00941C63" w:rsidRPr="00876E8F" w:rsidRDefault="00F96392" w:rsidP="00F96392">
      <w:pPr>
        <w:pStyle w:val="paragraph"/>
      </w:pPr>
      <w:r>
        <w:tab/>
      </w:r>
      <w:r w:rsidR="00941C63" w:rsidRPr="00876E8F">
        <w:t>(</w:t>
      </w:r>
      <w:r>
        <w:t>b</w:t>
      </w:r>
      <w:r w:rsidR="00941C63" w:rsidRPr="00876E8F">
        <w:t>)</w:t>
      </w:r>
      <w:r w:rsidR="00941C63" w:rsidRPr="00876E8F">
        <w:tab/>
      </w:r>
      <w:proofErr w:type="gramStart"/>
      <w:r w:rsidR="00941C63" w:rsidRPr="00876E8F">
        <w:t>blood</w:t>
      </w:r>
      <w:proofErr w:type="gramEnd"/>
      <w:r w:rsidR="00941C63" w:rsidRPr="00876E8F">
        <w:t>;</w:t>
      </w:r>
    </w:p>
    <w:p w:rsidR="00941C63" w:rsidRPr="00876E8F" w:rsidRDefault="00941C63" w:rsidP="00941C63">
      <w:pPr>
        <w:pStyle w:val="paragraph"/>
      </w:pPr>
      <w:r w:rsidRPr="00876E8F">
        <w:tab/>
        <w:t>(</w:t>
      </w:r>
      <w:r w:rsidR="00F96392">
        <w:t>c</w:t>
      </w:r>
      <w:r w:rsidRPr="00876E8F">
        <w:t>)</w:t>
      </w:r>
      <w:r w:rsidRPr="00876E8F">
        <w:tab/>
      </w:r>
      <w:proofErr w:type="gramStart"/>
      <w:r w:rsidRPr="00876E8F">
        <w:t>blood</w:t>
      </w:r>
      <w:proofErr w:type="gramEnd"/>
      <w:r w:rsidRPr="00876E8F">
        <w:t xml:space="preserve"> components;</w:t>
      </w:r>
    </w:p>
    <w:p w:rsidR="00941C63" w:rsidRPr="00876E8F" w:rsidRDefault="00941C63" w:rsidP="006427AC">
      <w:pPr>
        <w:pStyle w:val="paragraph"/>
      </w:pPr>
      <w:r w:rsidRPr="00941C63">
        <w:tab/>
        <w:t>(</w:t>
      </w:r>
      <w:r w:rsidR="00F96392">
        <w:t>d</w:t>
      </w:r>
      <w:r w:rsidRPr="00941C63">
        <w:t>)</w:t>
      </w:r>
      <w:r w:rsidRPr="00941C63">
        <w:tab/>
      </w:r>
      <w:proofErr w:type="gramStart"/>
      <w:r w:rsidRPr="00941C63">
        <w:t>haematopoietic</w:t>
      </w:r>
      <w:proofErr w:type="gramEnd"/>
      <w:r w:rsidRPr="00941C63">
        <w:t xml:space="preserve"> progenitor cells</w:t>
      </w:r>
      <w:r w:rsidR="00F96392">
        <w:t>.</w:t>
      </w:r>
    </w:p>
    <w:p w:rsidR="00850EE7" w:rsidRDefault="00850EE7" w:rsidP="00850EE7">
      <w:pPr>
        <w:pStyle w:val="notetext"/>
        <w:rPr>
          <w:color w:val="000000"/>
          <w:shd w:val="clear" w:color="auto" w:fill="FFFFFF"/>
        </w:rPr>
      </w:pPr>
      <w:r w:rsidRPr="009E410C">
        <w:rPr>
          <w:color w:val="000000"/>
          <w:shd w:val="clear" w:color="auto" w:fill="FFFFFF"/>
        </w:rPr>
        <w:t>Note</w:t>
      </w:r>
      <w:r w:rsidR="00420001">
        <w:rPr>
          <w:color w:val="000000"/>
          <w:shd w:val="clear" w:color="auto" w:fill="FFFFFF"/>
        </w:rPr>
        <w:t xml:space="preserve"> 1</w:t>
      </w:r>
      <w:r w:rsidRPr="009E410C">
        <w:rPr>
          <w:color w:val="000000"/>
          <w:shd w:val="clear" w:color="auto" w:fill="FFFFFF"/>
        </w:rPr>
        <w:t xml:space="preserve">: </w:t>
      </w:r>
      <w:r w:rsidRPr="009E410C">
        <w:rPr>
          <w:color w:val="000000"/>
          <w:shd w:val="clear" w:color="auto" w:fill="FFFFFF"/>
        </w:rPr>
        <w:tab/>
        <w:t xml:space="preserve">The manufacturing principles to be observed in the manufacture of </w:t>
      </w:r>
      <w:r w:rsidR="00F96392">
        <w:rPr>
          <w:color w:val="000000"/>
          <w:shd w:val="clear" w:color="auto" w:fill="FFFFFF"/>
        </w:rPr>
        <w:t xml:space="preserve">biologicals </w:t>
      </w:r>
      <w:r w:rsidRPr="009E410C">
        <w:rPr>
          <w:color w:val="000000"/>
          <w:shd w:val="clear" w:color="auto" w:fill="FFFFFF"/>
        </w:rPr>
        <w:t xml:space="preserve">that comprise or </w:t>
      </w:r>
      <w:r w:rsidRPr="00A04445">
        <w:rPr>
          <w:color w:val="000000"/>
          <w:shd w:val="clear" w:color="auto" w:fill="FFFFFF"/>
        </w:rPr>
        <w:t>contain live animal cells</w:t>
      </w:r>
      <w:r w:rsidRPr="009E410C">
        <w:rPr>
          <w:color w:val="000000"/>
          <w:shd w:val="clear" w:color="auto" w:fill="FFFFFF"/>
        </w:rPr>
        <w:t>, tissues or organs are those set out in Part 1 of Schedule 1</w:t>
      </w:r>
      <w:r w:rsidR="00A04445">
        <w:rPr>
          <w:color w:val="000000"/>
          <w:shd w:val="clear" w:color="auto" w:fill="FFFFFF"/>
        </w:rPr>
        <w:t xml:space="preserve"> (</w:t>
      </w:r>
      <w:r w:rsidRPr="009E410C">
        <w:rPr>
          <w:color w:val="000000"/>
          <w:shd w:val="clear" w:color="auto" w:fill="FFFFFF"/>
        </w:rPr>
        <w:t>and not those set out in Part 2 of Schedule 1</w:t>
      </w:r>
      <w:r w:rsidR="00A04445">
        <w:rPr>
          <w:color w:val="000000"/>
          <w:shd w:val="clear" w:color="auto" w:fill="FFFFFF"/>
        </w:rPr>
        <w:t>)</w:t>
      </w:r>
      <w:r w:rsidRPr="009E410C">
        <w:rPr>
          <w:color w:val="000000"/>
          <w:shd w:val="clear" w:color="auto" w:fill="FFFFFF"/>
        </w:rPr>
        <w:t>.</w:t>
      </w:r>
    </w:p>
    <w:p w:rsidR="00420001" w:rsidRPr="00144639" w:rsidRDefault="00420001" w:rsidP="00850EE7">
      <w:pPr>
        <w:pStyle w:val="notetext"/>
      </w:pPr>
      <w:r>
        <w:rPr>
          <w:color w:val="000000"/>
          <w:shd w:val="clear" w:color="auto" w:fill="FFFFFF"/>
        </w:rPr>
        <w:t>Note 2:</w:t>
      </w:r>
      <w:r>
        <w:rPr>
          <w:color w:val="000000"/>
          <w:shd w:val="clear" w:color="auto" w:fill="FFFFFF"/>
        </w:rPr>
        <w:tab/>
      </w:r>
      <w:r w:rsidR="00866DDE">
        <w:rPr>
          <w:color w:val="000000"/>
          <w:shd w:val="clear" w:color="auto" w:fill="FFFFFF"/>
        </w:rPr>
        <w:t xml:space="preserve">Plasma is a blood component, see section 4 for definitions of </w:t>
      </w:r>
      <w:r w:rsidR="00866DDE" w:rsidRPr="00AE208C">
        <w:rPr>
          <w:b/>
          <w:i/>
          <w:color w:val="000000"/>
          <w:shd w:val="clear" w:color="auto" w:fill="FFFFFF"/>
        </w:rPr>
        <w:t>blood components</w:t>
      </w:r>
      <w:r w:rsidR="00866DDE">
        <w:rPr>
          <w:color w:val="000000"/>
          <w:shd w:val="clear" w:color="auto" w:fill="FFFFFF"/>
        </w:rPr>
        <w:t xml:space="preserve"> and </w:t>
      </w:r>
      <w:r w:rsidR="00866DDE" w:rsidRPr="00AE208C">
        <w:rPr>
          <w:b/>
          <w:i/>
          <w:color w:val="000000"/>
          <w:shd w:val="clear" w:color="auto" w:fill="FFFFFF"/>
        </w:rPr>
        <w:t>plasma</w:t>
      </w:r>
      <w:r w:rsidR="00866DDE">
        <w:rPr>
          <w:color w:val="000000"/>
          <w:shd w:val="clear" w:color="auto" w:fill="FFFFFF"/>
        </w:rPr>
        <w:t>.</w:t>
      </w:r>
    </w:p>
    <w:p w:rsidR="00BB751F" w:rsidRPr="00EF1635" w:rsidRDefault="00BB751F" w:rsidP="00BB751F">
      <w:pPr>
        <w:pStyle w:val="ActHead2"/>
        <w:rPr>
          <w:rStyle w:val="CharPartNo"/>
        </w:rPr>
      </w:pPr>
      <w:bookmarkStart w:id="11" w:name="_Toc44412443"/>
      <w:bookmarkStart w:id="12" w:name="_Toc535505410"/>
      <w:bookmarkStart w:id="13" w:name="_Toc2071509"/>
      <w:r>
        <w:rPr>
          <w:rStyle w:val="CharPartNo"/>
        </w:rPr>
        <w:t>Part 3</w:t>
      </w:r>
      <w:r w:rsidRPr="00EF1635">
        <w:rPr>
          <w:rStyle w:val="CharPartNo"/>
        </w:rPr>
        <w:t>—</w:t>
      </w:r>
      <w:r w:rsidRPr="006427AC">
        <w:rPr>
          <w:rStyle w:val="CharPartNo"/>
        </w:rPr>
        <w:t>T</w:t>
      </w:r>
      <w:r>
        <w:rPr>
          <w:rStyle w:val="CharPartNo"/>
        </w:rPr>
        <w:t>ransitional</w:t>
      </w:r>
      <w:bookmarkEnd w:id="11"/>
    </w:p>
    <w:p w:rsidR="000B6135" w:rsidRPr="0082097E" w:rsidRDefault="007C5352" w:rsidP="000B6135">
      <w:pPr>
        <w:pStyle w:val="ActHead5"/>
        <w:rPr>
          <w:szCs w:val="24"/>
        </w:rPr>
      </w:pPr>
      <w:bookmarkStart w:id="14" w:name="_Toc44412444"/>
      <w:proofErr w:type="gramStart"/>
      <w:r>
        <w:rPr>
          <w:szCs w:val="24"/>
        </w:rPr>
        <w:t>8</w:t>
      </w:r>
      <w:r w:rsidR="000B6135" w:rsidRPr="0082097E">
        <w:rPr>
          <w:szCs w:val="24"/>
        </w:rPr>
        <w:t xml:space="preserve">  </w:t>
      </w:r>
      <w:r>
        <w:rPr>
          <w:szCs w:val="24"/>
        </w:rPr>
        <w:t>Definitions</w:t>
      </w:r>
      <w:bookmarkEnd w:id="12"/>
      <w:bookmarkEnd w:id="13"/>
      <w:bookmarkEnd w:id="14"/>
      <w:proofErr w:type="gramEnd"/>
    </w:p>
    <w:p w:rsidR="007C5352" w:rsidRPr="007C5352" w:rsidRDefault="000B6135" w:rsidP="007C5352">
      <w:pPr>
        <w:pStyle w:val="subsection"/>
        <w:rPr>
          <w:rFonts w:eastAsia="Cambria"/>
          <w:lang w:val="en-US"/>
        </w:rPr>
      </w:pPr>
      <w:r w:rsidRPr="0082097E">
        <w:rPr>
          <w:rFonts w:eastAsia="Cambria"/>
          <w:lang w:val="en-US"/>
        </w:rPr>
        <w:tab/>
      </w:r>
      <w:r w:rsidR="007C5352" w:rsidRPr="007C5352">
        <w:rPr>
          <w:rFonts w:eastAsia="Cambria"/>
          <w:lang w:val="en-US"/>
        </w:rPr>
        <w:tab/>
        <w:t xml:space="preserve">In this </w:t>
      </w:r>
      <w:r w:rsidR="007C5352">
        <w:rPr>
          <w:rFonts w:eastAsia="Cambria"/>
          <w:lang w:val="en-US"/>
        </w:rPr>
        <w:t>Part</w:t>
      </w:r>
      <w:r w:rsidR="007C5352" w:rsidRPr="007C5352">
        <w:rPr>
          <w:rFonts w:eastAsia="Cambria"/>
          <w:lang w:val="en-US"/>
        </w:rPr>
        <w:t>:</w:t>
      </w:r>
    </w:p>
    <w:p w:rsidR="0024256B" w:rsidRDefault="007C5352" w:rsidP="00420001">
      <w:pPr>
        <w:pStyle w:val="Definition"/>
        <w:rPr>
          <w:bCs/>
          <w:iCs/>
        </w:rPr>
      </w:pPr>
      <w:proofErr w:type="gramStart"/>
      <w:r w:rsidRPr="00420001">
        <w:rPr>
          <w:b/>
          <w:bCs/>
          <w:i/>
          <w:iCs/>
        </w:rPr>
        <w:t>former</w:t>
      </w:r>
      <w:proofErr w:type="gramEnd"/>
      <w:r w:rsidRPr="00420001">
        <w:rPr>
          <w:b/>
          <w:bCs/>
          <w:i/>
          <w:iCs/>
        </w:rPr>
        <w:t xml:space="preserve"> instrument </w:t>
      </w:r>
      <w:r w:rsidRPr="00420001">
        <w:rPr>
          <w:bCs/>
          <w:iCs/>
        </w:rPr>
        <w:t>means the instrument specified in Schedule 2, as in force immediately before the commencement of this instrument</w:t>
      </w:r>
      <w:r w:rsidR="0089695D" w:rsidRPr="00420001">
        <w:rPr>
          <w:bCs/>
          <w:iCs/>
        </w:rPr>
        <w:t>.</w:t>
      </w:r>
    </w:p>
    <w:p w:rsidR="007C5352" w:rsidRPr="00420001" w:rsidRDefault="00420001" w:rsidP="00420001">
      <w:pPr>
        <w:pStyle w:val="Definition"/>
        <w:rPr>
          <w:bCs/>
          <w:iCs/>
        </w:rPr>
      </w:pPr>
      <w:r>
        <w:rPr>
          <w:rFonts w:eastAsia="Cambria"/>
          <w:b/>
          <w:i/>
          <w:lang w:val="en-US"/>
        </w:rPr>
        <w:t>Transition N</w:t>
      </w:r>
      <w:r w:rsidR="007C5352" w:rsidRPr="007C5352">
        <w:rPr>
          <w:rFonts w:eastAsia="Cambria"/>
          <w:b/>
          <w:i/>
          <w:lang w:val="en-US"/>
        </w:rPr>
        <w:t xml:space="preserve">otice </w:t>
      </w:r>
      <w:r w:rsidR="007C5352" w:rsidRPr="007C5352">
        <w:rPr>
          <w:rFonts w:eastAsia="Cambria"/>
          <w:lang w:val="en-US"/>
        </w:rPr>
        <w:t>means</w:t>
      </w:r>
      <w:r w:rsidR="007C5352" w:rsidRPr="007C5352">
        <w:rPr>
          <w:rFonts w:eastAsia="Cambria"/>
          <w:i/>
          <w:lang w:val="en-US"/>
        </w:rPr>
        <w:t xml:space="preserve"> Transition to new GMP requirements for medicinal products </w:t>
      </w:r>
      <w:r w:rsidR="007C5352" w:rsidRPr="007C5352">
        <w:rPr>
          <w:rFonts w:eastAsia="Cambria"/>
        </w:rPr>
        <w:t>(Version 1.0, June 2020),</w:t>
      </w:r>
      <w:r w:rsidR="007C5352" w:rsidRPr="007C5352">
        <w:rPr>
          <w:rFonts w:eastAsia="Cambria"/>
          <w:i/>
        </w:rPr>
        <w:t xml:space="preserve"> </w:t>
      </w:r>
      <w:r w:rsidR="007C5352" w:rsidRPr="007C5352">
        <w:rPr>
          <w:rFonts w:eastAsia="Cambria"/>
        </w:rPr>
        <w:t>published by the Therapeutic Goods Administration, as in force or existing at the commencement of this instrument.</w:t>
      </w:r>
    </w:p>
    <w:p w:rsidR="007C5352" w:rsidRPr="00420001" w:rsidRDefault="00420001" w:rsidP="00420001">
      <w:pPr>
        <w:pStyle w:val="notetext"/>
      </w:pPr>
      <w:r>
        <w:t>Note:</w:t>
      </w:r>
      <w:r>
        <w:tab/>
        <w:t>The Transition N</w:t>
      </w:r>
      <w:r w:rsidR="007C5352" w:rsidRPr="00420001">
        <w:t>otice is published on the TGA website at www.tga.gov.au.</w:t>
      </w:r>
    </w:p>
    <w:p w:rsidR="007C5352" w:rsidRPr="0024256B" w:rsidRDefault="00F05395" w:rsidP="00420001">
      <w:pPr>
        <w:pStyle w:val="Definition"/>
        <w:rPr>
          <w:rFonts w:eastAsia="Cambria"/>
          <w:lang w:val="en-US"/>
        </w:rPr>
      </w:pPr>
      <w:proofErr w:type="gramStart"/>
      <w:r>
        <w:rPr>
          <w:rFonts w:eastAsia="Cambria"/>
          <w:b/>
          <w:i/>
          <w:lang w:val="en-US"/>
        </w:rPr>
        <w:t>t</w:t>
      </w:r>
      <w:r w:rsidR="007C5352" w:rsidRPr="007C5352">
        <w:rPr>
          <w:rFonts w:eastAsia="Cambria"/>
          <w:b/>
          <w:i/>
          <w:lang w:val="en-US"/>
        </w:rPr>
        <w:t>ransition</w:t>
      </w:r>
      <w:proofErr w:type="gramEnd"/>
      <w:r>
        <w:rPr>
          <w:rFonts w:eastAsia="Cambria"/>
          <w:b/>
          <w:i/>
          <w:lang w:val="en-US"/>
        </w:rPr>
        <w:t xml:space="preserve"> </w:t>
      </w:r>
      <w:r w:rsidR="007C5352" w:rsidRPr="007C5352">
        <w:rPr>
          <w:rFonts w:eastAsia="Cambria"/>
          <w:b/>
          <w:i/>
          <w:lang w:val="en-US"/>
        </w:rPr>
        <w:t xml:space="preserve">period </w:t>
      </w:r>
      <w:r w:rsidR="007C5352" w:rsidRPr="0024256B">
        <w:rPr>
          <w:rFonts w:eastAsia="Cambria"/>
          <w:lang w:val="en-US"/>
        </w:rPr>
        <w:t>means the period beginning on the commencement of this instrument and ending on 30 June 2021</w:t>
      </w:r>
      <w:r w:rsidR="00420001">
        <w:rPr>
          <w:rFonts w:eastAsia="Cambria"/>
          <w:lang w:val="en-US"/>
        </w:rPr>
        <w:t>,</w:t>
      </w:r>
      <w:r w:rsidR="00A144F1" w:rsidRPr="0024256B">
        <w:rPr>
          <w:rFonts w:eastAsia="Cambria"/>
          <w:lang w:val="en-US"/>
        </w:rPr>
        <w:t xml:space="preserve"> during which the manufacturer must transition to the manufacturing principles determined under this ins</w:t>
      </w:r>
      <w:r w:rsidR="00420001">
        <w:rPr>
          <w:rFonts w:eastAsia="Cambria"/>
          <w:lang w:val="en-US"/>
        </w:rPr>
        <w:t>trument in accordance with the Transition N</w:t>
      </w:r>
      <w:r w:rsidR="00A144F1" w:rsidRPr="0024256B">
        <w:rPr>
          <w:rFonts w:eastAsia="Cambria"/>
          <w:lang w:val="en-US"/>
        </w:rPr>
        <w:t>otice.</w:t>
      </w:r>
    </w:p>
    <w:p w:rsidR="004E2876" w:rsidRDefault="004E2876">
      <w:pPr>
        <w:spacing w:line="240" w:lineRule="auto"/>
        <w:rPr>
          <w:rFonts w:eastAsia="Cambria" w:cs="Times New Roman"/>
          <w:b/>
          <w:i/>
          <w:lang w:val="en-US" w:eastAsia="en-AU"/>
        </w:rPr>
      </w:pPr>
      <w:r>
        <w:rPr>
          <w:rFonts w:eastAsia="Cambria"/>
          <w:b/>
          <w:i/>
          <w:lang w:val="en-US"/>
        </w:rPr>
        <w:lastRenderedPageBreak/>
        <w:br w:type="page"/>
      </w:r>
    </w:p>
    <w:p w:rsidR="006A5FCE" w:rsidRDefault="007C5352" w:rsidP="00420001">
      <w:pPr>
        <w:pStyle w:val="ActHead5"/>
        <w:rPr>
          <w:rFonts w:eastAsia="Cambria"/>
          <w:lang w:val="en-US"/>
        </w:rPr>
      </w:pPr>
      <w:bookmarkStart w:id="15" w:name="_Toc44412445"/>
      <w:proofErr w:type="gramStart"/>
      <w:r>
        <w:rPr>
          <w:szCs w:val="24"/>
        </w:rPr>
        <w:lastRenderedPageBreak/>
        <w:t>9</w:t>
      </w:r>
      <w:r w:rsidRPr="0082097E">
        <w:rPr>
          <w:szCs w:val="24"/>
        </w:rPr>
        <w:t xml:space="preserve">  </w:t>
      </w:r>
      <w:r>
        <w:rPr>
          <w:szCs w:val="24"/>
        </w:rPr>
        <w:t>Transitional</w:t>
      </w:r>
      <w:bookmarkEnd w:id="15"/>
      <w:proofErr w:type="gramEnd"/>
    </w:p>
    <w:p w:rsidR="00A144F1" w:rsidRDefault="00A144F1" w:rsidP="00420001">
      <w:pPr>
        <w:pStyle w:val="subsection"/>
        <w:rPr>
          <w:rFonts w:eastAsia="Cambria"/>
          <w:lang w:val="en-US"/>
        </w:rPr>
      </w:pPr>
      <w:r>
        <w:rPr>
          <w:rFonts w:eastAsia="Cambria"/>
          <w:lang w:val="en-US"/>
        </w:rPr>
        <w:tab/>
      </w:r>
      <w:r w:rsidR="006A5FCE">
        <w:rPr>
          <w:rFonts w:eastAsia="Cambria"/>
          <w:lang w:val="en-US"/>
        </w:rPr>
        <w:tab/>
      </w:r>
      <w:r w:rsidR="000B6135" w:rsidRPr="0082097E">
        <w:rPr>
          <w:rFonts w:eastAsia="Cambria"/>
          <w:lang w:val="en-US"/>
        </w:rPr>
        <w:t xml:space="preserve">Despite the repeal of the </w:t>
      </w:r>
      <w:r w:rsidR="0047538D" w:rsidRPr="0082097E">
        <w:rPr>
          <w:rFonts w:eastAsia="Cambria"/>
          <w:lang w:val="en-US"/>
        </w:rPr>
        <w:t>f</w:t>
      </w:r>
      <w:r w:rsidR="000B6135" w:rsidRPr="0082097E">
        <w:rPr>
          <w:rFonts w:eastAsia="Cambria"/>
          <w:lang w:val="en-US"/>
        </w:rPr>
        <w:t xml:space="preserve">ormer </w:t>
      </w:r>
      <w:r w:rsidR="0047538D" w:rsidRPr="0082097E">
        <w:rPr>
          <w:rFonts w:eastAsia="Cambria"/>
          <w:lang w:val="en-US"/>
        </w:rPr>
        <w:t>instrument</w:t>
      </w:r>
      <w:r w:rsidR="00643547" w:rsidRPr="0082097E">
        <w:rPr>
          <w:rFonts w:eastAsia="Cambria"/>
          <w:lang w:val="en-US"/>
        </w:rPr>
        <w:t xml:space="preserve"> </w:t>
      </w:r>
      <w:r w:rsidR="0047538D" w:rsidRPr="0082097E">
        <w:rPr>
          <w:rFonts w:eastAsia="Cambria"/>
          <w:lang w:val="en-US"/>
        </w:rPr>
        <w:t xml:space="preserve">made by </w:t>
      </w:r>
      <w:r w:rsidR="00643547" w:rsidRPr="0082097E">
        <w:rPr>
          <w:rFonts w:eastAsia="Cambria"/>
          <w:lang w:val="en-US"/>
        </w:rPr>
        <w:t xml:space="preserve">section </w:t>
      </w:r>
      <w:r w:rsidR="007C5352">
        <w:rPr>
          <w:rFonts w:eastAsia="Cambria"/>
          <w:lang w:val="en-US"/>
        </w:rPr>
        <w:t>5</w:t>
      </w:r>
      <w:r w:rsidR="000B6135" w:rsidRPr="0082097E">
        <w:rPr>
          <w:rFonts w:eastAsia="Cambria"/>
          <w:lang w:val="en-US"/>
        </w:rPr>
        <w:t xml:space="preserve">, </w:t>
      </w:r>
      <w:r w:rsidR="004E2876">
        <w:rPr>
          <w:rFonts w:eastAsia="Cambria"/>
          <w:lang w:val="en-US"/>
        </w:rPr>
        <w:t xml:space="preserve">the manufacturing principles </w:t>
      </w:r>
      <w:r w:rsidR="004904C0">
        <w:rPr>
          <w:rFonts w:eastAsia="Cambria"/>
          <w:lang w:val="en-US"/>
        </w:rPr>
        <w:t xml:space="preserve">determined under that </w:t>
      </w:r>
      <w:r w:rsidR="00643547" w:rsidRPr="0082097E">
        <w:rPr>
          <w:rFonts w:eastAsia="Cambria"/>
          <w:lang w:val="en-US"/>
        </w:rPr>
        <w:t>instrument</w:t>
      </w:r>
      <w:r w:rsidR="000B6135" w:rsidRPr="0082097E">
        <w:rPr>
          <w:rFonts w:eastAsia="Cambria"/>
          <w:lang w:val="en-US"/>
        </w:rPr>
        <w:t xml:space="preserve"> </w:t>
      </w:r>
      <w:r>
        <w:rPr>
          <w:rFonts w:eastAsia="Cambria"/>
          <w:lang w:val="en-US"/>
        </w:rPr>
        <w:t>may be observed by a manufacturer</w:t>
      </w:r>
      <w:r w:rsidR="004904C0">
        <w:rPr>
          <w:rFonts w:eastAsia="Cambria"/>
          <w:lang w:val="en-US"/>
        </w:rPr>
        <w:t xml:space="preserve"> </w:t>
      </w:r>
      <w:r w:rsidR="0089695D">
        <w:rPr>
          <w:rFonts w:eastAsia="Cambria"/>
          <w:lang w:val="en-US"/>
        </w:rPr>
        <w:t xml:space="preserve">in relation to the manufacture of </w:t>
      </w:r>
      <w:r w:rsidR="0024256B" w:rsidRPr="0064299D">
        <w:rPr>
          <w:bCs/>
          <w:iCs/>
        </w:rPr>
        <w:t>therapeutic goods mentioned in section 6</w:t>
      </w:r>
      <w:r w:rsidR="0024256B">
        <w:rPr>
          <w:bCs/>
          <w:iCs/>
        </w:rPr>
        <w:t xml:space="preserve"> </w:t>
      </w:r>
      <w:r>
        <w:rPr>
          <w:rFonts w:eastAsia="Cambria"/>
          <w:lang w:val="en-US"/>
        </w:rPr>
        <w:t>for</w:t>
      </w:r>
      <w:r w:rsidR="006D5E75" w:rsidRPr="0082097E">
        <w:rPr>
          <w:rFonts w:eastAsia="Cambria"/>
          <w:lang w:val="en-US"/>
        </w:rPr>
        <w:t xml:space="preserve"> the transitio</w:t>
      </w:r>
      <w:r>
        <w:rPr>
          <w:rFonts w:eastAsia="Cambria"/>
          <w:lang w:val="en-US"/>
        </w:rPr>
        <w:t xml:space="preserve">n </w:t>
      </w:r>
      <w:r w:rsidR="006D5E75" w:rsidRPr="0082097E">
        <w:rPr>
          <w:rFonts w:eastAsia="Cambria"/>
          <w:lang w:val="en-US"/>
        </w:rPr>
        <w:t>period</w:t>
      </w:r>
      <w:r>
        <w:rPr>
          <w:rFonts w:eastAsia="Cambria"/>
          <w:lang w:val="en-US"/>
        </w:rPr>
        <w:t>.</w:t>
      </w:r>
    </w:p>
    <w:p w:rsidR="00ED2E19" w:rsidRPr="00ED2E19" w:rsidRDefault="00ED2E19" w:rsidP="00420001">
      <w:pPr>
        <w:pStyle w:val="subsection"/>
        <w:ind w:left="0" w:firstLine="0"/>
      </w:pPr>
    </w:p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Pr="006427AC" w:rsidRDefault="004E1307" w:rsidP="006427AC">
      <w:pPr>
        <w:pStyle w:val="ActHead1"/>
        <w:rPr>
          <w:rStyle w:val="CharChapNo"/>
        </w:rPr>
      </w:pPr>
      <w:bookmarkStart w:id="16" w:name="_Toc44412446"/>
      <w:r w:rsidRPr="006427AC">
        <w:rPr>
          <w:rStyle w:val="CharChapNo"/>
        </w:rPr>
        <w:lastRenderedPageBreak/>
        <w:t xml:space="preserve">Schedule </w:t>
      </w:r>
      <w:r w:rsidR="00D6537E" w:rsidRPr="006427AC">
        <w:rPr>
          <w:rStyle w:val="CharChapNo"/>
        </w:rPr>
        <w:t>1—</w:t>
      </w:r>
      <w:r w:rsidR="00EF1635" w:rsidRPr="006427AC">
        <w:rPr>
          <w:rStyle w:val="CharChapNo"/>
        </w:rPr>
        <w:t>Manufacturing Principles</w:t>
      </w:r>
      <w:bookmarkEnd w:id="16"/>
    </w:p>
    <w:p w:rsidR="007C5352" w:rsidRDefault="007C5352" w:rsidP="00420001">
      <w:pPr>
        <w:pStyle w:val="notemargin"/>
        <w:rPr>
          <w:snapToGrid w:val="0"/>
          <w:lang w:eastAsia="en-US"/>
        </w:rPr>
      </w:pPr>
      <w:bookmarkStart w:id="17" w:name="_Toc5781726"/>
      <w:r w:rsidRPr="00AF07DF">
        <w:t>Note:</w:t>
      </w:r>
      <w:r w:rsidRPr="00AF07DF">
        <w:tab/>
        <w:t xml:space="preserve">See </w:t>
      </w:r>
      <w:r>
        <w:t>sections 6 and 7.</w:t>
      </w:r>
    </w:p>
    <w:p w:rsidR="00144639" w:rsidRPr="00EF1635" w:rsidRDefault="00EF1635" w:rsidP="006427AC">
      <w:pPr>
        <w:pStyle w:val="ActHead2"/>
        <w:rPr>
          <w:rStyle w:val="CharPartNo"/>
        </w:rPr>
      </w:pPr>
      <w:bookmarkStart w:id="18" w:name="_Toc44412447"/>
      <w:r w:rsidRPr="00EF1635">
        <w:rPr>
          <w:rStyle w:val="CharPartNo"/>
        </w:rPr>
        <w:t>Part 1—</w:t>
      </w:r>
      <w:bookmarkEnd w:id="17"/>
      <w:r w:rsidR="00021972" w:rsidRPr="006427AC">
        <w:rPr>
          <w:rStyle w:val="CharPartNo"/>
        </w:rPr>
        <w:t xml:space="preserve">Therapeutic goods other than blood, blood components, haematopoietic progenitor cells </w:t>
      </w:r>
      <w:r w:rsidR="00420001">
        <w:rPr>
          <w:rStyle w:val="CharPartNo"/>
        </w:rPr>
        <w:t>etc.</w:t>
      </w:r>
      <w:bookmarkEnd w:id="18"/>
    </w:p>
    <w:p w:rsidR="00021972" w:rsidRPr="00ED1710" w:rsidRDefault="00214A43" w:rsidP="00021972">
      <w:pPr>
        <w:pStyle w:val="subsection"/>
      </w:pPr>
      <w:r>
        <w:rPr>
          <w:rFonts w:eastAsia="MS Mincho"/>
          <w:lang w:eastAsia="ja-JP"/>
        </w:rPr>
        <w:tab/>
      </w:r>
      <w:r w:rsidRPr="00ED1710">
        <w:rPr>
          <w:rFonts w:eastAsia="MS Mincho"/>
          <w:lang w:eastAsia="ja-JP"/>
        </w:rPr>
        <w:t>(</w:t>
      </w:r>
      <w:r w:rsidR="008C47CC" w:rsidRPr="00ED1710">
        <w:rPr>
          <w:rFonts w:eastAsia="MS Mincho"/>
          <w:lang w:eastAsia="ja-JP"/>
        </w:rPr>
        <w:t>1</w:t>
      </w:r>
      <w:r w:rsidRPr="00ED1710">
        <w:rPr>
          <w:rFonts w:eastAsia="MS Mincho"/>
          <w:lang w:eastAsia="ja-JP"/>
        </w:rPr>
        <w:t>)</w:t>
      </w:r>
      <w:r w:rsidRPr="00ED1710">
        <w:rPr>
          <w:rFonts w:eastAsia="MS Mincho"/>
          <w:lang w:eastAsia="ja-JP"/>
        </w:rPr>
        <w:tab/>
      </w:r>
      <w:r w:rsidR="0033389C">
        <w:rPr>
          <w:rFonts w:eastAsia="MS Mincho"/>
          <w:lang w:eastAsia="ja-JP"/>
        </w:rPr>
        <w:t>T</w:t>
      </w:r>
      <w:r w:rsidR="00937D30" w:rsidRPr="00ED1710">
        <w:rPr>
          <w:rFonts w:eastAsia="MS Mincho"/>
          <w:lang w:eastAsia="ja-JP"/>
        </w:rPr>
        <w:t xml:space="preserve">he manufacture of </w:t>
      </w:r>
      <w:r w:rsidR="00DB0C92" w:rsidRPr="00ED1710">
        <w:rPr>
          <w:rFonts w:eastAsia="MS Mincho"/>
          <w:lang w:eastAsia="ja-JP"/>
        </w:rPr>
        <w:t xml:space="preserve">therapeutic goods </w:t>
      </w:r>
      <w:r w:rsidR="00ED1710" w:rsidRPr="00EF3A05">
        <w:rPr>
          <w:rFonts w:eastAsia="MS Mincho"/>
          <w:lang w:eastAsia="ja-JP"/>
        </w:rPr>
        <w:t>to which this Part applies</w:t>
      </w:r>
      <w:r w:rsidR="00ED1710">
        <w:rPr>
          <w:rFonts w:eastAsia="MS Mincho"/>
          <w:lang w:eastAsia="ja-JP"/>
        </w:rPr>
        <w:t xml:space="preserve"> </w:t>
      </w:r>
      <w:r w:rsidR="00144639" w:rsidRPr="00ED1710">
        <w:rPr>
          <w:rFonts w:eastAsia="MS Mincho"/>
          <w:lang w:eastAsia="ja-JP"/>
        </w:rPr>
        <w:t xml:space="preserve">must </w:t>
      </w:r>
      <w:r w:rsidR="00937D30" w:rsidRPr="00ED1710">
        <w:rPr>
          <w:rFonts w:eastAsia="MS Mincho"/>
          <w:lang w:eastAsia="ja-JP"/>
        </w:rPr>
        <w:t xml:space="preserve">comply with </w:t>
      </w:r>
      <w:r w:rsidR="0033389C">
        <w:rPr>
          <w:rFonts w:eastAsia="MS Mincho"/>
          <w:lang w:eastAsia="ja-JP"/>
        </w:rPr>
        <w:t>applicable</w:t>
      </w:r>
      <w:r w:rsidR="0033389C" w:rsidRPr="00ED1710">
        <w:rPr>
          <w:rFonts w:eastAsia="MS Mincho"/>
          <w:lang w:eastAsia="ja-JP"/>
        </w:rPr>
        <w:t xml:space="preserve"> </w:t>
      </w:r>
      <w:r w:rsidR="00144639" w:rsidRPr="00ED1710">
        <w:rPr>
          <w:rFonts w:eastAsia="MS Mincho"/>
          <w:lang w:eastAsia="ja-JP"/>
        </w:rPr>
        <w:t>procedures and requirements in the PIC/S Guide to GMP</w:t>
      </w:r>
      <w:r w:rsidR="008C47CC" w:rsidRPr="00ED1710">
        <w:rPr>
          <w:rFonts w:eastAsia="MS Mincho"/>
          <w:lang w:eastAsia="ja-JP"/>
        </w:rPr>
        <w:t>.</w:t>
      </w:r>
    </w:p>
    <w:p w:rsidR="00144639" w:rsidRPr="00ED1710" w:rsidRDefault="00214A43" w:rsidP="00214A43">
      <w:pPr>
        <w:pStyle w:val="subsection"/>
      </w:pPr>
      <w:r w:rsidRPr="00ED1710">
        <w:rPr>
          <w:rFonts w:eastAsia="MS Mincho"/>
          <w:lang w:eastAsia="ja-JP"/>
        </w:rPr>
        <w:tab/>
        <w:t>(</w:t>
      </w:r>
      <w:r w:rsidR="008C47CC" w:rsidRPr="00ED1710">
        <w:rPr>
          <w:rFonts w:eastAsia="MS Mincho"/>
          <w:lang w:eastAsia="ja-JP"/>
        </w:rPr>
        <w:t>2</w:t>
      </w:r>
      <w:r w:rsidRPr="00ED1710">
        <w:rPr>
          <w:rFonts w:eastAsia="MS Mincho"/>
          <w:lang w:eastAsia="ja-JP"/>
        </w:rPr>
        <w:t>)</w:t>
      </w:r>
      <w:r w:rsidRPr="00ED1710">
        <w:rPr>
          <w:rFonts w:eastAsia="MS Mincho"/>
          <w:lang w:eastAsia="ja-JP"/>
        </w:rPr>
        <w:tab/>
      </w:r>
      <w:r w:rsidR="00144639" w:rsidRPr="00ED1710">
        <w:rPr>
          <w:rFonts w:eastAsia="MS Mincho"/>
          <w:lang w:eastAsia="ja-JP"/>
        </w:rPr>
        <w:t xml:space="preserve">Where the PIC/S Guide to GMP provides that a procedure or requirement ‘should’ be followed, </w:t>
      </w:r>
      <w:r w:rsidR="00937D30" w:rsidRPr="00ED1710">
        <w:rPr>
          <w:rFonts w:eastAsia="MS Mincho"/>
          <w:lang w:eastAsia="ja-JP"/>
        </w:rPr>
        <w:t xml:space="preserve">the </w:t>
      </w:r>
      <w:r w:rsidR="00144639" w:rsidRPr="00ED1710">
        <w:rPr>
          <w:rFonts w:eastAsia="MS Mincho"/>
          <w:lang w:eastAsia="ja-JP"/>
        </w:rPr>
        <w:t>manufacture</w:t>
      </w:r>
      <w:r w:rsidR="0079055C" w:rsidRPr="00ED1710">
        <w:rPr>
          <w:rFonts w:eastAsia="MS Mincho"/>
          <w:lang w:eastAsia="ja-JP"/>
        </w:rPr>
        <w:t xml:space="preserve"> of therapeutic goods </w:t>
      </w:r>
      <w:r w:rsidR="00144639" w:rsidRPr="00ED1710">
        <w:rPr>
          <w:rFonts w:eastAsia="MS Mincho"/>
          <w:lang w:eastAsia="ja-JP"/>
        </w:rPr>
        <w:t xml:space="preserve">must </w:t>
      </w:r>
      <w:r w:rsidR="00E521A7" w:rsidRPr="00ED1710">
        <w:rPr>
          <w:rFonts w:eastAsia="MS Mincho"/>
          <w:lang w:eastAsia="ja-JP"/>
        </w:rPr>
        <w:t>follow</w:t>
      </w:r>
      <w:r w:rsidR="00937D30" w:rsidRPr="00ED1710">
        <w:rPr>
          <w:rFonts w:eastAsia="MS Mincho"/>
          <w:lang w:eastAsia="ja-JP"/>
        </w:rPr>
        <w:t xml:space="preserve"> </w:t>
      </w:r>
      <w:r w:rsidR="00144639" w:rsidRPr="00ED1710">
        <w:rPr>
          <w:rFonts w:eastAsia="MS Mincho"/>
          <w:lang w:eastAsia="ja-JP"/>
        </w:rPr>
        <w:t>th</w:t>
      </w:r>
      <w:r w:rsidR="00B11908" w:rsidRPr="00ED1710">
        <w:rPr>
          <w:rFonts w:eastAsia="MS Mincho"/>
          <w:lang w:eastAsia="ja-JP"/>
        </w:rPr>
        <w:t>e</w:t>
      </w:r>
      <w:r w:rsidR="00144639" w:rsidRPr="00ED1710">
        <w:rPr>
          <w:rFonts w:eastAsia="MS Mincho"/>
          <w:lang w:eastAsia="ja-JP"/>
        </w:rPr>
        <w:t xml:space="preserve"> procedure or requirement in order to comply with the PIC/S Guide to GMP unless</w:t>
      </w:r>
      <w:r w:rsidR="008718A8" w:rsidRPr="00ED1710">
        <w:rPr>
          <w:rFonts w:eastAsia="MS Mincho"/>
          <w:lang w:eastAsia="ja-JP"/>
        </w:rPr>
        <w:t>,</w:t>
      </w:r>
      <w:r w:rsidR="00144639" w:rsidRPr="00ED1710">
        <w:rPr>
          <w:rFonts w:eastAsia="MS Mincho"/>
          <w:lang w:eastAsia="ja-JP"/>
        </w:rPr>
        <w:t xml:space="preserve"> in relation to that particular procedure or requirement:</w:t>
      </w:r>
    </w:p>
    <w:p w:rsidR="00144639" w:rsidRPr="00214A43" w:rsidRDefault="00214A43" w:rsidP="00214A43">
      <w:pPr>
        <w:pStyle w:val="paragraph"/>
      </w:pPr>
      <w:r w:rsidRPr="00ED1710">
        <w:rPr>
          <w:rFonts w:eastAsia="MS Mincho"/>
          <w:lang w:eastAsia="ja-JP"/>
        </w:rPr>
        <w:tab/>
        <w:t>(a)</w:t>
      </w:r>
      <w:r w:rsidRPr="00ED1710">
        <w:rPr>
          <w:rFonts w:eastAsia="MS Mincho"/>
          <w:lang w:eastAsia="ja-JP"/>
        </w:rPr>
        <w:tab/>
      </w:r>
      <w:proofErr w:type="gramStart"/>
      <w:r w:rsidR="00144639" w:rsidRPr="00ED1710">
        <w:rPr>
          <w:rFonts w:eastAsia="MS Mincho"/>
          <w:lang w:eastAsia="ja-JP"/>
        </w:rPr>
        <w:t>the</w:t>
      </w:r>
      <w:proofErr w:type="gramEnd"/>
      <w:r w:rsidR="00144639" w:rsidRPr="00ED1710">
        <w:rPr>
          <w:rFonts w:eastAsia="MS Mincho"/>
          <w:lang w:eastAsia="ja-JP"/>
        </w:rPr>
        <w:t xml:space="preserve"> manufacturer demonstrates, to the satisfaction of </w:t>
      </w:r>
      <w:r w:rsidR="00823C32">
        <w:rPr>
          <w:rFonts w:eastAsia="MS Mincho"/>
          <w:lang w:eastAsia="ja-JP"/>
        </w:rPr>
        <w:t xml:space="preserve">a </w:t>
      </w:r>
      <w:r w:rsidR="00A77496">
        <w:rPr>
          <w:rFonts w:eastAsia="MS Mincho"/>
          <w:lang w:eastAsia="ja-JP"/>
        </w:rPr>
        <w:t>relevant officer</w:t>
      </w:r>
      <w:r w:rsidR="00144639" w:rsidRPr="00ED1710">
        <w:rPr>
          <w:rFonts w:eastAsia="MS Mincho"/>
          <w:lang w:eastAsia="ja-JP"/>
        </w:rPr>
        <w:t>, that the failure to adopt that procedure or requirement:</w:t>
      </w:r>
    </w:p>
    <w:p w:rsidR="00144639" w:rsidRPr="00214A43" w:rsidRDefault="00214A43" w:rsidP="00214A43">
      <w:pPr>
        <w:pStyle w:val="paragraphsub"/>
      </w:pPr>
      <w:r>
        <w:rPr>
          <w:rFonts w:eastAsia="MS Mincho"/>
          <w:lang w:eastAsia="ja-JP"/>
        </w:rPr>
        <w:tab/>
        <w:t>(</w:t>
      </w:r>
      <w:proofErr w:type="spellStart"/>
      <w:r>
        <w:rPr>
          <w:rFonts w:eastAsia="MS Mincho"/>
          <w:lang w:eastAsia="ja-JP"/>
        </w:rPr>
        <w:t>i</w:t>
      </w:r>
      <w:proofErr w:type="spellEnd"/>
      <w:r>
        <w:rPr>
          <w:rFonts w:eastAsia="MS Mincho"/>
          <w:lang w:eastAsia="ja-JP"/>
        </w:rPr>
        <w:t>)</w:t>
      </w:r>
      <w:r>
        <w:rPr>
          <w:rFonts w:eastAsia="MS Mincho"/>
          <w:lang w:eastAsia="ja-JP"/>
        </w:rPr>
        <w:tab/>
      </w:r>
      <w:r w:rsidR="00144639" w:rsidRPr="00940C24">
        <w:rPr>
          <w:rFonts w:eastAsia="MS Mincho"/>
          <w:lang w:eastAsia="ja-JP"/>
        </w:rPr>
        <w:t xml:space="preserve">will not increase the risk </w:t>
      </w:r>
      <w:r w:rsidR="00144639">
        <w:rPr>
          <w:rFonts w:eastAsia="MS Mincho"/>
          <w:lang w:eastAsia="ja-JP"/>
        </w:rPr>
        <w:t xml:space="preserve">that the </w:t>
      </w:r>
      <w:r w:rsidR="006427AC">
        <w:rPr>
          <w:rFonts w:eastAsia="MS Mincho"/>
          <w:lang w:eastAsia="ja-JP"/>
        </w:rPr>
        <w:t xml:space="preserve">therapeutic </w:t>
      </w:r>
      <w:r w:rsidR="00144639">
        <w:rPr>
          <w:rFonts w:eastAsia="MS Mincho"/>
          <w:lang w:eastAsia="ja-JP"/>
        </w:rPr>
        <w:t xml:space="preserve">goods </w:t>
      </w:r>
      <w:r w:rsidR="00A90813">
        <w:rPr>
          <w:rFonts w:eastAsia="MS Mincho"/>
          <w:lang w:eastAsia="ja-JP"/>
        </w:rPr>
        <w:t xml:space="preserve">manufactured </w:t>
      </w:r>
      <w:r w:rsidR="00144639">
        <w:rPr>
          <w:rFonts w:eastAsia="MS Mincho"/>
          <w:lang w:eastAsia="ja-JP"/>
        </w:rPr>
        <w:t>will</w:t>
      </w:r>
      <w:r w:rsidR="00A90813">
        <w:rPr>
          <w:rFonts w:eastAsia="MS Mincho"/>
          <w:lang w:eastAsia="ja-JP"/>
        </w:rPr>
        <w:t>,</w:t>
      </w:r>
      <w:r w:rsidR="00144639">
        <w:rPr>
          <w:rFonts w:eastAsia="MS Mincho"/>
          <w:lang w:eastAsia="ja-JP"/>
        </w:rPr>
        <w:t xml:space="preserve"> or could</w:t>
      </w:r>
      <w:r w:rsidR="00A90813">
        <w:rPr>
          <w:rFonts w:eastAsia="MS Mincho"/>
          <w:lang w:eastAsia="ja-JP"/>
        </w:rPr>
        <w:t>,</w:t>
      </w:r>
      <w:r w:rsidR="00144639">
        <w:rPr>
          <w:rFonts w:eastAsia="MS Mincho"/>
          <w:lang w:eastAsia="ja-JP"/>
        </w:rPr>
        <w:t xml:space="preserve"> cause </w:t>
      </w:r>
      <w:r w:rsidR="00144639" w:rsidRPr="00940C24">
        <w:rPr>
          <w:rFonts w:eastAsia="MS Mincho"/>
          <w:lang w:eastAsia="ja-JP"/>
        </w:rPr>
        <w:t>harm or injury to any person</w:t>
      </w:r>
      <w:r w:rsidR="00144639">
        <w:rPr>
          <w:rFonts w:eastAsia="MS Mincho"/>
          <w:lang w:eastAsia="ja-JP"/>
        </w:rPr>
        <w:t>,</w:t>
      </w:r>
      <w:r w:rsidR="00144639" w:rsidRPr="00940C24">
        <w:rPr>
          <w:rFonts w:eastAsia="MS Mincho"/>
          <w:lang w:eastAsia="ja-JP"/>
        </w:rPr>
        <w:t xml:space="preserve"> or will</w:t>
      </w:r>
      <w:r w:rsidR="00A90813">
        <w:rPr>
          <w:rFonts w:eastAsia="MS Mincho"/>
          <w:lang w:eastAsia="ja-JP"/>
        </w:rPr>
        <w:t>,</w:t>
      </w:r>
      <w:r w:rsidR="00144639" w:rsidRPr="00940C24">
        <w:rPr>
          <w:rFonts w:eastAsia="MS Mincho"/>
          <w:lang w:eastAsia="ja-JP"/>
        </w:rPr>
        <w:t xml:space="preserve"> </w:t>
      </w:r>
      <w:r w:rsidR="00144639">
        <w:rPr>
          <w:rFonts w:eastAsia="MS Mincho"/>
          <w:lang w:eastAsia="ja-JP"/>
        </w:rPr>
        <w:t>or could</w:t>
      </w:r>
      <w:r w:rsidR="00A90813">
        <w:rPr>
          <w:rFonts w:eastAsia="MS Mincho"/>
          <w:lang w:eastAsia="ja-JP"/>
        </w:rPr>
        <w:t>,</w:t>
      </w:r>
      <w:r w:rsidR="00144639" w:rsidRPr="00940C24">
        <w:rPr>
          <w:rFonts w:eastAsia="MS Mincho"/>
          <w:lang w:eastAsia="ja-JP"/>
        </w:rPr>
        <w:t xml:space="preserve"> potentially have the effect of causing or contrib</w:t>
      </w:r>
      <w:r w:rsidR="00144639" w:rsidRPr="00B57B16">
        <w:rPr>
          <w:rFonts w:eastAsia="MS Mincho"/>
          <w:lang w:eastAsia="ja-JP"/>
        </w:rPr>
        <w:t>uting to such harm</w:t>
      </w:r>
      <w:r w:rsidR="004D50D9">
        <w:rPr>
          <w:rFonts w:eastAsia="MS Mincho"/>
          <w:lang w:eastAsia="ja-JP"/>
        </w:rPr>
        <w:t xml:space="preserve"> or injury</w:t>
      </w:r>
      <w:r w:rsidR="00144639" w:rsidRPr="00B57B16">
        <w:rPr>
          <w:rFonts w:eastAsia="MS Mincho"/>
          <w:lang w:eastAsia="ja-JP"/>
        </w:rPr>
        <w:t>; and</w:t>
      </w:r>
    </w:p>
    <w:p w:rsidR="00144639" w:rsidRPr="00214A43" w:rsidRDefault="00214A43" w:rsidP="00214A43">
      <w:pPr>
        <w:pStyle w:val="paragraphsub"/>
      </w:pPr>
      <w:r>
        <w:tab/>
        <w:t>(ii)</w:t>
      </w:r>
      <w:r>
        <w:tab/>
      </w:r>
      <w:proofErr w:type="gramStart"/>
      <w:r w:rsidR="00144639" w:rsidRPr="00B57B16">
        <w:t>will</w:t>
      </w:r>
      <w:proofErr w:type="gramEnd"/>
      <w:r w:rsidR="00144639" w:rsidRPr="00B57B16">
        <w:t xml:space="preserve"> not increase the risk of </w:t>
      </w:r>
      <w:r w:rsidR="006427AC">
        <w:t xml:space="preserve">those therapeutic goods </w:t>
      </w:r>
      <w:r w:rsidR="00144639" w:rsidRPr="00B57B16">
        <w:t>failing to comply with</w:t>
      </w:r>
      <w:r w:rsidR="006427AC">
        <w:t xml:space="preserve"> </w:t>
      </w:r>
      <w:r w:rsidR="00ED1710">
        <w:t xml:space="preserve">an </w:t>
      </w:r>
      <w:r w:rsidR="006427AC">
        <w:t xml:space="preserve">applicable standard or </w:t>
      </w:r>
      <w:r w:rsidR="001707BA">
        <w:t xml:space="preserve">relevant </w:t>
      </w:r>
      <w:r w:rsidR="00144639">
        <w:t>condition</w:t>
      </w:r>
      <w:r w:rsidR="00144639" w:rsidRPr="00B57B16">
        <w:t xml:space="preserve"> of registration</w:t>
      </w:r>
      <w:r w:rsidR="0033389C">
        <w:t>,</w:t>
      </w:r>
      <w:r w:rsidR="00144639">
        <w:t xml:space="preserve"> </w:t>
      </w:r>
      <w:r w:rsidR="00A90813">
        <w:t>listing</w:t>
      </w:r>
      <w:r w:rsidR="0033389C">
        <w:t xml:space="preserve"> or inclusion</w:t>
      </w:r>
      <w:r w:rsidR="00144639">
        <w:t>; and</w:t>
      </w:r>
    </w:p>
    <w:p w:rsidR="00144639" w:rsidRPr="00214A43" w:rsidRDefault="00214A43" w:rsidP="00214A43">
      <w:pPr>
        <w:pStyle w:val="paragraphsub"/>
      </w:pPr>
      <w:r>
        <w:tab/>
        <w:t>(iii)</w:t>
      </w:r>
      <w:r>
        <w:tab/>
      </w:r>
      <w:proofErr w:type="gramStart"/>
      <w:r w:rsidR="00144639">
        <w:t>will</w:t>
      </w:r>
      <w:proofErr w:type="gramEnd"/>
      <w:r w:rsidR="00144639">
        <w:t xml:space="preserve"> not depart from </w:t>
      </w:r>
      <w:r w:rsidR="0033389C">
        <w:t xml:space="preserve">any applicable </w:t>
      </w:r>
      <w:r w:rsidR="00144639">
        <w:t xml:space="preserve">record keeping requirements contained in the </w:t>
      </w:r>
      <w:r w:rsidR="00144639">
        <w:rPr>
          <w:rFonts w:eastAsia="MS Mincho"/>
          <w:lang w:eastAsia="ja-JP"/>
        </w:rPr>
        <w:t>PIC/S Guide to GMP</w:t>
      </w:r>
      <w:r w:rsidR="00144639">
        <w:t>; or</w:t>
      </w:r>
    </w:p>
    <w:p w:rsidR="00144639" w:rsidRPr="00D847B8" w:rsidRDefault="00131E21" w:rsidP="00131E21">
      <w:pPr>
        <w:pStyle w:val="paragrap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  <w:t>(b)</w:t>
      </w:r>
      <w:r>
        <w:rPr>
          <w:rFonts w:eastAsia="MS Mincho"/>
          <w:lang w:eastAsia="ja-JP"/>
        </w:rPr>
        <w:tab/>
      </w:r>
      <w:r w:rsidR="00144639" w:rsidRPr="00D847B8">
        <w:rPr>
          <w:rFonts w:eastAsia="MS Mincho"/>
          <w:lang w:eastAsia="ja-JP"/>
        </w:rPr>
        <w:t xml:space="preserve">where an alternative to the procedure or requirement set out </w:t>
      </w:r>
      <w:r w:rsidR="00A90813">
        <w:rPr>
          <w:rFonts w:eastAsia="MS Mincho"/>
          <w:lang w:eastAsia="ja-JP"/>
        </w:rPr>
        <w:t xml:space="preserve">in </w:t>
      </w:r>
      <w:r w:rsidR="00144639" w:rsidRPr="00D847B8">
        <w:rPr>
          <w:rFonts w:eastAsia="MS Mincho"/>
          <w:lang w:eastAsia="ja-JP"/>
        </w:rPr>
        <w:t xml:space="preserve">the </w:t>
      </w:r>
      <w:r w:rsidR="00144639">
        <w:rPr>
          <w:rFonts w:eastAsia="MS Mincho"/>
          <w:lang w:eastAsia="ja-JP"/>
        </w:rPr>
        <w:t xml:space="preserve">PIC/S Guide to GMP </w:t>
      </w:r>
      <w:r w:rsidR="00144639" w:rsidRPr="00D847B8">
        <w:rPr>
          <w:rFonts w:eastAsia="MS Mincho"/>
          <w:lang w:eastAsia="ja-JP"/>
        </w:rPr>
        <w:t>has been adopted</w:t>
      </w:r>
      <w:r w:rsidR="00CC3C3B">
        <w:rPr>
          <w:rFonts w:eastAsia="MS Mincho"/>
          <w:lang w:eastAsia="ja-JP"/>
        </w:rPr>
        <w:t>—</w:t>
      </w:r>
      <w:r w:rsidR="00144639" w:rsidRPr="00D847B8">
        <w:rPr>
          <w:rFonts w:eastAsia="MS Mincho"/>
          <w:lang w:eastAsia="ja-JP"/>
        </w:rPr>
        <w:t xml:space="preserve">the manufacturer demonstrates, to the satisfaction of </w:t>
      </w:r>
      <w:r w:rsidR="00823C32">
        <w:rPr>
          <w:rFonts w:eastAsia="MS Mincho"/>
          <w:lang w:eastAsia="ja-JP"/>
        </w:rPr>
        <w:t xml:space="preserve">a </w:t>
      </w:r>
      <w:r w:rsidR="00A77496">
        <w:rPr>
          <w:rFonts w:eastAsia="MS Mincho"/>
          <w:lang w:eastAsia="ja-JP"/>
        </w:rPr>
        <w:t>relevant officer</w:t>
      </w:r>
      <w:r w:rsidR="00144639" w:rsidRPr="00D847B8">
        <w:rPr>
          <w:rFonts w:eastAsia="MS Mincho"/>
          <w:lang w:eastAsia="ja-JP"/>
        </w:rPr>
        <w:t>, that:</w:t>
      </w:r>
    </w:p>
    <w:p w:rsidR="00144639" w:rsidRPr="00131E21" w:rsidRDefault="00131E21" w:rsidP="00131E2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144639" w:rsidRPr="00177054">
        <w:t xml:space="preserve">the alternative will not </w:t>
      </w:r>
      <w:r w:rsidR="0033389C">
        <w:t xml:space="preserve">increase the risk that the therapeutic goods manufactured will, or could, cause </w:t>
      </w:r>
      <w:r w:rsidR="00144639" w:rsidRPr="00177054">
        <w:t>harm or injury to any person or will</w:t>
      </w:r>
      <w:r w:rsidR="00A90813">
        <w:t>,</w:t>
      </w:r>
      <w:r w:rsidR="00144639" w:rsidRPr="00177054">
        <w:t xml:space="preserve"> </w:t>
      </w:r>
      <w:r w:rsidR="00144639">
        <w:t>or could</w:t>
      </w:r>
      <w:r w:rsidR="00A90813">
        <w:t>,</w:t>
      </w:r>
      <w:r w:rsidR="00144639">
        <w:t xml:space="preserve"> </w:t>
      </w:r>
      <w:r w:rsidR="00144639" w:rsidRPr="00177054">
        <w:t>potentially have the effect of causing or contributing to such harm</w:t>
      </w:r>
      <w:r w:rsidR="004D50D9">
        <w:t xml:space="preserve"> or injury</w:t>
      </w:r>
      <w:r w:rsidR="00144639" w:rsidRPr="00177054">
        <w:t>; and</w:t>
      </w:r>
    </w:p>
    <w:p w:rsidR="00144639" w:rsidRPr="00131E21" w:rsidRDefault="00131E21" w:rsidP="00131E21">
      <w:pPr>
        <w:pStyle w:val="paragraphsub"/>
      </w:pPr>
      <w:r>
        <w:tab/>
        <w:t>(ii)</w:t>
      </w:r>
      <w:r>
        <w:tab/>
      </w:r>
      <w:proofErr w:type="gramStart"/>
      <w:r w:rsidR="00144639" w:rsidRPr="00177054">
        <w:t>the</w:t>
      </w:r>
      <w:proofErr w:type="gramEnd"/>
      <w:r w:rsidR="00144639" w:rsidRPr="00177054">
        <w:t xml:space="preserve"> alternative will not increase the risk of th</w:t>
      </w:r>
      <w:r w:rsidR="0033389C">
        <w:t>os</w:t>
      </w:r>
      <w:r w:rsidR="00144639" w:rsidRPr="00177054">
        <w:t>e therapeutic goods failing to comply with</w:t>
      </w:r>
      <w:r w:rsidR="0033389C">
        <w:t xml:space="preserve"> an applicable </w:t>
      </w:r>
      <w:r w:rsidR="00144639" w:rsidRPr="00177054">
        <w:t>sta</w:t>
      </w:r>
      <w:r w:rsidR="00144639">
        <w:t xml:space="preserve">ndard </w:t>
      </w:r>
      <w:r w:rsidR="0033389C">
        <w:t xml:space="preserve">or </w:t>
      </w:r>
      <w:r w:rsidR="001707BA">
        <w:t xml:space="preserve">relevant </w:t>
      </w:r>
      <w:r w:rsidR="00144639">
        <w:t xml:space="preserve">condition of </w:t>
      </w:r>
      <w:r w:rsidR="00E521A7">
        <w:t>registration</w:t>
      </w:r>
      <w:r w:rsidR="0033389C">
        <w:t>,</w:t>
      </w:r>
      <w:r w:rsidR="00E521A7">
        <w:t xml:space="preserve"> </w:t>
      </w:r>
      <w:r w:rsidR="00144639">
        <w:t>listing</w:t>
      </w:r>
      <w:r w:rsidR="0033389C">
        <w:t xml:space="preserve"> or inclusion</w:t>
      </w:r>
      <w:r w:rsidR="00144639">
        <w:t>;</w:t>
      </w:r>
      <w:r w:rsidR="00144639" w:rsidRPr="00177054">
        <w:t xml:space="preserve"> and</w:t>
      </w:r>
    </w:p>
    <w:p w:rsidR="00144639" w:rsidRPr="00131E21" w:rsidRDefault="00131E21" w:rsidP="00131E21">
      <w:pPr>
        <w:pStyle w:val="paragraphsub"/>
      </w:pPr>
      <w:r>
        <w:tab/>
        <w:t>(iii)</w:t>
      </w:r>
      <w:r>
        <w:tab/>
      </w:r>
      <w:proofErr w:type="gramStart"/>
      <w:r w:rsidR="00144639" w:rsidRPr="00177054">
        <w:t>will</w:t>
      </w:r>
      <w:proofErr w:type="gramEnd"/>
      <w:r w:rsidR="00144639" w:rsidRPr="00177054">
        <w:t xml:space="preserve"> not </w:t>
      </w:r>
      <w:r w:rsidR="00144639">
        <w:t xml:space="preserve">depart from </w:t>
      </w:r>
      <w:r w:rsidR="0033389C">
        <w:t>any</w:t>
      </w:r>
      <w:r w:rsidR="0033389C" w:rsidRPr="00177054">
        <w:t xml:space="preserve"> </w:t>
      </w:r>
      <w:r w:rsidR="0033389C">
        <w:t xml:space="preserve">applicable </w:t>
      </w:r>
      <w:r w:rsidR="00144639" w:rsidRPr="00177054">
        <w:t xml:space="preserve">record keeping requirements contained in the </w:t>
      </w:r>
      <w:r w:rsidR="00144639">
        <w:rPr>
          <w:rFonts w:eastAsia="MS Mincho"/>
          <w:lang w:eastAsia="ja-JP"/>
        </w:rPr>
        <w:t>PIC/S Guide to GMP</w:t>
      </w:r>
      <w:r w:rsidR="00144639">
        <w:t>.</w:t>
      </w:r>
    </w:p>
    <w:p w:rsidR="00144639" w:rsidRPr="00131E21" w:rsidRDefault="00542793" w:rsidP="00131E21">
      <w:pPr>
        <w:pStyle w:val="subsection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  <w:t>(3</w:t>
      </w:r>
      <w:r w:rsidR="00131E21">
        <w:rPr>
          <w:rFonts w:eastAsia="MS Mincho"/>
          <w:lang w:eastAsia="ja-JP"/>
        </w:rPr>
        <w:t>)</w:t>
      </w:r>
      <w:r w:rsidR="00131E21">
        <w:rPr>
          <w:rFonts w:eastAsia="MS Mincho"/>
          <w:lang w:eastAsia="ja-JP"/>
        </w:rPr>
        <w:tab/>
      </w:r>
      <w:r w:rsidR="001707BA">
        <w:rPr>
          <w:rFonts w:eastAsia="MS Mincho"/>
          <w:lang w:eastAsia="ja-JP"/>
        </w:rPr>
        <w:t>The reference to “</w:t>
      </w:r>
      <w:r w:rsidR="001707BA" w:rsidRPr="001707BA">
        <w:rPr>
          <w:rFonts w:eastAsia="MS Mincho"/>
          <w:lang w:eastAsia="ja-JP"/>
        </w:rPr>
        <w:t>appl</w:t>
      </w:r>
      <w:r w:rsidR="0033389C">
        <w:rPr>
          <w:rFonts w:eastAsia="MS Mincho"/>
          <w:lang w:eastAsia="ja-JP"/>
        </w:rPr>
        <w:t>icable procedures and requirements</w:t>
      </w:r>
      <w:r w:rsidR="001707BA">
        <w:rPr>
          <w:rFonts w:eastAsia="MS Mincho"/>
          <w:lang w:eastAsia="ja-JP"/>
        </w:rPr>
        <w:t xml:space="preserve">” in subsection (1) does not include a procedure or requirement </w:t>
      </w:r>
      <w:r w:rsidR="008718A8">
        <w:rPr>
          <w:rFonts w:eastAsia="MS Mincho"/>
          <w:lang w:eastAsia="ja-JP"/>
        </w:rPr>
        <w:t>specified in an Annex to the PIC/S Guide to GMP that is identified as voluntary.</w:t>
      </w:r>
    </w:p>
    <w:p w:rsidR="00554826" w:rsidRPr="00554826" w:rsidRDefault="00554826" w:rsidP="00554826"/>
    <w:p w:rsidR="00554826" w:rsidRDefault="00554826">
      <w:pPr>
        <w:spacing w:line="240" w:lineRule="auto"/>
      </w:pPr>
      <w:r>
        <w:br w:type="page"/>
      </w:r>
    </w:p>
    <w:p w:rsidR="00EF1635" w:rsidRPr="00EF1635" w:rsidRDefault="00EF1635" w:rsidP="006427AC">
      <w:pPr>
        <w:pStyle w:val="ActHead2"/>
        <w:rPr>
          <w:rStyle w:val="CharPartNo"/>
        </w:rPr>
      </w:pPr>
      <w:bookmarkStart w:id="19" w:name="_Toc44412448"/>
      <w:r w:rsidRPr="00EF1635">
        <w:rPr>
          <w:rStyle w:val="CharPartNo"/>
        </w:rPr>
        <w:lastRenderedPageBreak/>
        <w:t xml:space="preserve">Part </w:t>
      </w:r>
      <w:r>
        <w:rPr>
          <w:rStyle w:val="CharPartNo"/>
        </w:rPr>
        <w:t>2</w:t>
      </w:r>
      <w:r w:rsidRPr="00EF1635">
        <w:rPr>
          <w:rStyle w:val="CharPartNo"/>
        </w:rPr>
        <w:t>—</w:t>
      </w:r>
      <w:r w:rsidR="00021972">
        <w:rPr>
          <w:rStyle w:val="CharPartNo"/>
        </w:rPr>
        <w:t>T</w:t>
      </w:r>
      <w:r w:rsidR="00021972" w:rsidRPr="00021972">
        <w:rPr>
          <w:rStyle w:val="CharPartNo"/>
        </w:rPr>
        <w:t>herapeutic goods that are blood, blood components, haematopoietic progenitor cells and biologicals that do not contain live animal cells, tissues or organs</w:t>
      </w:r>
      <w:bookmarkEnd w:id="19"/>
    </w:p>
    <w:p w:rsidR="00144639" w:rsidRPr="00CD427D" w:rsidRDefault="00EF1635" w:rsidP="00C6161F">
      <w:pPr>
        <w:pStyle w:val="subsection"/>
      </w:pPr>
      <w:r>
        <w:tab/>
        <w:t>(</w:t>
      </w:r>
      <w:r w:rsidR="007500A4">
        <w:t>1</w:t>
      </w:r>
      <w:r>
        <w:t>)</w:t>
      </w:r>
      <w:r>
        <w:tab/>
      </w:r>
      <w:r w:rsidR="00E521A7">
        <w:t>The manufacture of t</w:t>
      </w:r>
      <w:r w:rsidR="00021972">
        <w:t>herapeutic goods</w:t>
      </w:r>
      <w:r w:rsidR="00144639" w:rsidRPr="00EF1635">
        <w:t xml:space="preserve"> </w:t>
      </w:r>
      <w:r w:rsidR="00ED1710" w:rsidRPr="00EF3A05">
        <w:t>to which this Part applies</w:t>
      </w:r>
      <w:r w:rsidR="00ED1710">
        <w:t xml:space="preserve"> </w:t>
      </w:r>
      <w:r w:rsidR="00144639" w:rsidRPr="00EF1635">
        <w:t xml:space="preserve">must </w:t>
      </w:r>
      <w:r w:rsidR="00E521A7">
        <w:t xml:space="preserve">comply </w:t>
      </w:r>
      <w:r w:rsidR="00144639">
        <w:t xml:space="preserve">with applicable </w:t>
      </w:r>
      <w:r w:rsidR="00E521A7">
        <w:t xml:space="preserve">procedures and </w:t>
      </w:r>
      <w:r w:rsidR="00144639">
        <w:t xml:space="preserve">requirements </w:t>
      </w:r>
      <w:r w:rsidR="006721C7">
        <w:t>in</w:t>
      </w:r>
      <w:r w:rsidR="00144639">
        <w:t xml:space="preserve"> the </w:t>
      </w:r>
      <w:r w:rsidR="00144639" w:rsidRPr="00B90FFE">
        <w:t>Australian Code of Good Manufacturing Practice</w:t>
      </w:r>
      <w:r w:rsidR="007500A4">
        <w:t>.</w:t>
      </w:r>
    </w:p>
    <w:p w:rsidR="00144639" w:rsidRDefault="00EF1635" w:rsidP="00EF1635">
      <w:pPr>
        <w:pStyle w:val="subsection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  <w:t>(</w:t>
      </w:r>
      <w:r w:rsidR="007500A4">
        <w:rPr>
          <w:rFonts w:eastAsia="MS Mincho"/>
          <w:lang w:eastAsia="ja-JP"/>
        </w:rPr>
        <w:t>2</w:t>
      </w:r>
      <w:r>
        <w:rPr>
          <w:rFonts w:eastAsia="MS Mincho"/>
          <w:lang w:eastAsia="ja-JP"/>
        </w:rPr>
        <w:t>)</w:t>
      </w:r>
      <w:r>
        <w:rPr>
          <w:rFonts w:eastAsia="MS Mincho"/>
          <w:lang w:eastAsia="ja-JP"/>
        </w:rPr>
        <w:tab/>
      </w:r>
      <w:r w:rsidR="00144639">
        <w:rPr>
          <w:rFonts w:eastAsia="MS Mincho"/>
          <w:lang w:eastAsia="ja-JP"/>
        </w:rPr>
        <w:t>W</w:t>
      </w:r>
      <w:r w:rsidR="00144639" w:rsidRPr="00CD2FE1">
        <w:rPr>
          <w:rFonts w:eastAsia="MS Mincho"/>
          <w:lang w:eastAsia="ja-JP"/>
        </w:rPr>
        <w:t xml:space="preserve">here the </w:t>
      </w:r>
      <w:r w:rsidR="00144639" w:rsidRPr="00B90FFE">
        <w:t>Australian Code of Good Manufacturing Practice</w:t>
      </w:r>
      <w:r w:rsidR="00144639" w:rsidRPr="00CD2FE1">
        <w:rPr>
          <w:rFonts w:eastAsia="MS Mincho"/>
          <w:lang w:eastAsia="ja-JP"/>
        </w:rPr>
        <w:t xml:space="preserve"> provides that a procedure or requirement ‘should’ be followed, </w:t>
      </w:r>
      <w:r w:rsidR="00E831BC">
        <w:rPr>
          <w:rFonts w:eastAsia="MS Mincho"/>
          <w:lang w:eastAsia="ja-JP"/>
        </w:rPr>
        <w:t xml:space="preserve">the </w:t>
      </w:r>
      <w:r w:rsidR="00144639" w:rsidRPr="00CD2FE1">
        <w:rPr>
          <w:rFonts w:eastAsia="MS Mincho"/>
          <w:lang w:eastAsia="ja-JP"/>
        </w:rPr>
        <w:t>manufacture of therapeutic goods in Australia must follow th</w:t>
      </w:r>
      <w:r w:rsidR="006721C7">
        <w:rPr>
          <w:rFonts w:eastAsia="MS Mincho"/>
          <w:lang w:eastAsia="ja-JP"/>
        </w:rPr>
        <w:t>e</w:t>
      </w:r>
      <w:r w:rsidR="00144639" w:rsidRPr="00CD2FE1">
        <w:rPr>
          <w:rFonts w:eastAsia="MS Mincho"/>
          <w:lang w:eastAsia="ja-JP"/>
        </w:rPr>
        <w:t xml:space="preserve"> procedure or requirement in order to comply with the </w:t>
      </w:r>
      <w:r w:rsidR="00144639" w:rsidRPr="00B90FFE">
        <w:t>Australian Code of Good Manufacturing Practice</w:t>
      </w:r>
      <w:r w:rsidR="00144639" w:rsidRPr="00CD2FE1">
        <w:rPr>
          <w:rFonts w:eastAsia="MS Mincho"/>
          <w:lang w:eastAsia="ja-JP"/>
        </w:rPr>
        <w:t>.</w:t>
      </w:r>
    </w:p>
    <w:p w:rsidR="00C6161F" w:rsidRDefault="00A62246" w:rsidP="005B3503">
      <w:pPr>
        <w:pStyle w:val="subsection"/>
      </w:pPr>
      <w:r>
        <w:rPr>
          <w:rFonts w:eastAsia="MS Mincho"/>
          <w:lang w:eastAsia="ja-JP"/>
        </w:rPr>
        <w:tab/>
        <w:t>(3)</w:t>
      </w:r>
      <w:r>
        <w:rPr>
          <w:rFonts w:eastAsia="MS Mincho"/>
          <w:lang w:eastAsia="ja-JP"/>
        </w:rPr>
        <w:tab/>
      </w:r>
      <w:r w:rsidR="005B3503">
        <w:rPr>
          <w:rFonts w:eastAsia="MS Mincho"/>
          <w:lang w:eastAsia="ja-JP"/>
        </w:rPr>
        <w:t>A</w:t>
      </w:r>
      <w:r w:rsidR="00C6161F" w:rsidRPr="00C6161F">
        <w:t xml:space="preserve">n application for a licence </w:t>
      </w:r>
      <w:r w:rsidR="001907C3">
        <w:t xml:space="preserve">to carry out steps in the manufacture of </w:t>
      </w:r>
      <w:r w:rsidR="005B3503">
        <w:t xml:space="preserve">blood, blood components or haematopoietic progenitor cells </w:t>
      </w:r>
      <w:r w:rsidR="00C6161F" w:rsidRPr="00C6161F">
        <w:t xml:space="preserve">must </w:t>
      </w:r>
      <w:r w:rsidR="00337860">
        <w:t>include</w:t>
      </w:r>
      <w:r w:rsidR="00C6161F">
        <w:t xml:space="preserve"> </w:t>
      </w:r>
      <w:r w:rsidR="00C6161F" w:rsidRPr="00C6161F">
        <w:t>a</w:t>
      </w:r>
      <w:r w:rsidR="001907C3">
        <w:t xml:space="preserve"> t</w:t>
      </w:r>
      <w:r>
        <w:t xml:space="preserve">echnical </w:t>
      </w:r>
      <w:r w:rsidR="001907C3">
        <w:t>m</w:t>
      </w:r>
      <w:r>
        <w:t xml:space="preserve">aster </w:t>
      </w:r>
      <w:r w:rsidR="001907C3">
        <w:t>f</w:t>
      </w:r>
      <w:r>
        <w:t>i</w:t>
      </w:r>
      <w:r w:rsidR="00C6161F">
        <w:t>le</w:t>
      </w:r>
      <w:r w:rsidR="009962CD">
        <w:t xml:space="preserve"> </w:t>
      </w:r>
      <w:r w:rsidR="005E0596">
        <w:t xml:space="preserve">in relation to those goods </w:t>
      </w:r>
      <w:r w:rsidR="001907C3">
        <w:t>(</w:t>
      </w:r>
      <w:r w:rsidR="001907C3" w:rsidRPr="00420001">
        <w:t>the</w:t>
      </w:r>
      <w:r w:rsidR="001907C3" w:rsidRPr="00420001">
        <w:rPr>
          <w:i/>
        </w:rPr>
        <w:t xml:space="preserve"> </w:t>
      </w:r>
      <w:r w:rsidR="001907C3" w:rsidRPr="001907C3">
        <w:rPr>
          <w:b/>
          <w:i/>
        </w:rPr>
        <w:t>relevant technical master file</w:t>
      </w:r>
      <w:r w:rsidR="001907C3">
        <w:t>)</w:t>
      </w:r>
      <w:r w:rsidR="005B3503">
        <w:t>.</w:t>
      </w:r>
    </w:p>
    <w:p w:rsidR="00A62246" w:rsidRPr="001907C3" w:rsidRDefault="001907C3" w:rsidP="0024256B">
      <w:pPr>
        <w:pStyle w:val="subsection"/>
      </w:pPr>
      <w:r>
        <w:tab/>
        <w:t>(</w:t>
      </w:r>
      <w:r w:rsidR="006A5FCE">
        <w:t>4</w:t>
      </w:r>
      <w:r w:rsidR="005B3503">
        <w:t>)</w:t>
      </w:r>
      <w:r w:rsidR="005B3503">
        <w:tab/>
      </w:r>
      <w:r w:rsidR="006A5FCE">
        <w:t>B</w:t>
      </w:r>
      <w:r w:rsidR="00C6161F">
        <w:rPr>
          <w:rFonts w:eastAsia="MS Mincho"/>
          <w:lang w:eastAsia="ja-JP"/>
        </w:rPr>
        <w:t xml:space="preserve">lood, blood components and haematopoietic progenitor cells must be manufactured in a manner consistent with </w:t>
      </w:r>
      <w:r w:rsidR="009962CD">
        <w:rPr>
          <w:rFonts w:eastAsia="MS Mincho"/>
          <w:lang w:eastAsia="ja-JP"/>
        </w:rPr>
        <w:t>the</w:t>
      </w:r>
      <w:r w:rsidR="00C6161F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relevant t</w:t>
      </w:r>
      <w:r w:rsidR="00C6161F">
        <w:rPr>
          <w:rFonts w:eastAsia="MS Mincho"/>
          <w:lang w:eastAsia="ja-JP"/>
        </w:rPr>
        <w:t xml:space="preserve">echnical </w:t>
      </w:r>
      <w:r>
        <w:rPr>
          <w:rFonts w:eastAsia="MS Mincho"/>
          <w:lang w:eastAsia="ja-JP"/>
        </w:rPr>
        <w:t>m</w:t>
      </w:r>
      <w:r w:rsidR="00C6161F">
        <w:rPr>
          <w:rFonts w:eastAsia="MS Mincho"/>
          <w:lang w:eastAsia="ja-JP"/>
        </w:rPr>
        <w:t xml:space="preserve">aster </w:t>
      </w:r>
      <w:r>
        <w:rPr>
          <w:rFonts w:eastAsia="MS Mincho"/>
          <w:lang w:eastAsia="ja-JP"/>
        </w:rPr>
        <w:t>f</w:t>
      </w:r>
      <w:r w:rsidR="00C6161F">
        <w:rPr>
          <w:rFonts w:eastAsia="MS Mincho"/>
          <w:lang w:eastAsia="ja-JP"/>
        </w:rPr>
        <w:t>ile.</w:t>
      </w:r>
    </w:p>
    <w:p w:rsidR="00144639" w:rsidRDefault="00EF1635" w:rsidP="00EF1635">
      <w:pPr>
        <w:pStyle w:val="subsection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  <w:t>(</w:t>
      </w:r>
      <w:r w:rsidR="004A5474">
        <w:rPr>
          <w:rFonts w:eastAsia="MS Mincho"/>
          <w:lang w:eastAsia="ja-JP"/>
        </w:rPr>
        <w:t>5</w:t>
      </w:r>
      <w:r>
        <w:rPr>
          <w:rFonts w:eastAsia="MS Mincho"/>
          <w:lang w:eastAsia="ja-JP"/>
        </w:rPr>
        <w:t>)</w:t>
      </w:r>
      <w:r>
        <w:rPr>
          <w:rFonts w:eastAsia="MS Mincho"/>
          <w:lang w:eastAsia="ja-JP"/>
        </w:rPr>
        <w:tab/>
      </w:r>
      <w:r w:rsidR="00144639" w:rsidRPr="00347189">
        <w:rPr>
          <w:rFonts w:eastAsia="MS Mincho"/>
          <w:lang w:eastAsia="ja-JP"/>
        </w:rPr>
        <w:t>A blood processing plant that processes plasma collected from donors in Australia for products that are</w:t>
      </w:r>
      <w:r w:rsidR="008718A8">
        <w:rPr>
          <w:rFonts w:eastAsia="MS Mincho"/>
          <w:lang w:eastAsia="ja-JP"/>
        </w:rPr>
        <w:t>,</w:t>
      </w:r>
      <w:r w:rsidR="00144639" w:rsidRPr="00347189">
        <w:rPr>
          <w:rFonts w:eastAsia="MS Mincho"/>
          <w:lang w:eastAsia="ja-JP"/>
        </w:rPr>
        <w:t xml:space="preserve"> or will be</w:t>
      </w:r>
      <w:r w:rsidR="008718A8">
        <w:rPr>
          <w:rFonts w:eastAsia="MS Mincho"/>
          <w:lang w:eastAsia="ja-JP"/>
        </w:rPr>
        <w:t>,</w:t>
      </w:r>
      <w:r w:rsidR="00144639" w:rsidRPr="00347189">
        <w:rPr>
          <w:rFonts w:eastAsia="MS Mincho"/>
          <w:lang w:eastAsia="ja-JP"/>
        </w:rPr>
        <w:t xml:space="preserve"> used in Australia (the </w:t>
      </w:r>
      <w:r w:rsidR="00144639" w:rsidRPr="00421BB1">
        <w:rPr>
          <w:rFonts w:eastAsia="MS Mincho"/>
          <w:b/>
          <w:i/>
          <w:lang w:eastAsia="ja-JP"/>
        </w:rPr>
        <w:t>Australian product</w:t>
      </w:r>
      <w:r w:rsidR="00144639" w:rsidRPr="00347189">
        <w:rPr>
          <w:rFonts w:eastAsia="MS Mincho"/>
          <w:lang w:eastAsia="ja-JP"/>
        </w:rPr>
        <w:t>) may only be used to process plasma collected from a source outside Australia if, for that source:</w:t>
      </w:r>
    </w:p>
    <w:p w:rsidR="00144639" w:rsidRPr="00EF1635" w:rsidRDefault="00EF1635" w:rsidP="00EF1635">
      <w:pPr>
        <w:pStyle w:val="paragraph"/>
      </w:pPr>
      <w:r>
        <w:tab/>
        <w:t>(a)</w:t>
      </w:r>
      <w:r>
        <w:tab/>
      </w:r>
      <w:r w:rsidR="00144639" w:rsidRPr="00EA3238">
        <w:t xml:space="preserve">a plasma master file prepared in accordance with the requirements of the </w:t>
      </w:r>
      <w:r w:rsidR="00121F49">
        <w:t xml:space="preserve">PMF </w:t>
      </w:r>
      <w:r w:rsidR="00144639" w:rsidRPr="00EA3238">
        <w:t xml:space="preserve">Guideline has been submitted to </w:t>
      </w:r>
      <w:r w:rsidR="00843089">
        <w:t xml:space="preserve">a relevant officer </w:t>
      </w:r>
      <w:r w:rsidR="00144639" w:rsidRPr="00EA3238">
        <w:t>by the licen</w:t>
      </w:r>
      <w:r w:rsidR="00C73CFA">
        <w:t xml:space="preserve">ce holder </w:t>
      </w:r>
      <w:r w:rsidR="00144639" w:rsidRPr="00EA3238">
        <w:t xml:space="preserve">of the blood processing plant; </w:t>
      </w:r>
      <w:r w:rsidR="00144639" w:rsidRPr="00EF1635">
        <w:t>and</w:t>
      </w:r>
    </w:p>
    <w:p w:rsidR="00144639" w:rsidRPr="00EA3238" w:rsidRDefault="00EF1635" w:rsidP="00EF1635">
      <w:pPr>
        <w:pStyle w:val="paragraph"/>
      </w:pPr>
      <w:r>
        <w:tab/>
        <w:t>(b)</w:t>
      </w:r>
      <w:r>
        <w:tab/>
      </w:r>
      <w:proofErr w:type="gramStart"/>
      <w:r w:rsidR="00843089">
        <w:t>a</w:t>
      </w:r>
      <w:proofErr w:type="gramEnd"/>
      <w:r w:rsidR="00843089">
        <w:t xml:space="preserve"> relevant officer </w:t>
      </w:r>
      <w:r w:rsidR="00144639" w:rsidRPr="00EA3238">
        <w:t xml:space="preserve">has advised the </w:t>
      </w:r>
      <w:r w:rsidR="00C73CFA">
        <w:t>licence holder</w:t>
      </w:r>
      <w:bookmarkStart w:id="20" w:name="_GoBack"/>
      <w:bookmarkEnd w:id="20"/>
      <w:r w:rsidR="00C73CFA">
        <w:t xml:space="preserve"> </w:t>
      </w:r>
      <w:r w:rsidR="00144639" w:rsidRPr="00EA3238">
        <w:t>of the plant</w:t>
      </w:r>
      <w:r w:rsidR="00144639">
        <w:t xml:space="preserve"> that</w:t>
      </w:r>
      <w:r w:rsidR="00144639" w:rsidRPr="00EA3238">
        <w:t>, based on the plasma master file</w:t>
      </w:r>
      <w:r w:rsidR="00144639">
        <w:t xml:space="preserve"> submitted for those goods</w:t>
      </w:r>
      <w:r w:rsidR="00144639" w:rsidRPr="00EA3238">
        <w:t xml:space="preserve">, and having taken into account the </w:t>
      </w:r>
      <w:r w:rsidR="008718A8">
        <w:t xml:space="preserve">processes of </w:t>
      </w:r>
      <w:r w:rsidR="00C73CFA">
        <w:t xml:space="preserve">the </w:t>
      </w:r>
      <w:r w:rsidR="00144639" w:rsidRPr="00EA3238">
        <w:t>plant, the plasma from the source outside Australia will not contaminate the Australian product with any blood borne pathogens.</w:t>
      </w:r>
    </w:p>
    <w:p w:rsidR="00144639" w:rsidRPr="00EF1635" w:rsidRDefault="00ED1710" w:rsidP="00EF1635">
      <w:pPr>
        <w:pStyle w:val="subsection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  <w:t>(</w:t>
      </w:r>
      <w:r w:rsidR="004A5474">
        <w:rPr>
          <w:rFonts w:eastAsia="MS Mincho"/>
          <w:lang w:eastAsia="ja-JP"/>
        </w:rPr>
        <w:t>6</w:t>
      </w:r>
      <w:r w:rsidR="00EF1635">
        <w:rPr>
          <w:rFonts w:eastAsia="MS Mincho"/>
          <w:lang w:eastAsia="ja-JP"/>
        </w:rPr>
        <w:t>)</w:t>
      </w:r>
      <w:r w:rsidR="00EF1635">
        <w:rPr>
          <w:rFonts w:eastAsia="MS Mincho"/>
          <w:lang w:eastAsia="ja-JP"/>
        </w:rPr>
        <w:tab/>
      </w:r>
      <w:r w:rsidR="00144639">
        <w:rPr>
          <w:rFonts w:eastAsia="MS Mincho"/>
          <w:lang w:eastAsia="ja-JP"/>
        </w:rPr>
        <w:t xml:space="preserve">The failure of a manufacturer </w:t>
      </w:r>
      <w:r w:rsidR="00E521A7">
        <w:rPr>
          <w:rFonts w:eastAsia="MS Mincho"/>
          <w:lang w:eastAsia="ja-JP"/>
        </w:rPr>
        <w:t xml:space="preserve">of therapeutic goods </w:t>
      </w:r>
      <w:r w:rsidR="00144639" w:rsidRPr="00EF3A05">
        <w:rPr>
          <w:rFonts w:eastAsia="MS Mincho"/>
          <w:lang w:eastAsia="ja-JP"/>
        </w:rPr>
        <w:t xml:space="preserve">to which this </w:t>
      </w:r>
      <w:r w:rsidR="00121F49" w:rsidRPr="00EF3A05">
        <w:rPr>
          <w:rFonts w:eastAsia="MS Mincho"/>
          <w:lang w:eastAsia="ja-JP"/>
        </w:rPr>
        <w:t>Part</w:t>
      </w:r>
      <w:r w:rsidR="00144639" w:rsidRPr="00EF3A05">
        <w:rPr>
          <w:rFonts w:eastAsia="MS Mincho"/>
          <w:lang w:eastAsia="ja-JP"/>
        </w:rPr>
        <w:t xml:space="preserve"> applies</w:t>
      </w:r>
      <w:r w:rsidR="00144639" w:rsidRPr="006427AC">
        <w:rPr>
          <w:rFonts w:eastAsia="MS Mincho"/>
          <w:lang w:eastAsia="ja-JP"/>
        </w:rPr>
        <w:t>,</w:t>
      </w:r>
      <w:r w:rsidR="00144639">
        <w:rPr>
          <w:rFonts w:eastAsia="MS Mincho"/>
          <w:lang w:eastAsia="ja-JP"/>
        </w:rPr>
        <w:t xml:space="preserve"> to follow a</w:t>
      </w:r>
      <w:r w:rsidR="008718A8">
        <w:rPr>
          <w:rFonts w:eastAsia="MS Mincho"/>
          <w:lang w:eastAsia="ja-JP"/>
        </w:rPr>
        <w:t xml:space="preserve">n applicable </w:t>
      </w:r>
      <w:r w:rsidR="00144639">
        <w:rPr>
          <w:rFonts w:eastAsia="MS Mincho"/>
          <w:lang w:eastAsia="ja-JP"/>
        </w:rPr>
        <w:t xml:space="preserve">procedure or requirement set out in the </w:t>
      </w:r>
      <w:r w:rsidR="00144639">
        <w:t xml:space="preserve">Australian Code of Good Manufacturing Practice will </w:t>
      </w:r>
      <w:r w:rsidR="00144639">
        <w:rPr>
          <w:rFonts w:eastAsia="MS Mincho"/>
          <w:lang w:eastAsia="ja-JP"/>
        </w:rPr>
        <w:t xml:space="preserve">constitute a failure to comply with the </w:t>
      </w:r>
      <w:r w:rsidR="00144639">
        <w:t xml:space="preserve">Australian Code of Good Manufacturing Practice </w:t>
      </w:r>
      <w:r w:rsidR="00144639">
        <w:rPr>
          <w:rFonts w:eastAsia="MS Mincho"/>
          <w:lang w:eastAsia="ja-JP"/>
        </w:rPr>
        <w:t>unless</w:t>
      </w:r>
      <w:r w:rsidR="008718A8">
        <w:rPr>
          <w:rFonts w:eastAsia="MS Mincho"/>
          <w:lang w:eastAsia="ja-JP"/>
        </w:rPr>
        <w:t>,</w:t>
      </w:r>
      <w:r w:rsidR="00144639">
        <w:rPr>
          <w:rFonts w:eastAsia="MS Mincho"/>
          <w:lang w:eastAsia="ja-JP"/>
        </w:rPr>
        <w:t xml:space="preserve"> in relation to that parti</w:t>
      </w:r>
      <w:r w:rsidR="00121F49">
        <w:rPr>
          <w:rFonts w:eastAsia="MS Mincho"/>
          <w:lang w:eastAsia="ja-JP"/>
        </w:rPr>
        <w:t>cular procedure or requirement:</w:t>
      </w:r>
    </w:p>
    <w:p w:rsidR="00144639" w:rsidRDefault="00EF1635" w:rsidP="00EF1635">
      <w:pPr>
        <w:pStyle w:val="paragraph"/>
      </w:pPr>
      <w:r>
        <w:tab/>
        <w:t>(a)</w:t>
      </w:r>
      <w:r>
        <w:tab/>
      </w:r>
      <w:proofErr w:type="gramStart"/>
      <w:r w:rsidR="00144639">
        <w:t>the</w:t>
      </w:r>
      <w:proofErr w:type="gramEnd"/>
      <w:r w:rsidR="00144639">
        <w:t xml:space="preserve"> manufacturer demonstrates, to the satisfaction of </w:t>
      </w:r>
      <w:r w:rsidR="005E0596">
        <w:t>a relevant officer</w:t>
      </w:r>
      <w:r w:rsidR="00144639">
        <w:t>, that the failure to adopt that procedure or requirement:</w:t>
      </w:r>
    </w:p>
    <w:p w:rsidR="00144639" w:rsidRDefault="00EF1635" w:rsidP="00EF1635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144639">
        <w:t xml:space="preserve">will not increase the risk </w:t>
      </w:r>
      <w:r w:rsidR="00144639" w:rsidRPr="00EF1635">
        <w:t xml:space="preserve">that the </w:t>
      </w:r>
      <w:r w:rsidR="006427AC">
        <w:t xml:space="preserve">therapeutic </w:t>
      </w:r>
      <w:r w:rsidR="00144639" w:rsidRPr="00EF1635">
        <w:t xml:space="preserve">goods </w:t>
      </w:r>
      <w:r w:rsidR="006427AC">
        <w:t>manufactured</w:t>
      </w:r>
      <w:r w:rsidR="006427AC" w:rsidRPr="00EF1635">
        <w:t xml:space="preserve"> </w:t>
      </w:r>
      <w:r w:rsidR="00144639" w:rsidRPr="00EF1635">
        <w:t>will</w:t>
      </w:r>
      <w:r w:rsidR="006427AC">
        <w:t>,</w:t>
      </w:r>
      <w:r w:rsidR="00144639" w:rsidRPr="00EF1635">
        <w:t xml:space="preserve"> or could</w:t>
      </w:r>
      <w:r w:rsidR="006427AC">
        <w:t>,</w:t>
      </w:r>
      <w:r w:rsidR="00144639" w:rsidRPr="00EF1635">
        <w:t xml:space="preserve"> cause</w:t>
      </w:r>
      <w:r w:rsidR="00144639">
        <w:t xml:space="preserve"> harm or injury to any person, or will</w:t>
      </w:r>
      <w:r w:rsidR="006427AC">
        <w:t>,</w:t>
      </w:r>
      <w:r w:rsidR="00144639">
        <w:t xml:space="preserve"> or could</w:t>
      </w:r>
      <w:r w:rsidR="006427AC">
        <w:t>,</w:t>
      </w:r>
      <w:r w:rsidR="00144639">
        <w:t xml:space="preserve"> potentially have the effect of causing or contributing to such harm</w:t>
      </w:r>
      <w:r w:rsidR="007764CA">
        <w:t xml:space="preserve"> or injury</w:t>
      </w:r>
      <w:r w:rsidR="00144639">
        <w:t>; and</w:t>
      </w:r>
    </w:p>
    <w:p w:rsidR="00144639" w:rsidRDefault="00EF1635" w:rsidP="00EF1635">
      <w:pPr>
        <w:pStyle w:val="paragraphsub"/>
      </w:pPr>
      <w:r>
        <w:tab/>
        <w:t>(ii)</w:t>
      </w:r>
      <w:r>
        <w:tab/>
      </w:r>
      <w:proofErr w:type="gramStart"/>
      <w:r w:rsidR="00144639">
        <w:t>will</w:t>
      </w:r>
      <w:proofErr w:type="gramEnd"/>
      <w:r w:rsidR="00144639">
        <w:t xml:space="preserve"> not increase the risk of </w:t>
      </w:r>
      <w:r w:rsidR="006427AC">
        <w:t xml:space="preserve">those </w:t>
      </w:r>
      <w:r w:rsidR="00144639">
        <w:t>therapeutic goods failing to comply with</w:t>
      </w:r>
      <w:r w:rsidR="006427AC">
        <w:t xml:space="preserve"> </w:t>
      </w:r>
      <w:r w:rsidR="00ED1710">
        <w:t xml:space="preserve">an </w:t>
      </w:r>
      <w:r w:rsidR="006427AC">
        <w:t>applicable standard or relevant condition of registration or inclusion</w:t>
      </w:r>
      <w:r w:rsidR="00144639">
        <w:t>; and</w:t>
      </w:r>
    </w:p>
    <w:p w:rsidR="00144639" w:rsidRDefault="00EF1635" w:rsidP="00EF1635">
      <w:pPr>
        <w:pStyle w:val="paragraphsub"/>
      </w:pPr>
      <w:r>
        <w:tab/>
        <w:t>(iii)</w:t>
      </w:r>
      <w:r>
        <w:tab/>
      </w:r>
      <w:proofErr w:type="gramStart"/>
      <w:r w:rsidR="00144639">
        <w:t>will</w:t>
      </w:r>
      <w:proofErr w:type="gramEnd"/>
      <w:r w:rsidR="00144639">
        <w:t xml:space="preserve"> not depart from any applicable record keeping requirements contained in the</w:t>
      </w:r>
      <w:r w:rsidR="00144639" w:rsidRPr="00BE4676">
        <w:t xml:space="preserve"> </w:t>
      </w:r>
      <w:r w:rsidR="00144639">
        <w:t xml:space="preserve">Australian Code of </w:t>
      </w:r>
      <w:r w:rsidR="00ED1710">
        <w:t>Good Manufacturing Practice; or</w:t>
      </w:r>
    </w:p>
    <w:p w:rsidR="00144639" w:rsidRPr="00BE4676" w:rsidRDefault="002740E1" w:rsidP="002740E1">
      <w:pPr>
        <w:pStyle w:val="paragraph"/>
      </w:pPr>
      <w:r>
        <w:tab/>
      </w:r>
      <w:r w:rsidR="00EF1635">
        <w:t>(b)</w:t>
      </w:r>
      <w:r w:rsidR="00EF1635">
        <w:tab/>
      </w:r>
      <w:r w:rsidR="00144639" w:rsidRPr="00BE4676">
        <w:t xml:space="preserve">where an alternative to the procedure or requirement set out </w:t>
      </w:r>
      <w:r w:rsidR="006427AC">
        <w:t xml:space="preserve">in </w:t>
      </w:r>
      <w:r w:rsidR="00144639" w:rsidRPr="00BE4676">
        <w:t xml:space="preserve">the </w:t>
      </w:r>
      <w:r w:rsidR="00144639">
        <w:t xml:space="preserve">Australian Code of Good Manufacturing Practice </w:t>
      </w:r>
      <w:r w:rsidR="00144639" w:rsidRPr="00BE4676">
        <w:t>has been adopted</w:t>
      </w:r>
      <w:r w:rsidR="0029095D">
        <w:t>—</w:t>
      </w:r>
      <w:r w:rsidR="00144639" w:rsidRPr="00BE4676">
        <w:t xml:space="preserve">the manufacturer demonstrates, to the satisfaction of </w:t>
      </w:r>
      <w:r w:rsidR="00823C32">
        <w:t xml:space="preserve">a </w:t>
      </w:r>
      <w:r w:rsidR="00DE479A">
        <w:t>relevant officer</w:t>
      </w:r>
      <w:r w:rsidR="00144639" w:rsidRPr="00BE4676">
        <w:t>, that:</w:t>
      </w:r>
    </w:p>
    <w:p w:rsidR="00144639" w:rsidRDefault="00EF1635" w:rsidP="00EF1635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144639">
        <w:t xml:space="preserve">the alternative will not increase the risk </w:t>
      </w:r>
      <w:r w:rsidR="00144639">
        <w:rPr>
          <w:rFonts w:eastAsia="MS Mincho"/>
          <w:lang w:eastAsia="ja-JP"/>
        </w:rPr>
        <w:t xml:space="preserve">that the </w:t>
      </w:r>
      <w:r w:rsidR="006427AC">
        <w:rPr>
          <w:rFonts w:eastAsia="MS Mincho"/>
          <w:lang w:eastAsia="ja-JP"/>
        </w:rPr>
        <w:t xml:space="preserve">therapeutic </w:t>
      </w:r>
      <w:r w:rsidR="00144639">
        <w:rPr>
          <w:rFonts w:eastAsia="MS Mincho"/>
          <w:lang w:eastAsia="ja-JP"/>
        </w:rPr>
        <w:t xml:space="preserve">goods </w:t>
      </w:r>
      <w:r w:rsidR="006427AC">
        <w:rPr>
          <w:rFonts w:eastAsia="MS Mincho"/>
          <w:lang w:eastAsia="ja-JP"/>
        </w:rPr>
        <w:t xml:space="preserve">manufactured </w:t>
      </w:r>
      <w:r w:rsidR="00144639">
        <w:rPr>
          <w:rFonts w:eastAsia="MS Mincho"/>
          <w:lang w:eastAsia="ja-JP"/>
        </w:rPr>
        <w:t>will</w:t>
      </w:r>
      <w:r w:rsidR="006427AC">
        <w:rPr>
          <w:rFonts w:eastAsia="MS Mincho"/>
          <w:lang w:eastAsia="ja-JP"/>
        </w:rPr>
        <w:t>,</w:t>
      </w:r>
      <w:r w:rsidR="00144639">
        <w:rPr>
          <w:rFonts w:eastAsia="MS Mincho"/>
          <w:lang w:eastAsia="ja-JP"/>
        </w:rPr>
        <w:t xml:space="preserve"> or could</w:t>
      </w:r>
      <w:r w:rsidR="006427AC">
        <w:rPr>
          <w:rFonts w:eastAsia="MS Mincho"/>
          <w:lang w:eastAsia="ja-JP"/>
        </w:rPr>
        <w:t>,</w:t>
      </w:r>
      <w:r w:rsidR="00144639">
        <w:rPr>
          <w:rFonts w:eastAsia="MS Mincho"/>
          <w:lang w:eastAsia="ja-JP"/>
        </w:rPr>
        <w:t xml:space="preserve"> cause</w:t>
      </w:r>
      <w:r w:rsidR="00144639">
        <w:t xml:space="preserve"> harm or injury to any person, or will</w:t>
      </w:r>
      <w:r w:rsidR="006427AC">
        <w:t>,</w:t>
      </w:r>
      <w:r w:rsidR="00144639">
        <w:t xml:space="preserve"> or could</w:t>
      </w:r>
      <w:r w:rsidR="006427AC">
        <w:t>,</w:t>
      </w:r>
      <w:r w:rsidR="00144639">
        <w:t xml:space="preserve"> potentially have the effect of causing or contributing to such harm</w:t>
      </w:r>
      <w:r w:rsidR="007764CA">
        <w:t xml:space="preserve"> or injury</w:t>
      </w:r>
      <w:r w:rsidR="00144639">
        <w:t>; and</w:t>
      </w:r>
    </w:p>
    <w:p w:rsidR="00144639" w:rsidRPr="00EF1635" w:rsidRDefault="00EF1635" w:rsidP="00EF1635">
      <w:pPr>
        <w:pStyle w:val="paragraphsub"/>
      </w:pPr>
      <w:r>
        <w:tab/>
        <w:t>(ii)</w:t>
      </w:r>
      <w:r>
        <w:tab/>
      </w:r>
      <w:proofErr w:type="gramStart"/>
      <w:r w:rsidR="00144639">
        <w:t>the</w:t>
      </w:r>
      <w:proofErr w:type="gramEnd"/>
      <w:r w:rsidR="00144639">
        <w:t xml:space="preserve"> alternative will not increase the risk of </w:t>
      </w:r>
      <w:r w:rsidR="006427AC">
        <w:t xml:space="preserve">those </w:t>
      </w:r>
      <w:r w:rsidR="00144639">
        <w:t>therapeutic goods failing to comply with</w:t>
      </w:r>
      <w:r w:rsidR="003215AD">
        <w:t xml:space="preserve"> an</w:t>
      </w:r>
      <w:r w:rsidR="006427AC">
        <w:t xml:space="preserve"> applicable standard or relevant condition of registration or inclusion</w:t>
      </w:r>
      <w:r w:rsidR="00144639" w:rsidRPr="00EF1635">
        <w:t>; and</w:t>
      </w:r>
    </w:p>
    <w:p w:rsidR="00C51CCF" w:rsidRDefault="00EF1635" w:rsidP="00EF1635">
      <w:pPr>
        <w:pStyle w:val="paragraphsub"/>
      </w:pPr>
      <w:r>
        <w:tab/>
        <w:t>(iii)</w:t>
      </w:r>
      <w:r>
        <w:tab/>
      </w:r>
      <w:proofErr w:type="gramStart"/>
      <w:r w:rsidR="00144639" w:rsidRPr="00EF1635">
        <w:t>will</w:t>
      </w:r>
      <w:proofErr w:type="gramEnd"/>
      <w:r w:rsidR="00144639" w:rsidRPr="00EF1635">
        <w:t xml:space="preserve"> not depart from </w:t>
      </w:r>
      <w:r w:rsidR="005729BB">
        <w:t>any applicable</w:t>
      </w:r>
      <w:r w:rsidR="005729BB" w:rsidRPr="00EF1635">
        <w:t xml:space="preserve"> </w:t>
      </w:r>
      <w:r w:rsidR="00144639" w:rsidRPr="00EF1635">
        <w:t>record keeping requirements contained in the Australian Code of Good Manufacturing Practice.</w:t>
      </w:r>
      <w:bookmarkStart w:id="21" w:name="div3"/>
      <w:bookmarkEnd w:id="21"/>
    </w:p>
    <w:p w:rsidR="00C51CCF" w:rsidRDefault="00C51CCF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C51CCF" w:rsidRPr="006427AC" w:rsidRDefault="00C51CCF" w:rsidP="006427AC">
      <w:pPr>
        <w:pStyle w:val="ActHead1"/>
        <w:rPr>
          <w:rStyle w:val="CharChapNo"/>
        </w:rPr>
      </w:pPr>
      <w:bookmarkStart w:id="22" w:name="_Toc454512518"/>
      <w:bookmarkStart w:id="23" w:name="_Toc536011568"/>
      <w:bookmarkStart w:id="24" w:name="_Toc2071512"/>
      <w:bookmarkStart w:id="25" w:name="_Toc44412449"/>
      <w:r w:rsidRPr="006427AC">
        <w:rPr>
          <w:rStyle w:val="CharChapNo"/>
        </w:rPr>
        <w:lastRenderedPageBreak/>
        <w:t>Schedule 2—Repeals</w:t>
      </w:r>
      <w:bookmarkEnd w:id="22"/>
      <w:bookmarkEnd w:id="23"/>
      <w:bookmarkEnd w:id="24"/>
      <w:bookmarkEnd w:id="25"/>
    </w:p>
    <w:p w:rsidR="007C5352" w:rsidRDefault="007C5352" w:rsidP="007C5352">
      <w:pPr>
        <w:pStyle w:val="notemargin"/>
        <w:rPr>
          <w:snapToGrid w:val="0"/>
          <w:lang w:eastAsia="en-US"/>
        </w:rPr>
      </w:pPr>
      <w:bookmarkStart w:id="26" w:name="_Toc2071513"/>
      <w:r w:rsidRPr="00AF07DF">
        <w:t>Note:</w:t>
      </w:r>
      <w:r w:rsidRPr="00AF07DF">
        <w:tab/>
        <w:t xml:space="preserve">See </w:t>
      </w:r>
      <w:r>
        <w:t>section 5</w:t>
      </w:r>
      <w:r w:rsidRPr="00AF07DF">
        <w:t>.</w:t>
      </w:r>
    </w:p>
    <w:p w:rsidR="00C51CCF" w:rsidRPr="00C51CCF" w:rsidRDefault="00C51CCF" w:rsidP="00C51CCF">
      <w:pPr>
        <w:pStyle w:val="ActHead9"/>
        <w:rPr>
          <w:i w:val="0"/>
        </w:rPr>
      </w:pPr>
      <w:bookmarkStart w:id="27" w:name="_Toc44412450"/>
      <w:r w:rsidRPr="00C51CCF">
        <w:rPr>
          <w:i w:val="0"/>
          <w:noProof/>
        </w:rPr>
        <w:t>Therapeutic Goods (Manufacturing Principles) Determination 2018</w:t>
      </w:r>
      <w:bookmarkEnd w:id="26"/>
      <w:bookmarkEnd w:id="27"/>
    </w:p>
    <w:p w:rsidR="00C51CCF" w:rsidRDefault="00C51CCF" w:rsidP="00C51CCF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:rsidR="00C51CCF" w:rsidRDefault="00C51CCF" w:rsidP="00C51CCF">
      <w:pPr>
        <w:pStyle w:val="Item"/>
      </w:pPr>
      <w:r>
        <w:t>Repeal the instrument.</w:t>
      </w:r>
    </w:p>
    <w:sectPr w:rsidR="00C51CCF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0D" w:rsidRDefault="0017450D" w:rsidP="00715914">
      <w:pPr>
        <w:spacing w:line="240" w:lineRule="auto"/>
      </w:pPr>
      <w:r>
        <w:separator/>
      </w:r>
    </w:p>
  </w:endnote>
  <w:endnote w:type="continuationSeparator" w:id="0">
    <w:p w:rsidR="0017450D" w:rsidRDefault="0017450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E33C1C" w:rsidRDefault="0058673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673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86738" w:rsidRDefault="0058673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86738" w:rsidRPr="004E1307" w:rsidRDefault="0058673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22AD2">
            <w:rPr>
              <w:i/>
              <w:noProof/>
              <w:sz w:val="18"/>
            </w:rPr>
            <w:t>Therapeutic Goods (Manufacturing Principles)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86738" w:rsidRDefault="0058673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8673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86738" w:rsidRDefault="00586738" w:rsidP="00A369E3">
          <w:pPr>
            <w:jc w:val="right"/>
            <w:rPr>
              <w:sz w:val="18"/>
            </w:rPr>
          </w:pPr>
        </w:p>
      </w:tc>
    </w:tr>
  </w:tbl>
  <w:p w:rsidR="00586738" w:rsidRPr="00ED79B6" w:rsidRDefault="0058673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E33C1C" w:rsidRDefault="0058673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86738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86738" w:rsidRDefault="0058673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86738" w:rsidRDefault="0058673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22AD2">
            <w:rPr>
              <w:i/>
              <w:noProof/>
              <w:sz w:val="18"/>
            </w:rPr>
            <w:t>Therapeutic Goods (Manufacturing Principles)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86738" w:rsidRDefault="0058673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6738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86738" w:rsidRDefault="00586738" w:rsidP="00A369E3">
          <w:pPr>
            <w:rPr>
              <w:sz w:val="18"/>
            </w:rPr>
          </w:pPr>
        </w:p>
      </w:tc>
    </w:tr>
  </w:tbl>
  <w:p w:rsidR="00586738" w:rsidRPr="00ED79B6" w:rsidRDefault="0058673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E33C1C" w:rsidRDefault="0058673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8673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86738" w:rsidRDefault="0058673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86738" w:rsidRDefault="0058673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86738" w:rsidRDefault="0058673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586738" w:rsidRPr="00ED79B6" w:rsidRDefault="0058673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2B0EA5" w:rsidRDefault="00586738" w:rsidP="005867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86738" w:rsidTr="00586738">
      <w:tc>
        <w:tcPr>
          <w:tcW w:w="365" w:type="pct"/>
        </w:tcPr>
        <w:p w:rsidR="00586738" w:rsidRDefault="00586738" w:rsidP="0058673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CB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86738" w:rsidRDefault="00586738" w:rsidP="0058673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22AD2">
            <w:rPr>
              <w:i/>
              <w:noProof/>
              <w:sz w:val="18"/>
            </w:rPr>
            <w:t>Therapeutic Goods (Manufacturing Principles)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86738" w:rsidRDefault="00586738" w:rsidP="00586738">
          <w:pPr>
            <w:spacing w:line="0" w:lineRule="atLeast"/>
            <w:jc w:val="right"/>
            <w:rPr>
              <w:sz w:val="18"/>
            </w:rPr>
          </w:pPr>
        </w:p>
      </w:tc>
    </w:tr>
    <w:tr w:rsidR="00586738" w:rsidTr="00586738">
      <w:tc>
        <w:tcPr>
          <w:tcW w:w="5000" w:type="pct"/>
          <w:gridSpan w:val="3"/>
        </w:tcPr>
        <w:p w:rsidR="00586738" w:rsidRDefault="00586738" w:rsidP="00586738">
          <w:pPr>
            <w:jc w:val="right"/>
            <w:rPr>
              <w:sz w:val="18"/>
            </w:rPr>
          </w:pPr>
        </w:p>
      </w:tc>
    </w:tr>
  </w:tbl>
  <w:p w:rsidR="00586738" w:rsidRPr="00ED79B6" w:rsidRDefault="00586738" w:rsidP="0058673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2B0EA5" w:rsidRDefault="00586738" w:rsidP="005867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29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132"/>
      <w:gridCol w:w="1099"/>
      <w:gridCol w:w="440"/>
    </w:tblGrid>
    <w:tr w:rsidR="00586738" w:rsidTr="000919C5">
      <w:trPr>
        <w:gridAfter w:val="1"/>
        <w:wAfter w:w="250" w:type="pct"/>
      </w:trPr>
      <w:tc>
        <w:tcPr>
          <w:tcW w:w="644" w:type="pct"/>
        </w:tcPr>
        <w:p w:rsidR="00586738" w:rsidRDefault="00586738" w:rsidP="00586738">
          <w:pPr>
            <w:spacing w:line="0" w:lineRule="atLeast"/>
            <w:rPr>
              <w:sz w:val="18"/>
            </w:rPr>
          </w:pPr>
        </w:p>
      </w:tc>
      <w:tc>
        <w:tcPr>
          <w:tcW w:w="3482" w:type="pct"/>
        </w:tcPr>
        <w:p w:rsidR="00586738" w:rsidRDefault="00586738" w:rsidP="0058673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21C7">
            <w:rPr>
              <w:i/>
              <w:noProof/>
              <w:sz w:val="18"/>
            </w:rPr>
            <w:t>Therapeutic Goods (Manufacturing Principles)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24" w:type="pct"/>
        </w:tcPr>
        <w:p w:rsidR="00586738" w:rsidRDefault="00586738" w:rsidP="005867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1C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6738" w:rsidTr="000919C5">
      <w:tc>
        <w:tcPr>
          <w:tcW w:w="5000" w:type="pct"/>
          <w:gridSpan w:val="4"/>
        </w:tcPr>
        <w:p w:rsidR="00586738" w:rsidRDefault="00586738" w:rsidP="00586738">
          <w:pPr>
            <w:rPr>
              <w:sz w:val="18"/>
            </w:rPr>
          </w:pPr>
        </w:p>
      </w:tc>
    </w:tr>
  </w:tbl>
  <w:p w:rsidR="00586738" w:rsidRPr="00442C3F" w:rsidRDefault="00586738" w:rsidP="00442C3F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2B0EA5" w:rsidRDefault="00586738" w:rsidP="005867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0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130"/>
      <w:gridCol w:w="907"/>
      <w:gridCol w:w="668"/>
    </w:tblGrid>
    <w:tr w:rsidR="00586738" w:rsidTr="00442C3F">
      <w:tc>
        <w:tcPr>
          <w:tcW w:w="710" w:type="pct"/>
        </w:tcPr>
        <w:p w:rsidR="00586738" w:rsidRDefault="00586738" w:rsidP="0058673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1C7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413" w:type="pct"/>
        </w:tcPr>
        <w:p w:rsidR="00586738" w:rsidRDefault="00586738" w:rsidP="0058673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21C7">
            <w:rPr>
              <w:i/>
              <w:noProof/>
              <w:sz w:val="18"/>
            </w:rPr>
            <w:t>Therapeutic Goods (Manufacturing Principles)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77" w:type="pct"/>
          <w:gridSpan w:val="2"/>
        </w:tcPr>
        <w:p w:rsidR="00586738" w:rsidRDefault="00586738" w:rsidP="00586738">
          <w:pPr>
            <w:spacing w:line="0" w:lineRule="atLeast"/>
            <w:jc w:val="right"/>
            <w:rPr>
              <w:sz w:val="18"/>
            </w:rPr>
          </w:pPr>
        </w:p>
      </w:tc>
    </w:tr>
    <w:tr w:rsidR="00586738" w:rsidTr="00442C3F">
      <w:trPr>
        <w:gridAfter w:val="1"/>
        <w:wAfter w:w="372" w:type="pct"/>
      </w:trPr>
      <w:tc>
        <w:tcPr>
          <w:tcW w:w="4628" w:type="pct"/>
          <w:gridSpan w:val="3"/>
        </w:tcPr>
        <w:p w:rsidR="00586738" w:rsidRDefault="00586738" w:rsidP="00586738">
          <w:pPr>
            <w:jc w:val="right"/>
            <w:rPr>
              <w:sz w:val="18"/>
            </w:rPr>
          </w:pPr>
        </w:p>
      </w:tc>
    </w:tr>
  </w:tbl>
  <w:p w:rsidR="00586738" w:rsidRPr="00442C3F" w:rsidRDefault="00586738" w:rsidP="00442C3F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2B0EA5" w:rsidRDefault="00586738" w:rsidP="005867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29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6132"/>
      <w:gridCol w:w="955"/>
      <w:gridCol w:w="575"/>
    </w:tblGrid>
    <w:tr w:rsidR="00586738" w:rsidTr="00442C3F">
      <w:trPr>
        <w:gridAfter w:val="1"/>
        <w:wAfter w:w="327" w:type="pct"/>
      </w:trPr>
      <w:tc>
        <w:tcPr>
          <w:tcW w:w="645" w:type="pct"/>
        </w:tcPr>
        <w:p w:rsidR="00586738" w:rsidRDefault="00586738" w:rsidP="00586738">
          <w:pPr>
            <w:spacing w:line="0" w:lineRule="atLeast"/>
            <w:rPr>
              <w:sz w:val="18"/>
            </w:rPr>
          </w:pPr>
        </w:p>
      </w:tc>
      <w:tc>
        <w:tcPr>
          <w:tcW w:w="3485" w:type="pct"/>
        </w:tcPr>
        <w:p w:rsidR="00586738" w:rsidRDefault="00586738" w:rsidP="0058673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21C7">
            <w:rPr>
              <w:i/>
              <w:noProof/>
              <w:sz w:val="18"/>
            </w:rPr>
            <w:t>Therapeutic Goods (Manufacturing Principles)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43" w:type="pct"/>
        </w:tcPr>
        <w:p w:rsidR="00586738" w:rsidRDefault="00586738" w:rsidP="005867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1C7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6738" w:rsidTr="00442C3F">
      <w:tc>
        <w:tcPr>
          <w:tcW w:w="5000" w:type="pct"/>
          <w:gridSpan w:val="4"/>
        </w:tcPr>
        <w:p w:rsidR="00586738" w:rsidRDefault="00586738" w:rsidP="00586738">
          <w:pPr>
            <w:rPr>
              <w:sz w:val="18"/>
            </w:rPr>
          </w:pPr>
        </w:p>
      </w:tc>
    </w:tr>
  </w:tbl>
  <w:p w:rsidR="00586738" w:rsidRPr="00442C3F" w:rsidRDefault="00586738" w:rsidP="00442C3F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0D" w:rsidRDefault="0017450D" w:rsidP="00715914">
      <w:pPr>
        <w:spacing w:line="240" w:lineRule="auto"/>
      </w:pPr>
      <w:r>
        <w:separator/>
      </w:r>
    </w:p>
  </w:footnote>
  <w:footnote w:type="continuationSeparator" w:id="0">
    <w:p w:rsidR="0017450D" w:rsidRDefault="0017450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5F1388" w:rsidRDefault="0058673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5F1388" w:rsidRDefault="0058673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ED79B6" w:rsidRDefault="00586738" w:rsidP="0058673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ED79B6" w:rsidRDefault="00586738" w:rsidP="0058673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ED79B6" w:rsidRDefault="00586738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Default="00586738" w:rsidP="00715914">
    <w:pPr>
      <w:rPr>
        <w:sz w:val="20"/>
      </w:rPr>
    </w:pPr>
  </w:p>
  <w:p w:rsidR="00586738" w:rsidRDefault="00586738" w:rsidP="00715914">
    <w:pPr>
      <w:rPr>
        <w:sz w:val="20"/>
      </w:rPr>
    </w:pPr>
  </w:p>
  <w:p w:rsidR="00586738" w:rsidRPr="007A1328" w:rsidRDefault="00586738" w:rsidP="00715914">
    <w:pPr>
      <w:rPr>
        <w:sz w:val="20"/>
      </w:rPr>
    </w:pPr>
  </w:p>
  <w:p w:rsidR="00586738" w:rsidRPr="007A1328" w:rsidRDefault="00586738" w:rsidP="00715914">
    <w:pPr>
      <w:rPr>
        <w:b/>
        <w:sz w:val="24"/>
      </w:rPr>
    </w:pPr>
  </w:p>
  <w:p w:rsidR="00586738" w:rsidRPr="007A1328" w:rsidRDefault="0058673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38" w:rsidRPr="007A1328" w:rsidRDefault="00586738" w:rsidP="00715914">
    <w:pPr>
      <w:jc w:val="right"/>
      <w:rPr>
        <w:sz w:val="20"/>
      </w:rPr>
    </w:pPr>
  </w:p>
  <w:p w:rsidR="00586738" w:rsidRPr="007A1328" w:rsidRDefault="00586738" w:rsidP="00715914">
    <w:pPr>
      <w:jc w:val="right"/>
      <w:rPr>
        <w:sz w:val="20"/>
      </w:rPr>
    </w:pPr>
  </w:p>
  <w:p w:rsidR="00586738" w:rsidRPr="007A1328" w:rsidRDefault="00586738" w:rsidP="00715914">
    <w:pPr>
      <w:jc w:val="right"/>
      <w:rPr>
        <w:sz w:val="20"/>
      </w:rPr>
    </w:pPr>
  </w:p>
  <w:p w:rsidR="00586738" w:rsidRPr="007A1328" w:rsidRDefault="00586738" w:rsidP="00715914">
    <w:pPr>
      <w:jc w:val="right"/>
      <w:rPr>
        <w:b/>
        <w:sz w:val="24"/>
      </w:rPr>
    </w:pPr>
  </w:p>
  <w:p w:rsidR="00586738" w:rsidRPr="007A1328" w:rsidRDefault="0058673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1548"/>
    <w:multiLevelType w:val="multilevel"/>
    <w:tmpl w:val="889A1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01E18"/>
    <w:multiLevelType w:val="hybridMultilevel"/>
    <w:tmpl w:val="22E4CEE4"/>
    <w:lvl w:ilvl="0" w:tplc="001B0C09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0190C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C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C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C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C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C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C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C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F4232B"/>
    <w:multiLevelType w:val="hybridMultilevel"/>
    <w:tmpl w:val="E5F483D0"/>
    <w:lvl w:ilvl="0" w:tplc="00190C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C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C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C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C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C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C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C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C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5D3F37"/>
    <w:multiLevelType w:val="hybridMultilevel"/>
    <w:tmpl w:val="58E24028"/>
    <w:lvl w:ilvl="0" w:tplc="CB12AA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0190C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C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C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C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C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C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C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C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111C0"/>
    <w:multiLevelType w:val="multilevel"/>
    <w:tmpl w:val="889A1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1E012A"/>
    <w:multiLevelType w:val="hybridMultilevel"/>
    <w:tmpl w:val="D6E4A5E8"/>
    <w:lvl w:ilvl="0" w:tplc="001B0C09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1EEEDE2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01B0C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C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C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C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C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C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C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1632EFF"/>
    <w:multiLevelType w:val="hybridMultilevel"/>
    <w:tmpl w:val="65F02B88"/>
    <w:lvl w:ilvl="0" w:tplc="F9523AD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C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C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C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C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C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C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C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C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7B5906"/>
    <w:multiLevelType w:val="hybridMultilevel"/>
    <w:tmpl w:val="19D6955A"/>
    <w:lvl w:ilvl="0" w:tplc="F9523AD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C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C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C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C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C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C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C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C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851E2D"/>
    <w:multiLevelType w:val="hybridMultilevel"/>
    <w:tmpl w:val="4D760E40"/>
    <w:lvl w:ilvl="0" w:tplc="089033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6EE97D0">
      <w:start w:val="1"/>
      <w:numFmt w:val="lowerLetter"/>
      <w:lvlText w:val="(%2)"/>
      <w:lvlJc w:val="left"/>
      <w:pPr>
        <w:ind w:left="1080" w:hanging="360"/>
      </w:pPr>
      <w:rPr>
        <w:rFonts w:hint="default"/>
        <w:sz w:val="24"/>
      </w:rPr>
    </w:lvl>
    <w:lvl w:ilvl="2" w:tplc="001B0C09">
      <w:start w:val="1"/>
      <w:numFmt w:val="lowerRoman"/>
      <w:lvlText w:val="%3."/>
      <w:lvlJc w:val="right"/>
      <w:pPr>
        <w:ind w:left="1800" w:hanging="180"/>
      </w:pPr>
    </w:lvl>
    <w:lvl w:ilvl="3" w:tplc="000F0C09" w:tentative="1">
      <w:start w:val="1"/>
      <w:numFmt w:val="decimal"/>
      <w:lvlText w:val="%4."/>
      <w:lvlJc w:val="left"/>
      <w:pPr>
        <w:ind w:left="2520" w:hanging="360"/>
      </w:pPr>
    </w:lvl>
    <w:lvl w:ilvl="4" w:tplc="00190C09" w:tentative="1">
      <w:start w:val="1"/>
      <w:numFmt w:val="lowerLetter"/>
      <w:lvlText w:val="%5."/>
      <w:lvlJc w:val="left"/>
      <w:pPr>
        <w:ind w:left="3240" w:hanging="360"/>
      </w:pPr>
    </w:lvl>
    <w:lvl w:ilvl="5" w:tplc="001B0C09" w:tentative="1">
      <w:start w:val="1"/>
      <w:numFmt w:val="lowerRoman"/>
      <w:lvlText w:val="%6."/>
      <w:lvlJc w:val="right"/>
      <w:pPr>
        <w:ind w:left="3960" w:hanging="180"/>
      </w:pPr>
    </w:lvl>
    <w:lvl w:ilvl="6" w:tplc="000F0C09" w:tentative="1">
      <w:start w:val="1"/>
      <w:numFmt w:val="decimal"/>
      <w:lvlText w:val="%7."/>
      <w:lvlJc w:val="left"/>
      <w:pPr>
        <w:ind w:left="4680" w:hanging="360"/>
      </w:pPr>
    </w:lvl>
    <w:lvl w:ilvl="7" w:tplc="00190C09" w:tentative="1">
      <w:start w:val="1"/>
      <w:numFmt w:val="lowerLetter"/>
      <w:lvlText w:val="%8."/>
      <w:lvlJc w:val="left"/>
      <w:pPr>
        <w:ind w:left="5400" w:hanging="360"/>
      </w:pPr>
    </w:lvl>
    <w:lvl w:ilvl="8" w:tplc="001B0C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2367D"/>
    <w:multiLevelType w:val="hybridMultilevel"/>
    <w:tmpl w:val="163C496C"/>
    <w:lvl w:ilvl="0" w:tplc="16A415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B10B4"/>
    <w:multiLevelType w:val="hybridMultilevel"/>
    <w:tmpl w:val="E5A80FF4"/>
    <w:lvl w:ilvl="0" w:tplc="F9523A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C0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C09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C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C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C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C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C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C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13"/>
  </w:num>
  <w:num w:numId="15">
    <w:abstractNumId w:val="15"/>
  </w:num>
  <w:num w:numId="16">
    <w:abstractNumId w:val="10"/>
  </w:num>
  <w:num w:numId="17">
    <w:abstractNumId w:val="14"/>
  </w:num>
  <w:num w:numId="18">
    <w:abstractNumId w:val="22"/>
  </w:num>
  <w:num w:numId="19">
    <w:abstractNumId w:val="21"/>
  </w:num>
  <w:num w:numId="20">
    <w:abstractNumId w:val="12"/>
  </w:num>
  <w:num w:numId="21">
    <w:abstractNumId w:val="20"/>
  </w:num>
  <w:num w:numId="22">
    <w:abstractNumId w:val="19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D2"/>
    <w:rsid w:val="00001085"/>
    <w:rsid w:val="00004174"/>
    <w:rsid w:val="00004470"/>
    <w:rsid w:val="0001301B"/>
    <w:rsid w:val="000136AF"/>
    <w:rsid w:val="00020439"/>
    <w:rsid w:val="00021972"/>
    <w:rsid w:val="000258B1"/>
    <w:rsid w:val="00040A89"/>
    <w:rsid w:val="00043077"/>
    <w:rsid w:val="000437C1"/>
    <w:rsid w:val="0004455A"/>
    <w:rsid w:val="0005365D"/>
    <w:rsid w:val="000614BF"/>
    <w:rsid w:val="00062A71"/>
    <w:rsid w:val="0006709C"/>
    <w:rsid w:val="00074376"/>
    <w:rsid w:val="000919C5"/>
    <w:rsid w:val="00092F70"/>
    <w:rsid w:val="000978F5"/>
    <w:rsid w:val="000B15CD"/>
    <w:rsid w:val="000B35EB"/>
    <w:rsid w:val="000B6135"/>
    <w:rsid w:val="000C2B24"/>
    <w:rsid w:val="000C4A0A"/>
    <w:rsid w:val="000D05EF"/>
    <w:rsid w:val="000E2261"/>
    <w:rsid w:val="000E78B7"/>
    <w:rsid w:val="000F21C1"/>
    <w:rsid w:val="0010745C"/>
    <w:rsid w:val="00117CD5"/>
    <w:rsid w:val="00120D86"/>
    <w:rsid w:val="00121F49"/>
    <w:rsid w:val="00124AEB"/>
    <w:rsid w:val="00131E21"/>
    <w:rsid w:val="00132CEB"/>
    <w:rsid w:val="001339B0"/>
    <w:rsid w:val="00136FF0"/>
    <w:rsid w:val="00140AF6"/>
    <w:rsid w:val="00142B62"/>
    <w:rsid w:val="001441B7"/>
    <w:rsid w:val="00144639"/>
    <w:rsid w:val="001516CB"/>
    <w:rsid w:val="00152336"/>
    <w:rsid w:val="00157B8B"/>
    <w:rsid w:val="00166C2F"/>
    <w:rsid w:val="001707BA"/>
    <w:rsid w:val="0017450D"/>
    <w:rsid w:val="001809D7"/>
    <w:rsid w:val="001907C3"/>
    <w:rsid w:val="001925AC"/>
    <w:rsid w:val="001939E1"/>
    <w:rsid w:val="00194C3E"/>
    <w:rsid w:val="00195382"/>
    <w:rsid w:val="001B1953"/>
    <w:rsid w:val="001B2CB6"/>
    <w:rsid w:val="001C61C5"/>
    <w:rsid w:val="001C665F"/>
    <w:rsid w:val="001C69C4"/>
    <w:rsid w:val="001D219E"/>
    <w:rsid w:val="001D37EF"/>
    <w:rsid w:val="001D6CBB"/>
    <w:rsid w:val="001E3590"/>
    <w:rsid w:val="001E7407"/>
    <w:rsid w:val="001F2E9F"/>
    <w:rsid w:val="001F5D5E"/>
    <w:rsid w:val="001F6219"/>
    <w:rsid w:val="001F6CD4"/>
    <w:rsid w:val="00203E50"/>
    <w:rsid w:val="00206C4D"/>
    <w:rsid w:val="00214A43"/>
    <w:rsid w:val="00215AF1"/>
    <w:rsid w:val="002303AB"/>
    <w:rsid w:val="002321E8"/>
    <w:rsid w:val="00232984"/>
    <w:rsid w:val="0024010F"/>
    <w:rsid w:val="00240749"/>
    <w:rsid w:val="0024256B"/>
    <w:rsid w:val="00243018"/>
    <w:rsid w:val="002564A4"/>
    <w:rsid w:val="00262FB4"/>
    <w:rsid w:val="0026736C"/>
    <w:rsid w:val="002740E1"/>
    <w:rsid w:val="00281308"/>
    <w:rsid w:val="00284719"/>
    <w:rsid w:val="0029095D"/>
    <w:rsid w:val="00297ECB"/>
    <w:rsid w:val="002A7BCF"/>
    <w:rsid w:val="002C3FD1"/>
    <w:rsid w:val="002D043A"/>
    <w:rsid w:val="002D266B"/>
    <w:rsid w:val="002D6224"/>
    <w:rsid w:val="002E2AB3"/>
    <w:rsid w:val="002E7FB0"/>
    <w:rsid w:val="002F06DB"/>
    <w:rsid w:val="002F437A"/>
    <w:rsid w:val="00304F8B"/>
    <w:rsid w:val="003215AD"/>
    <w:rsid w:val="0033389C"/>
    <w:rsid w:val="00335BC6"/>
    <w:rsid w:val="00337860"/>
    <w:rsid w:val="003415D3"/>
    <w:rsid w:val="00344338"/>
    <w:rsid w:val="00344701"/>
    <w:rsid w:val="00352B0F"/>
    <w:rsid w:val="00360459"/>
    <w:rsid w:val="00360922"/>
    <w:rsid w:val="003629E4"/>
    <w:rsid w:val="00375997"/>
    <w:rsid w:val="003767E2"/>
    <w:rsid w:val="0038049F"/>
    <w:rsid w:val="003966E8"/>
    <w:rsid w:val="003C6231"/>
    <w:rsid w:val="003D0BFE"/>
    <w:rsid w:val="003D5700"/>
    <w:rsid w:val="003E341B"/>
    <w:rsid w:val="003E4D00"/>
    <w:rsid w:val="003F0176"/>
    <w:rsid w:val="004116CD"/>
    <w:rsid w:val="00417165"/>
    <w:rsid w:val="00417EB9"/>
    <w:rsid w:val="00420001"/>
    <w:rsid w:val="00421BB1"/>
    <w:rsid w:val="00424CA9"/>
    <w:rsid w:val="004276DF"/>
    <w:rsid w:val="00431E9B"/>
    <w:rsid w:val="004379E3"/>
    <w:rsid w:val="0044015E"/>
    <w:rsid w:val="0044291A"/>
    <w:rsid w:val="00442C3F"/>
    <w:rsid w:val="00452117"/>
    <w:rsid w:val="00461B74"/>
    <w:rsid w:val="00467661"/>
    <w:rsid w:val="004703A4"/>
    <w:rsid w:val="00472DBE"/>
    <w:rsid w:val="00474A19"/>
    <w:rsid w:val="0047538D"/>
    <w:rsid w:val="0047726C"/>
    <w:rsid w:val="00477830"/>
    <w:rsid w:val="004807D2"/>
    <w:rsid w:val="00487764"/>
    <w:rsid w:val="004904C0"/>
    <w:rsid w:val="0049681F"/>
    <w:rsid w:val="00496F97"/>
    <w:rsid w:val="004A5474"/>
    <w:rsid w:val="004B6C48"/>
    <w:rsid w:val="004C4E59"/>
    <w:rsid w:val="004C6809"/>
    <w:rsid w:val="004D50D9"/>
    <w:rsid w:val="004E063A"/>
    <w:rsid w:val="004E1307"/>
    <w:rsid w:val="004E2876"/>
    <w:rsid w:val="004E7BEC"/>
    <w:rsid w:val="0050177D"/>
    <w:rsid w:val="00505D3D"/>
    <w:rsid w:val="00506AF6"/>
    <w:rsid w:val="00507BE6"/>
    <w:rsid w:val="00516B8D"/>
    <w:rsid w:val="00521074"/>
    <w:rsid w:val="005303C8"/>
    <w:rsid w:val="00537FBC"/>
    <w:rsid w:val="00542793"/>
    <w:rsid w:val="0054372F"/>
    <w:rsid w:val="00554826"/>
    <w:rsid w:val="00561E12"/>
    <w:rsid w:val="00562877"/>
    <w:rsid w:val="00566B42"/>
    <w:rsid w:val="005729BB"/>
    <w:rsid w:val="00576CE3"/>
    <w:rsid w:val="00577556"/>
    <w:rsid w:val="00581B33"/>
    <w:rsid w:val="00584811"/>
    <w:rsid w:val="00585784"/>
    <w:rsid w:val="00586738"/>
    <w:rsid w:val="00593AA6"/>
    <w:rsid w:val="00594161"/>
    <w:rsid w:val="00594749"/>
    <w:rsid w:val="005A65D5"/>
    <w:rsid w:val="005B3503"/>
    <w:rsid w:val="005B4067"/>
    <w:rsid w:val="005C3F41"/>
    <w:rsid w:val="005D1D92"/>
    <w:rsid w:val="005D2D09"/>
    <w:rsid w:val="005D7A06"/>
    <w:rsid w:val="005E0596"/>
    <w:rsid w:val="005E5729"/>
    <w:rsid w:val="00600219"/>
    <w:rsid w:val="006037F4"/>
    <w:rsid w:val="00603D6D"/>
    <w:rsid w:val="00604F2A"/>
    <w:rsid w:val="00620076"/>
    <w:rsid w:val="00622AD2"/>
    <w:rsid w:val="00627E0A"/>
    <w:rsid w:val="006427AC"/>
    <w:rsid w:val="00643547"/>
    <w:rsid w:val="0065488B"/>
    <w:rsid w:val="006655DD"/>
    <w:rsid w:val="00670EA1"/>
    <w:rsid w:val="006721C7"/>
    <w:rsid w:val="00675789"/>
    <w:rsid w:val="00677CC2"/>
    <w:rsid w:val="00680AAD"/>
    <w:rsid w:val="006832F6"/>
    <w:rsid w:val="00684720"/>
    <w:rsid w:val="0068744B"/>
    <w:rsid w:val="006905DE"/>
    <w:rsid w:val="0069207B"/>
    <w:rsid w:val="00692D6E"/>
    <w:rsid w:val="006A154F"/>
    <w:rsid w:val="006A437B"/>
    <w:rsid w:val="006A5FCE"/>
    <w:rsid w:val="006B190A"/>
    <w:rsid w:val="006B5789"/>
    <w:rsid w:val="006C055C"/>
    <w:rsid w:val="006C30C5"/>
    <w:rsid w:val="006C688D"/>
    <w:rsid w:val="006C7F8C"/>
    <w:rsid w:val="006D5E75"/>
    <w:rsid w:val="006E2E1C"/>
    <w:rsid w:val="006E6246"/>
    <w:rsid w:val="006E69C2"/>
    <w:rsid w:val="006E6DCC"/>
    <w:rsid w:val="006F318F"/>
    <w:rsid w:val="006F36A9"/>
    <w:rsid w:val="0070017E"/>
    <w:rsid w:val="00700B2C"/>
    <w:rsid w:val="007050A2"/>
    <w:rsid w:val="007114BF"/>
    <w:rsid w:val="00713084"/>
    <w:rsid w:val="007130D2"/>
    <w:rsid w:val="00714F20"/>
    <w:rsid w:val="0071590F"/>
    <w:rsid w:val="00715914"/>
    <w:rsid w:val="0071639C"/>
    <w:rsid w:val="0072147A"/>
    <w:rsid w:val="00723791"/>
    <w:rsid w:val="00731082"/>
    <w:rsid w:val="00731285"/>
    <w:rsid w:val="00731E00"/>
    <w:rsid w:val="007440B7"/>
    <w:rsid w:val="007500A4"/>
    <w:rsid w:val="007500C8"/>
    <w:rsid w:val="007508A1"/>
    <w:rsid w:val="00753033"/>
    <w:rsid w:val="00756272"/>
    <w:rsid w:val="00762D38"/>
    <w:rsid w:val="00767E27"/>
    <w:rsid w:val="007715C9"/>
    <w:rsid w:val="00771613"/>
    <w:rsid w:val="00774EDD"/>
    <w:rsid w:val="007757EC"/>
    <w:rsid w:val="007764CA"/>
    <w:rsid w:val="00783E89"/>
    <w:rsid w:val="00783F65"/>
    <w:rsid w:val="0079055C"/>
    <w:rsid w:val="00793915"/>
    <w:rsid w:val="007C2253"/>
    <w:rsid w:val="007C5352"/>
    <w:rsid w:val="007D7911"/>
    <w:rsid w:val="007E163D"/>
    <w:rsid w:val="007E667A"/>
    <w:rsid w:val="007F28C9"/>
    <w:rsid w:val="007F51B2"/>
    <w:rsid w:val="008040DD"/>
    <w:rsid w:val="008117E9"/>
    <w:rsid w:val="0082097E"/>
    <w:rsid w:val="00823C32"/>
    <w:rsid w:val="00824498"/>
    <w:rsid w:val="00826BD1"/>
    <w:rsid w:val="00843089"/>
    <w:rsid w:val="00850EE7"/>
    <w:rsid w:val="00854D0B"/>
    <w:rsid w:val="00856A31"/>
    <w:rsid w:val="00860B4E"/>
    <w:rsid w:val="00866DDE"/>
    <w:rsid w:val="00867B37"/>
    <w:rsid w:val="008718A8"/>
    <w:rsid w:val="00874CDF"/>
    <w:rsid w:val="008754D0"/>
    <w:rsid w:val="00875D13"/>
    <w:rsid w:val="00876E8F"/>
    <w:rsid w:val="0087753C"/>
    <w:rsid w:val="00881D74"/>
    <w:rsid w:val="008855C9"/>
    <w:rsid w:val="00886456"/>
    <w:rsid w:val="00896176"/>
    <w:rsid w:val="0089695D"/>
    <w:rsid w:val="008A46E1"/>
    <w:rsid w:val="008A4F43"/>
    <w:rsid w:val="008B2706"/>
    <w:rsid w:val="008B3C98"/>
    <w:rsid w:val="008C2EAC"/>
    <w:rsid w:val="008C47CC"/>
    <w:rsid w:val="008D0EE0"/>
    <w:rsid w:val="008E0027"/>
    <w:rsid w:val="008E6067"/>
    <w:rsid w:val="008F152E"/>
    <w:rsid w:val="008F37A7"/>
    <w:rsid w:val="008F54E7"/>
    <w:rsid w:val="00903422"/>
    <w:rsid w:val="009254C3"/>
    <w:rsid w:val="00932377"/>
    <w:rsid w:val="00937D30"/>
    <w:rsid w:val="00941236"/>
    <w:rsid w:val="00941C63"/>
    <w:rsid w:val="00943625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62CD"/>
    <w:rsid w:val="009968A4"/>
    <w:rsid w:val="009977F0"/>
    <w:rsid w:val="009978D8"/>
    <w:rsid w:val="009B492D"/>
    <w:rsid w:val="009C3413"/>
    <w:rsid w:val="009C5CC6"/>
    <w:rsid w:val="009C736E"/>
    <w:rsid w:val="009C7529"/>
    <w:rsid w:val="009E0567"/>
    <w:rsid w:val="009E410C"/>
    <w:rsid w:val="00A0441E"/>
    <w:rsid w:val="00A04445"/>
    <w:rsid w:val="00A05C1B"/>
    <w:rsid w:val="00A12128"/>
    <w:rsid w:val="00A144F1"/>
    <w:rsid w:val="00A14A69"/>
    <w:rsid w:val="00A20862"/>
    <w:rsid w:val="00A22C98"/>
    <w:rsid w:val="00A231E2"/>
    <w:rsid w:val="00A369E3"/>
    <w:rsid w:val="00A561B5"/>
    <w:rsid w:val="00A57600"/>
    <w:rsid w:val="00A62246"/>
    <w:rsid w:val="00A6228A"/>
    <w:rsid w:val="00A63703"/>
    <w:rsid w:val="00A64912"/>
    <w:rsid w:val="00A70A74"/>
    <w:rsid w:val="00A75FE9"/>
    <w:rsid w:val="00A77496"/>
    <w:rsid w:val="00A90813"/>
    <w:rsid w:val="00AC194E"/>
    <w:rsid w:val="00AD53CC"/>
    <w:rsid w:val="00AD5641"/>
    <w:rsid w:val="00AE208C"/>
    <w:rsid w:val="00AE2212"/>
    <w:rsid w:val="00AF02EC"/>
    <w:rsid w:val="00AF06CF"/>
    <w:rsid w:val="00B03BDF"/>
    <w:rsid w:val="00B07CDB"/>
    <w:rsid w:val="00B11908"/>
    <w:rsid w:val="00B16A31"/>
    <w:rsid w:val="00B17DFD"/>
    <w:rsid w:val="00B24617"/>
    <w:rsid w:val="00B25306"/>
    <w:rsid w:val="00B27831"/>
    <w:rsid w:val="00B308FE"/>
    <w:rsid w:val="00B33709"/>
    <w:rsid w:val="00B33B3C"/>
    <w:rsid w:val="00B36392"/>
    <w:rsid w:val="00B4094F"/>
    <w:rsid w:val="00B418CB"/>
    <w:rsid w:val="00B47444"/>
    <w:rsid w:val="00B50ADC"/>
    <w:rsid w:val="00B566B1"/>
    <w:rsid w:val="00B63834"/>
    <w:rsid w:val="00B80199"/>
    <w:rsid w:val="00B83204"/>
    <w:rsid w:val="00B856E7"/>
    <w:rsid w:val="00B9735A"/>
    <w:rsid w:val="00BA0343"/>
    <w:rsid w:val="00BA220B"/>
    <w:rsid w:val="00BA3A57"/>
    <w:rsid w:val="00BB1533"/>
    <w:rsid w:val="00BB4E1A"/>
    <w:rsid w:val="00BB751F"/>
    <w:rsid w:val="00BC015E"/>
    <w:rsid w:val="00BC76AC"/>
    <w:rsid w:val="00BD0ECB"/>
    <w:rsid w:val="00BE2155"/>
    <w:rsid w:val="00BE719A"/>
    <w:rsid w:val="00BE720A"/>
    <w:rsid w:val="00BF0D73"/>
    <w:rsid w:val="00BF2465"/>
    <w:rsid w:val="00C13F7D"/>
    <w:rsid w:val="00C14564"/>
    <w:rsid w:val="00C16619"/>
    <w:rsid w:val="00C25E7F"/>
    <w:rsid w:val="00C2746F"/>
    <w:rsid w:val="00C323D6"/>
    <w:rsid w:val="00C324A0"/>
    <w:rsid w:val="00C42BF8"/>
    <w:rsid w:val="00C50043"/>
    <w:rsid w:val="00C51CCF"/>
    <w:rsid w:val="00C6161F"/>
    <w:rsid w:val="00C73CFA"/>
    <w:rsid w:val="00C7573B"/>
    <w:rsid w:val="00C82D35"/>
    <w:rsid w:val="00C97A54"/>
    <w:rsid w:val="00CA5B23"/>
    <w:rsid w:val="00CB602E"/>
    <w:rsid w:val="00CB7E90"/>
    <w:rsid w:val="00CC3C3B"/>
    <w:rsid w:val="00CC4AFB"/>
    <w:rsid w:val="00CD726C"/>
    <w:rsid w:val="00CE051D"/>
    <w:rsid w:val="00CE1335"/>
    <w:rsid w:val="00CE493D"/>
    <w:rsid w:val="00CF07FA"/>
    <w:rsid w:val="00CF0BB2"/>
    <w:rsid w:val="00CF3EE8"/>
    <w:rsid w:val="00CF4F78"/>
    <w:rsid w:val="00D13441"/>
    <w:rsid w:val="00D140BD"/>
    <w:rsid w:val="00D150E7"/>
    <w:rsid w:val="00D22AB8"/>
    <w:rsid w:val="00D52DC2"/>
    <w:rsid w:val="00D53BCC"/>
    <w:rsid w:val="00D54C9E"/>
    <w:rsid w:val="00D6537E"/>
    <w:rsid w:val="00D70DFB"/>
    <w:rsid w:val="00D766DF"/>
    <w:rsid w:val="00D8206C"/>
    <w:rsid w:val="00D84977"/>
    <w:rsid w:val="00D91F10"/>
    <w:rsid w:val="00DA186E"/>
    <w:rsid w:val="00DA4116"/>
    <w:rsid w:val="00DB0C92"/>
    <w:rsid w:val="00DB251C"/>
    <w:rsid w:val="00DB4630"/>
    <w:rsid w:val="00DC4F88"/>
    <w:rsid w:val="00DE107C"/>
    <w:rsid w:val="00DE479A"/>
    <w:rsid w:val="00DF2388"/>
    <w:rsid w:val="00DF4B16"/>
    <w:rsid w:val="00E05704"/>
    <w:rsid w:val="00E338EF"/>
    <w:rsid w:val="00E36DE3"/>
    <w:rsid w:val="00E372EC"/>
    <w:rsid w:val="00E521A7"/>
    <w:rsid w:val="00E544BB"/>
    <w:rsid w:val="00E74DC7"/>
    <w:rsid w:val="00E8075A"/>
    <w:rsid w:val="00E831BC"/>
    <w:rsid w:val="00E87182"/>
    <w:rsid w:val="00E940D8"/>
    <w:rsid w:val="00E94D5E"/>
    <w:rsid w:val="00EA7100"/>
    <w:rsid w:val="00EA7F9F"/>
    <w:rsid w:val="00EB1274"/>
    <w:rsid w:val="00EB48DF"/>
    <w:rsid w:val="00ED1710"/>
    <w:rsid w:val="00ED2BB6"/>
    <w:rsid w:val="00ED2E19"/>
    <w:rsid w:val="00ED34E1"/>
    <w:rsid w:val="00ED3B8D"/>
    <w:rsid w:val="00ED7270"/>
    <w:rsid w:val="00ED7EE4"/>
    <w:rsid w:val="00EE4C0A"/>
    <w:rsid w:val="00EE5E36"/>
    <w:rsid w:val="00EF1635"/>
    <w:rsid w:val="00EF2E3A"/>
    <w:rsid w:val="00EF3A05"/>
    <w:rsid w:val="00F02C7C"/>
    <w:rsid w:val="00F05395"/>
    <w:rsid w:val="00F072A7"/>
    <w:rsid w:val="00F078DC"/>
    <w:rsid w:val="00F13305"/>
    <w:rsid w:val="00F32BA8"/>
    <w:rsid w:val="00F32EE0"/>
    <w:rsid w:val="00F349F1"/>
    <w:rsid w:val="00F42D27"/>
    <w:rsid w:val="00F4350D"/>
    <w:rsid w:val="00F479C4"/>
    <w:rsid w:val="00F50E3E"/>
    <w:rsid w:val="00F567F7"/>
    <w:rsid w:val="00F63CBC"/>
    <w:rsid w:val="00F6696E"/>
    <w:rsid w:val="00F70CB9"/>
    <w:rsid w:val="00F73BD6"/>
    <w:rsid w:val="00F83989"/>
    <w:rsid w:val="00F85099"/>
    <w:rsid w:val="00F87F0A"/>
    <w:rsid w:val="00F9379C"/>
    <w:rsid w:val="00F9632C"/>
    <w:rsid w:val="00F96392"/>
    <w:rsid w:val="00FA0E95"/>
    <w:rsid w:val="00FA1E52"/>
    <w:rsid w:val="00FA5351"/>
    <w:rsid w:val="00FA5EBE"/>
    <w:rsid w:val="00FB5A08"/>
    <w:rsid w:val="00FC6A80"/>
    <w:rsid w:val="00FE4688"/>
    <w:rsid w:val="00FF1AD5"/>
    <w:rsid w:val="00FF387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5FA946"/>
  <w15:docId w15:val="{27EAD5FA-8EC0-405B-8241-460C136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775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639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14463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214A43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14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A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A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43"/>
    <w:rPr>
      <w:b/>
      <w:bCs/>
    </w:rPr>
  </w:style>
  <w:style w:type="paragraph" w:customStyle="1" w:styleId="Default">
    <w:name w:val="Default"/>
    <w:rsid w:val="0068472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57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legislation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://www.legislation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AppData\Local\Microsoft\Windows\INetCache\IE\M2977MP3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E024-B8B9-4859-A91A-1CAC95DC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33</TotalTime>
  <Pages>13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 Donna</dc:creator>
  <cp:lastModifiedBy>Edlington, Mandy</cp:lastModifiedBy>
  <cp:revision>3</cp:revision>
  <cp:lastPrinted>2020-06-30T02:29:00Z</cp:lastPrinted>
  <dcterms:created xsi:type="dcterms:W3CDTF">2020-06-30T04:30:00Z</dcterms:created>
  <dcterms:modified xsi:type="dcterms:W3CDTF">2020-06-30T05:02:00Z</dcterms:modified>
</cp:coreProperties>
</file>