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3BE" w:rsidRPr="000F7E40" w:rsidRDefault="00F109D4" w:rsidP="0089406B">
      <w:pPr>
        <w:pStyle w:val="Heading1"/>
        <w:spacing w:after="360"/>
        <w:rPr>
          <w:rFonts w:ascii="Times New Roman" w:hAnsi="Times New Roman"/>
        </w:rPr>
      </w:pPr>
      <w:bookmarkStart w:id="0" w:name="OLE_LINK1"/>
      <w:bookmarkStart w:id="1" w:name="OLE_LINK2"/>
      <w:r w:rsidRPr="000F7E40">
        <w:rPr>
          <w:rFonts w:ascii="Times New Roman" w:hAnsi="Times New Roman"/>
        </w:rPr>
        <w:t>EXPLANATORY STATEMENT</w:t>
      </w:r>
    </w:p>
    <w:p w:rsidR="00941C0D" w:rsidRPr="0039795F" w:rsidRDefault="00941C0D" w:rsidP="0089406B">
      <w:pPr>
        <w:pStyle w:val="Heading2"/>
        <w:spacing w:before="360" w:after="360"/>
        <w:jc w:val="center"/>
        <w:rPr>
          <w:b w:val="0"/>
          <w:sz w:val="24"/>
          <w:szCs w:val="24"/>
        </w:rPr>
      </w:pPr>
      <w:r w:rsidRPr="0039795F">
        <w:rPr>
          <w:b w:val="0"/>
          <w:sz w:val="24"/>
          <w:szCs w:val="24"/>
        </w:rPr>
        <w:t xml:space="preserve">Issued by authority of the </w:t>
      </w:r>
      <w:r w:rsidR="0039795F" w:rsidRPr="0039795F">
        <w:rPr>
          <w:b w:val="0"/>
          <w:sz w:val="24"/>
          <w:szCs w:val="24"/>
        </w:rPr>
        <w:t xml:space="preserve">Minister for </w:t>
      </w:r>
      <w:r w:rsidR="0040744E" w:rsidRPr="0040744E">
        <w:rPr>
          <w:b w:val="0"/>
          <w:sz w:val="24"/>
          <w:szCs w:val="24"/>
        </w:rPr>
        <w:t>Energy and Emissions Reduction</w:t>
      </w:r>
    </w:p>
    <w:p w:rsidR="00B460E9" w:rsidRPr="00B460E9" w:rsidRDefault="004A4D33" w:rsidP="0089406B">
      <w:pPr>
        <w:spacing w:before="240" w:after="240"/>
        <w:jc w:val="center"/>
        <w:rPr>
          <w:i/>
        </w:rPr>
      </w:pPr>
      <w:r>
        <w:rPr>
          <w:i/>
          <w:iCs/>
        </w:rPr>
        <w:t>National Greenhouse and Energy Reporting Act 2007</w:t>
      </w:r>
    </w:p>
    <w:p w:rsidR="0023138A" w:rsidRDefault="0023138A" w:rsidP="0089406B">
      <w:pPr>
        <w:spacing w:before="240" w:after="360"/>
        <w:jc w:val="center"/>
        <w:rPr>
          <w:i/>
        </w:rPr>
      </w:pPr>
      <w:r w:rsidRPr="000061B4">
        <w:rPr>
          <w:i/>
        </w:rPr>
        <w:t xml:space="preserve">National Greenhouse and Energy Reporting </w:t>
      </w:r>
      <w:r w:rsidR="00E82202" w:rsidRPr="000061B4">
        <w:rPr>
          <w:i/>
        </w:rPr>
        <w:t xml:space="preserve">(Measurement) </w:t>
      </w:r>
      <w:r w:rsidRPr="000061B4">
        <w:rPr>
          <w:i/>
        </w:rPr>
        <w:t>Amendment</w:t>
      </w:r>
      <w:r w:rsidR="006B351E" w:rsidRPr="000061B4">
        <w:rPr>
          <w:i/>
        </w:rPr>
        <w:t xml:space="preserve"> (2020</w:t>
      </w:r>
      <w:r w:rsidR="00E82202" w:rsidRPr="000061B4">
        <w:rPr>
          <w:i/>
        </w:rPr>
        <w:t> Update</w:t>
      </w:r>
      <w:r w:rsidR="007940EB">
        <w:rPr>
          <w:i/>
        </w:rPr>
        <w:t>—Refer</w:t>
      </w:r>
      <w:bookmarkStart w:id="2" w:name="_GoBack"/>
      <w:bookmarkEnd w:id="2"/>
      <w:r w:rsidR="007940EB">
        <w:rPr>
          <w:i/>
        </w:rPr>
        <w:t>ence Correction</w:t>
      </w:r>
      <w:r w:rsidR="00E82202" w:rsidRPr="000061B4">
        <w:rPr>
          <w:i/>
        </w:rPr>
        <w:t xml:space="preserve">) Determination </w:t>
      </w:r>
      <w:r w:rsidR="006B351E" w:rsidRPr="000061B4">
        <w:rPr>
          <w:i/>
        </w:rPr>
        <w:t>2020</w:t>
      </w:r>
    </w:p>
    <w:p w:rsidR="006D7C7D" w:rsidRPr="006D7C7D" w:rsidRDefault="006D7C7D" w:rsidP="00E82202">
      <w:pPr>
        <w:spacing w:before="0" w:after="240"/>
        <w:rPr>
          <w:b/>
          <w:iCs/>
        </w:rPr>
      </w:pPr>
      <w:r w:rsidRPr="006D7C7D">
        <w:rPr>
          <w:b/>
          <w:iCs/>
        </w:rPr>
        <w:t>Background</w:t>
      </w:r>
    </w:p>
    <w:p w:rsidR="00D520DF" w:rsidRDefault="00D520DF" w:rsidP="00E82202">
      <w:pPr>
        <w:spacing w:before="0" w:after="240"/>
      </w:pPr>
      <w:r>
        <w:rPr>
          <w:iCs/>
        </w:rPr>
        <w:t xml:space="preserve">The </w:t>
      </w:r>
      <w:r w:rsidRPr="00E2720D">
        <w:rPr>
          <w:i/>
          <w:iCs/>
        </w:rPr>
        <w:t>National Greenhouse and Energy Reporting Act 2007</w:t>
      </w:r>
      <w:r w:rsidRPr="00863FF2">
        <w:rPr>
          <w:iCs/>
        </w:rPr>
        <w:t xml:space="preserve"> (the Act)</w:t>
      </w:r>
      <w:r>
        <w:rPr>
          <w:iCs/>
        </w:rPr>
        <w:t xml:space="preserve"> provides a framework for the reporting of emissions, energy production and consumption in Australia. It also provides for the Safeguard Mechanism to place limits on the net emissions of the largest facilities in Australia.</w:t>
      </w:r>
    </w:p>
    <w:p w:rsidR="00C15EDB" w:rsidRDefault="00E82202" w:rsidP="007940EB">
      <w:pPr>
        <w:spacing w:before="0" w:after="240"/>
      </w:pPr>
      <w:r w:rsidRPr="006A3A08">
        <w:t xml:space="preserve">The </w:t>
      </w:r>
      <w:r w:rsidRPr="00A642FE">
        <w:rPr>
          <w:i/>
        </w:rPr>
        <w:t>National Greenhouse and Energy Reporting (Measurement) Determination 2008</w:t>
      </w:r>
      <w:r w:rsidRPr="006A3A08">
        <w:t xml:space="preserve"> </w:t>
      </w:r>
      <w:r w:rsidR="00F64C57">
        <w:t xml:space="preserve">(“the Determination”) </w:t>
      </w:r>
      <w:r w:rsidRPr="006A3A08">
        <w:t xml:space="preserve">was made under </w:t>
      </w:r>
      <w:r>
        <w:t xml:space="preserve">section </w:t>
      </w:r>
      <w:r w:rsidRPr="006A3A08">
        <w:t>10 of the Act, which provides for the Minister to determine methods, or criteria for methods, for the measurement of (a) greenhouse gas emissions; (b) the production of energy; an</w:t>
      </w:r>
      <w:r w:rsidR="003A5D5E">
        <w:t>d (c) the consumption of energy.</w:t>
      </w:r>
      <w:r w:rsidR="00024D8E">
        <w:t xml:space="preserve"> </w:t>
      </w:r>
    </w:p>
    <w:p w:rsidR="007940EB" w:rsidRPr="006E1C30" w:rsidRDefault="007940EB" w:rsidP="007940EB">
      <w:pPr>
        <w:spacing w:before="0" w:after="240"/>
        <w:rPr>
          <w:szCs w:val="24"/>
        </w:rPr>
      </w:pPr>
      <w:r>
        <w:t xml:space="preserve">The </w:t>
      </w:r>
      <w:r w:rsidRPr="0023138A">
        <w:rPr>
          <w:i/>
        </w:rPr>
        <w:t xml:space="preserve">National Greenhouse and Energy Reporting </w:t>
      </w:r>
      <w:r>
        <w:rPr>
          <w:i/>
        </w:rPr>
        <w:t xml:space="preserve">(Measurement) </w:t>
      </w:r>
      <w:r w:rsidRPr="0023138A">
        <w:rPr>
          <w:i/>
        </w:rPr>
        <w:t>Amendment</w:t>
      </w:r>
      <w:r>
        <w:rPr>
          <w:i/>
        </w:rPr>
        <w:t xml:space="preserve"> (2020 Update) Determination 2020</w:t>
      </w:r>
      <w:r>
        <w:t xml:space="preserve"> (“the 2020 Update Determination”) was made on 15 June 2020 to amend the Determination to</w:t>
      </w:r>
      <w:r w:rsidRPr="006E1C30">
        <w:rPr>
          <w:szCs w:val="24"/>
        </w:rPr>
        <w:t>:</w:t>
      </w:r>
    </w:p>
    <w:p w:rsidR="007940EB" w:rsidRPr="0074266C" w:rsidRDefault="007940EB" w:rsidP="007940EB">
      <w:pPr>
        <w:numPr>
          <w:ilvl w:val="0"/>
          <w:numId w:val="25"/>
        </w:numPr>
        <w:spacing w:before="0"/>
        <w:ind w:left="714" w:hanging="357"/>
        <w:rPr>
          <w:szCs w:val="24"/>
          <w:lang w:val="en"/>
        </w:rPr>
      </w:pPr>
      <w:r w:rsidRPr="006E1C30">
        <w:rPr>
          <w:bCs/>
          <w:szCs w:val="24"/>
          <w:lang w:val="en"/>
        </w:rPr>
        <w:t>Update emission factors based on updated Global Warming Potentials</w:t>
      </w:r>
      <w:r w:rsidRPr="006E1C30">
        <w:rPr>
          <w:szCs w:val="24"/>
          <w:lang w:val="en"/>
        </w:rPr>
        <w:t xml:space="preserve"> (GWPs), which are used to convert emissions values of non-carbon dioxide gases into carbon dioxide equivalent values, in order to align the NGER scheme with the Australian Government’s implementation of the Paris Agreement</w:t>
      </w:r>
      <w:r>
        <w:rPr>
          <w:szCs w:val="24"/>
          <w:lang w:val="en"/>
        </w:rPr>
        <w:t>; and</w:t>
      </w:r>
    </w:p>
    <w:p w:rsidR="007940EB" w:rsidRPr="007940EB" w:rsidRDefault="007940EB" w:rsidP="007940EB">
      <w:pPr>
        <w:pStyle w:val="ListNumber2"/>
        <w:numPr>
          <w:ilvl w:val="0"/>
          <w:numId w:val="25"/>
        </w:numPr>
        <w:spacing w:after="120"/>
        <w:ind w:left="714" w:hanging="357"/>
        <w:rPr>
          <w:rFonts w:ascii="Times New Roman" w:eastAsia="Times New Roman" w:hAnsi="Times New Roman"/>
          <w:sz w:val="24"/>
          <w:szCs w:val="24"/>
        </w:rPr>
      </w:pPr>
      <w:r w:rsidRPr="006E1C30">
        <w:rPr>
          <w:rFonts w:ascii="Times New Roman" w:eastAsia="Times New Roman" w:hAnsi="Times New Roman"/>
          <w:sz w:val="24"/>
          <w:szCs w:val="24"/>
          <w:lang w:val="en"/>
        </w:rPr>
        <w:t xml:space="preserve">Update emission factors used to estimate emissions resulting from the consumption of electricity purchased or lost from the grid </w:t>
      </w:r>
      <w:r w:rsidRPr="006E1C30">
        <w:rPr>
          <w:rFonts w:ascii="Times New Roman" w:eastAsia="Times New Roman" w:hAnsi="Times New Roman"/>
          <w:bCs/>
          <w:sz w:val="24"/>
          <w:szCs w:val="24"/>
          <w:lang w:val="en"/>
        </w:rPr>
        <w:t>(‘scope 2 emissions’)</w:t>
      </w:r>
      <w:r w:rsidRPr="006E1C30">
        <w:rPr>
          <w:rFonts w:ascii="Times New Roman" w:eastAsia="Times New Roman" w:hAnsi="Times New Roman"/>
          <w:sz w:val="24"/>
          <w:szCs w:val="24"/>
          <w:lang w:val="en"/>
        </w:rPr>
        <w:t xml:space="preserve"> based on the latest available data</w:t>
      </w:r>
      <w:r>
        <w:rPr>
          <w:rFonts w:ascii="Times New Roman" w:eastAsia="Times New Roman" w:hAnsi="Times New Roman"/>
          <w:sz w:val="24"/>
          <w:szCs w:val="24"/>
          <w:lang w:val="en"/>
        </w:rPr>
        <w:t>.</w:t>
      </w:r>
    </w:p>
    <w:p w:rsidR="00155854" w:rsidRPr="006D7C7D" w:rsidRDefault="006D7C7D" w:rsidP="006D7C7D">
      <w:pPr>
        <w:keepNext/>
        <w:spacing w:before="360"/>
        <w:rPr>
          <w:b/>
          <w:i/>
        </w:rPr>
      </w:pPr>
      <w:r>
        <w:rPr>
          <w:b/>
        </w:rPr>
        <w:t>Purpose and operation</w:t>
      </w:r>
      <w:r w:rsidR="00024D8E" w:rsidRPr="00024D8E">
        <w:rPr>
          <w:b/>
          <w:i/>
        </w:rPr>
        <w:t xml:space="preserve"> </w:t>
      </w:r>
    </w:p>
    <w:p w:rsidR="006D7C7D" w:rsidRPr="006D7C7D" w:rsidRDefault="006D7C7D" w:rsidP="007940EB">
      <w:pPr>
        <w:spacing w:before="0" w:after="240"/>
        <w:rPr>
          <w:szCs w:val="24"/>
        </w:rPr>
      </w:pPr>
      <w:r>
        <w:t xml:space="preserve">The purpose of the </w:t>
      </w:r>
      <w:r w:rsidRPr="0023138A">
        <w:rPr>
          <w:i/>
        </w:rPr>
        <w:t xml:space="preserve">National Greenhouse and Energy Reporting </w:t>
      </w:r>
      <w:r>
        <w:rPr>
          <w:i/>
        </w:rPr>
        <w:t xml:space="preserve">(Measurement) </w:t>
      </w:r>
      <w:r w:rsidRPr="0023138A">
        <w:rPr>
          <w:i/>
        </w:rPr>
        <w:t>Amendment</w:t>
      </w:r>
      <w:r>
        <w:rPr>
          <w:i/>
        </w:rPr>
        <w:t xml:space="preserve"> (2020 Update</w:t>
      </w:r>
      <w:r w:rsidR="007940EB">
        <w:rPr>
          <w:i/>
        </w:rPr>
        <w:t>—Reference Correction</w:t>
      </w:r>
      <w:r>
        <w:rPr>
          <w:i/>
        </w:rPr>
        <w:t xml:space="preserve">) Determination 2020 </w:t>
      </w:r>
      <w:r>
        <w:t>(the Instrument) is to</w:t>
      </w:r>
      <w:r w:rsidR="007940EB">
        <w:rPr>
          <w:szCs w:val="24"/>
        </w:rPr>
        <w:t xml:space="preserve"> correct an incorrect reference to the Determination in the 2020 Update Determination. </w:t>
      </w:r>
    </w:p>
    <w:p w:rsidR="006D7C7D" w:rsidRDefault="006D7C7D" w:rsidP="006D7C7D">
      <w:pPr>
        <w:spacing w:before="200" w:after="200"/>
      </w:pPr>
      <w:r w:rsidRPr="006D7C7D">
        <w:rPr>
          <w:szCs w:val="24"/>
        </w:rPr>
        <w:t>The Instrument will commence</w:t>
      </w:r>
      <w:r>
        <w:t xml:space="preserve"> on 1 July 2020</w:t>
      </w:r>
      <w:r w:rsidR="007940EB">
        <w:t xml:space="preserve"> at the same time as the c</w:t>
      </w:r>
      <w:r w:rsidR="006946C7">
        <w:t>ommencement of the 2020 Update D</w:t>
      </w:r>
      <w:r w:rsidR="007940EB">
        <w:t>etermination</w:t>
      </w:r>
      <w:r>
        <w:t xml:space="preserve">. Details of the amendments contained in the </w:t>
      </w:r>
      <w:r w:rsidRPr="002520AA">
        <w:t>Instrument</w:t>
      </w:r>
      <w:r w:rsidRPr="006D7C7D">
        <w:rPr>
          <w:i/>
        </w:rPr>
        <w:t xml:space="preserve"> </w:t>
      </w:r>
      <w:r>
        <w:t>are provided below.</w:t>
      </w:r>
    </w:p>
    <w:p w:rsidR="00C15EDB" w:rsidRDefault="003A5D5E" w:rsidP="006817CD">
      <w:pPr>
        <w:spacing w:after="240"/>
      </w:pPr>
      <w:r>
        <w:t xml:space="preserve">Further details of the Instrument are outlined in </w:t>
      </w:r>
      <w:r>
        <w:rPr>
          <w:u w:val="single"/>
        </w:rPr>
        <w:t>Attachment A</w:t>
      </w:r>
      <w:r>
        <w:t xml:space="preserve">. </w:t>
      </w:r>
    </w:p>
    <w:p w:rsidR="003C3DBF" w:rsidRPr="00366499" w:rsidRDefault="003C3DBF" w:rsidP="006817CD">
      <w:pPr>
        <w:spacing w:after="240"/>
        <w:rPr>
          <w:color w:val="000000" w:themeColor="text1"/>
        </w:rPr>
      </w:pPr>
      <w:r w:rsidRPr="006A3A08">
        <w:t>Th</w:t>
      </w:r>
      <w:r>
        <w:t>e</w:t>
      </w:r>
      <w:r w:rsidRPr="006A3A08">
        <w:t xml:space="preserve"> Instrument</w:t>
      </w:r>
      <w:r>
        <w:t xml:space="preserve"> is a</w:t>
      </w:r>
      <w:r w:rsidRPr="006A3A08">
        <w:t xml:space="preserve"> legislative instrument for the purposes </w:t>
      </w:r>
      <w:r w:rsidRPr="00366499">
        <w:rPr>
          <w:color w:val="000000" w:themeColor="text1"/>
        </w:rPr>
        <w:t xml:space="preserve">of the </w:t>
      </w:r>
      <w:r w:rsidR="00FD6C51">
        <w:rPr>
          <w:i/>
          <w:color w:val="000000" w:themeColor="text1"/>
        </w:rPr>
        <w:t>Legislation</w:t>
      </w:r>
      <w:r w:rsidR="00FD6C51" w:rsidRPr="00366499">
        <w:rPr>
          <w:i/>
          <w:color w:val="000000" w:themeColor="text1"/>
        </w:rPr>
        <w:t xml:space="preserve"> </w:t>
      </w:r>
      <w:r w:rsidRPr="00366499">
        <w:rPr>
          <w:i/>
          <w:color w:val="000000" w:themeColor="text1"/>
        </w:rPr>
        <w:t>Act 2003</w:t>
      </w:r>
      <w:r w:rsidRPr="00366499">
        <w:rPr>
          <w:color w:val="000000" w:themeColor="text1"/>
        </w:rPr>
        <w:t>.</w:t>
      </w:r>
    </w:p>
    <w:p w:rsidR="003A5D5E" w:rsidRDefault="003A5D5E" w:rsidP="006817CD">
      <w:pPr>
        <w:spacing w:after="240"/>
      </w:pPr>
      <w:r w:rsidRPr="0038144C">
        <w:t xml:space="preserve">A statement of the </w:t>
      </w:r>
      <w:r w:rsidR="000F7E40">
        <w:t>Instrument</w:t>
      </w:r>
      <w:r w:rsidR="000F7E40" w:rsidRPr="0038144C">
        <w:t xml:space="preserve">’s </w:t>
      </w:r>
      <w:r w:rsidRPr="0038144C">
        <w:t xml:space="preserve">compatibility with human </w:t>
      </w:r>
      <w:r>
        <w:t xml:space="preserve">rights is set out in </w:t>
      </w:r>
      <w:r w:rsidRPr="0047361F">
        <w:rPr>
          <w:u w:val="single"/>
        </w:rPr>
        <w:t>Attachment</w:t>
      </w:r>
      <w:r w:rsidR="00C15EDB">
        <w:rPr>
          <w:u w:val="single"/>
        </w:rPr>
        <w:t xml:space="preserve"> B</w:t>
      </w:r>
      <w:r w:rsidRPr="0038144C">
        <w:t>.</w:t>
      </w:r>
    </w:p>
    <w:p w:rsidR="007E7318" w:rsidRPr="008F1C35" w:rsidRDefault="007E7318" w:rsidP="007E7318">
      <w:pPr>
        <w:spacing w:before="200" w:after="200"/>
        <w:rPr>
          <w:b/>
        </w:rPr>
      </w:pPr>
      <w:r w:rsidRPr="008F1C35">
        <w:rPr>
          <w:b/>
        </w:rPr>
        <w:lastRenderedPageBreak/>
        <w:t>Consultation</w:t>
      </w:r>
    </w:p>
    <w:p w:rsidR="007E7318" w:rsidRPr="00576982" w:rsidRDefault="007E7318" w:rsidP="007E7318">
      <w:pPr>
        <w:tabs>
          <w:tab w:val="left" w:pos="1701"/>
          <w:tab w:val="right" w:pos="9072"/>
        </w:tabs>
        <w:spacing w:before="0" w:after="0"/>
        <w:ind w:right="91"/>
      </w:pPr>
      <w:r>
        <w:t xml:space="preserve">The </w:t>
      </w:r>
      <w:r w:rsidR="007940EB">
        <w:t>2020 Update Determination was consulted upon by</w:t>
      </w:r>
      <w:r>
        <w:t xml:space="preserve"> public consultation from 29 May to 10 June 2020.</w:t>
      </w:r>
      <w:r w:rsidR="007940EB">
        <w:t xml:space="preserve"> No further consultation was conducted on this instrument as the original consultation was clear that the</w:t>
      </w:r>
      <w:r w:rsidR="007940EB" w:rsidRPr="007940EB">
        <w:rPr>
          <w:i/>
        </w:rPr>
        <w:t xml:space="preserve"> National Greenhouse and Energy Reporting (Measurement) Determination 2008 </w:t>
      </w:r>
      <w:r w:rsidR="007940EB">
        <w:t>was intended to be amended by the 2020 Update Determination.</w:t>
      </w:r>
    </w:p>
    <w:p w:rsidR="007E7318" w:rsidRPr="00C74148" w:rsidRDefault="007E7318" w:rsidP="007E7318">
      <w:pPr>
        <w:tabs>
          <w:tab w:val="left" w:pos="1701"/>
          <w:tab w:val="right" w:pos="9072"/>
        </w:tabs>
        <w:spacing w:before="200" w:after="200"/>
        <w:ind w:right="91"/>
        <w:rPr>
          <w:b/>
        </w:rPr>
      </w:pPr>
      <w:r w:rsidRPr="00C74148">
        <w:rPr>
          <w:b/>
        </w:rPr>
        <w:t>Regulatory Impact</w:t>
      </w:r>
    </w:p>
    <w:p w:rsidR="007E7318" w:rsidRDefault="007940EB" w:rsidP="007E7318">
      <w:pPr>
        <w:spacing w:after="240"/>
      </w:pPr>
      <w:r>
        <w:rPr>
          <w:lang w:val="en-GB"/>
        </w:rPr>
        <w:t>The regulatory impacts of the 2020 Update Determination amendments were</w:t>
      </w:r>
      <w:r w:rsidR="00E82D55">
        <w:rPr>
          <w:lang w:val="en-GB"/>
        </w:rPr>
        <w:t xml:space="preserve"> assessed</w:t>
      </w:r>
      <w:r>
        <w:rPr>
          <w:lang w:val="en-GB"/>
        </w:rPr>
        <w:t xml:space="preserve"> </w:t>
      </w:r>
      <w:r w:rsidR="007E7318">
        <w:rPr>
          <w:lang w:val="en-GB"/>
        </w:rPr>
        <w:t>as minor and not requiring a Regulation Impact Statement by the Office of Best Practice Regulation (ref 26344).</w:t>
      </w:r>
    </w:p>
    <w:p w:rsidR="00C15EDB" w:rsidRDefault="00C15EDB" w:rsidP="003A5D5E">
      <w:pPr>
        <w:spacing w:before="200" w:after="200"/>
      </w:pPr>
    </w:p>
    <w:p w:rsidR="00C15EDB" w:rsidRDefault="00C15EDB">
      <w:pPr>
        <w:spacing w:before="0" w:after="0"/>
      </w:pPr>
      <w:r>
        <w:br w:type="page"/>
      </w:r>
    </w:p>
    <w:bookmarkEnd w:id="0"/>
    <w:bookmarkEnd w:id="1"/>
    <w:p w:rsidR="002D0C0C" w:rsidRPr="001550FB" w:rsidRDefault="002D0C0C" w:rsidP="00773782">
      <w:pPr>
        <w:tabs>
          <w:tab w:val="right" w:pos="9072"/>
        </w:tabs>
        <w:spacing w:before="0" w:after="240"/>
        <w:ind w:right="91"/>
        <w:jc w:val="right"/>
        <w:rPr>
          <w:b/>
          <w:u w:val="single"/>
        </w:rPr>
      </w:pPr>
      <w:r w:rsidRPr="001550FB">
        <w:rPr>
          <w:b/>
          <w:u w:val="single"/>
        </w:rPr>
        <w:lastRenderedPageBreak/>
        <w:t>ATTACHMENT</w:t>
      </w:r>
      <w:r w:rsidR="00534C53">
        <w:rPr>
          <w:b/>
          <w:u w:val="single"/>
        </w:rPr>
        <w:t xml:space="preserve"> A</w:t>
      </w:r>
    </w:p>
    <w:p w:rsidR="00024882" w:rsidRPr="00024882" w:rsidRDefault="00024882" w:rsidP="004E5651">
      <w:pPr>
        <w:spacing w:before="360" w:after="360"/>
        <w:jc w:val="center"/>
        <w:rPr>
          <w:b/>
          <w:i/>
        </w:rPr>
      </w:pPr>
      <w:r w:rsidRPr="00024882">
        <w:rPr>
          <w:b/>
          <w:i/>
        </w:rPr>
        <w:t xml:space="preserve">National Greenhouse and Energy Reporting (Measurement) Amendment </w:t>
      </w:r>
      <w:r w:rsidR="00E9051F">
        <w:rPr>
          <w:b/>
          <w:i/>
        </w:rPr>
        <w:t>(2020 Update</w:t>
      </w:r>
      <w:r w:rsidR="007940EB">
        <w:rPr>
          <w:b/>
          <w:i/>
        </w:rPr>
        <w:t>—Reference Correction</w:t>
      </w:r>
      <w:r w:rsidR="00E9051F">
        <w:rPr>
          <w:b/>
          <w:i/>
        </w:rPr>
        <w:t>) Determination 2020</w:t>
      </w:r>
    </w:p>
    <w:p w:rsidR="001F5A3D" w:rsidRPr="00B9380B" w:rsidRDefault="0019209B" w:rsidP="004E5651">
      <w:pPr>
        <w:spacing w:before="240" w:after="240"/>
        <w:ind w:right="91"/>
        <w:rPr>
          <w:szCs w:val="24"/>
        </w:rPr>
      </w:pPr>
      <w:r>
        <w:rPr>
          <w:szCs w:val="24"/>
          <w:u w:val="single"/>
        </w:rPr>
        <w:t xml:space="preserve">Section </w:t>
      </w:r>
      <w:r w:rsidR="008019CF">
        <w:rPr>
          <w:szCs w:val="24"/>
          <w:u w:val="single"/>
        </w:rPr>
        <w:t xml:space="preserve">1 – Name of </w:t>
      </w:r>
      <w:r w:rsidR="00663792">
        <w:rPr>
          <w:szCs w:val="24"/>
          <w:u w:val="single"/>
        </w:rPr>
        <w:t>Determination</w:t>
      </w:r>
    </w:p>
    <w:p w:rsidR="001F5A3D" w:rsidRPr="00F90D84" w:rsidRDefault="00663792" w:rsidP="004E5651">
      <w:pPr>
        <w:spacing w:before="0" w:after="360"/>
        <w:ind w:right="91"/>
        <w:rPr>
          <w:szCs w:val="24"/>
        </w:rPr>
      </w:pPr>
      <w:r>
        <w:rPr>
          <w:szCs w:val="24"/>
        </w:rPr>
        <w:t xml:space="preserve">This </w:t>
      </w:r>
      <w:r w:rsidR="0019209B">
        <w:rPr>
          <w:szCs w:val="24"/>
        </w:rPr>
        <w:t>section</w:t>
      </w:r>
      <w:r w:rsidR="0019209B" w:rsidRPr="00F90D84">
        <w:rPr>
          <w:szCs w:val="24"/>
        </w:rPr>
        <w:t xml:space="preserve"> </w:t>
      </w:r>
      <w:r w:rsidR="001F5A3D" w:rsidRPr="00F90D84">
        <w:rPr>
          <w:szCs w:val="24"/>
        </w:rPr>
        <w:t>provide</w:t>
      </w:r>
      <w:r w:rsidR="003A2330" w:rsidRPr="00F90D84">
        <w:rPr>
          <w:szCs w:val="24"/>
        </w:rPr>
        <w:t>s</w:t>
      </w:r>
      <w:r w:rsidR="001F5A3D" w:rsidRPr="00F90D84">
        <w:rPr>
          <w:szCs w:val="24"/>
        </w:rPr>
        <w:t xml:space="preserve"> that the title of the </w:t>
      </w:r>
      <w:r>
        <w:rPr>
          <w:szCs w:val="24"/>
        </w:rPr>
        <w:t>Instrument</w:t>
      </w:r>
      <w:r w:rsidR="001F5A3D" w:rsidRPr="00F90D84">
        <w:rPr>
          <w:szCs w:val="24"/>
        </w:rPr>
        <w:t xml:space="preserve"> is the </w:t>
      </w:r>
      <w:r w:rsidRPr="0040744E">
        <w:rPr>
          <w:i/>
          <w:szCs w:val="24"/>
        </w:rPr>
        <w:t>National</w:t>
      </w:r>
      <w:r w:rsidRPr="00663792">
        <w:rPr>
          <w:szCs w:val="24"/>
        </w:rPr>
        <w:t xml:space="preserve"> </w:t>
      </w:r>
      <w:r w:rsidR="00A015E4">
        <w:rPr>
          <w:i/>
          <w:szCs w:val="24"/>
        </w:rPr>
        <w:t xml:space="preserve">Greenhouse and </w:t>
      </w:r>
      <w:r w:rsidRPr="00663792">
        <w:rPr>
          <w:i/>
        </w:rPr>
        <w:t>Energy Report</w:t>
      </w:r>
      <w:r w:rsidR="006067DC">
        <w:rPr>
          <w:i/>
        </w:rPr>
        <w:t>ing (Measurement) Amendment (2020 Update</w:t>
      </w:r>
      <w:r w:rsidR="007940EB">
        <w:rPr>
          <w:i/>
        </w:rPr>
        <w:t>—Reference Correction</w:t>
      </w:r>
      <w:r w:rsidR="006067DC">
        <w:rPr>
          <w:i/>
        </w:rPr>
        <w:t xml:space="preserve">) </w:t>
      </w:r>
      <w:r w:rsidR="006067DC" w:rsidRPr="006E1C30">
        <w:rPr>
          <w:i/>
        </w:rPr>
        <w:t>Determination</w:t>
      </w:r>
      <w:r w:rsidR="006067DC">
        <w:rPr>
          <w:i/>
        </w:rPr>
        <w:t xml:space="preserve"> 2020</w:t>
      </w:r>
      <w:r w:rsidR="001F5A3D" w:rsidRPr="00663792">
        <w:rPr>
          <w:szCs w:val="24"/>
        </w:rPr>
        <w:t>.</w:t>
      </w:r>
    </w:p>
    <w:p w:rsidR="001F5A3D" w:rsidRPr="00FC52C4" w:rsidRDefault="0019209B" w:rsidP="004E5651">
      <w:pPr>
        <w:spacing w:before="240" w:after="240"/>
        <w:ind w:right="91"/>
        <w:rPr>
          <w:szCs w:val="24"/>
          <w:u w:val="single"/>
        </w:rPr>
      </w:pPr>
      <w:r>
        <w:rPr>
          <w:szCs w:val="24"/>
          <w:u w:val="single"/>
        </w:rPr>
        <w:t xml:space="preserve">Section </w:t>
      </w:r>
      <w:r w:rsidR="00663792">
        <w:rPr>
          <w:szCs w:val="24"/>
          <w:u w:val="single"/>
        </w:rPr>
        <w:t>2</w:t>
      </w:r>
      <w:r w:rsidR="001F5A3D" w:rsidRPr="00FC52C4">
        <w:rPr>
          <w:szCs w:val="24"/>
          <w:u w:val="single"/>
        </w:rPr>
        <w:t xml:space="preserve"> – Commencement</w:t>
      </w:r>
    </w:p>
    <w:p w:rsidR="001F5A3D" w:rsidRPr="003A612B" w:rsidRDefault="00663792" w:rsidP="004E5651">
      <w:pPr>
        <w:spacing w:before="0" w:after="360"/>
        <w:ind w:right="91"/>
        <w:rPr>
          <w:szCs w:val="24"/>
        </w:rPr>
      </w:pPr>
      <w:r>
        <w:rPr>
          <w:szCs w:val="24"/>
        </w:rPr>
        <w:t xml:space="preserve">This </w:t>
      </w:r>
      <w:r w:rsidR="0019209B">
        <w:rPr>
          <w:szCs w:val="24"/>
        </w:rPr>
        <w:t xml:space="preserve">section </w:t>
      </w:r>
      <w:r w:rsidR="001F5A3D">
        <w:rPr>
          <w:szCs w:val="24"/>
        </w:rPr>
        <w:t>provide</w:t>
      </w:r>
      <w:r w:rsidR="004E7915">
        <w:rPr>
          <w:szCs w:val="24"/>
        </w:rPr>
        <w:t>s</w:t>
      </w:r>
      <w:r>
        <w:rPr>
          <w:szCs w:val="24"/>
        </w:rPr>
        <w:t xml:space="preserve"> for the </w:t>
      </w:r>
      <w:r w:rsidR="000E0DE3">
        <w:rPr>
          <w:szCs w:val="24"/>
        </w:rPr>
        <w:t>Instrument</w:t>
      </w:r>
      <w:r>
        <w:rPr>
          <w:szCs w:val="24"/>
        </w:rPr>
        <w:t xml:space="preserve"> to commence </w:t>
      </w:r>
      <w:r w:rsidR="006067DC">
        <w:rPr>
          <w:szCs w:val="24"/>
        </w:rPr>
        <w:t>on 1 July 2020</w:t>
      </w:r>
      <w:r w:rsidR="00B719D4">
        <w:rPr>
          <w:szCs w:val="24"/>
        </w:rPr>
        <w:t>.</w:t>
      </w:r>
    </w:p>
    <w:p w:rsidR="001F5A3D" w:rsidRPr="001C68D5" w:rsidRDefault="0019209B" w:rsidP="001F5A3D">
      <w:pPr>
        <w:spacing w:before="0" w:after="240"/>
        <w:ind w:right="91"/>
        <w:rPr>
          <w:szCs w:val="24"/>
        </w:rPr>
      </w:pPr>
      <w:r>
        <w:rPr>
          <w:szCs w:val="24"/>
          <w:u w:val="single"/>
        </w:rPr>
        <w:t>Section</w:t>
      </w:r>
      <w:r w:rsidRPr="00286CC0">
        <w:rPr>
          <w:szCs w:val="24"/>
          <w:u w:val="single"/>
        </w:rPr>
        <w:t xml:space="preserve"> </w:t>
      </w:r>
      <w:r w:rsidR="001F5A3D" w:rsidRPr="00286CC0">
        <w:rPr>
          <w:szCs w:val="24"/>
          <w:u w:val="single"/>
        </w:rPr>
        <w:t>3 – Authority</w:t>
      </w:r>
    </w:p>
    <w:p w:rsidR="00663792" w:rsidRPr="001B4A72" w:rsidRDefault="00663792" w:rsidP="001B4A72">
      <w:pPr>
        <w:spacing w:after="240"/>
      </w:pPr>
      <w:r w:rsidRPr="00663792">
        <w:t xml:space="preserve">This </w:t>
      </w:r>
      <w:r w:rsidR="0019209B">
        <w:t>section</w:t>
      </w:r>
      <w:r w:rsidR="0019209B" w:rsidRPr="00663792">
        <w:t xml:space="preserve"> </w:t>
      </w:r>
      <w:r w:rsidRPr="00663792">
        <w:t xml:space="preserve">outlines that the </w:t>
      </w:r>
      <w:r w:rsidR="009230E5">
        <w:t>Instrument</w:t>
      </w:r>
      <w:r w:rsidRPr="00663792">
        <w:t xml:space="preserve"> </w:t>
      </w:r>
      <w:r w:rsidR="00FF49A7">
        <w:t>is made</w:t>
      </w:r>
      <w:r w:rsidRPr="00663792">
        <w:t xml:space="preserve"> under subsection 10(3) of the </w:t>
      </w:r>
      <w:r w:rsidRPr="00DD5D6E">
        <w:rPr>
          <w:i/>
        </w:rPr>
        <w:t>National Greenhouse and Energy Reporting Act 2007</w:t>
      </w:r>
      <w:r w:rsidRPr="009D5CEE">
        <w:t>.</w:t>
      </w:r>
      <w:r w:rsidR="00FF49A7" w:rsidRPr="009D5CEE">
        <w:t xml:space="preserve"> </w:t>
      </w:r>
      <w:r w:rsidR="00FF49A7" w:rsidRPr="00FF49A7">
        <w:t xml:space="preserve">The power to make </w:t>
      </w:r>
      <w:r w:rsidR="00FF49A7">
        <w:t>legislative instruments</w:t>
      </w:r>
      <w:r w:rsidR="00FF49A7" w:rsidRPr="009D5CEE">
        <w:t xml:space="preserve"> under this subsection includes th</w:t>
      </w:r>
      <w:r w:rsidR="00FF49A7" w:rsidRPr="00FF49A7">
        <w:t xml:space="preserve">e power to amend or revoke </w:t>
      </w:r>
      <w:r w:rsidR="00FF49A7">
        <w:t>instruments</w:t>
      </w:r>
      <w:r w:rsidR="00FF49A7" w:rsidRPr="009D5CEE">
        <w:t xml:space="preserve"> that have already been made, with any doubt about this resolved by subsection 33(3) of the</w:t>
      </w:r>
      <w:r w:rsidR="00FF49A7" w:rsidRPr="001B4A72">
        <w:t xml:space="preserve"> </w:t>
      </w:r>
      <w:r w:rsidR="00FF49A7" w:rsidRPr="00DD5D6E">
        <w:rPr>
          <w:i/>
        </w:rPr>
        <w:t>Acts Interpretation Act 1901</w:t>
      </w:r>
      <w:r w:rsidR="00FF49A7" w:rsidRPr="001B4A72">
        <w:t>.</w:t>
      </w:r>
    </w:p>
    <w:p w:rsidR="001F5A3D" w:rsidRPr="00FC52C4" w:rsidRDefault="0019209B" w:rsidP="008019CF">
      <w:pPr>
        <w:spacing w:before="0" w:after="240"/>
        <w:ind w:right="91"/>
        <w:rPr>
          <w:szCs w:val="24"/>
          <w:u w:val="single"/>
        </w:rPr>
      </w:pPr>
      <w:r>
        <w:rPr>
          <w:szCs w:val="24"/>
          <w:u w:val="single"/>
        </w:rPr>
        <w:t>Section</w:t>
      </w:r>
      <w:r w:rsidRPr="00D33F05">
        <w:rPr>
          <w:szCs w:val="24"/>
          <w:u w:val="single"/>
        </w:rPr>
        <w:t xml:space="preserve"> </w:t>
      </w:r>
      <w:r w:rsidR="007940EB">
        <w:rPr>
          <w:szCs w:val="24"/>
          <w:u w:val="single"/>
        </w:rPr>
        <w:t xml:space="preserve">4 – Amendment of </w:t>
      </w:r>
      <w:r w:rsidR="00681B0D">
        <w:rPr>
          <w:szCs w:val="24"/>
          <w:u w:val="single"/>
        </w:rPr>
        <w:t xml:space="preserve">the </w:t>
      </w:r>
      <w:r w:rsidR="007940EB" w:rsidRPr="00681B0D">
        <w:rPr>
          <w:i/>
          <w:szCs w:val="24"/>
          <w:u w:val="single"/>
        </w:rPr>
        <w:t xml:space="preserve">National </w:t>
      </w:r>
      <w:r w:rsidR="00A015E4">
        <w:rPr>
          <w:i/>
          <w:szCs w:val="24"/>
          <w:u w:val="single"/>
        </w:rPr>
        <w:t xml:space="preserve">Greenhouse and </w:t>
      </w:r>
      <w:r w:rsidR="007940EB" w:rsidRPr="00681B0D">
        <w:rPr>
          <w:i/>
          <w:szCs w:val="24"/>
          <w:u w:val="single"/>
        </w:rPr>
        <w:t>Energy Reporting (Measurement) Amendment (2020 Update) Determination 2020</w:t>
      </w:r>
    </w:p>
    <w:p w:rsidR="001F5A3D" w:rsidRPr="005A0267" w:rsidRDefault="007940EB" w:rsidP="004E5651">
      <w:pPr>
        <w:spacing w:before="0" w:after="480"/>
        <w:rPr>
          <w:szCs w:val="24"/>
        </w:rPr>
      </w:pPr>
      <w:r>
        <w:t xml:space="preserve">This section amends the reference to the </w:t>
      </w:r>
      <w:r w:rsidRPr="007940EB">
        <w:rPr>
          <w:i/>
        </w:rPr>
        <w:t>National Greenhouse and Energy Reporting (Measurement</w:t>
      </w:r>
      <w:r w:rsidR="00681B0D">
        <w:rPr>
          <w:i/>
        </w:rPr>
        <w:t>)</w:t>
      </w:r>
      <w:r w:rsidRPr="007940EB">
        <w:rPr>
          <w:i/>
        </w:rPr>
        <w:t xml:space="preserve"> Determination 2008</w:t>
      </w:r>
      <w:r>
        <w:t xml:space="preserve"> in the Schedule of amendments. The date had been incorrectly referenced as “2009” rather than “2008”. The intent of the original instrument was always to amend the “2008” determination and there is no relevant “2009” determination to amend. Accordingly the unamended </w:t>
      </w:r>
      <w:r w:rsidRPr="0040744E">
        <w:rPr>
          <w:i/>
          <w:szCs w:val="24"/>
        </w:rPr>
        <w:t>National</w:t>
      </w:r>
      <w:r w:rsidRPr="00663792">
        <w:rPr>
          <w:szCs w:val="24"/>
        </w:rPr>
        <w:t xml:space="preserve"> </w:t>
      </w:r>
      <w:r w:rsidR="00A015E4">
        <w:rPr>
          <w:i/>
          <w:szCs w:val="24"/>
        </w:rPr>
        <w:t xml:space="preserve">and Greenhouse </w:t>
      </w:r>
      <w:r w:rsidRPr="00663792">
        <w:rPr>
          <w:i/>
        </w:rPr>
        <w:t>Energy Report</w:t>
      </w:r>
      <w:r>
        <w:rPr>
          <w:i/>
        </w:rPr>
        <w:t xml:space="preserve">ing (Measurement) Amendment (2020 Update) </w:t>
      </w:r>
      <w:r w:rsidRPr="006E1C30">
        <w:rPr>
          <w:i/>
        </w:rPr>
        <w:t>Determination</w:t>
      </w:r>
      <w:r>
        <w:rPr>
          <w:i/>
        </w:rPr>
        <w:t xml:space="preserve"> 2020</w:t>
      </w:r>
      <w:r>
        <w:rPr>
          <w:szCs w:val="24"/>
        </w:rPr>
        <w:t xml:space="preserve"> </w:t>
      </w:r>
      <w:r>
        <w:t xml:space="preserve">would be interpreted to amend the 2008 determination in accordance with the slip rule of statutory interpretation, this amendment makes that clear on the face of the instrument. </w:t>
      </w:r>
    </w:p>
    <w:p w:rsidR="0060644A" w:rsidRDefault="0060644A" w:rsidP="0088560C">
      <w:pPr>
        <w:spacing w:after="0"/>
        <w:rPr>
          <w:b/>
          <w:lang w:val="en-US"/>
        </w:rPr>
      </w:pPr>
      <w:bookmarkStart w:id="3" w:name="_Toc387924511"/>
      <w:bookmarkStart w:id="4" w:name="_Toc386813507"/>
    </w:p>
    <w:bookmarkEnd w:id="3"/>
    <w:bookmarkEnd w:id="4"/>
    <w:p w:rsidR="0088560C" w:rsidRDefault="0088560C" w:rsidP="0088560C">
      <w:pPr>
        <w:pStyle w:val="Normal1"/>
        <w:rPr>
          <w:rFonts w:ascii="Arial" w:hAnsi="Arial" w:cs="Arial"/>
        </w:rPr>
        <w:sectPr w:rsidR="0088560C" w:rsidSect="009230E5">
          <w:footerReference w:type="default" r:id="rId12"/>
          <w:footerReference w:type="first" r:id="rId13"/>
          <w:pgSz w:w="11907" w:h="16839"/>
          <w:pgMar w:top="1440" w:right="1440" w:bottom="1440" w:left="1440" w:header="720" w:footer="0" w:gutter="0"/>
          <w:pgNumType w:start="1"/>
          <w:cols w:space="708"/>
          <w:docGrid w:linePitch="360"/>
        </w:sectPr>
      </w:pPr>
    </w:p>
    <w:p w:rsidR="005B17D1" w:rsidRDefault="00C15EDB" w:rsidP="003A5D5E">
      <w:pPr>
        <w:tabs>
          <w:tab w:val="right" w:pos="9072"/>
        </w:tabs>
        <w:spacing w:after="240"/>
        <w:ind w:right="91"/>
        <w:jc w:val="right"/>
        <w:rPr>
          <w:b/>
          <w:szCs w:val="24"/>
          <w:u w:val="single"/>
        </w:rPr>
      </w:pPr>
      <w:r>
        <w:rPr>
          <w:b/>
          <w:szCs w:val="24"/>
          <w:u w:val="single"/>
        </w:rPr>
        <w:lastRenderedPageBreak/>
        <w:t>ATTACHMENT B</w:t>
      </w:r>
    </w:p>
    <w:p w:rsidR="003A5D5E" w:rsidRPr="009D5CEE" w:rsidRDefault="003A5D5E" w:rsidP="005B17D1">
      <w:pPr>
        <w:pStyle w:val="Heading3"/>
        <w:spacing w:before="0" w:after="240"/>
        <w:jc w:val="center"/>
        <w:rPr>
          <w:rFonts w:ascii="Times New Roman" w:hAnsi="Times New Roman"/>
          <w:szCs w:val="24"/>
        </w:rPr>
      </w:pPr>
    </w:p>
    <w:p w:rsidR="005B17D1" w:rsidRPr="009D5CEE" w:rsidRDefault="005B17D1" w:rsidP="005B17D1">
      <w:pPr>
        <w:pStyle w:val="Heading3"/>
        <w:spacing w:before="0" w:after="240"/>
        <w:jc w:val="center"/>
        <w:rPr>
          <w:rFonts w:ascii="Times New Roman" w:hAnsi="Times New Roman"/>
          <w:sz w:val="28"/>
          <w:szCs w:val="28"/>
        </w:rPr>
      </w:pPr>
      <w:r w:rsidRPr="009D5CEE">
        <w:rPr>
          <w:rFonts w:ascii="Times New Roman" w:hAnsi="Times New Roman"/>
          <w:sz w:val="28"/>
          <w:szCs w:val="28"/>
        </w:rPr>
        <w:t>Statement of Compatibility with Human Rights</w:t>
      </w:r>
    </w:p>
    <w:p w:rsidR="005B17D1" w:rsidRDefault="005B17D1" w:rsidP="005B17D1">
      <w:pPr>
        <w:spacing w:after="240"/>
        <w:jc w:val="center"/>
        <w:rPr>
          <w:i/>
          <w:szCs w:val="24"/>
        </w:rPr>
      </w:pPr>
      <w:r>
        <w:rPr>
          <w:i/>
          <w:szCs w:val="24"/>
        </w:rPr>
        <w:t>Prepared in accordance with Part 3 of the Human Rights (Parliamentary Scrutiny) Act 2011</w:t>
      </w:r>
    </w:p>
    <w:p w:rsidR="0023138A" w:rsidRDefault="0023138A" w:rsidP="0023138A">
      <w:pPr>
        <w:spacing w:after="240"/>
        <w:jc w:val="center"/>
        <w:rPr>
          <w:b/>
          <w:i/>
        </w:rPr>
      </w:pPr>
      <w:r w:rsidRPr="0023138A">
        <w:rPr>
          <w:b/>
          <w:i/>
        </w:rPr>
        <w:t xml:space="preserve">National Greenhouse and Energy Reporting </w:t>
      </w:r>
      <w:r w:rsidR="0016437F">
        <w:rPr>
          <w:b/>
          <w:i/>
        </w:rPr>
        <w:t xml:space="preserve">(Measurement) </w:t>
      </w:r>
      <w:r w:rsidRPr="0023138A">
        <w:rPr>
          <w:b/>
          <w:i/>
        </w:rPr>
        <w:t>Amendment (</w:t>
      </w:r>
      <w:r w:rsidR="00045C2F">
        <w:rPr>
          <w:b/>
          <w:i/>
        </w:rPr>
        <w:t>2020</w:t>
      </w:r>
      <w:r w:rsidR="0016437F">
        <w:rPr>
          <w:b/>
          <w:i/>
        </w:rPr>
        <w:t xml:space="preserve"> Update</w:t>
      </w:r>
      <w:r w:rsidR="007940EB">
        <w:rPr>
          <w:b/>
          <w:i/>
        </w:rPr>
        <w:t>—Reference Correction</w:t>
      </w:r>
      <w:r w:rsidRPr="0023138A">
        <w:rPr>
          <w:b/>
          <w:i/>
        </w:rPr>
        <w:t xml:space="preserve">) </w:t>
      </w:r>
      <w:r w:rsidR="0016437F">
        <w:rPr>
          <w:b/>
          <w:i/>
        </w:rPr>
        <w:t>Determination</w:t>
      </w:r>
      <w:r w:rsidR="00045C2F">
        <w:rPr>
          <w:b/>
          <w:i/>
        </w:rPr>
        <w:t xml:space="preserve"> 2020</w:t>
      </w:r>
    </w:p>
    <w:p w:rsidR="005B17D1" w:rsidRDefault="005B17D1" w:rsidP="005B17D1">
      <w:pPr>
        <w:spacing w:after="240"/>
        <w:rPr>
          <w:szCs w:val="24"/>
        </w:rPr>
      </w:pPr>
      <w:r>
        <w:rPr>
          <w:szCs w:val="24"/>
        </w:rPr>
        <w:t xml:space="preserve">This Legislative Instrument is compatible with the human rights and freedoms recognised or declared in the international instruments listed in section 3 of the </w:t>
      </w:r>
      <w:r>
        <w:rPr>
          <w:i/>
          <w:szCs w:val="24"/>
        </w:rPr>
        <w:t>Human Rights (Parliamentary Scrutiny) Act 2011</w:t>
      </w:r>
      <w:r>
        <w:rPr>
          <w:szCs w:val="24"/>
        </w:rPr>
        <w:t>.</w:t>
      </w:r>
      <w:r w:rsidR="00221281">
        <w:rPr>
          <w:szCs w:val="24"/>
        </w:rPr>
        <w:t xml:space="preserve"> </w:t>
      </w:r>
    </w:p>
    <w:p w:rsidR="005B17D1" w:rsidRDefault="005B17D1" w:rsidP="005B17D1">
      <w:pPr>
        <w:pStyle w:val="Heading4"/>
        <w:spacing w:after="240"/>
        <w:rPr>
          <w:szCs w:val="24"/>
        </w:rPr>
      </w:pPr>
      <w:r>
        <w:rPr>
          <w:szCs w:val="24"/>
        </w:rPr>
        <w:t>Overview of the Legislative Instrument</w:t>
      </w:r>
    </w:p>
    <w:p w:rsidR="005B17D1" w:rsidRDefault="000F0BED" w:rsidP="0082028E">
      <w:pPr>
        <w:spacing w:after="240"/>
      </w:pPr>
      <w:r>
        <w:rPr>
          <w:szCs w:val="24"/>
        </w:rPr>
        <w:t>T</w:t>
      </w:r>
      <w:r w:rsidR="005B17D1" w:rsidRPr="00FE795E">
        <w:rPr>
          <w:szCs w:val="24"/>
        </w:rPr>
        <w:t xml:space="preserve">he </w:t>
      </w:r>
      <w:r w:rsidR="0023138A" w:rsidRPr="0023138A">
        <w:rPr>
          <w:i/>
        </w:rPr>
        <w:t xml:space="preserve">National Greenhouse and Energy Reporting </w:t>
      </w:r>
      <w:r w:rsidR="0016437F">
        <w:rPr>
          <w:i/>
        </w:rPr>
        <w:t xml:space="preserve">(Measurement) </w:t>
      </w:r>
      <w:r w:rsidR="0023138A" w:rsidRPr="0023138A">
        <w:rPr>
          <w:i/>
        </w:rPr>
        <w:t xml:space="preserve">Amendment </w:t>
      </w:r>
      <w:r w:rsidR="00045C2F">
        <w:rPr>
          <w:i/>
        </w:rPr>
        <w:t>(2020</w:t>
      </w:r>
      <w:r w:rsidR="0016437F">
        <w:rPr>
          <w:i/>
        </w:rPr>
        <w:t xml:space="preserve"> Update</w:t>
      </w:r>
      <w:r w:rsidR="007940EB">
        <w:rPr>
          <w:i/>
        </w:rPr>
        <w:t>—Reference Correction</w:t>
      </w:r>
      <w:r w:rsidR="0016437F">
        <w:rPr>
          <w:i/>
        </w:rPr>
        <w:t xml:space="preserve">) Determination </w:t>
      </w:r>
      <w:r w:rsidR="00045C2F">
        <w:rPr>
          <w:i/>
        </w:rPr>
        <w:t>2020</w:t>
      </w:r>
      <w:r w:rsidR="0023138A">
        <w:rPr>
          <w:i/>
        </w:rPr>
        <w:t xml:space="preserve"> </w:t>
      </w:r>
      <w:r w:rsidR="00265B58">
        <w:t>makes</w:t>
      </w:r>
      <w:r w:rsidR="007940EB">
        <w:t xml:space="preserve"> a minor amendment</w:t>
      </w:r>
      <w:r w:rsidR="00265B58">
        <w:t xml:space="preserve"> to</w:t>
      </w:r>
      <w:r w:rsidR="003515C5" w:rsidRPr="005E2DA6">
        <w:t xml:space="preserve"> the </w:t>
      </w:r>
      <w:r w:rsidR="007940EB" w:rsidRPr="0023138A">
        <w:rPr>
          <w:i/>
        </w:rPr>
        <w:t xml:space="preserve">National Greenhouse and Energy Reporting </w:t>
      </w:r>
      <w:r w:rsidR="007940EB">
        <w:rPr>
          <w:i/>
        </w:rPr>
        <w:t xml:space="preserve">(Measurement) </w:t>
      </w:r>
      <w:r w:rsidR="007940EB" w:rsidRPr="0023138A">
        <w:rPr>
          <w:i/>
        </w:rPr>
        <w:t xml:space="preserve">Amendment </w:t>
      </w:r>
      <w:r w:rsidR="007940EB">
        <w:rPr>
          <w:i/>
        </w:rPr>
        <w:t>(2020 Update) Determination 2020</w:t>
      </w:r>
      <w:r w:rsidR="0016437F">
        <w:rPr>
          <w:i/>
        </w:rPr>
        <w:t xml:space="preserve"> </w:t>
      </w:r>
      <w:r w:rsidR="007940EB">
        <w:t xml:space="preserve">to correct a date referenced in the Schedule of that </w:t>
      </w:r>
      <w:r w:rsidR="009230E5">
        <w:t>I</w:t>
      </w:r>
      <w:r w:rsidR="007940EB">
        <w:t xml:space="preserve">nstrument. </w:t>
      </w:r>
    </w:p>
    <w:p w:rsidR="005B17D1" w:rsidRDefault="005B17D1" w:rsidP="005B17D1">
      <w:pPr>
        <w:pStyle w:val="Heading4"/>
        <w:spacing w:after="240"/>
        <w:rPr>
          <w:szCs w:val="24"/>
        </w:rPr>
      </w:pPr>
      <w:r>
        <w:rPr>
          <w:szCs w:val="24"/>
        </w:rPr>
        <w:t>Human rights implications</w:t>
      </w:r>
    </w:p>
    <w:p w:rsidR="00C507FD" w:rsidRDefault="005B17D1" w:rsidP="00742F0C">
      <w:pPr>
        <w:spacing w:after="240"/>
        <w:rPr>
          <w:szCs w:val="24"/>
        </w:rPr>
      </w:pPr>
      <w:r>
        <w:rPr>
          <w:szCs w:val="24"/>
        </w:rPr>
        <w:t>This Legislative Instrument does not engage any of the applicable human rights or free</w:t>
      </w:r>
      <w:r w:rsidR="00221281">
        <w:rPr>
          <w:szCs w:val="24"/>
        </w:rPr>
        <w:t xml:space="preserve">doms. </w:t>
      </w:r>
    </w:p>
    <w:p w:rsidR="005B17D1" w:rsidRDefault="005B17D1" w:rsidP="005B17D1">
      <w:pPr>
        <w:pStyle w:val="Heading4"/>
        <w:spacing w:after="240"/>
        <w:rPr>
          <w:szCs w:val="24"/>
        </w:rPr>
      </w:pPr>
      <w:r>
        <w:rPr>
          <w:szCs w:val="24"/>
        </w:rPr>
        <w:t>Conclusion</w:t>
      </w:r>
    </w:p>
    <w:p w:rsidR="00CC032A" w:rsidRDefault="005B17D1">
      <w:pPr>
        <w:rPr>
          <w:szCs w:val="24"/>
        </w:rPr>
      </w:pPr>
      <w:r>
        <w:rPr>
          <w:szCs w:val="24"/>
        </w:rPr>
        <w:t>This Legislative Instrument is compatible with human rights as it does not</w:t>
      </w:r>
      <w:r w:rsidR="00D00C39">
        <w:rPr>
          <w:szCs w:val="24"/>
        </w:rPr>
        <w:t xml:space="preserve"> raise any human rights issues. </w:t>
      </w:r>
    </w:p>
    <w:p w:rsidR="00FE795E" w:rsidRDefault="00FE795E">
      <w:pPr>
        <w:rPr>
          <w:szCs w:val="24"/>
        </w:rPr>
      </w:pPr>
    </w:p>
    <w:p w:rsidR="003515C5" w:rsidRDefault="003515C5">
      <w:pPr>
        <w:rPr>
          <w:szCs w:val="24"/>
        </w:rPr>
      </w:pPr>
    </w:p>
    <w:p w:rsidR="00723C9D" w:rsidRPr="00FE795E" w:rsidRDefault="00723C9D" w:rsidP="00FE795E">
      <w:pPr>
        <w:jc w:val="center"/>
        <w:rPr>
          <w:b/>
          <w:szCs w:val="24"/>
        </w:rPr>
      </w:pPr>
      <w:r w:rsidRPr="00FE795E">
        <w:rPr>
          <w:b/>
          <w:szCs w:val="24"/>
        </w:rPr>
        <w:t xml:space="preserve">The Hon </w:t>
      </w:r>
      <w:r w:rsidR="004E7602">
        <w:rPr>
          <w:b/>
          <w:szCs w:val="24"/>
        </w:rPr>
        <w:t>Angus Taylor</w:t>
      </w:r>
      <w:r w:rsidR="009230E5">
        <w:rPr>
          <w:b/>
          <w:szCs w:val="24"/>
        </w:rPr>
        <w:t xml:space="preserve"> MP</w:t>
      </w:r>
    </w:p>
    <w:p w:rsidR="00AC5531" w:rsidRPr="000927D4" w:rsidRDefault="00723C9D" w:rsidP="000927D4">
      <w:pPr>
        <w:jc w:val="center"/>
        <w:rPr>
          <w:b/>
          <w:szCs w:val="24"/>
        </w:rPr>
      </w:pPr>
      <w:r w:rsidRPr="00FE795E">
        <w:rPr>
          <w:b/>
          <w:szCs w:val="24"/>
        </w:rPr>
        <w:t xml:space="preserve">Minister for </w:t>
      </w:r>
      <w:r w:rsidR="004E7602">
        <w:rPr>
          <w:b/>
          <w:szCs w:val="24"/>
        </w:rPr>
        <w:t>Energy and Emissions Reduction</w:t>
      </w:r>
    </w:p>
    <w:sectPr w:rsidR="00AC5531" w:rsidRPr="000927D4" w:rsidSect="00392BBA">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9E5" w:rsidRDefault="00CC19E5" w:rsidP="00CF785C">
      <w:pPr>
        <w:spacing w:before="0" w:after="0"/>
      </w:pPr>
      <w:r>
        <w:separator/>
      </w:r>
    </w:p>
  </w:endnote>
  <w:endnote w:type="continuationSeparator" w:id="0">
    <w:p w:rsidR="00CC19E5" w:rsidRDefault="00CC19E5" w:rsidP="00CF785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60C" w:rsidRPr="00E33C1C" w:rsidRDefault="0088560C" w:rsidP="005519AE">
    <w:pPr>
      <w:pBdr>
        <w:top w:val="single" w:sz="6" w:space="1" w:color="auto"/>
      </w:pBdr>
      <w:spacing w:line="0" w:lineRule="atLeast"/>
      <w:rPr>
        <w:sz w:val="16"/>
        <w:szCs w:val="16"/>
      </w:rPr>
    </w:pPr>
    <w:r>
      <w:rPr>
        <w:noProof/>
      </w:rPr>
      <mc:AlternateContent>
        <mc:Choice Requires="wps">
          <w:drawing>
            <wp:anchor distT="0" distB="0" distL="114300" distR="114300" simplePos="0" relativeHeight="251659264" behindDoc="1" locked="0" layoutInCell="1" allowOverlap="1" wp14:anchorId="0C08DDCC" wp14:editId="4B3191A8">
              <wp:simplePos x="0" y="0"/>
              <wp:positionH relativeFrom="column">
                <wp:align>center</wp:align>
              </wp:positionH>
              <wp:positionV relativeFrom="page">
                <wp:posOffset>10079990</wp:posOffset>
              </wp:positionV>
              <wp:extent cx="4410075" cy="400050"/>
              <wp:effectExtent l="0" t="0" r="952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60C" w:rsidRPr="00581211" w:rsidRDefault="0088560C" w:rsidP="005519AE">
                          <w:pPr>
                            <w:jc w:val="center"/>
                            <w:rPr>
                              <w:rFonts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08DDCC" id="_x0000_t202" coordsize="21600,21600" o:spt="202" path="m,l,21600r21600,l21600,xe">
              <v:stroke joinstyle="miter"/>
              <v:path gradientshapeok="t" o:connecttype="rect"/>
            </v:shapetype>
            <v:shape id="Text Box 1" o:spid="_x0000_s1026" type="#_x0000_t202" style="position:absolute;margin-left:0;margin-top:793.7pt;width:347.25pt;height:3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" stroked="f">
              <v:stroke joinstyle="round"/>
              <v:path arrowok="t"/>
              <v:textbox>
                <w:txbxContent>
                  <w:p w:rsidR="0088560C" w:rsidRPr="00581211" w:rsidRDefault="0088560C" w:rsidP="005519AE">
                    <w:pPr>
                      <w:jc w:val="center"/>
                      <w:rPr>
                        <w:rFonts w:cs="Arial"/>
                        <w:b/>
                        <w:sz w:val="40"/>
                      </w:rPr>
                    </w:pPr>
                  </w:p>
                </w:txbxContent>
              </v:textbox>
              <w10:wrap anchory="page"/>
            </v:shape>
          </w:pict>
        </mc:Fallback>
      </mc:AlternateContent>
    </w:r>
  </w:p>
  <w:p w:rsidR="0088560C" w:rsidRDefault="0088560C">
    <w:pPr>
      <w:pStyle w:val="Foo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709"/>
    </w:tblGrid>
    <w:tr w:rsidR="0088560C" w:rsidTr="005519AE">
      <w:tc>
        <w:tcPr>
          <w:tcW w:w="6379" w:type="dxa"/>
          <w:tcBorders>
            <w:top w:val="nil"/>
            <w:left w:val="nil"/>
            <w:bottom w:val="nil"/>
            <w:right w:val="nil"/>
          </w:tcBorders>
        </w:tcPr>
        <w:p w:rsidR="0088560C" w:rsidRDefault="0088560C">
          <w:pPr>
            <w:spacing w:line="0" w:lineRule="atLeast"/>
            <w:jc w:val="center"/>
            <w:rPr>
              <w:sz w:val="18"/>
            </w:rPr>
          </w:pPr>
        </w:p>
      </w:tc>
      <w:tc>
        <w:tcPr>
          <w:tcW w:w="709" w:type="dxa"/>
          <w:tcBorders>
            <w:top w:val="nil"/>
            <w:left w:val="nil"/>
            <w:bottom w:val="nil"/>
            <w:right w:val="nil"/>
          </w:tcBorders>
          <w:hideMark/>
        </w:tcPr>
        <w:p w:rsidR="0088560C" w:rsidRDefault="0088560C">
          <w:pPr>
            <w:spacing w:line="0" w:lineRule="atLeast"/>
            <w:jc w:val="right"/>
            <w:rPr>
              <w:sz w:val="18"/>
            </w:rPr>
          </w:pPr>
          <w:r>
            <w:rPr>
              <w:i/>
              <w:sz w:val="18"/>
            </w:rPr>
            <w:fldChar w:fldCharType="begin"/>
          </w:r>
          <w:r>
            <w:rPr>
              <w:i/>
              <w:sz w:val="18"/>
            </w:rPr>
            <w:instrText xml:space="preserve"> PAGE </w:instrText>
          </w:r>
          <w:r>
            <w:rPr>
              <w:i/>
              <w:sz w:val="18"/>
            </w:rPr>
            <w:fldChar w:fldCharType="separate"/>
          </w:r>
          <w:r w:rsidR="00862043">
            <w:rPr>
              <w:i/>
              <w:noProof/>
              <w:sz w:val="18"/>
            </w:rPr>
            <w:t>1</w:t>
          </w:r>
          <w:r>
            <w:rPr>
              <w:i/>
              <w:sz w:val="18"/>
            </w:rPr>
            <w:fldChar w:fldCharType="end"/>
          </w:r>
        </w:p>
      </w:tc>
    </w:tr>
  </w:tbl>
  <w:p w:rsidR="0088560C" w:rsidRDefault="0088560C" w:rsidP="006D15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0895719"/>
      <w:docPartObj>
        <w:docPartGallery w:val="Page Numbers (Bottom of Page)"/>
        <w:docPartUnique/>
      </w:docPartObj>
    </w:sdtPr>
    <w:sdtEndPr/>
    <w:sdtContent>
      <w:p w:rsidR="0088560C" w:rsidRDefault="0088560C">
        <w:pPr>
          <w:pStyle w:val="Footer"/>
          <w:jc w:val="right"/>
        </w:pPr>
      </w:p>
      <w:p w:rsidR="0088560C" w:rsidRDefault="00862043">
        <w:pPr>
          <w:pStyle w:val="Footer"/>
          <w:jc w:val="right"/>
        </w:pPr>
      </w:p>
    </w:sdtContent>
  </w:sdt>
  <w:p w:rsidR="0088560C" w:rsidRDefault="008856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9E5" w:rsidRDefault="00CC19E5" w:rsidP="00CF785C">
      <w:pPr>
        <w:spacing w:before="0" w:after="0"/>
      </w:pPr>
      <w:r>
        <w:separator/>
      </w:r>
    </w:p>
  </w:footnote>
  <w:footnote w:type="continuationSeparator" w:id="0">
    <w:p w:rsidR="00CC19E5" w:rsidRDefault="00CC19E5" w:rsidP="00CF785C">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02AD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380E7B"/>
    <w:multiLevelType w:val="hybridMultilevel"/>
    <w:tmpl w:val="7C8434AA"/>
    <w:lvl w:ilvl="0" w:tplc="0C09001B">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E06E7C"/>
    <w:multiLevelType w:val="hybridMultilevel"/>
    <w:tmpl w:val="97ECE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024B39"/>
    <w:multiLevelType w:val="hybridMultilevel"/>
    <w:tmpl w:val="2520AEB8"/>
    <w:lvl w:ilvl="0" w:tplc="0E5C53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DC6804"/>
    <w:multiLevelType w:val="hybridMultilevel"/>
    <w:tmpl w:val="F43E8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22541F"/>
    <w:multiLevelType w:val="hybridMultilevel"/>
    <w:tmpl w:val="800E1E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5B1364E"/>
    <w:multiLevelType w:val="multilevel"/>
    <w:tmpl w:val="12B4F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8" w15:restartNumberingAfterBreak="0">
    <w:nsid w:val="2DDE493D"/>
    <w:multiLevelType w:val="multilevel"/>
    <w:tmpl w:val="F10C0AE8"/>
    <w:lvl w:ilvl="0">
      <w:start w:val="1"/>
      <w:numFmt w:val="bullet"/>
      <w:lvlText w:val="•"/>
      <w:lvlJc w:val="left"/>
      <w:pPr>
        <w:tabs>
          <w:tab w:val="num" w:pos="1134"/>
        </w:tabs>
        <w:ind w:left="1134" w:hanging="567"/>
      </w:pPr>
      <w:rPr>
        <w:rFonts w:ascii="Times New Roman" w:hAnsi="Times New Roman" w:cs="Times New Roman"/>
      </w:rPr>
    </w:lvl>
    <w:lvl w:ilvl="1">
      <w:start w:val="1"/>
      <w:numFmt w:val="bullet"/>
      <w:lvlText w:val="–"/>
      <w:lvlJc w:val="left"/>
      <w:pPr>
        <w:tabs>
          <w:tab w:val="num" w:pos="1701"/>
        </w:tabs>
        <w:ind w:left="1701" w:hanging="567"/>
      </w:pPr>
      <w:rPr>
        <w:rFonts w:ascii="Times New Roman" w:hAnsi="Times New Roman" w:cs="Times New Roman"/>
      </w:rPr>
    </w:lvl>
    <w:lvl w:ilvl="2">
      <w:start w:val="1"/>
      <w:numFmt w:val="bullet"/>
      <w:lvlText w:val=":"/>
      <w:lvlJc w:val="left"/>
      <w:pPr>
        <w:tabs>
          <w:tab w:val="num" w:pos="2268"/>
        </w:tabs>
        <w:ind w:left="2268" w:hanging="567"/>
      </w:pPr>
      <w:rPr>
        <w:rFonts w:ascii="Times New Roman" w:hAnsi="Times New Roman" w:cs="Times New Roman"/>
      </w:rPr>
    </w:lvl>
    <w:lvl w:ilvl="3">
      <w:start w:val="1"/>
      <w:numFmt w:val="decimal"/>
      <w:lvlText w:val="(%4)"/>
      <w:lvlJc w:val="left"/>
      <w:pPr>
        <w:ind w:left="2727" w:hanging="360"/>
      </w:pPr>
    </w:lvl>
    <w:lvl w:ilvl="4">
      <w:start w:val="1"/>
      <w:numFmt w:val="lowerLetter"/>
      <w:lvlText w:val="(%5)"/>
      <w:lvlJc w:val="left"/>
      <w:pPr>
        <w:ind w:left="3087" w:hanging="360"/>
      </w:pPr>
    </w:lvl>
    <w:lvl w:ilvl="5">
      <w:start w:val="1"/>
      <w:numFmt w:val="lowerRoman"/>
      <w:lvlText w:val="(%6)"/>
      <w:lvlJc w:val="left"/>
      <w:pPr>
        <w:ind w:left="3447" w:hanging="360"/>
      </w:pPr>
    </w:lvl>
    <w:lvl w:ilvl="6">
      <w:start w:val="1"/>
      <w:numFmt w:val="decimal"/>
      <w:lvlText w:val="%7."/>
      <w:lvlJc w:val="left"/>
      <w:pPr>
        <w:ind w:left="3807" w:hanging="360"/>
      </w:pPr>
    </w:lvl>
    <w:lvl w:ilvl="7">
      <w:start w:val="1"/>
      <w:numFmt w:val="lowerLetter"/>
      <w:lvlText w:val="%8."/>
      <w:lvlJc w:val="left"/>
      <w:pPr>
        <w:ind w:left="4167" w:hanging="360"/>
      </w:pPr>
    </w:lvl>
    <w:lvl w:ilvl="8">
      <w:start w:val="1"/>
      <w:numFmt w:val="lowerRoman"/>
      <w:lvlText w:val="%9."/>
      <w:lvlJc w:val="left"/>
      <w:pPr>
        <w:ind w:left="4527" w:hanging="360"/>
      </w:pPr>
    </w:lvl>
  </w:abstractNum>
  <w:abstractNum w:abstractNumId="9"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7DA66B4"/>
    <w:multiLevelType w:val="hybridMultilevel"/>
    <w:tmpl w:val="9642E8DA"/>
    <w:lvl w:ilvl="0" w:tplc="0C09001B">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EC0A9D"/>
    <w:multiLevelType w:val="hybridMultilevel"/>
    <w:tmpl w:val="CE88F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4D5EDB"/>
    <w:multiLevelType w:val="multilevel"/>
    <w:tmpl w:val="96F81664"/>
    <w:lvl w:ilvl="0">
      <w:start w:val="1"/>
      <w:numFmt w:val="bullet"/>
      <w:lvlText w:val=""/>
      <w:lvlJc w:val="left"/>
      <w:pPr>
        <w:tabs>
          <w:tab w:val="num" w:pos="1040"/>
        </w:tabs>
        <w:ind w:left="1040" w:hanging="520"/>
      </w:pPr>
      <w:rPr>
        <w:rFonts w:ascii="Symbol" w:hAnsi="Symbol" w:hint="default"/>
      </w:rPr>
    </w:lvl>
    <w:lvl w:ilvl="1">
      <w:start w:val="1"/>
      <w:numFmt w:val="bullet"/>
      <w:lvlText w:val="–"/>
      <w:lvlJc w:val="left"/>
      <w:pPr>
        <w:tabs>
          <w:tab w:val="num" w:pos="1560"/>
        </w:tabs>
        <w:ind w:left="1560" w:hanging="520"/>
      </w:pPr>
      <w:rPr>
        <w:rFonts w:ascii="Times New Roman" w:hAnsi="Times New Roman" w:cs="Times New Roman"/>
      </w:rPr>
    </w:lvl>
    <w:lvl w:ilvl="2">
      <w:start w:val="1"/>
      <w:numFmt w:val="bullet"/>
      <w:lvlText w:val=":"/>
      <w:lvlJc w:val="left"/>
      <w:pPr>
        <w:tabs>
          <w:tab w:val="num" w:pos="2080"/>
        </w:tabs>
        <w:ind w:left="2080" w:hanging="520"/>
      </w:pPr>
      <w:rPr>
        <w:rFonts w:ascii="Times New Roman" w:hAnsi="Times New Roman" w:cs="Times New Roman"/>
      </w:rPr>
    </w:lvl>
    <w:lvl w:ilvl="3">
      <w:start w:val="1"/>
      <w:numFmt w:val="decimal"/>
      <w:lvlText w:val="(%4)"/>
      <w:lvlJc w:val="left"/>
      <w:pPr>
        <w:ind w:left="1960" w:hanging="360"/>
      </w:pPr>
    </w:lvl>
    <w:lvl w:ilvl="4">
      <w:start w:val="1"/>
      <w:numFmt w:val="lowerLetter"/>
      <w:lvlText w:val="(%5)"/>
      <w:lvlJc w:val="left"/>
      <w:pPr>
        <w:ind w:left="2320" w:hanging="360"/>
      </w:pPr>
    </w:lvl>
    <w:lvl w:ilvl="5">
      <w:start w:val="1"/>
      <w:numFmt w:val="lowerRoman"/>
      <w:lvlText w:val="(%6)"/>
      <w:lvlJc w:val="left"/>
      <w:pPr>
        <w:ind w:left="2680" w:hanging="360"/>
      </w:pPr>
    </w:lvl>
    <w:lvl w:ilvl="6">
      <w:start w:val="1"/>
      <w:numFmt w:val="decimal"/>
      <w:lvlText w:val="%7."/>
      <w:lvlJc w:val="left"/>
      <w:pPr>
        <w:ind w:left="3040" w:hanging="360"/>
      </w:pPr>
    </w:lvl>
    <w:lvl w:ilvl="7">
      <w:start w:val="1"/>
      <w:numFmt w:val="lowerLetter"/>
      <w:lvlText w:val="%8."/>
      <w:lvlJc w:val="left"/>
      <w:pPr>
        <w:ind w:left="3400" w:hanging="360"/>
      </w:pPr>
    </w:lvl>
    <w:lvl w:ilvl="8">
      <w:start w:val="1"/>
      <w:numFmt w:val="lowerRoman"/>
      <w:lvlText w:val="%9."/>
      <w:lvlJc w:val="left"/>
      <w:pPr>
        <w:ind w:left="3760" w:hanging="360"/>
      </w:pPr>
    </w:lvl>
  </w:abstractNum>
  <w:abstractNum w:abstractNumId="13" w15:restartNumberingAfterBreak="0">
    <w:nsid w:val="43D7515A"/>
    <w:multiLevelType w:val="hybridMultilevel"/>
    <w:tmpl w:val="6A500F22"/>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4" w15:restartNumberingAfterBreak="0">
    <w:nsid w:val="5A6B7685"/>
    <w:multiLevelType w:val="hybridMultilevel"/>
    <w:tmpl w:val="23D63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F03CA2"/>
    <w:multiLevelType w:val="hybridMultilevel"/>
    <w:tmpl w:val="9EF83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0167DA9"/>
    <w:multiLevelType w:val="hybridMultilevel"/>
    <w:tmpl w:val="334EA85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624D6394"/>
    <w:multiLevelType w:val="hybridMultilevel"/>
    <w:tmpl w:val="94E6A7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5456429"/>
    <w:multiLevelType w:val="multilevel"/>
    <w:tmpl w:val="E898CC72"/>
    <w:lvl w:ilvl="0">
      <w:numFmt w:val="decimal"/>
      <w:pStyle w:val="ListNumber"/>
      <w:lvlText w:val=""/>
      <w:lvlJc w:val="left"/>
    </w:lvl>
    <w:lvl w:ilvl="1">
      <w:numFmt w:val="decimal"/>
      <w:pStyle w:val="ListNumber2"/>
      <w:lvlText w:val=""/>
      <w:lvlJc w:val="left"/>
    </w:lvl>
    <w:lvl w:ilvl="2">
      <w:numFmt w:val="decimal"/>
      <w:pStyle w:val="ListNumber3"/>
      <w:lvlText w:val=""/>
      <w:lvlJc w:val="left"/>
    </w:lvl>
    <w:lvl w:ilvl="3">
      <w:numFmt w:val="decimal"/>
      <w:pStyle w:val="ListNumber4"/>
      <w:lvlText w:val=""/>
      <w:lvlJc w:val="left"/>
    </w:lvl>
    <w:lvl w:ilvl="4">
      <w:numFmt w:val="decimal"/>
      <w:pStyle w:val="ListNumber5"/>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7A43C0B"/>
    <w:multiLevelType w:val="multilevel"/>
    <w:tmpl w:val="A8C03F7C"/>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A505623"/>
    <w:multiLevelType w:val="hybridMultilevel"/>
    <w:tmpl w:val="757EF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FB83A06"/>
    <w:multiLevelType w:val="multilevel"/>
    <w:tmpl w:val="2026ADE8"/>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7B81102"/>
    <w:multiLevelType w:val="multilevel"/>
    <w:tmpl w:val="ECB21298"/>
    <w:lvl w:ilvl="0">
      <w:start w:val="1"/>
      <w:numFmt w:val="bullet"/>
      <w:lvlText w:val="•"/>
      <w:lvlJc w:val="left"/>
      <w:pPr>
        <w:tabs>
          <w:tab w:val="num" w:pos="1086"/>
        </w:tabs>
        <w:ind w:left="1086" w:hanging="543"/>
      </w:pPr>
      <w:rPr>
        <w:rFonts w:ascii="Times New Roman" w:hAnsi="Times New Roman" w:cs="Times New Roman"/>
        <w:sz w:val="24"/>
        <w:szCs w:val="24"/>
      </w:rPr>
    </w:lvl>
    <w:lvl w:ilvl="1">
      <w:start w:val="1"/>
      <w:numFmt w:val="bullet"/>
      <w:lvlText w:val="–"/>
      <w:lvlJc w:val="left"/>
      <w:pPr>
        <w:tabs>
          <w:tab w:val="num" w:pos="1558"/>
        </w:tabs>
        <w:ind w:left="1558" w:hanging="472"/>
      </w:pPr>
      <w:rPr>
        <w:rFonts w:ascii="Times New Roman" w:hAnsi="Times New Roman" w:cs="Times New Roman"/>
      </w:rPr>
    </w:lvl>
    <w:lvl w:ilvl="2">
      <w:start w:val="1"/>
      <w:numFmt w:val="bullet"/>
      <w:lvlText w:val=":"/>
      <w:lvlJc w:val="left"/>
      <w:pPr>
        <w:tabs>
          <w:tab w:val="num" w:pos="2030"/>
        </w:tabs>
        <w:ind w:left="2030" w:hanging="472"/>
      </w:pPr>
      <w:rPr>
        <w:rFonts w:ascii="Times New Roman" w:hAnsi="Times New Roman" w:cs="Times New Roman"/>
      </w:rPr>
    </w:lvl>
    <w:lvl w:ilvl="3">
      <w:start w:val="1"/>
      <w:numFmt w:val="decimal"/>
      <w:lvlText w:val="(%4)"/>
      <w:lvlJc w:val="left"/>
      <w:pPr>
        <w:ind w:left="4332" w:hanging="360"/>
      </w:pPr>
    </w:lvl>
    <w:lvl w:ilvl="4">
      <w:start w:val="1"/>
      <w:numFmt w:val="lowerLetter"/>
      <w:lvlText w:val="(%5)"/>
      <w:lvlJc w:val="left"/>
      <w:pPr>
        <w:ind w:left="4692" w:hanging="360"/>
      </w:pPr>
    </w:lvl>
    <w:lvl w:ilvl="5">
      <w:start w:val="1"/>
      <w:numFmt w:val="lowerRoman"/>
      <w:lvlText w:val="(%6)"/>
      <w:lvlJc w:val="left"/>
      <w:pPr>
        <w:ind w:left="5052" w:hanging="360"/>
      </w:pPr>
    </w:lvl>
    <w:lvl w:ilvl="6">
      <w:start w:val="1"/>
      <w:numFmt w:val="decimal"/>
      <w:lvlText w:val="%7."/>
      <w:lvlJc w:val="left"/>
      <w:pPr>
        <w:ind w:left="5412" w:hanging="360"/>
      </w:pPr>
    </w:lvl>
    <w:lvl w:ilvl="7">
      <w:start w:val="1"/>
      <w:numFmt w:val="lowerLetter"/>
      <w:lvlText w:val="%8."/>
      <w:lvlJc w:val="left"/>
      <w:pPr>
        <w:ind w:left="5772" w:hanging="360"/>
      </w:pPr>
    </w:lvl>
    <w:lvl w:ilvl="8">
      <w:start w:val="1"/>
      <w:numFmt w:val="lowerRoman"/>
      <w:lvlText w:val="%9."/>
      <w:lvlJc w:val="left"/>
      <w:pPr>
        <w:ind w:left="6132" w:hanging="360"/>
      </w:pPr>
    </w:lvl>
  </w:abstractNum>
  <w:num w:numId="1">
    <w:abstractNumId w:val="7"/>
  </w:num>
  <w:num w:numId="2">
    <w:abstractNumId w:val="19"/>
  </w:num>
  <w:num w:numId="3">
    <w:abstractNumId w:val="21"/>
  </w:num>
  <w:num w:numId="4">
    <w:abstractNumId w:val="22"/>
  </w:num>
  <w:num w:numId="5">
    <w:abstractNumId w:val="12"/>
  </w:num>
  <w:num w:numId="6">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
  </w:num>
  <w:num w:numId="10">
    <w:abstractNumId w:val="0"/>
  </w:num>
  <w:num w:numId="11">
    <w:abstractNumId w:val="0"/>
  </w:num>
  <w:num w:numId="12">
    <w:abstractNumId w:val="19"/>
  </w:num>
  <w:num w:numId="13">
    <w:abstractNumId w:val="19"/>
  </w:num>
  <w:num w:numId="14">
    <w:abstractNumId w:val="19"/>
  </w:num>
  <w:num w:numId="15">
    <w:abstractNumId w:val="19"/>
  </w:num>
  <w:num w:numId="16">
    <w:abstractNumId w:val="19"/>
  </w:num>
  <w:num w:numId="17">
    <w:abstractNumId w:val="19"/>
  </w:num>
  <w:num w:numId="18">
    <w:abstractNumId w:val="19"/>
  </w:num>
  <w:num w:numId="19">
    <w:abstractNumId w:val="0"/>
  </w:num>
  <w:num w:numId="20">
    <w:abstractNumId w:val="19"/>
  </w:num>
  <w:num w:numId="21">
    <w:abstractNumId w:val="19"/>
  </w:num>
  <w:num w:numId="22">
    <w:abstractNumId w:val="19"/>
  </w:num>
  <w:num w:numId="23">
    <w:abstractNumId w:val="19"/>
  </w:num>
  <w:num w:numId="24">
    <w:abstractNumId w:val="19"/>
  </w:num>
  <w:num w:numId="25">
    <w:abstractNumId w:val="2"/>
  </w:num>
  <w:num w:numId="26">
    <w:abstractNumId w:val="18"/>
  </w:num>
  <w:num w:numId="27">
    <w:abstractNumId w:val="15"/>
  </w:num>
  <w:num w:numId="28">
    <w:abstractNumId w:val="20"/>
  </w:num>
  <w:num w:numId="29">
    <w:abstractNumId w:val="9"/>
  </w:num>
  <w:num w:numId="30">
    <w:abstractNumId w:val="10"/>
  </w:num>
  <w:num w:numId="31">
    <w:abstractNumId w:val="1"/>
  </w:num>
  <w:num w:numId="32">
    <w:abstractNumId w:val="5"/>
  </w:num>
  <w:num w:numId="33">
    <w:abstractNumId w:val="13"/>
  </w:num>
  <w:num w:numId="34">
    <w:abstractNumId w:val="17"/>
  </w:num>
  <w:num w:numId="35">
    <w:abstractNumId w:val="6"/>
  </w:num>
  <w:num w:numId="36">
    <w:abstractNumId w:val="14"/>
  </w:num>
  <w:num w:numId="37">
    <w:abstractNumId w:val="11"/>
  </w:num>
  <w:num w:numId="38">
    <w:abstractNumId w:val="19"/>
  </w:num>
  <w:num w:numId="39">
    <w:abstractNumId w:val="16"/>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hideSpellingErrors/>
  <w:hideGrammaticalError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3E9"/>
    <w:rsid w:val="00001661"/>
    <w:rsid w:val="000061B4"/>
    <w:rsid w:val="00011A3E"/>
    <w:rsid w:val="00011BE2"/>
    <w:rsid w:val="00012FFD"/>
    <w:rsid w:val="00016AB4"/>
    <w:rsid w:val="00016EA2"/>
    <w:rsid w:val="000212FB"/>
    <w:rsid w:val="00022A12"/>
    <w:rsid w:val="00024882"/>
    <w:rsid w:val="00024D8E"/>
    <w:rsid w:val="000250CB"/>
    <w:rsid w:val="000263D6"/>
    <w:rsid w:val="00026576"/>
    <w:rsid w:val="00026BD0"/>
    <w:rsid w:val="00027420"/>
    <w:rsid w:val="00027846"/>
    <w:rsid w:val="00030CCB"/>
    <w:rsid w:val="0003196C"/>
    <w:rsid w:val="00035B94"/>
    <w:rsid w:val="000372F4"/>
    <w:rsid w:val="00040CEC"/>
    <w:rsid w:val="0004434C"/>
    <w:rsid w:val="00045C2F"/>
    <w:rsid w:val="00046C9F"/>
    <w:rsid w:val="00055A6B"/>
    <w:rsid w:val="000562DA"/>
    <w:rsid w:val="00056C8F"/>
    <w:rsid w:val="00057627"/>
    <w:rsid w:val="00062FFE"/>
    <w:rsid w:val="000665DB"/>
    <w:rsid w:val="000667CB"/>
    <w:rsid w:val="00070C06"/>
    <w:rsid w:val="00070C3D"/>
    <w:rsid w:val="00074927"/>
    <w:rsid w:val="00082011"/>
    <w:rsid w:val="000832D0"/>
    <w:rsid w:val="000858FA"/>
    <w:rsid w:val="00086ADC"/>
    <w:rsid w:val="000879AF"/>
    <w:rsid w:val="00087A55"/>
    <w:rsid w:val="000927D4"/>
    <w:rsid w:val="00095211"/>
    <w:rsid w:val="00096DF9"/>
    <w:rsid w:val="00097F6B"/>
    <w:rsid w:val="000A2491"/>
    <w:rsid w:val="000A2BAF"/>
    <w:rsid w:val="000A2C46"/>
    <w:rsid w:val="000A5077"/>
    <w:rsid w:val="000A5473"/>
    <w:rsid w:val="000B0950"/>
    <w:rsid w:val="000B0B40"/>
    <w:rsid w:val="000B0E9E"/>
    <w:rsid w:val="000B1F03"/>
    <w:rsid w:val="000B2694"/>
    <w:rsid w:val="000B6310"/>
    <w:rsid w:val="000B6571"/>
    <w:rsid w:val="000B696B"/>
    <w:rsid w:val="000B791F"/>
    <w:rsid w:val="000C10DF"/>
    <w:rsid w:val="000C349C"/>
    <w:rsid w:val="000C6869"/>
    <w:rsid w:val="000D27C0"/>
    <w:rsid w:val="000D45D5"/>
    <w:rsid w:val="000D640B"/>
    <w:rsid w:val="000E0DE3"/>
    <w:rsid w:val="000F0BED"/>
    <w:rsid w:val="000F0ECC"/>
    <w:rsid w:val="000F26C9"/>
    <w:rsid w:val="000F2873"/>
    <w:rsid w:val="000F2D8C"/>
    <w:rsid w:val="000F47F6"/>
    <w:rsid w:val="000F618F"/>
    <w:rsid w:val="000F636A"/>
    <w:rsid w:val="000F7E40"/>
    <w:rsid w:val="0010030C"/>
    <w:rsid w:val="001037D5"/>
    <w:rsid w:val="00104230"/>
    <w:rsid w:val="0010738D"/>
    <w:rsid w:val="00111F32"/>
    <w:rsid w:val="00112387"/>
    <w:rsid w:val="00112888"/>
    <w:rsid w:val="00113B45"/>
    <w:rsid w:val="00114F70"/>
    <w:rsid w:val="001154C7"/>
    <w:rsid w:val="00117066"/>
    <w:rsid w:val="00117213"/>
    <w:rsid w:val="00117DBA"/>
    <w:rsid w:val="00120329"/>
    <w:rsid w:val="00120B5C"/>
    <w:rsid w:val="001218DE"/>
    <w:rsid w:val="001268C6"/>
    <w:rsid w:val="00130C93"/>
    <w:rsid w:val="00131714"/>
    <w:rsid w:val="001318AC"/>
    <w:rsid w:val="0013786F"/>
    <w:rsid w:val="00140A21"/>
    <w:rsid w:val="0014344B"/>
    <w:rsid w:val="0014688B"/>
    <w:rsid w:val="00147F5F"/>
    <w:rsid w:val="001500D9"/>
    <w:rsid w:val="00154215"/>
    <w:rsid w:val="00155854"/>
    <w:rsid w:val="00160725"/>
    <w:rsid w:val="001623AD"/>
    <w:rsid w:val="0016437F"/>
    <w:rsid w:val="001716D8"/>
    <w:rsid w:val="00175EF5"/>
    <w:rsid w:val="00176A1C"/>
    <w:rsid w:val="001807C7"/>
    <w:rsid w:val="001807E5"/>
    <w:rsid w:val="001826FD"/>
    <w:rsid w:val="00184B1C"/>
    <w:rsid w:val="00185207"/>
    <w:rsid w:val="001855A0"/>
    <w:rsid w:val="00185DAB"/>
    <w:rsid w:val="001866AE"/>
    <w:rsid w:val="00187130"/>
    <w:rsid w:val="00190B26"/>
    <w:rsid w:val="00191E55"/>
    <w:rsid w:val="0019209B"/>
    <w:rsid w:val="00193F22"/>
    <w:rsid w:val="001955F8"/>
    <w:rsid w:val="00196ABF"/>
    <w:rsid w:val="001A0106"/>
    <w:rsid w:val="001A0EF2"/>
    <w:rsid w:val="001A1C60"/>
    <w:rsid w:val="001A31C5"/>
    <w:rsid w:val="001A6C0C"/>
    <w:rsid w:val="001B0EC8"/>
    <w:rsid w:val="001B1332"/>
    <w:rsid w:val="001B4A72"/>
    <w:rsid w:val="001B64F7"/>
    <w:rsid w:val="001C2159"/>
    <w:rsid w:val="001C32DA"/>
    <w:rsid w:val="001C399E"/>
    <w:rsid w:val="001C54F0"/>
    <w:rsid w:val="001D2A02"/>
    <w:rsid w:val="001D4BFE"/>
    <w:rsid w:val="001D6ED0"/>
    <w:rsid w:val="001E510E"/>
    <w:rsid w:val="001E5B50"/>
    <w:rsid w:val="001E6A74"/>
    <w:rsid w:val="001E765C"/>
    <w:rsid w:val="001E772E"/>
    <w:rsid w:val="001F0026"/>
    <w:rsid w:val="001F1215"/>
    <w:rsid w:val="001F1C48"/>
    <w:rsid w:val="001F41D0"/>
    <w:rsid w:val="001F5A3D"/>
    <w:rsid w:val="001F6752"/>
    <w:rsid w:val="00201FFF"/>
    <w:rsid w:val="002069C7"/>
    <w:rsid w:val="00210F96"/>
    <w:rsid w:val="00212CEF"/>
    <w:rsid w:val="0021388D"/>
    <w:rsid w:val="002143AB"/>
    <w:rsid w:val="002154D3"/>
    <w:rsid w:val="0021614B"/>
    <w:rsid w:val="002177CD"/>
    <w:rsid w:val="00220F16"/>
    <w:rsid w:val="00221281"/>
    <w:rsid w:val="00221988"/>
    <w:rsid w:val="00223642"/>
    <w:rsid w:val="00224554"/>
    <w:rsid w:val="002250CC"/>
    <w:rsid w:val="00226D26"/>
    <w:rsid w:val="0023138A"/>
    <w:rsid w:val="00232591"/>
    <w:rsid w:val="0023283C"/>
    <w:rsid w:val="00236E66"/>
    <w:rsid w:val="00236F04"/>
    <w:rsid w:val="00237DBC"/>
    <w:rsid w:val="00241264"/>
    <w:rsid w:val="002415FC"/>
    <w:rsid w:val="0024774F"/>
    <w:rsid w:val="0025112C"/>
    <w:rsid w:val="002520AA"/>
    <w:rsid w:val="00253A4F"/>
    <w:rsid w:val="00254C5B"/>
    <w:rsid w:val="00257FE6"/>
    <w:rsid w:val="00260C11"/>
    <w:rsid w:val="00262EB1"/>
    <w:rsid w:val="00265B58"/>
    <w:rsid w:val="0026628B"/>
    <w:rsid w:val="002668FC"/>
    <w:rsid w:val="002679E3"/>
    <w:rsid w:val="00271380"/>
    <w:rsid w:val="00273465"/>
    <w:rsid w:val="00273892"/>
    <w:rsid w:val="002805A4"/>
    <w:rsid w:val="00281840"/>
    <w:rsid w:val="002868CE"/>
    <w:rsid w:val="00286D32"/>
    <w:rsid w:val="00291ECB"/>
    <w:rsid w:val="00292712"/>
    <w:rsid w:val="002950B6"/>
    <w:rsid w:val="00295270"/>
    <w:rsid w:val="00295B17"/>
    <w:rsid w:val="002967CB"/>
    <w:rsid w:val="002A309E"/>
    <w:rsid w:val="002A3988"/>
    <w:rsid w:val="002B1A4C"/>
    <w:rsid w:val="002B2DD7"/>
    <w:rsid w:val="002B42DD"/>
    <w:rsid w:val="002B6A65"/>
    <w:rsid w:val="002B764F"/>
    <w:rsid w:val="002C10A3"/>
    <w:rsid w:val="002C12DE"/>
    <w:rsid w:val="002C3183"/>
    <w:rsid w:val="002D0C0C"/>
    <w:rsid w:val="002D2E26"/>
    <w:rsid w:val="002E0BB9"/>
    <w:rsid w:val="002E18B4"/>
    <w:rsid w:val="002E335E"/>
    <w:rsid w:val="002E53A7"/>
    <w:rsid w:val="002E63F8"/>
    <w:rsid w:val="002F24FC"/>
    <w:rsid w:val="002F25C9"/>
    <w:rsid w:val="002F2816"/>
    <w:rsid w:val="002F4AC4"/>
    <w:rsid w:val="002F58BF"/>
    <w:rsid w:val="002F7DEB"/>
    <w:rsid w:val="00300396"/>
    <w:rsid w:val="00301E34"/>
    <w:rsid w:val="0031132E"/>
    <w:rsid w:val="00312D98"/>
    <w:rsid w:val="00325864"/>
    <w:rsid w:val="00326FD4"/>
    <w:rsid w:val="00330418"/>
    <w:rsid w:val="00331DB4"/>
    <w:rsid w:val="003342CD"/>
    <w:rsid w:val="00335042"/>
    <w:rsid w:val="00337B38"/>
    <w:rsid w:val="0034011A"/>
    <w:rsid w:val="00342492"/>
    <w:rsid w:val="00343673"/>
    <w:rsid w:val="00343B96"/>
    <w:rsid w:val="003440EB"/>
    <w:rsid w:val="00346F24"/>
    <w:rsid w:val="003515C5"/>
    <w:rsid w:val="00352DFD"/>
    <w:rsid w:val="00353530"/>
    <w:rsid w:val="0035409D"/>
    <w:rsid w:val="0035469B"/>
    <w:rsid w:val="0035681A"/>
    <w:rsid w:val="00356B48"/>
    <w:rsid w:val="00356E31"/>
    <w:rsid w:val="003579FD"/>
    <w:rsid w:val="0036170D"/>
    <w:rsid w:val="00361912"/>
    <w:rsid w:val="0036204F"/>
    <w:rsid w:val="0036570A"/>
    <w:rsid w:val="00366499"/>
    <w:rsid w:val="003670B8"/>
    <w:rsid w:val="003676D5"/>
    <w:rsid w:val="003678A8"/>
    <w:rsid w:val="0036799A"/>
    <w:rsid w:val="00370929"/>
    <w:rsid w:val="00372800"/>
    <w:rsid w:val="00375618"/>
    <w:rsid w:val="00377BEE"/>
    <w:rsid w:val="003833E9"/>
    <w:rsid w:val="00385170"/>
    <w:rsid w:val="003855E0"/>
    <w:rsid w:val="00386E5D"/>
    <w:rsid w:val="00386F76"/>
    <w:rsid w:val="003919A0"/>
    <w:rsid w:val="00392BBA"/>
    <w:rsid w:val="00393EEB"/>
    <w:rsid w:val="00394700"/>
    <w:rsid w:val="00397036"/>
    <w:rsid w:val="0039795F"/>
    <w:rsid w:val="003A11B3"/>
    <w:rsid w:val="003A2330"/>
    <w:rsid w:val="003A5D5E"/>
    <w:rsid w:val="003A5DE0"/>
    <w:rsid w:val="003A612B"/>
    <w:rsid w:val="003B5B37"/>
    <w:rsid w:val="003B6048"/>
    <w:rsid w:val="003B7A0A"/>
    <w:rsid w:val="003C3846"/>
    <w:rsid w:val="003C3D01"/>
    <w:rsid w:val="003C3DBF"/>
    <w:rsid w:val="003C456B"/>
    <w:rsid w:val="003C70C7"/>
    <w:rsid w:val="003D039F"/>
    <w:rsid w:val="003D0A33"/>
    <w:rsid w:val="003E090D"/>
    <w:rsid w:val="003E1CCD"/>
    <w:rsid w:val="003E26B2"/>
    <w:rsid w:val="003E285E"/>
    <w:rsid w:val="003E460C"/>
    <w:rsid w:val="003E527B"/>
    <w:rsid w:val="003E5E25"/>
    <w:rsid w:val="003E6A52"/>
    <w:rsid w:val="003E7563"/>
    <w:rsid w:val="003F6649"/>
    <w:rsid w:val="004001DD"/>
    <w:rsid w:val="00401D67"/>
    <w:rsid w:val="004026D9"/>
    <w:rsid w:val="004028A4"/>
    <w:rsid w:val="00406042"/>
    <w:rsid w:val="0040744E"/>
    <w:rsid w:val="0041437A"/>
    <w:rsid w:val="0041495E"/>
    <w:rsid w:val="004153C7"/>
    <w:rsid w:val="00415A00"/>
    <w:rsid w:val="00416A0F"/>
    <w:rsid w:val="00420244"/>
    <w:rsid w:val="00420346"/>
    <w:rsid w:val="0042706B"/>
    <w:rsid w:val="00431010"/>
    <w:rsid w:val="00434CF8"/>
    <w:rsid w:val="0043650C"/>
    <w:rsid w:val="004369A8"/>
    <w:rsid w:val="00443C1E"/>
    <w:rsid w:val="004466CE"/>
    <w:rsid w:val="00447D0B"/>
    <w:rsid w:val="00450549"/>
    <w:rsid w:val="004554E9"/>
    <w:rsid w:val="004562A6"/>
    <w:rsid w:val="00460A9B"/>
    <w:rsid w:val="00460D26"/>
    <w:rsid w:val="004629E6"/>
    <w:rsid w:val="00471D19"/>
    <w:rsid w:val="00471DAF"/>
    <w:rsid w:val="004727FF"/>
    <w:rsid w:val="00472EAB"/>
    <w:rsid w:val="004747AC"/>
    <w:rsid w:val="00475B2B"/>
    <w:rsid w:val="00476549"/>
    <w:rsid w:val="00476DF8"/>
    <w:rsid w:val="004845BF"/>
    <w:rsid w:val="00484D65"/>
    <w:rsid w:val="004876B0"/>
    <w:rsid w:val="00487B5B"/>
    <w:rsid w:val="00491AEA"/>
    <w:rsid w:val="0049209C"/>
    <w:rsid w:val="004926E5"/>
    <w:rsid w:val="00493374"/>
    <w:rsid w:val="00493B9D"/>
    <w:rsid w:val="00496334"/>
    <w:rsid w:val="004A0370"/>
    <w:rsid w:val="004A051E"/>
    <w:rsid w:val="004A4D33"/>
    <w:rsid w:val="004B2249"/>
    <w:rsid w:val="004B3171"/>
    <w:rsid w:val="004B3FF5"/>
    <w:rsid w:val="004B5194"/>
    <w:rsid w:val="004B7388"/>
    <w:rsid w:val="004C0F54"/>
    <w:rsid w:val="004C3F85"/>
    <w:rsid w:val="004C469A"/>
    <w:rsid w:val="004C6BED"/>
    <w:rsid w:val="004D41FC"/>
    <w:rsid w:val="004D4467"/>
    <w:rsid w:val="004D5858"/>
    <w:rsid w:val="004D5AA9"/>
    <w:rsid w:val="004D5CA8"/>
    <w:rsid w:val="004D7AFE"/>
    <w:rsid w:val="004E0423"/>
    <w:rsid w:val="004E09E7"/>
    <w:rsid w:val="004E2255"/>
    <w:rsid w:val="004E36B7"/>
    <w:rsid w:val="004E39E1"/>
    <w:rsid w:val="004E4FD3"/>
    <w:rsid w:val="004E5651"/>
    <w:rsid w:val="004E65A0"/>
    <w:rsid w:val="004E6A9C"/>
    <w:rsid w:val="004E7602"/>
    <w:rsid w:val="004E7915"/>
    <w:rsid w:val="004E7EDA"/>
    <w:rsid w:val="004F0195"/>
    <w:rsid w:val="004F63BB"/>
    <w:rsid w:val="00503E44"/>
    <w:rsid w:val="0050647C"/>
    <w:rsid w:val="00515283"/>
    <w:rsid w:val="005221AB"/>
    <w:rsid w:val="005228CB"/>
    <w:rsid w:val="005234D1"/>
    <w:rsid w:val="00523768"/>
    <w:rsid w:val="00524916"/>
    <w:rsid w:val="00525756"/>
    <w:rsid w:val="00527FC7"/>
    <w:rsid w:val="005326EC"/>
    <w:rsid w:val="00534C53"/>
    <w:rsid w:val="005372EE"/>
    <w:rsid w:val="00540ACA"/>
    <w:rsid w:val="00543697"/>
    <w:rsid w:val="005443FB"/>
    <w:rsid w:val="00544811"/>
    <w:rsid w:val="005500D0"/>
    <w:rsid w:val="00554100"/>
    <w:rsid w:val="0055675D"/>
    <w:rsid w:val="00562D29"/>
    <w:rsid w:val="00565C6D"/>
    <w:rsid w:val="005669F8"/>
    <w:rsid w:val="00566A21"/>
    <w:rsid w:val="00566E17"/>
    <w:rsid w:val="00570080"/>
    <w:rsid w:val="00571A35"/>
    <w:rsid w:val="0057281A"/>
    <w:rsid w:val="00575F59"/>
    <w:rsid w:val="005769F4"/>
    <w:rsid w:val="00582298"/>
    <w:rsid w:val="00582CB6"/>
    <w:rsid w:val="005833BE"/>
    <w:rsid w:val="005843E1"/>
    <w:rsid w:val="00584DAC"/>
    <w:rsid w:val="005908BD"/>
    <w:rsid w:val="00590EE5"/>
    <w:rsid w:val="00592403"/>
    <w:rsid w:val="00597552"/>
    <w:rsid w:val="00597CDB"/>
    <w:rsid w:val="005A0267"/>
    <w:rsid w:val="005A05A8"/>
    <w:rsid w:val="005A09FB"/>
    <w:rsid w:val="005A349F"/>
    <w:rsid w:val="005B17D1"/>
    <w:rsid w:val="005B3CA2"/>
    <w:rsid w:val="005B4365"/>
    <w:rsid w:val="005B5BF3"/>
    <w:rsid w:val="005C0D0D"/>
    <w:rsid w:val="005C10B9"/>
    <w:rsid w:val="005C407C"/>
    <w:rsid w:val="005C62E5"/>
    <w:rsid w:val="005C7417"/>
    <w:rsid w:val="005C7779"/>
    <w:rsid w:val="005C7C06"/>
    <w:rsid w:val="005D2703"/>
    <w:rsid w:val="005D3032"/>
    <w:rsid w:val="005D3B39"/>
    <w:rsid w:val="005D7D5A"/>
    <w:rsid w:val="005E4C76"/>
    <w:rsid w:val="005E5EC7"/>
    <w:rsid w:val="005F2439"/>
    <w:rsid w:val="005F34B6"/>
    <w:rsid w:val="005F6666"/>
    <w:rsid w:val="005F76E3"/>
    <w:rsid w:val="005F7AE5"/>
    <w:rsid w:val="0060130D"/>
    <w:rsid w:val="00601B43"/>
    <w:rsid w:val="00604BED"/>
    <w:rsid w:val="0060644A"/>
    <w:rsid w:val="006067DC"/>
    <w:rsid w:val="00606ED8"/>
    <w:rsid w:val="00607362"/>
    <w:rsid w:val="00607D10"/>
    <w:rsid w:val="00607FC8"/>
    <w:rsid w:val="006102B4"/>
    <w:rsid w:val="00610426"/>
    <w:rsid w:val="00611E56"/>
    <w:rsid w:val="00613A28"/>
    <w:rsid w:val="006148E4"/>
    <w:rsid w:val="006154E7"/>
    <w:rsid w:val="006157CC"/>
    <w:rsid w:val="00620DA1"/>
    <w:rsid w:val="00622EF5"/>
    <w:rsid w:val="00625CFC"/>
    <w:rsid w:val="00627B34"/>
    <w:rsid w:val="00634B56"/>
    <w:rsid w:val="00634F7B"/>
    <w:rsid w:val="006351EA"/>
    <w:rsid w:val="006354FA"/>
    <w:rsid w:val="00635B7F"/>
    <w:rsid w:val="00635FE0"/>
    <w:rsid w:val="0064100E"/>
    <w:rsid w:val="0064129F"/>
    <w:rsid w:val="00642A4E"/>
    <w:rsid w:val="006438B5"/>
    <w:rsid w:val="006454EC"/>
    <w:rsid w:val="00650FE5"/>
    <w:rsid w:val="00656633"/>
    <w:rsid w:val="00661CB6"/>
    <w:rsid w:val="00662B8C"/>
    <w:rsid w:val="00663792"/>
    <w:rsid w:val="00666424"/>
    <w:rsid w:val="00667045"/>
    <w:rsid w:val="0067378E"/>
    <w:rsid w:val="0067514C"/>
    <w:rsid w:val="0067615F"/>
    <w:rsid w:val="00676F4F"/>
    <w:rsid w:val="00677877"/>
    <w:rsid w:val="006817CD"/>
    <w:rsid w:val="00681B0D"/>
    <w:rsid w:val="00681E5A"/>
    <w:rsid w:val="00691490"/>
    <w:rsid w:val="006946C7"/>
    <w:rsid w:val="006A2753"/>
    <w:rsid w:val="006A39D2"/>
    <w:rsid w:val="006A50D2"/>
    <w:rsid w:val="006A5160"/>
    <w:rsid w:val="006A51A2"/>
    <w:rsid w:val="006A5B46"/>
    <w:rsid w:val="006A6A8A"/>
    <w:rsid w:val="006A7670"/>
    <w:rsid w:val="006A7C7F"/>
    <w:rsid w:val="006B351E"/>
    <w:rsid w:val="006B3AB0"/>
    <w:rsid w:val="006B3CDA"/>
    <w:rsid w:val="006C01BF"/>
    <w:rsid w:val="006C332F"/>
    <w:rsid w:val="006C368B"/>
    <w:rsid w:val="006C4FD1"/>
    <w:rsid w:val="006C636C"/>
    <w:rsid w:val="006C679D"/>
    <w:rsid w:val="006C7CC5"/>
    <w:rsid w:val="006D15A1"/>
    <w:rsid w:val="006D2BF5"/>
    <w:rsid w:val="006D3653"/>
    <w:rsid w:val="006D4DEB"/>
    <w:rsid w:val="006D5F6C"/>
    <w:rsid w:val="006D7303"/>
    <w:rsid w:val="006D7C7D"/>
    <w:rsid w:val="006E1335"/>
    <w:rsid w:val="006E1C30"/>
    <w:rsid w:val="006E3589"/>
    <w:rsid w:val="006F1005"/>
    <w:rsid w:val="006F2591"/>
    <w:rsid w:val="006F317D"/>
    <w:rsid w:val="007025D4"/>
    <w:rsid w:val="00704606"/>
    <w:rsid w:val="00705D34"/>
    <w:rsid w:val="00710233"/>
    <w:rsid w:val="00714B37"/>
    <w:rsid w:val="00714C8F"/>
    <w:rsid w:val="00715C57"/>
    <w:rsid w:val="007165EF"/>
    <w:rsid w:val="00717609"/>
    <w:rsid w:val="007200E3"/>
    <w:rsid w:val="00722A48"/>
    <w:rsid w:val="00723C9D"/>
    <w:rsid w:val="00724DB6"/>
    <w:rsid w:val="00727596"/>
    <w:rsid w:val="0073175F"/>
    <w:rsid w:val="00732AC4"/>
    <w:rsid w:val="00735A47"/>
    <w:rsid w:val="0074266C"/>
    <w:rsid w:val="007429BD"/>
    <w:rsid w:val="00742F0C"/>
    <w:rsid w:val="00744C1D"/>
    <w:rsid w:val="0074614E"/>
    <w:rsid w:val="0074648C"/>
    <w:rsid w:val="00750FA6"/>
    <w:rsid w:val="00751ED7"/>
    <w:rsid w:val="00755C46"/>
    <w:rsid w:val="00757797"/>
    <w:rsid w:val="00760A76"/>
    <w:rsid w:val="007621EE"/>
    <w:rsid w:val="00765E69"/>
    <w:rsid w:val="00771105"/>
    <w:rsid w:val="00771BCF"/>
    <w:rsid w:val="00773527"/>
    <w:rsid w:val="00773782"/>
    <w:rsid w:val="0077436D"/>
    <w:rsid w:val="0077437F"/>
    <w:rsid w:val="0077528A"/>
    <w:rsid w:val="00775624"/>
    <w:rsid w:val="007758E3"/>
    <w:rsid w:val="00776B98"/>
    <w:rsid w:val="00777094"/>
    <w:rsid w:val="007807C7"/>
    <w:rsid w:val="00780B9C"/>
    <w:rsid w:val="00780FF9"/>
    <w:rsid w:val="00784198"/>
    <w:rsid w:val="007876D2"/>
    <w:rsid w:val="007940EB"/>
    <w:rsid w:val="00795925"/>
    <w:rsid w:val="00796445"/>
    <w:rsid w:val="00796B53"/>
    <w:rsid w:val="0079757D"/>
    <w:rsid w:val="007A2AC8"/>
    <w:rsid w:val="007A4336"/>
    <w:rsid w:val="007A4725"/>
    <w:rsid w:val="007B161D"/>
    <w:rsid w:val="007B2E69"/>
    <w:rsid w:val="007C23BF"/>
    <w:rsid w:val="007C2839"/>
    <w:rsid w:val="007C4F4B"/>
    <w:rsid w:val="007D0977"/>
    <w:rsid w:val="007D0AD0"/>
    <w:rsid w:val="007D0CC1"/>
    <w:rsid w:val="007D233B"/>
    <w:rsid w:val="007D32D9"/>
    <w:rsid w:val="007D4F2C"/>
    <w:rsid w:val="007D776C"/>
    <w:rsid w:val="007E018D"/>
    <w:rsid w:val="007E15D6"/>
    <w:rsid w:val="007E1D41"/>
    <w:rsid w:val="007E1E38"/>
    <w:rsid w:val="007E3B31"/>
    <w:rsid w:val="007E4966"/>
    <w:rsid w:val="007E7318"/>
    <w:rsid w:val="007E75E1"/>
    <w:rsid w:val="007F239B"/>
    <w:rsid w:val="007F3852"/>
    <w:rsid w:val="007F3DF7"/>
    <w:rsid w:val="007F541E"/>
    <w:rsid w:val="008019CF"/>
    <w:rsid w:val="00802575"/>
    <w:rsid w:val="00802E33"/>
    <w:rsid w:val="0080321D"/>
    <w:rsid w:val="0080442C"/>
    <w:rsid w:val="0080714C"/>
    <w:rsid w:val="00807DB4"/>
    <w:rsid w:val="00807E7D"/>
    <w:rsid w:val="00812B83"/>
    <w:rsid w:val="00813CEA"/>
    <w:rsid w:val="008141F2"/>
    <w:rsid w:val="00814D0E"/>
    <w:rsid w:val="00815F14"/>
    <w:rsid w:val="00817C9B"/>
    <w:rsid w:val="0082028E"/>
    <w:rsid w:val="00821E29"/>
    <w:rsid w:val="00822144"/>
    <w:rsid w:val="008221BA"/>
    <w:rsid w:val="00822CCA"/>
    <w:rsid w:val="00823128"/>
    <w:rsid w:val="008272A9"/>
    <w:rsid w:val="008273EC"/>
    <w:rsid w:val="00831675"/>
    <w:rsid w:val="00834029"/>
    <w:rsid w:val="00834A07"/>
    <w:rsid w:val="00836176"/>
    <w:rsid w:val="0083693E"/>
    <w:rsid w:val="0083772D"/>
    <w:rsid w:val="00845B2E"/>
    <w:rsid w:val="00852C36"/>
    <w:rsid w:val="00852D1C"/>
    <w:rsid w:val="00853CF5"/>
    <w:rsid w:val="0085448E"/>
    <w:rsid w:val="00854645"/>
    <w:rsid w:val="00856C94"/>
    <w:rsid w:val="00857FFE"/>
    <w:rsid w:val="00860977"/>
    <w:rsid w:val="00861DC8"/>
    <w:rsid w:val="00862043"/>
    <w:rsid w:val="00862122"/>
    <w:rsid w:val="00865F8E"/>
    <w:rsid w:val="008700B0"/>
    <w:rsid w:val="00872AE6"/>
    <w:rsid w:val="00872B1B"/>
    <w:rsid w:val="00874D48"/>
    <w:rsid w:val="008837E0"/>
    <w:rsid w:val="0088467C"/>
    <w:rsid w:val="0088560C"/>
    <w:rsid w:val="00885BF8"/>
    <w:rsid w:val="0088615C"/>
    <w:rsid w:val="008867FC"/>
    <w:rsid w:val="0089406B"/>
    <w:rsid w:val="0089776D"/>
    <w:rsid w:val="008A0BE8"/>
    <w:rsid w:val="008A1684"/>
    <w:rsid w:val="008A251E"/>
    <w:rsid w:val="008A4C4F"/>
    <w:rsid w:val="008A566C"/>
    <w:rsid w:val="008B3A82"/>
    <w:rsid w:val="008B43B3"/>
    <w:rsid w:val="008B549A"/>
    <w:rsid w:val="008C00ED"/>
    <w:rsid w:val="008C3260"/>
    <w:rsid w:val="008C6508"/>
    <w:rsid w:val="008C65D6"/>
    <w:rsid w:val="008C6DFB"/>
    <w:rsid w:val="008C79C6"/>
    <w:rsid w:val="008D03F8"/>
    <w:rsid w:val="008D10F6"/>
    <w:rsid w:val="008D1336"/>
    <w:rsid w:val="008D16F7"/>
    <w:rsid w:val="008D66F3"/>
    <w:rsid w:val="008D67AB"/>
    <w:rsid w:val="008D6A23"/>
    <w:rsid w:val="008D6E72"/>
    <w:rsid w:val="008D7AFF"/>
    <w:rsid w:val="008E240D"/>
    <w:rsid w:val="008E5397"/>
    <w:rsid w:val="008F3969"/>
    <w:rsid w:val="008F4188"/>
    <w:rsid w:val="008F4574"/>
    <w:rsid w:val="008F652D"/>
    <w:rsid w:val="0090036B"/>
    <w:rsid w:val="009004B3"/>
    <w:rsid w:val="00903325"/>
    <w:rsid w:val="0090726C"/>
    <w:rsid w:val="009113FD"/>
    <w:rsid w:val="00911DA8"/>
    <w:rsid w:val="0091528F"/>
    <w:rsid w:val="009225B3"/>
    <w:rsid w:val="00922F8D"/>
    <w:rsid w:val="009230E5"/>
    <w:rsid w:val="009231C7"/>
    <w:rsid w:val="00926F2E"/>
    <w:rsid w:val="009309A8"/>
    <w:rsid w:val="00933748"/>
    <w:rsid w:val="00936040"/>
    <w:rsid w:val="00937D90"/>
    <w:rsid w:val="00941218"/>
    <w:rsid w:val="00941C0D"/>
    <w:rsid w:val="00943A67"/>
    <w:rsid w:val="009461AD"/>
    <w:rsid w:val="00951EE3"/>
    <w:rsid w:val="00955D92"/>
    <w:rsid w:val="00956C03"/>
    <w:rsid w:val="009579A5"/>
    <w:rsid w:val="00963006"/>
    <w:rsid w:val="00967E6E"/>
    <w:rsid w:val="00970A74"/>
    <w:rsid w:val="00971062"/>
    <w:rsid w:val="00977146"/>
    <w:rsid w:val="00980D13"/>
    <w:rsid w:val="00982662"/>
    <w:rsid w:val="00985056"/>
    <w:rsid w:val="00985FB9"/>
    <w:rsid w:val="00986B60"/>
    <w:rsid w:val="00987D29"/>
    <w:rsid w:val="009914C8"/>
    <w:rsid w:val="00991834"/>
    <w:rsid w:val="00991D3F"/>
    <w:rsid w:val="00992DE0"/>
    <w:rsid w:val="009938ED"/>
    <w:rsid w:val="009970D7"/>
    <w:rsid w:val="00997A53"/>
    <w:rsid w:val="009A1E06"/>
    <w:rsid w:val="009A5B6C"/>
    <w:rsid w:val="009A5F2E"/>
    <w:rsid w:val="009B198F"/>
    <w:rsid w:val="009B2647"/>
    <w:rsid w:val="009B4157"/>
    <w:rsid w:val="009B6788"/>
    <w:rsid w:val="009B7A83"/>
    <w:rsid w:val="009C355B"/>
    <w:rsid w:val="009C3801"/>
    <w:rsid w:val="009C3F66"/>
    <w:rsid w:val="009C52A6"/>
    <w:rsid w:val="009C5A5B"/>
    <w:rsid w:val="009C5EF7"/>
    <w:rsid w:val="009C664C"/>
    <w:rsid w:val="009D1951"/>
    <w:rsid w:val="009D20AB"/>
    <w:rsid w:val="009D2E5E"/>
    <w:rsid w:val="009D5CEE"/>
    <w:rsid w:val="009D74C8"/>
    <w:rsid w:val="009E1599"/>
    <w:rsid w:val="009E1677"/>
    <w:rsid w:val="009E1D9C"/>
    <w:rsid w:val="009E2F86"/>
    <w:rsid w:val="009E3E69"/>
    <w:rsid w:val="009F3B7D"/>
    <w:rsid w:val="009F60A3"/>
    <w:rsid w:val="009F6F76"/>
    <w:rsid w:val="00A015E4"/>
    <w:rsid w:val="00A02A3E"/>
    <w:rsid w:val="00A03285"/>
    <w:rsid w:val="00A03936"/>
    <w:rsid w:val="00A06664"/>
    <w:rsid w:val="00A10F57"/>
    <w:rsid w:val="00A1147B"/>
    <w:rsid w:val="00A12209"/>
    <w:rsid w:val="00A129EC"/>
    <w:rsid w:val="00A133E9"/>
    <w:rsid w:val="00A14E73"/>
    <w:rsid w:val="00A154FE"/>
    <w:rsid w:val="00A1685B"/>
    <w:rsid w:val="00A176B0"/>
    <w:rsid w:val="00A22994"/>
    <w:rsid w:val="00A22BE0"/>
    <w:rsid w:val="00A24A78"/>
    <w:rsid w:val="00A27115"/>
    <w:rsid w:val="00A271B4"/>
    <w:rsid w:val="00A27CEA"/>
    <w:rsid w:val="00A34805"/>
    <w:rsid w:val="00A368B1"/>
    <w:rsid w:val="00A36DF3"/>
    <w:rsid w:val="00A41742"/>
    <w:rsid w:val="00A43C5C"/>
    <w:rsid w:val="00A43C76"/>
    <w:rsid w:val="00A507AA"/>
    <w:rsid w:val="00A532DD"/>
    <w:rsid w:val="00A545C4"/>
    <w:rsid w:val="00A571C6"/>
    <w:rsid w:val="00A6237B"/>
    <w:rsid w:val="00A672FB"/>
    <w:rsid w:val="00A707AF"/>
    <w:rsid w:val="00A71C6E"/>
    <w:rsid w:val="00A72A8A"/>
    <w:rsid w:val="00A80AF5"/>
    <w:rsid w:val="00A80BCF"/>
    <w:rsid w:val="00A81DEF"/>
    <w:rsid w:val="00A8304D"/>
    <w:rsid w:val="00A83762"/>
    <w:rsid w:val="00A84BA3"/>
    <w:rsid w:val="00A856E6"/>
    <w:rsid w:val="00A85B64"/>
    <w:rsid w:val="00A86EAB"/>
    <w:rsid w:val="00A86F60"/>
    <w:rsid w:val="00A90292"/>
    <w:rsid w:val="00A91D55"/>
    <w:rsid w:val="00AA43D6"/>
    <w:rsid w:val="00AA4492"/>
    <w:rsid w:val="00AA494B"/>
    <w:rsid w:val="00AB3BAF"/>
    <w:rsid w:val="00AB64FF"/>
    <w:rsid w:val="00AB6B64"/>
    <w:rsid w:val="00AC0B74"/>
    <w:rsid w:val="00AC16D6"/>
    <w:rsid w:val="00AC214A"/>
    <w:rsid w:val="00AC5531"/>
    <w:rsid w:val="00AC6E7F"/>
    <w:rsid w:val="00AD0392"/>
    <w:rsid w:val="00AD044E"/>
    <w:rsid w:val="00AD30C3"/>
    <w:rsid w:val="00AD3352"/>
    <w:rsid w:val="00AD46F0"/>
    <w:rsid w:val="00AE2FD3"/>
    <w:rsid w:val="00AE3D7F"/>
    <w:rsid w:val="00AE65E9"/>
    <w:rsid w:val="00AF380D"/>
    <w:rsid w:val="00AF3F53"/>
    <w:rsid w:val="00AF58D1"/>
    <w:rsid w:val="00AF7576"/>
    <w:rsid w:val="00B011D5"/>
    <w:rsid w:val="00B02848"/>
    <w:rsid w:val="00B03BDD"/>
    <w:rsid w:val="00B05A08"/>
    <w:rsid w:val="00B062D0"/>
    <w:rsid w:val="00B06597"/>
    <w:rsid w:val="00B06B51"/>
    <w:rsid w:val="00B07B0C"/>
    <w:rsid w:val="00B10746"/>
    <w:rsid w:val="00B10FE5"/>
    <w:rsid w:val="00B1126D"/>
    <w:rsid w:val="00B14D9E"/>
    <w:rsid w:val="00B15AAF"/>
    <w:rsid w:val="00B210A1"/>
    <w:rsid w:val="00B2584A"/>
    <w:rsid w:val="00B26020"/>
    <w:rsid w:val="00B26F7D"/>
    <w:rsid w:val="00B27F1D"/>
    <w:rsid w:val="00B30E77"/>
    <w:rsid w:val="00B32362"/>
    <w:rsid w:val="00B353EC"/>
    <w:rsid w:val="00B36237"/>
    <w:rsid w:val="00B36843"/>
    <w:rsid w:val="00B372D1"/>
    <w:rsid w:val="00B37D0F"/>
    <w:rsid w:val="00B42EE4"/>
    <w:rsid w:val="00B4337C"/>
    <w:rsid w:val="00B459A6"/>
    <w:rsid w:val="00B460E9"/>
    <w:rsid w:val="00B50D14"/>
    <w:rsid w:val="00B553D6"/>
    <w:rsid w:val="00B55843"/>
    <w:rsid w:val="00B576A5"/>
    <w:rsid w:val="00B649FC"/>
    <w:rsid w:val="00B672D8"/>
    <w:rsid w:val="00B719D4"/>
    <w:rsid w:val="00B83D07"/>
    <w:rsid w:val="00B86A4D"/>
    <w:rsid w:val="00B9106D"/>
    <w:rsid w:val="00B9129B"/>
    <w:rsid w:val="00B934FD"/>
    <w:rsid w:val="00B949F2"/>
    <w:rsid w:val="00BA4001"/>
    <w:rsid w:val="00BA5366"/>
    <w:rsid w:val="00BA5B86"/>
    <w:rsid w:val="00BA65CB"/>
    <w:rsid w:val="00BB07E9"/>
    <w:rsid w:val="00BB43C8"/>
    <w:rsid w:val="00BC43CD"/>
    <w:rsid w:val="00BC54E9"/>
    <w:rsid w:val="00BD53F3"/>
    <w:rsid w:val="00BD5578"/>
    <w:rsid w:val="00BD5625"/>
    <w:rsid w:val="00BD61A2"/>
    <w:rsid w:val="00BD6806"/>
    <w:rsid w:val="00BD6E26"/>
    <w:rsid w:val="00BD6FFD"/>
    <w:rsid w:val="00BE06F5"/>
    <w:rsid w:val="00BE484D"/>
    <w:rsid w:val="00BE4996"/>
    <w:rsid w:val="00BE4AC2"/>
    <w:rsid w:val="00BE5EFB"/>
    <w:rsid w:val="00BF1150"/>
    <w:rsid w:val="00BF3F51"/>
    <w:rsid w:val="00BF4201"/>
    <w:rsid w:val="00C01CF7"/>
    <w:rsid w:val="00C05C4D"/>
    <w:rsid w:val="00C10863"/>
    <w:rsid w:val="00C108C5"/>
    <w:rsid w:val="00C129C1"/>
    <w:rsid w:val="00C12AF7"/>
    <w:rsid w:val="00C15441"/>
    <w:rsid w:val="00C15EDB"/>
    <w:rsid w:val="00C2489F"/>
    <w:rsid w:val="00C36C94"/>
    <w:rsid w:val="00C37E05"/>
    <w:rsid w:val="00C47CBA"/>
    <w:rsid w:val="00C507FD"/>
    <w:rsid w:val="00C51008"/>
    <w:rsid w:val="00C51152"/>
    <w:rsid w:val="00C51DC3"/>
    <w:rsid w:val="00C53EFE"/>
    <w:rsid w:val="00C55D29"/>
    <w:rsid w:val="00C563FB"/>
    <w:rsid w:val="00C56A03"/>
    <w:rsid w:val="00C56D78"/>
    <w:rsid w:val="00C57149"/>
    <w:rsid w:val="00C6365A"/>
    <w:rsid w:val="00C63795"/>
    <w:rsid w:val="00C639C9"/>
    <w:rsid w:val="00C640CA"/>
    <w:rsid w:val="00C7171B"/>
    <w:rsid w:val="00C7432A"/>
    <w:rsid w:val="00C75DEC"/>
    <w:rsid w:val="00C7709E"/>
    <w:rsid w:val="00C875AC"/>
    <w:rsid w:val="00C96958"/>
    <w:rsid w:val="00CA0A94"/>
    <w:rsid w:val="00CA659A"/>
    <w:rsid w:val="00CA788B"/>
    <w:rsid w:val="00CB17B5"/>
    <w:rsid w:val="00CB31F3"/>
    <w:rsid w:val="00CB78AB"/>
    <w:rsid w:val="00CC032A"/>
    <w:rsid w:val="00CC19E5"/>
    <w:rsid w:val="00CC336A"/>
    <w:rsid w:val="00CC5E0C"/>
    <w:rsid w:val="00CC6AE7"/>
    <w:rsid w:val="00CC70A3"/>
    <w:rsid w:val="00CD496A"/>
    <w:rsid w:val="00CD6FE4"/>
    <w:rsid w:val="00CD79DE"/>
    <w:rsid w:val="00CD7B95"/>
    <w:rsid w:val="00CE0B53"/>
    <w:rsid w:val="00CE256D"/>
    <w:rsid w:val="00CE48BC"/>
    <w:rsid w:val="00CF0D0E"/>
    <w:rsid w:val="00CF1B9D"/>
    <w:rsid w:val="00CF5548"/>
    <w:rsid w:val="00CF5BAC"/>
    <w:rsid w:val="00CF785C"/>
    <w:rsid w:val="00D00C39"/>
    <w:rsid w:val="00D01464"/>
    <w:rsid w:val="00D01D31"/>
    <w:rsid w:val="00D036C0"/>
    <w:rsid w:val="00D05F80"/>
    <w:rsid w:val="00D0743B"/>
    <w:rsid w:val="00D12321"/>
    <w:rsid w:val="00D1332D"/>
    <w:rsid w:val="00D14CC0"/>
    <w:rsid w:val="00D205B8"/>
    <w:rsid w:val="00D20AAB"/>
    <w:rsid w:val="00D2364C"/>
    <w:rsid w:val="00D25A55"/>
    <w:rsid w:val="00D27609"/>
    <w:rsid w:val="00D31B88"/>
    <w:rsid w:val="00D32F64"/>
    <w:rsid w:val="00D34626"/>
    <w:rsid w:val="00D40B87"/>
    <w:rsid w:val="00D4257A"/>
    <w:rsid w:val="00D43ABB"/>
    <w:rsid w:val="00D45C94"/>
    <w:rsid w:val="00D508C7"/>
    <w:rsid w:val="00D520DF"/>
    <w:rsid w:val="00D53B6A"/>
    <w:rsid w:val="00D5553F"/>
    <w:rsid w:val="00D55CBC"/>
    <w:rsid w:val="00D633FF"/>
    <w:rsid w:val="00D63625"/>
    <w:rsid w:val="00D64080"/>
    <w:rsid w:val="00D66A6E"/>
    <w:rsid w:val="00D67A41"/>
    <w:rsid w:val="00D727C4"/>
    <w:rsid w:val="00D7606D"/>
    <w:rsid w:val="00D760C5"/>
    <w:rsid w:val="00D763EB"/>
    <w:rsid w:val="00D77861"/>
    <w:rsid w:val="00D81868"/>
    <w:rsid w:val="00D81C8B"/>
    <w:rsid w:val="00D84BBC"/>
    <w:rsid w:val="00D8745F"/>
    <w:rsid w:val="00D91573"/>
    <w:rsid w:val="00D94E98"/>
    <w:rsid w:val="00D968AB"/>
    <w:rsid w:val="00D96919"/>
    <w:rsid w:val="00D9789E"/>
    <w:rsid w:val="00DA0573"/>
    <w:rsid w:val="00DA142F"/>
    <w:rsid w:val="00DA4605"/>
    <w:rsid w:val="00DB59CB"/>
    <w:rsid w:val="00DC0CDE"/>
    <w:rsid w:val="00DC0EF8"/>
    <w:rsid w:val="00DC1400"/>
    <w:rsid w:val="00DC55C9"/>
    <w:rsid w:val="00DD01C7"/>
    <w:rsid w:val="00DD1D7F"/>
    <w:rsid w:val="00DD2A03"/>
    <w:rsid w:val="00DD2BBF"/>
    <w:rsid w:val="00DD322D"/>
    <w:rsid w:val="00DD4ED3"/>
    <w:rsid w:val="00DD5CFD"/>
    <w:rsid w:val="00DD5D6E"/>
    <w:rsid w:val="00DE0467"/>
    <w:rsid w:val="00DE5807"/>
    <w:rsid w:val="00DE67B0"/>
    <w:rsid w:val="00DF07F0"/>
    <w:rsid w:val="00DF1188"/>
    <w:rsid w:val="00DF1E25"/>
    <w:rsid w:val="00DF2389"/>
    <w:rsid w:val="00DF29F5"/>
    <w:rsid w:val="00DF3CD3"/>
    <w:rsid w:val="00DF49BA"/>
    <w:rsid w:val="00DF619D"/>
    <w:rsid w:val="00DF6909"/>
    <w:rsid w:val="00DF736B"/>
    <w:rsid w:val="00E0152D"/>
    <w:rsid w:val="00E02D37"/>
    <w:rsid w:val="00E043AE"/>
    <w:rsid w:val="00E0624D"/>
    <w:rsid w:val="00E115AF"/>
    <w:rsid w:val="00E136C1"/>
    <w:rsid w:val="00E13E23"/>
    <w:rsid w:val="00E14493"/>
    <w:rsid w:val="00E17010"/>
    <w:rsid w:val="00E17330"/>
    <w:rsid w:val="00E2649A"/>
    <w:rsid w:val="00E302E6"/>
    <w:rsid w:val="00E31F90"/>
    <w:rsid w:val="00E335FF"/>
    <w:rsid w:val="00E436F5"/>
    <w:rsid w:val="00E4438C"/>
    <w:rsid w:val="00E448E0"/>
    <w:rsid w:val="00E457F3"/>
    <w:rsid w:val="00E46855"/>
    <w:rsid w:val="00E47533"/>
    <w:rsid w:val="00E52180"/>
    <w:rsid w:val="00E528AA"/>
    <w:rsid w:val="00E55886"/>
    <w:rsid w:val="00E570BE"/>
    <w:rsid w:val="00E60CB6"/>
    <w:rsid w:val="00E63F53"/>
    <w:rsid w:val="00E70245"/>
    <w:rsid w:val="00E74F1F"/>
    <w:rsid w:val="00E779E1"/>
    <w:rsid w:val="00E77C58"/>
    <w:rsid w:val="00E81140"/>
    <w:rsid w:val="00E82202"/>
    <w:rsid w:val="00E82D55"/>
    <w:rsid w:val="00E8411A"/>
    <w:rsid w:val="00E849ED"/>
    <w:rsid w:val="00E860F1"/>
    <w:rsid w:val="00E86D21"/>
    <w:rsid w:val="00E9051F"/>
    <w:rsid w:val="00E9059F"/>
    <w:rsid w:val="00E9352E"/>
    <w:rsid w:val="00E9430A"/>
    <w:rsid w:val="00E943F8"/>
    <w:rsid w:val="00E95609"/>
    <w:rsid w:val="00EA1670"/>
    <w:rsid w:val="00EA287B"/>
    <w:rsid w:val="00EA3AA1"/>
    <w:rsid w:val="00EA5660"/>
    <w:rsid w:val="00EA5EF0"/>
    <w:rsid w:val="00EA767C"/>
    <w:rsid w:val="00EB07F9"/>
    <w:rsid w:val="00EB2D4F"/>
    <w:rsid w:val="00EB372A"/>
    <w:rsid w:val="00EB3F46"/>
    <w:rsid w:val="00EB62ED"/>
    <w:rsid w:val="00EB791E"/>
    <w:rsid w:val="00EB7E71"/>
    <w:rsid w:val="00EC037D"/>
    <w:rsid w:val="00EC14FA"/>
    <w:rsid w:val="00EC6045"/>
    <w:rsid w:val="00ED26A6"/>
    <w:rsid w:val="00ED33A1"/>
    <w:rsid w:val="00ED6407"/>
    <w:rsid w:val="00ED72AF"/>
    <w:rsid w:val="00ED7FC7"/>
    <w:rsid w:val="00EE0965"/>
    <w:rsid w:val="00EE0ABE"/>
    <w:rsid w:val="00EE1D2C"/>
    <w:rsid w:val="00EE2BCD"/>
    <w:rsid w:val="00EE2F0A"/>
    <w:rsid w:val="00EE2FAF"/>
    <w:rsid w:val="00EE45C6"/>
    <w:rsid w:val="00EE7032"/>
    <w:rsid w:val="00EE76B8"/>
    <w:rsid w:val="00EE78A6"/>
    <w:rsid w:val="00EE7F5B"/>
    <w:rsid w:val="00EF3347"/>
    <w:rsid w:val="00EF3C79"/>
    <w:rsid w:val="00EF40AC"/>
    <w:rsid w:val="00EF476A"/>
    <w:rsid w:val="00EF77E3"/>
    <w:rsid w:val="00F00AA3"/>
    <w:rsid w:val="00F07AAA"/>
    <w:rsid w:val="00F109D4"/>
    <w:rsid w:val="00F120FC"/>
    <w:rsid w:val="00F146A6"/>
    <w:rsid w:val="00F15975"/>
    <w:rsid w:val="00F2134D"/>
    <w:rsid w:val="00F21CB0"/>
    <w:rsid w:val="00F23459"/>
    <w:rsid w:val="00F23CC0"/>
    <w:rsid w:val="00F24791"/>
    <w:rsid w:val="00F251D1"/>
    <w:rsid w:val="00F2572B"/>
    <w:rsid w:val="00F272AB"/>
    <w:rsid w:val="00F30E57"/>
    <w:rsid w:val="00F30E9A"/>
    <w:rsid w:val="00F35972"/>
    <w:rsid w:val="00F35F02"/>
    <w:rsid w:val="00F36655"/>
    <w:rsid w:val="00F417B5"/>
    <w:rsid w:val="00F41E25"/>
    <w:rsid w:val="00F42688"/>
    <w:rsid w:val="00F42803"/>
    <w:rsid w:val="00F44835"/>
    <w:rsid w:val="00F471B9"/>
    <w:rsid w:val="00F47564"/>
    <w:rsid w:val="00F51F77"/>
    <w:rsid w:val="00F55A7A"/>
    <w:rsid w:val="00F64C57"/>
    <w:rsid w:val="00F6625F"/>
    <w:rsid w:val="00F66832"/>
    <w:rsid w:val="00F706B7"/>
    <w:rsid w:val="00F70DB1"/>
    <w:rsid w:val="00F71364"/>
    <w:rsid w:val="00F71F27"/>
    <w:rsid w:val="00F7300E"/>
    <w:rsid w:val="00F7681C"/>
    <w:rsid w:val="00F77C79"/>
    <w:rsid w:val="00F83332"/>
    <w:rsid w:val="00F84803"/>
    <w:rsid w:val="00F85F1F"/>
    <w:rsid w:val="00F85FD2"/>
    <w:rsid w:val="00F86FC4"/>
    <w:rsid w:val="00F87C1E"/>
    <w:rsid w:val="00F90469"/>
    <w:rsid w:val="00F90D84"/>
    <w:rsid w:val="00F9136F"/>
    <w:rsid w:val="00F921B4"/>
    <w:rsid w:val="00F92DE2"/>
    <w:rsid w:val="00F93706"/>
    <w:rsid w:val="00FA19C4"/>
    <w:rsid w:val="00FA25AC"/>
    <w:rsid w:val="00FA4366"/>
    <w:rsid w:val="00FA4FCA"/>
    <w:rsid w:val="00FA54EC"/>
    <w:rsid w:val="00FC08FD"/>
    <w:rsid w:val="00FC0DF2"/>
    <w:rsid w:val="00FC122D"/>
    <w:rsid w:val="00FC20DF"/>
    <w:rsid w:val="00FC21B2"/>
    <w:rsid w:val="00FC36B4"/>
    <w:rsid w:val="00FC45F5"/>
    <w:rsid w:val="00FC6BB9"/>
    <w:rsid w:val="00FC6CFA"/>
    <w:rsid w:val="00FC723E"/>
    <w:rsid w:val="00FD1DA2"/>
    <w:rsid w:val="00FD51AF"/>
    <w:rsid w:val="00FD5A2D"/>
    <w:rsid w:val="00FD63A1"/>
    <w:rsid w:val="00FD6C51"/>
    <w:rsid w:val="00FD6FDF"/>
    <w:rsid w:val="00FE46C1"/>
    <w:rsid w:val="00FE6F03"/>
    <w:rsid w:val="00FE795E"/>
    <w:rsid w:val="00FF1057"/>
    <w:rsid w:val="00FF133C"/>
    <w:rsid w:val="00FF1B6F"/>
    <w:rsid w:val="00FF3705"/>
    <w:rsid w:val="00FF429C"/>
    <w:rsid w:val="00FF47A0"/>
    <w:rsid w:val="00FF49A7"/>
    <w:rsid w:val="00FF7E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C70E9E8-B097-4361-A642-8CD79338A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F2E"/>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paragraph" w:styleId="Heading6">
    <w:name w:val="heading 6"/>
    <w:basedOn w:val="Normal"/>
    <w:next w:val="Normal"/>
    <w:link w:val="Heading6Char"/>
    <w:uiPriority w:val="9"/>
    <w:semiHidden/>
    <w:unhideWhenUsed/>
    <w:qFormat/>
    <w:rsid w:val="0016437F"/>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paragraph" w:customStyle="1" w:styleId="EMparagraph">
    <w:name w:val="EM paragraph"/>
    <w:basedOn w:val="Normal"/>
    <w:rsid w:val="00221988"/>
    <w:pPr>
      <w:widowControl w:val="0"/>
      <w:adjustRightInd w:val="0"/>
      <w:spacing w:before="0" w:after="240"/>
      <w:ind w:right="85"/>
    </w:pPr>
  </w:style>
  <w:style w:type="paragraph" w:styleId="ListParagraph">
    <w:name w:val="List Paragraph"/>
    <w:basedOn w:val="Normal"/>
    <w:uiPriority w:val="34"/>
    <w:qFormat/>
    <w:rsid w:val="00221988"/>
    <w:pPr>
      <w:ind w:left="720"/>
      <w:contextualSpacing/>
    </w:pPr>
  </w:style>
  <w:style w:type="character" w:styleId="CommentReference">
    <w:name w:val="annotation reference"/>
    <w:basedOn w:val="DefaultParagraphFont"/>
    <w:uiPriority w:val="99"/>
    <w:unhideWhenUsed/>
    <w:rsid w:val="005F76E3"/>
    <w:rPr>
      <w:sz w:val="16"/>
      <w:szCs w:val="16"/>
    </w:rPr>
  </w:style>
  <w:style w:type="paragraph" w:styleId="CommentText">
    <w:name w:val="annotation text"/>
    <w:basedOn w:val="Normal"/>
    <w:link w:val="CommentTextChar"/>
    <w:uiPriority w:val="99"/>
    <w:semiHidden/>
    <w:unhideWhenUsed/>
    <w:rsid w:val="005F76E3"/>
    <w:rPr>
      <w:sz w:val="20"/>
    </w:rPr>
  </w:style>
  <w:style w:type="character" w:customStyle="1" w:styleId="CommentTextChar">
    <w:name w:val="Comment Text Char"/>
    <w:basedOn w:val="DefaultParagraphFont"/>
    <w:link w:val="CommentText"/>
    <w:uiPriority w:val="99"/>
    <w:semiHidden/>
    <w:rsid w:val="005F76E3"/>
  </w:style>
  <w:style w:type="paragraph" w:styleId="CommentSubject">
    <w:name w:val="annotation subject"/>
    <w:basedOn w:val="CommentText"/>
    <w:next w:val="CommentText"/>
    <w:link w:val="CommentSubjectChar"/>
    <w:uiPriority w:val="99"/>
    <w:semiHidden/>
    <w:unhideWhenUsed/>
    <w:rsid w:val="005F76E3"/>
    <w:rPr>
      <w:b/>
      <w:bCs/>
    </w:rPr>
  </w:style>
  <w:style w:type="character" w:customStyle="1" w:styleId="CommentSubjectChar">
    <w:name w:val="Comment Subject Char"/>
    <w:basedOn w:val="CommentTextChar"/>
    <w:link w:val="CommentSubject"/>
    <w:uiPriority w:val="99"/>
    <w:semiHidden/>
    <w:rsid w:val="005F76E3"/>
    <w:rPr>
      <w:b/>
      <w:bCs/>
    </w:rPr>
  </w:style>
  <w:style w:type="character" w:customStyle="1" w:styleId="TitleChar">
    <w:name w:val="Title Char"/>
    <w:basedOn w:val="DefaultParagraphFont"/>
    <w:link w:val="Title"/>
    <w:rsid w:val="00B30E77"/>
    <w:rPr>
      <w:b/>
      <w:sz w:val="24"/>
    </w:rPr>
  </w:style>
  <w:style w:type="paragraph" w:styleId="ListBullet">
    <w:name w:val="List Bullet"/>
    <w:basedOn w:val="Normal"/>
    <w:uiPriority w:val="99"/>
    <w:unhideWhenUsed/>
    <w:rsid w:val="007025D4"/>
    <w:pPr>
      <w:numPr>
        <w:numId w:val="10"/>
      </w:numPr>
      <w:contextualSpacing/>
    </w:pPr>
  </w:style>
  <w:style w:type="paragraph" w:styleId="FootnoteText">
    <w:name w:val="footnote text"/>
    <w:basedOn w:val="Normal"/>
    <w:link w:val="FootnoteTextChar"/>
    <w:uiPriority w:val="99"/>
    <w:semiHidden/>
    <w:unhideWhenUsed/>
    <w:rsid w:val="00CF785C"/>
    <w:pPr>
      <w:spacing w:before="0" w:after="0"/>
    </w:pPr>
    <w:rPr>
      <w:sz w:val="20"/>
    </w:rPr>
  </w:style>
  <w:style w:type="character" w:customStyle="1" w:styleId="FootnoteTextChar">
    <w:name w:val="Footnote Text Char"/>
    <w:basedOn w:val="DefaultParagraphFont"/>
    <w:link w:val="FootnoteText"/>
    <w:uiPriority w:val="99"/>
    <w:semiHidden/>
    <w:rsid w:val="00CF785C"/>
  </w:style>
  <w:style w:type="character" w:styleId="FootnoteReference">
    <w:name w:val="footnote reference"/>
    <w:basedOn w:val="DefaultParagraphFont"/>
    <w:uiPriority w:val="99"/>
    <w:semiHidden/>
    <w:unhideWhenUsed/>
    <w:rsid w:val="00CF785C"/>
    <w:rPr>
      <w:vertAlign w:val="superscript"/>
    </w:rPr>
  </w:style>
  <w:style w:type="table" w:styleId="TableGrid">
    <w:name w:val="Table Grid"/>
    <w:basedOn w:val="TableNormal"/>
    <w:uiPriority w:val="59"/>
    <w:rsid w:val="00AC5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qFormat/>
    <w:rsid w:val="000C6869"/>
    <w:pPr>
      <w:numPr>
        <w:numId w:val="26"/>
      </w:numPr>
      <w:spacing w:before="0" w:after="200" w:line="276" w:lineRule="auto"/>
    </w:pPr>
    <w:rPr>
      <w:rFonts w:ascii="Arial" w:eastAsia="Calibri" w:hAnsi="Arial"/>
      <w:sz w:val="22"/>
      <w:szCs w:val="22"/>
      <w:lang w:eastAsia="en-US"/>
    </w:rPr>
  </w:style>
  <w:style w:type="paragraph" w:styleId="ListNumber2">
    <w:name w:val="List Number 2"/>
    <w:basedOn w:val="Normal"/>
    <w:uiPriority w:val="99"/>
    <w:rsid w:val="000C6869"/>
    <w:pPr>
      <w:numPr>
        <w:ilvl w:val="1"/>
        <w:numId w:val="26"/>
      </w:numPr>
      <w:spacing w:before="0" w:after="200" w:line="276" w:lineRule="auto"/>
    </w:pPr>
    <w:rPr>
      <w:rFonts w:ascii="Arial" w:eastAsia="Calibri" w:hAnsi="Arial"/>
      <w:sz w:val="22"/>
      <w:szCs w:val="22"/>
      <w:lang w:eastAsia="en-US"/>
    </w:rPr>
  </w:style>
  <w:style w:type="paragraph" w:styleId="ListNumber3">
    <w:name w:val="List Number 3"/>
    <w:basedOn w:val="Normal"/>
    <w:uiPriority w:val="99"/>
    <w:rsid w:val="000C6869"/>
    <w:pPr>
      <w:numPr>
        <w:ilvl w:val="2"/>
        <w:numId w:val="26"/>
      </w:numPr>
      <w:spacing w:before="0" w:after="200" w:line="276" w:lineRule="auto"/>
    </w:pPr>
    <w:rPr>
      <w:rFonts w:ascii="Arial" w:eastAsia="Calibri" w:hAnsi="Arial"/>
      <w:sz w:val="22"/>
      <w:szCs w:val="22"/>
      <w:lang w:eastAsia="en-US"/>
    </w:rPr>
  </w:style>
  <w:style w:type="paragraph" w:styleId="ListNumber4">
    <w:name w:val="List Number 4"/>
    <w:basedOn w:val="Normal"/>
    <w:uiPriority w:val="99"/>
    <w:rsid w:val="000C6869"/>
    <w:pPr>
      <w:numPr>
        <w:ilvl w:val="3"/>
        <w:numId w:val="26"/>
      </w:numPr>
      <w:spacing w:before="0" w:after="200" w:line="276" w:lineRule="auto"/>
    </w:pPr>
    <w:rPr>
      <w:rFonts w:ascii="Arial" w:eastAsia="Calibri" w:hAnsi="Arial"/>
      <w:sz w:val="22"/>
      <w:szCs w:val="22"/>
      <w:lang w:eastAsia="en-US"/>
    </w:rPr>
  </w:style>
  <w:style w:type="paragraph" w:styleId="ListNumber5">
    <w:name w:val="List Number 5"/>
    <w:basedOn w:val="Normal"/>
    <w:uiPriority w:val="99"/>
    <w:rsid w:val="000C6869"/>
    <w:pPr>
      <w:numPr>
        <w:ilvl w:val="4"/>
        <w:numId w:val="26"/>
      </w:numPr>
      <w:spacing w:before="0" w:after="200" w:line="276" w:lineRule="auto"/>
    </w:pPr>
    <w:rPr>
      <w:rFonts w:ascii="Arial" w:eastAsia="Calibri" w:hAnsi="Arial"/>
      <w:sz w:val="22"/>
      <w:szCs w:val="22"/>
      <w:lang w:eastAsia="en-US"/>
    </w:rPr>
  </w:style>
  <w:style w:type="character" w:customStyle="1" w:styleId="Heading6Char">
    <w:name w:val="Heading 6 Char"/>
    <w:basedOn w:val="DefaultParagraphFont"/>
    <w:link w:val="Heading6"/>
    <w:uiPriority w:val="9"/>
    <w:semiHidden/>
    <w:rsid w:val="0016437F"/>
    <w:rPr>
      <w:rFonts w:asciiTheme="majorHAnsi" w:eastAsiaTheme="majorEastAsia" w:hAnsiTheme="majorHAnsi" w:cstheme="majorBidi"/>
      <w:color w:val="243F60" w:themeColor="accent1" w:themeShade="7F"/>
      <w:sz w:val="24"/>
    </w:rPr>
  </w:style>
  <w:style w:type="paragraph" w:customStyle="1" w:styleId="Normal1">
    <w:name w:val="Normal1"/>
    <w:basedOn w:val="Normal"/>
    <w:link w:val="NormalChar"/>
    <w:qFormat/>
    <w:rsid w:val="00663792"/>
    <w:pPr>
      <w:spacing w:before="240" w:after="0" w:line="312" w:lineRule="auto"/>
    </w:pPr>
    <w:rPr>
      <w:sz w:val="22"/>
      <w:lang w:eastAsia="en-US"/>
    </w:rPr>
  </w:style>
  <w:style w:type="character" w:customStyle="1" w:styleId="NormalChar">
    <w:name w:val="Normal Char"/>
    <w:link w:val="Normal1"/>
    <w:rsid w:val="00663792"/>
    <w:rPr>
      <w:sz w:val="22"/>
      <w:lang w:eastAsia="en-US"/>
    </w:rPr>
  </w:style>
  <w:style w:type="paragraph" w:styleId="Footer">
    <w:name w:val="footer"/>
    <w:basedOn w:val="Normal"/>
    <w:link w:val="FooterChar"/>
    <w:uiPriority w:val="99"/>
    <w:unhideWhenUsed/>
    <w:rsid w:val="0088560C"/>
    <w:pPr>
      <w:tabs>
        <w:tab w:val="center" w:pos="4513"/>
        <w:tab w:val="right" w:pos="9026"/>
      </w:tabs>
      <w:spacing w:before="0" w:after="0"/>
    </w:pPr>
    <w:rPr>
      <w:rFonts w:ascii="Arial" w:eastAsia="Calibri" w:hAnsi="Arial"/>
      <w:sz w:val="22"/>
      <w:szCs w:val="22"/>
      <w:lang w:eastAsia="en-US"/>
    </w:rPr>
  </w:style>
  <w:style w:type="character" w:customStyle="1" w:styleId="FooterChar">
    <w:name w:val="Footer Char"/>
    <w:basedOn w:val="DefaultParagraphFont"/>
    <w:link w:val="Footer"/>
    <w:uiPriority w:val="99"/>
    <w:rsid w:val="0088560C"/>
    <w:rPr>
      <w:rFonts w:ascii="Arial" w:eastAsia="Calibri" w:hAnsi="Arial"/>
      <w:sz w:val="22"/>
      <w:szCs w:val="22"/>
      <w:lang w:eastAsia="en-US"/>
    </w:rPr>
  </w:style>
  <w:style w:type="character" w:customStyle="1" w:styleId="CharSectno">
    <w:name w:val="CharSectno"/>
    <w:basedOn w:val="DefaultParagraphFont"/>
    <w:qFormat/>
    <w:rsid w:val="0088560C"/>
  </w:style>
  <w:style w:type="character" w:customStyle="1" w:styleId="CharDivNo">
    <w:name w:val="CharDivNo"/>
    <w:basedOn w:val="DefaultParagraphFont"/>
    <w:qFormat/>
    <w:rsid w:val="00C15EDB"/>
  </w:style>
  <w:style w:type="paragraph" w:customStyle="1" w:styleId="Tabletext">
    <w:name w:val="Tabletext"/>
    <w:aliases w:val="tt"/>
    <w:basedOn w:val="Normal"/>
    <w:rsid w:val="00EA1670"/>
    <w:pPr>
      <w:spacing w:before="60" w:after="0" w:line="240" w:lineRule="atLeast"/>
    </w:pPr>
    <w:rPr>
      <w:sz w:val="20"/>
    </w:rPr>
  </w:style>
  <w:style w:type="paragraph" w:customStyle="1" w:styleId="TableHeading">
    <w:name w:val="TableHeading"/>
    <w:aliases w:val="th"/>
    <w:basedOn w:val="Normal"/>
    <w:next w:val="Tabletext"/>
    <w:rsid w:val="00EA1670"/>
    <w:pPr>
      <w:keepNext/>
      <w:spacing w:before="60" w:after="0" w:line="240" w:lineRule="atLeast"/>
    </w:pPr>
    <w:rPr>
      <w:b/>
      <w:sz w:val="20"/>
    </w:rPr>
  </w:style>
  <w:style w:type="paragraph" w:styleId="Header">
    <w:name w:val="header"/>
    <w:basedOn w:val="Normal"/>
    <w:link w:val="HeaderChar"/>
    <w:uiPriority w:val="99"/>
    <w:unhideWhenUsed/>
    <w:rsid w:val="009230E5"/>
    <w:pPr>
      <w:tabs>
        <w:tab w:val="center" w:pos="4513"/>
        <w:tab w:val="right" w:pos="9026"/>
      </w:tabs>
      <w:spacing w:before="0" w:after="0"/>
    </w:pPr>
  </w:style>
  <w:style w:type="character" w:customStyle="1" w:styleId="HeaderChar">
    <w:name w:val="Header Char"/>
    <w:basedOn w:val="DefaultParagraphFont"/>
    <w:link w:val="Header"/>
    <w:uiPriority w:val="99"/>
    <w:rsid w:val="009230E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256119">
      <w:bodyDiv w:val="1"/>
      <w:marLeft w:val="0"/>
      <w:marRight w:val="0"/>
      <w:marTop w:val="0"/>
      <w:marBottom w:val="0"/>
      <w:divBdr>
        <w:top w:val="none" w:sz="0" w:space="0" w:color="auto"/>
        <w:left w:val="none" w:sz="0" w:space="0" w:color="auto"/>
        <w:bottom w:val="none" w:sz="0" w:space="0" w:color="auto"/>
        <w:right w:val="none" w:sz="0" w:space="0" w:color="auto"/>
      </w:divBdr>
    </w:div>
    <w:div w:id="356808760">
      <w:bodyDiv w:val="1"/>
      <w:marLeft w:val="0"/>
      <w:marRight w:val="0"/>
      <w:marTop w:val="0"/>
      <w:marBottom w:val="0"/>
      <w:divBdr>
        <w:top w:val="none" w:sz="0" w:space="0" w:color="auto"/>
        <w:left w:val="none" w:sz="0" w:space="0" w:color="auto"/>
        <w:bottom w:val="none" w:sz="0" w:space="0" w:color="auto"/>
        <w:right w:val="none" w:sz="0" w:space="0" w:color="auto"/>
      </w:divBdr>
    </w:div>
    <w:div w:id="490484220">
      <w:bodyDiv w:val="1"/>
      <w:marLeft w:val="0"/>
      <w:marRight w:val="0"/>
      <w:marTop w:val="0"/>
      <w:marBottom w:val="0"/>
      <w:divBdr>
        <w:top w:val="none" w:sz="0" w:space="0" w:color="auto"/>
        <w:left w:val="none" w:sz="0" w:space="0" w:color="auto"/>
        <w:bottom w:val="none" w:sz="0" w:space="0" w:color="auto"/>
        <w:right w:val="none" w:sz="0" w:space="0" w:color="auto"/>
      </w:divBdr>
    </w:div>
    <w:div w:id="1218394704">
      <w:bodyDiv w:val="1"/>
      <w:marLeft w:val="0"/>
      <w:marRight w:val="0"/>
      <w:marTop w:val="0"/>
      <w:marBottom w:val="0"/>
      <w:divBdr>
        <w:top w:val="none" w:sz="0" w:space="0" w:color="auto"/>
        <w:left w:val="none" w:sz="0" w:space="0" w:color="auto"/>
        <w:bottom w:val="none" w:sz="0" w:space="0" w:color="auto"/>
        <w:right w:val="none" w:sz="0" w:space="0" w:color="auto"/>
      </w:divBdr>
    </w:div>
    <w:div w:id="134952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Xco%20Explanatory%20Stat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db9bed2e36e4a93af574aeb444da63e xmlns="a36bd50b-1532-4c22-b385-5c082c960938">
      <Terms xmlns="http://schemas.microsoft.com/office/infopath/2007/PartnerControls"/>
    </adb9bed2e36e4a93af574aeb444da63e>
    <n99e4c9942c6404eb103464a00e6097b xmlns="a36bd50b-1532-4c22-b385-5c082c960938">
      <Terms xmlns="http://schemas.microsoft.com/office/infopath/2007/PartnerControls"/>
    </n99e4c9942c6404eb103464a00e6097b>
    <IconOverlay xmlns="http://schemas.microsoft.com/sharepoint/v4" xsi:nil="true"/>
    <pe2555c81638466f9eb614edb9ecde52 xmlns="a36bd50b-1532-4c22-b385-5c082c960938">
      <Terms xmlns="http://schemas.microsoft.com/office/infopath/2007/PartnerControls">
        <TermInfo xmlns="http://schemas.microsoft.com/office/infopath/2007/PartnerControls">
          <TermName xmlns="http://schemas.microsoft.com/office/infopath/2007/PartnerControls">Legislative Instrument</TermName>
          <TermId xmlns="http://schemas.microsoft.com/office/infopath/2007/PartnerControls">edbe159b-95f5-40e7-bf23-9dfb62f2e7f0</TermId>
        </TermInfo>
      </Terms>
    </pe2555c81638466f9eb614edb9ecde52>
    <aa25a1a23adf4c92a153145de6afe324 xmlns="a36bd50b-1532-4c22-b385-5c082c960938">
      <Terms xmlns="http://schemas.microsoft.com/office/infopath/2007/PartnerControls">
        <TermInfo xmlns="http://schemas.microsoft.com/office/infopath/2007/PartnerControls">
          <TermName xmlns="http://schemas.microsoft.com/office/infopath/2007/PartnerControls">For Official Use Only</TermName>
          <TermId xmlns="http://schemas.microsoft.com/office/infopath/2007/PartnerControls">11f6fb0b-52ce-4109-8f7f-521b2a62f692</TermId>
        </TermInfo>
      </Terms>
    </aa25a1a23adf4c92a153145de6afe324>
    <g7bcb40ba23249a78edca7d43a67c1c9 xmlns="a36bd50b-1532-4c22-b385-5c082c960938">
      <Terms xmlns="http://schemas.microsoft.com/office/infopath/2007/PartnerControls"/>
    </g7bcb40ba23249a78edca7d43a67c1c9>
    <TaxCatchAll xmlns="a36bd50b-1532-4c22-b385-5c082c960938">
      <Value>314</Value>
      <Value>24</Value>
    </TaxCatchAll>
    <ef4b2016a9804f5b8f6743ee114876c9 xmlns="06a8ef23-3c56-433f-9e1a-931c6bc25665">
      <Terms xmlns="http://schemas.microsoft.com/office/infopath/2007/PartnerControls"/>
    </ef4b2016a9804f5b8f6743ee114876c9>
    <Comments xmlns="http://schemas.microsoft.com/sharepoint/v3"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6D55852D93604AA440876A3B15BB43" ma:contentTypeVersion="16" ma:contentTypeDescription="Create a new document." ma:contentTypeScope="" ma:versionID="adb9529d6280a3fbb6a1a914e5e5c53b">
  <xsd:schema xmlns:xsd="http://www.w3.org/2001/XMLSchema" xmlns:xs="http://www.w3.org/2001/XMLSchema" xmlns:p="http://schemas.microsoft.com/office/2006/metadata/properties" xmlns:ns1="http://schemas.microsoft.com/sharepoint/v3" xmlns:ns2="a36bd50b-1532-4c22-b385-5c082c960938" xmlns:ns3="06a8ef23-3c56-433f-9e1a-931c6bc25665" xmlns:ns4="http://schemas.microsoft.com/sharepoint/v4" targetNamespace="http://schemas.microsoft.com/office/2006/metadata/properties" ma:root="true" ma:fieldsID="6d61d36ce7c6d93504eea199f6974227" ns1:_="" ns2:_="" ns3:_="" ns4:_="">
    <xsd:import namespace="http://schemas.microsoft.com/sharepoint/v3"/>
    <xsd:import namespace="a36bd50b-1532-4c22-b385-5c082c960938"/>
    <xsd:import namespace="06a8ef23-3c56-433f-9e1a-931c6bc25665"/>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3:ef4b2016a9804f5b8f6743ee114876c9"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b105633c-b4a4-410d-9aa1-03dbcd2659c8}" ma:internalName="TaxCatchAll" ma:showField="CatchAllData" ma:web="06a8ef23-3c56-433f-9e1a-931c6bc25665">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9d462c63-7003-4b1e-942d-e9594199c0e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a8ef23-3c56-433f-9e1a-931c6bc25665"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f4b2016a9804f5b8f6743ee114876c9" ma:index="25" nillable="true" ma:taxonomy="true" ma:internalName="ef4b2016a9804f5b8f6743ee114876c9" ma:taxonomyFieldName="DocHub_RegulatoryFrameworksLegislationType" ma:displayName="Legislation Type" ma:indexed="true" ma:default="" ma:fieldId="{ef4b2016-a980-4f5b-8f67-43ee114876c9}" ma:sspId="fb0313f7-9433-48c0-866e-9e0bbee59a50" ma:termSetId="1fc38da8-8d02-4a98-9599-72eda239dce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C9033-3E77-43CB-8AA0-E65435C01CB7}">
  <ds:schemaRefs>
    <ds:schemaRef ds:uri="http://schemas.openxmlformats.org/package/2006/metadata/core-properties"/>
    <ds:schemaRef ds:uri="http://purl.org/dc/elements/1.1/"/>
    <ds:schemaRef ds:uri="http://schemas.microsoft.com/office/infopath/2007/PartnerControls"/>
    <ds:schemaRef ds:uri="http://schemas.microsoft.com/office/2006/documentManagement/types"/>
    <ds:schemaRef ds:uri="http://purl.org/dc/terms/"/>
    <ds:schemaRef ds:uri="a36bd50b-1532-4c22-b385-5c082c960938"/>
    <ds:schemaRef ds:uri="http://purl.org/dc/dcmitype/"/>
    <ds:schemaRef ds:uri="http://schemas.microsoft.com/sharepoint/v4"/>
    <ds:schemaRef ds:uri="06a8ef23-3c56-433f-9e1a-931c6bc25665"/>
    <ds:schemaRef ds:uri="http://schemas.microsoft.com/sharepoint/v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D20E0F7-F6D1-4842-BDB4-41E07B598647}">
  <ds:schemaRefs>
    <ds:schemaRef ds:uri="http://schemas.microsoft.com/sharepoint/events"/>
  </ds:schemaRefs>
</ds:datastoreItem>
</file>

<file path=customXml/itemProps3.xml><?xml version="1.0" encoding="utf-8"?>
<ds:datastoreItem xmlns:ds="http://schemas.openxmlformats.org/officeDocument/2006/customXml" ds:itemID="{F6EDBEFE-73E6-499D-9329-D3DD4A47A1D6}">
  <ds:schemaRefs>
    <ds:schemaRef ds:uri="http://schemas.microsoft.com/sharepoint/v3/contenttype/forms"/>
  </ds:schemaRefs>
</ds:datastoreItem>
</file>

<file path=customXml/itemProps4.xml><?xml version="1.0" encoding="utf-8"?>
<ds:datastoreItem xmlns:ds="http://schemas.openxmlformats.org/officeDocument/2006/customXml" ds:itemID="{0602762F-7BA3-4BE6-9A0F-8C29393C22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06a8ef23-3c56-433f-9e1a-931c6bc2566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403E64-F2A5-4518-AEB1-8B22D67F9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Xco Explanatory Statement</Template>
  <TotalTime>0</TotalTime>
  <Pages>4</Pages>
  <Words>803</Words>
  <Characters>4799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2019 Explanatory Statement- Package 1 (UAG, Scope 2)</vt:lpstr>
    </vt:vector>
  </TitlesOfParts>
  <Company>ATO</Company>
  <LinksUpToDate>false</LinksUpToDate>
  <CharactersWithSpaces>5591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Explanatory Statement- Package 1 (UAG, Scope 2)</dc:title>
  <dc:creator>Kiang, Tommy</dc:creator>
  <cp:lastModifiedBy>Wade, Lisa</cp:lastModifiedBy>
  <cp:revision>2</cp:revision>
  <cp:lastPrinted>2020-06-29T03:29:00Z</cp:lastPrinted>
  <dcterms:created xsi:type="dcterms:W3CDTF">2020-06-30T01:57:00Z</dcterms:created>
  <dcterms:modified xsi:type="dcterms:W3CDTF">2020-06-30T01:57:00Z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0x010100896D55852D93604AA440876A3B15BB43</vt:lpwstr>
  </property>
  <property fmtid="{D5CDD505-2E9C-101B-9397-08002B2CF9AE}" pid="4" name="_dlc_DocIdItemGuid">
    <vt:lpwstr>8de186f9-cbec-4100-a06c-5656481bb452</vt:lpwstr>
  </property>
  <property fmtid="{D5CDD505-2E9C-101B-9397-08002B2CF9AE}" pid="5" name="RecordPoint_ActiveItemUniqueId">
    <vt:lpwstr>{867636ec-f8ac-488a-8482-14b18334501a}</vt:lpwstr>
  </property>
  <property fmtid="{D5CDD505-2E9C-101B-9397-08002B2CF9AE}" pid="6" name="RecordPoint_WorkflowType">
    <vt:lpwstr>ActiveSubmitStub</vt:lpwstr>
  </property>
  <property fmtid="{D5CDD505-2E9C-101B-9397-08002B2CF9AE}" pid="7" name="RecordPoint_SubmissionDate">
    <vt:lpwstr/>
  </property>
  <property fmtid="{D5CDD505-2E9C-101B-9397-08002B2CF9AE}" pid="8" name="RecordPoint_RecordNumberSubmitted">
    <vt:lpwstr>002839944</vt:lpwstr>
  </property>
  <property fmtid="{D5CDD505-2E9C-101B-9397-08002B2CF9AE}" pid="9" name="RecordPoint_ActiveItemMoved">
    <vt:lpwstr/>
  </property>
  <property fmtid="{D5CDD505-2E9C-101B-9397-08002B2CF9AE}" pid="10" name="RecordPoint_SubmissionCompleted">
    <vt:lpwstr>2019-06-04T06:26:22.1173898+10:00</vt:lpwstr>
  </property>
  <property fmtid="{D5CDD505-2E9C-101B-9397-08002B2CF9AE}" pid="11" name="RecordPoint_RecordFormat">
    <vt:lpwstr/>
  </property>
  <property fmtid="{D5CDD505-2E9C-101B-9397-08002B2CF9AE}" pid="12" name="RecordPoint_ActiveItemWebId">
    <vt:lpwstr>{2059673b-20f6-40c5-8fb8-ce838aef26a0}</vt:lpwstr>
  </property>
  <property fmtid="{D5CDD505-2E9C-101B-9397-08002B2CF9AE}" pid="13" name="RecordPoint_ActiveItemSiteId">
    <vt:lpwstr>{22ddc83e-3d55-4f4b-84b0-b8f29513b89f}</vt:lpwstr>
  </property>
  <property fmtid="{D5CDD505-2E9C-101B-9397-08002B2CF9AE}" pid="14" name="RecordPoint_ActiveItemListId">
    <vt:lpwstr>{e6c83a4c-6c4c-4890-af15-8d1f7414f297}</vt:lpwstr>
  </property>
  <property fmtid="{D5CDD505-2E9C-101B-9397-08002B2CF9AE}" pid="15" name="IconOverlay">
    <vt:lpwstr/>
  </property>
  <property fmtid="{D5CDD505-2E9C-101B-9397-08002B2CF9AE}" pid="16" name="ObjectiveRef">
    <vt:lpwstr>Removed</vt:lpwstr>
  </property>
  <property fmtid="{D5CDD505-2E9C-101B-9397-08002B2CF9AE}" pid="17" name="LeadingLawyers">
    <vt:lpwstr>Removed</vt:lpwstr>
  </property>
  <property fmtid="{D5CDD505-2E9C-101B-9397-08002B2CF9AE}" pid="18" name="DocHub_Year">
    <vt:lpwstr/>
  </property>
  <property fmtid="{D5CDD505-2E9C-101B-9397-08002B2CF9AE}" pid="19" name="DocHub_DocumentType">
    <vt:lpwstr>314;#Legislative Instrument|edbe159b-95f5-40e7-bf23-9dfb62f2e7f0</vt:lpwstr>
  </property>
  <property fmtid="{D5CDD505-2E9C-101B-9397-08002B2CF9AE}" pid="20" name="DocHub_SecurityClassification">
    <vt:lpwstr>24;#For Official Use Only|11f6fb0b-52ce-4109-8f7f-521b2a62f692</vt:lpwstr>
  </property>
  <property fmtid="{D5CDD505-2E9C-101B-9397-08002B2CF9AE}" pid="21" name="DocHub_WorkActivity">
    <vt:lpwstr/>
  </property>
  <property fmtid="{D5CDD505-2E9C-101B-9397-08002B2CF9AE}" pid="22" name="DocHub_RegulatoryFrameworksLegislationType">
    <vt:lpwstr/>
  </property>
  <property fmtid="{D5CDD505-2E9C-101B-9397-08002B2CF9AE}" pid="23" name="DocHub_Keywords">
    <vt:lpwstr/>
  </property>
</Properties>
</file>