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57EAA" w14:textId="77777777" w:rsidR="00F109D4" w:rsidRPr="00731FEA" w:rsidRDefault="00F109D4" w:rsidP="00647BB7">
      <w:pPr>
        <w:pStyle w:val="Heading1"/>
        <w:spacing w:after="360"/>
        <w:rPr>
          <w:rFonts w:ascii="Times New Roman" w:hAnsi="Times New Roman"/>
          <w:sz w:val="24"/>
          <w:szCs w:val="24"/>
        </w:rPr>
      </w:pPr>
      <w:r w:rsidRPr="00731FEA">
        <w:rPr>
          <w:rFonts w:ascii="Times New Roman" w:hAnsi="Times New Roman"/>
          <w:sz w:val="24"/>
          <w:szCs w:val="24"/>
        </w:rPr>
        <w:t>EXPLANATORY STATEMENT</w:t>
      </w:r>
    </w:p>
    <w:p w14:paraId="38F8FBED" w14:textId="2C64AF3D" w:rsidR="007662C7" w:rsidRPr="00731FEA" w:rsidRDefault="00F109D4" w:rsidP="003E1CE3">
      <w:pPr>
        <w:pStyle w:val="Heading2"/>
        <w:jc w:val="center"/>
        <w:rPr>
          <w:sz w:val="24"/>
          <w:szCs w:val="24"/>
        </w:rPr>
      </w:pPr>
      <w:r w:rsidRPr="007B335E">
        <w:rPr>
          <w:sz w:val="24"/>
          <w:szCs w:val="24"/>
        </w:rPr>
        <w:t>Issued by authority of the</w:t>
      </w:r>
      <w:r w:rsidR="00076178" w:rsidRPr="00731FEA">
        <w:rPr>
          <w:sz w:val="24"/>
          <w:szCs w:val="24"/>
        </w:rPr>
        <w:t xml:space="preserve"> </w:t>
      </w:r>
      <w:sdt>
        <w:sdtPr>
          <w:rPr>
            <w:sz w:val="24"/>
            <w:szCs w:val="24"/>
          </w:rPr>
          <w:id w:val="435951383"/>
          <w:placeholder>
            <w:docPart w:val="5461C28AFBD1495B8ED0A136DAD66F16"/>
          </w:placeholder>
          <w:dropDownList>
            <w:listItem w:value="Choose an item."/>
            <w:listItem w:displayText="Treasurer" w:value="Treasurer"/>
            <w:listItem w:displayText="Minister for Population, Cities and Urban Infrastructure" w:value="Minister for Population, Cities and Urban Infrastructure"/>
            <w:listItem w:displayText="Minister for Housing and Assistant Treasurer" w:value="Minister for Housing and Assistant Treasurer"/>
            <w:listItem w:displayText="Assistant Minister for Superannuation, Financial Services and Financial Technology" w:value="Assistant Minister for Superannuation, Financial Services and Financial Technology"/>
            <w:listItem w:displayText="Assistant Minister for Finance, Charities and Electoral Matters" w:value="Assistant Minister for Finance, Charities and Electoral Matters"/>
            <w:listItem w:displayText="Assistant Treasurer" w:value="Assistant Treasurer"/>
          </w:dropDownList>
        </w:sdtPr>
        <w:sdtEndPr/>
        <w:sdtContent>
          <w:r w:rsidR="00D25D4B">
            <w:rPr>
              <w:sz w:val="24"/>
              <w:szCs w:val="24"/>
            </w:rPr>
            <w:t>Assistant Minister for Superannuation, Financial Services and Financial Technology</w:t>
          </w:r>
        </w:sdtContent>
      </w:sdt>
    </w:p>
    <w:p w14:paraId="42E58778" w14:textId="4C30FAF7" w:rsidR="00F109D4" w:rsidRDefault="00FF4E04" w:rsidP="003C7907">
      <w:pPr>
        <w:spacing w:before="240" w:after="240"/>
        <w:jc w:val="center"/>
        <w:rPr>
          <w:i/>
        </w:rPr>
      </w:pPr>
      <w:r>
        <w:rPr>
          <w:i/>
        </w:rPr>
        <w:t xml:space="preserve">Coronavirus </w:t>
      </w:r>
      <w:r w:rsidR="0015776C">
        <w:rPr>
          <w:i/>
        </w:rPr>
        <w:t>Economic Response Package Omnibus Act 2020</w:t>
      </w:r>
    </w:p>
    <w:p w14:paraId="7A8ACE4C" w14:textId="1773F36F" w:rsidR="00F109D4" w:rsidRPr="00503E44" w:rsidRDefault="00E90D51" w:rsidP="00AA1689">
      <w:pPr>
        <w:tabs>
          <w:tab w:val="left" w:pos="1418"/>
        </w:tabs>
        <w:spacing w:before="0" w:after="240"/>
        <w:jc w:val="center"/>
        <w:rPr>
          <w:i/>
        </w:rPr>
      </w:pPr>
      <w:r>
        <w:rPr>
          <w:i/>
        </w:rPr>
        <w:t>Coronavirus Economic Response Package (Deferral of Sunsetting</w:t>
      </w:r>
      <w:r w:rsidR="00DE6457">
        <w:rPr>
          <w:i/>
        </w:rPr>
        <w:t xml:space="preserve">—Treasury Portfolio </w:t>
      </w:r>
      <w:r w:rsidR="004C2EEC">
        <w:rPr>
          <w:i/>
        </w:rPr>
        <w:t>Instruments</w:t>
      </w:r>
      <w:r>
        <w:rPr>
          <w:i/>
        </w:rPr>
        <w:t>) Determination 2020</w:t>
      </w:r>
    </w:p>
    <w:p w14:paraId="06CBE35C" w14:textId="3EF60F2F" w:rsidR="004018C8" w:rsidRDefault="0047729C" w:rsidP="00647BB7">
      <w:pPr>
        <w:spacing w:before="240"/>
      </w:pPr>
      <w:r>
        <w:t>In March 2020</w:t>
      </w:r>
      <w:r w:rsidR="00CF6F36">
        <w:t>,</w:t>
      </w:r>
      <w:r w:rsidR="00486646">
        <w:t xml:space="preserve"> the Government announced its economic response to the spread of the Coronavirus </w:t>
      </w:r>
      <w:r w:rsidR="00733D2D">
        <w:t>known as COVID-19, including measures in t</w:t>
      </w:r>
      <w:r w:rsidR="00486646">
        <w:t xml:space="preserve">he </w:t>
      </w:r>
      <w:r w:rsidR="00486646" w:rsidRPr="0015776C">
        <w:rPr>
          <w:i/>
        </w:rPr>
        <w:t>Coronavirus Economic Response Package Omnibus Act 2020</w:t>
      </w:r>
      <w:r w:rsidR="00C3741A">
        <w:rPr>
          <w:i/>
        </w:rPr>
        <w:t xml:space="preserve"> </w:t>
      </w:r>
      <w:r w:rsidR="00C3741A">
        <w:t>(the Act)</w:t>
      </w:r>
      <w:r w:rsidR="00486646">
        <w:t xml:space="preserve">. </w:t>
      </w:r>
      <w:r w:rsidR="00C157FF">
        <w:t>Schedule 16 to t</w:t>
      </w:r>
      <w:r w:rsidR="00C3741A">
        <w:t>he Act</w:t>
      </w:r>
      <w:r w:rsidR="00C157FF">
        <w:t xml:space="preserve"> provides that</w:t>
      </w:r>
      <w:r w:rsidR="00C3741A">
        <w:t xml:space="preserve"> </w:t>
      </w:r>
      <w:r w:rsidR="009C5018">
        <w:t>a</w:t>
      </w:r>
      <w:r w:rsidR="00897DC9">
        <w:t xml:space="preserve"> Minister </w:t>
      </w:r>
      <w:r w:rsidR="0094208C">
        <w:t xml:space="preserve">who administers </w:t>
      </w:r>
      <w:r w:rsidR="00897DC9">
        <w:t>legislation</w:t>
      </w:r>
      <w:r w:rsidR="0043537F">
        <w:t xml:space="preserve"> in the Minister’s portfolio</w:t>
      </w:r>
      <w:r w:rsidR="00FE4958">
        <w:t xml:space="preserve"> that is due to suns</w:t>
      </w:r>
      <w:r w:rsidR="00600207">
        <w:t>et on or before 15 October 2020</w:t>
      </w:r>
      <w:r w:rsidR="00897DC9">
        <w:t xml:space="preserve"> </w:t>
      </w:r>
      <w:r w:rsidR="00DE6457">
        <w:t>may</w:t>
      </w:r>
      <w:r w:rsidR="00897DC9">
        <w:t xml:space="preserve"> defer</w:t>
      </w:r>
      <w:r w:rsidR="00C157FF">
        <w:t>,</w:t>
      </w:r>
      <w:r w:rsidR="00897DC9">
        <w:t xml:space="preserve"> by up to </w:t>
      </w:r>
      <w:r w:rsidR="000E35BC">
        <w:t>six</w:t>
      </w:r>
      <w:r w:rsidR="00897DC9">
        <w:t xml:space="preserve"> months</w:t>
      </w:r>
      <w:r w:rsidR="00C157FF">
        <w:t>,</w:t>
      </w:r>
      <w:r w:rsidR="00897DC9">
        <w:t xml:space="preserve"> the sunsetting date of that legislation.</w:t>
      </w:r>
    </w:p>
    <w:p w14:paraId="75569B2B" w14:textId="667DE0F1" w:rsidR="00C37E05" w:rsidRDefault="008B6E5C" w:rsidP="00647BB7">
      <w:pPr>
        <w:spacing w:before="240"/>
      </w:pPr>
      <w:r>
        <w:t>Ordinarily</w:t>
      </w:r>
      <w:r w:rsidR="00B53E4F">
        <w:t xml:space="preserve">, </w:t>
      </w:r>
      <w:r>
        <w:t xml:space="preserve">the </w:t>
      </w:r>
      <w:r w:rsidR="00326511">
        <w:t>Attorney</w:t>
      </w:r>
      <w:r w:rsidR="00B53E4F">
        <w:noBreakHyphen/>
      </w:r>
      <w:r w:rsidR="00326511">
        <w:t xml:space="preserve">General is responsible for deferring the sunsetting date of </w:t>
      </w:r>
      <w:r w:rsidR="0043537F">
        <w:t xml:space="preserve">all </w:t>
      </w:r>
      <w:r w:rsidR="00DE6457">
        <w:t>legislative instruments</w:t>
      </w:r>
      <w:r w:rsidR="00D75C1D">
        <w:t xml:space="preserve"> </w:t>
      </w:r>
      <w:r w:rsidR="00DE6457">
        <w:t xml:space="preserve">by way of </w:t>
      </w:r>
      <w:r w:rsidR="00D75C1D">
        <w:t xml:space="preserve">a certificate made under paragraph 51(1)(c) of the </w:t>
      </w:r>
      <w:r w:rsidR="00D75C1D">
        <w:rPr>
          <w:i/>
        </w:rPr>
        <w:t>Legislation Act 2003</w:t>
      </w:r>
      <w:r w:rsidR="00326511">
        <w:t xml:space="preserve">. However, </w:t>
      </w:r>
      <w:r w:rsidR="00847A20">
        <w:t xml:space="preserve">time and resource constraints during the </w:t>
      </w:r>
      <w:r w:rsidR="00DE6457">
        <w:t xml:space="preserve">current </w:t>
      </w:r>
      <w:r w:rsidR="00847A20">
        <w:t>Coronavirus pandemic necessitates a more streamlined approach</w:t>
      </w:r>
      <w:r w:rsidR="007F1B2E">
        <w:t>, such that responsibi</w:t>
      </w:r>
      <w:r w:rsidR="0043537F">
        <w:t>lity is given to each portfolio to defer the sun</w:t>
      </w:r>
      <w:r w:rsidR="00766C32">
        <w:t>s</w:t>
      </w:r>
      <w:r w:rsidR="0043537F">
        <w:t xml:space="preserve">etting </w:t>
      </w:r>
      <w:r w:rsidR="00DE6457">
        <w:t>of legislation for which it has administrative responsibility</w:t>
      </w:r>
      <w:r w:rsidR="0043537F">
        <w:t>.</w:t>
      </w:r>
      <w:r w:rsidR="00DC3A0A">
        <w:t xml:space="preserve"> Deferring the sunsetting date </w:t>
      </w:r>
      <w:r w:rsidR="002425FB">
        <w:t xml:space="preserve">provides sufficient time to </w:t>
      </w:r>
      <w:r w:rsidR="00DE6457">
        <w:t xml:space="preserve">properly </w:t>
      </w:r>
      <w:r w:rsidR="00600207">
        <w:t xml:space="preserve">review and </w:t>
      </w:r>
      <w:r w:rsidR="00DC3A0A">
        <w:t>remake the</w:t>
      </w:r>
      <w:r w:rsidR="00F76505">
        <w:t xml:space="preserve"> sunsetting</w:t>
      </w:r>
      <w:r w:rsidR="00DC3A0A">
        <w:t xml:space="preserve"> legislation, following public consultation processes.</w:t>
      </w:r>
    </w:p>
    <w:p w14:paraId="168BC027" w14:textId="062B6268" w:rsidR="002C226C" w:rsidRDefault="0024072B" w:rsidP="00F15EE9">
      <w:r>
        <w:t xml:space="preserve">The </w:t>
      </w:r>
      <w:r w:rsidR="00E90D51" w:rsidRPr="004D05AD">
        <w:rPr>
          <w:i/>
        </w:rPr>
        <w:t>Coronavirus Economic Response Package (Deferral of Sunsetting</w:t>
      </w:r>
      <w:r w:rsidR="004C2EEC">
        <w:rPr>
          <w:i/>
        </w:rPr>
        <w:t>—Treasury Portfolio Instruments</w:t>
      </w:r>
      <w:r w:rsidR="00E90D51" w:rsidRPr="004D05AD">
        <w:rPr>
          <w:i/>
        </w:rPr>
        <w:t>) Determination 2020</w:t>
      </w:r>
      <w:r w:rsidR="00E90D51" w:rsidRPr="00E90D51" w:rsidDel="00E90D51">
        <w:t xml:space="preserve"> </w:t>
      </w:r>
      <w:r>
        <w:t xml:space="preserve">(the Determination) </w:t>
      </w:r>
      <w:r w:rsidR="00952082">
        <w:t>defers the sunsetting date of</w:t>
      </w:r>
      <w:r w:rsidR="00B53E4F">
        <w:t xml:space="preserve"> the</w:t>
      </w:r>
      <w:r w:rsidR="00952082">
        <w:t xml:space="preserve"> </w:t>
      </w:r>
      <w:r w:rsidR="00952082" w:rsidRPr="00952082">
        <w:rPr>
          <w:i/>
        </w:rPr>
        <w:t>ASIC Class Order [CO 10/407]</w:t>
      </w:r>
      <w:r w:rsidR="00952082">
        <w:t xml:space="preserve">, </w:t>
      </w:r>
      <w:r w:rsidR="00952082" w:rsidRPr="008F6073">
        <w:rPr>
          <w:i/>
        </w:rPr>
        <w:t>ASIC Class Order [CO 10/654]</w:t>
      </w:r>
      <w:r w:rsidR="00952082">
        <w:t xml:space="preserve"> and </w:t>
      </w:r>
      <w:r w:rsidR="00952082" w:rsidRPr="00677FCD">
        <w:rPr>
          <w:i/>
        </w:rPr>
        <w:t>Australian Securities and Investments Commission Act 2001 – Takeovers Panel – Procedural Rules (12/04/2010)</w:t>
      </w:r>
      <w:r w:rsidR="00952082">
        <w:t xml:space="preserve"> until 1 April 2021. </w:t>
      </w:r>
    </w:p>
    <w:p w14:paraId="0A5751A4" w14:textId="7AF3281D" w:rsidR="00C37E05" w:rsidRDefault="00E67CFE" w:rsidP="002C226C">
      <w:pPr>
        <w:spacing w:before="240"/>
      </w:pPr>
      <w:r>
        <w:t xml:space="preserve">The Act specifies no conditions that need to be met before the power to make the Determination is exercised. </w:t>
      </w:r>
    </w:p>
    <w:p w14:paraId="52E3C044" w14:textId="671D58E0" w:rsidR="0088467C" w:rsidRDefault="00B4576C" w:rsidP="00647BB7">
      <w:pPr>
        <w:spacing w:before="240"/>
      </w:pPr>
      <w:r>
        <w:t xml:space="preserve">The </w:t>
      </w:r>
      <w:r w:rsidR="004C2EEC">
        <w:t xml:space="preserve">Australian Securities and Investments Commission </w:t>
      </w:r>
      <w:r w:rsidR="007C3E4C">
        <w:t xml:space="preserve">and the Takeovers Panel </w:t>
      </w:r>
      <w:r w:rsidR="00B53E4F">
        <w:t xml:space="preserve">requested </w:t>
      </w:r>
      <w:r w:rsidR="007C3E4C">
        <w:t>the deferral of the</w:t>
      </w:r>
      <w:r w:rsidR="00B53E4F">
        <w:t xml:space="preserve"> sunsetting of the</w:t>
      </w:r>
      <w:r w:rsidR="007C3E4C">
        <w:t xml:space="preserve"> legislative instruments </w:t>
      </w:r>
      <w:r w:rsidR="00AE6EE0">
        <w:t>that</w:t>
      </w:r>
      <w:r w:rsidR="004B2371">
        <w:t xml:space="preserve"> </w:t>
      </w:r>
      <w:r w:rsidR="00EF300A">
        <w:t xml:space="preserve">are </w:t>
      </w:r>
      <w:r w:rsidR="007C3E4C">
        <w:t>the subject of this Determination</w:t>
      </w:r>
      <w:r w:rsidR="00B53E4F">
        <w:t xml:space="preserve"> as the preparation of </w:t>
      </w:r>
      <w:r w:rsidR="00A012E5">
        <w:t xml:space="preserve">replacement instruments was delayed by urgent work </w:t>
      </w:r>
      <w:r w:rsidR="004D05AD">
        <w:t>in response to the Coronavirus pandemic</w:t>
      </w:r>
      <w:r w:rsidR="004C2EEC">
        <w:t xml:space="preserve"> and constr</w:t>
      </w:r>
      <w:bookmarkStart w:id="0" w:name="_GoBack"/>
      <w:bookmarkEnd w:id="0"/>
      <w:r w:rsidR="004C2EEC">
        <w:t>aints on public consultation as a result of the availability of stakeholders</w:t>
      </w:r>
      <w:r w:rsidR="007C3E4C">
        <w:t>.</w:t>
      </w:r>
    </w:p>
    <w:p w14:paraId="351617D3" w14:textId="77777777" w:rsidR="001754CC" w:rsidRDefault="001754CC" w:rsidP="001754CC">
      <w:pPr>
        <w:spacing w:before="240"/>
      </w:pPr>
      <w:r>
        <w:lastRenderedPageBreak/>
        <w:t xml:space="preserve">The Australian Securities and Investments Commission and the Takeovers Panel were consulted in making the Determination and supported the Determination. The Attorney-General’s Department was provided an opportunity to comment on the Determination and expressed no concerns. The Office of Best Practice Regulation was also consulted. It advised that a regulation impact statement was not required for the Determination, as the Determination merely postpones consideration of whether a regulation impact statement needs to be prepared for each of the legislative instruments that has its sunsetting date deferred. No public consultation was undertaken as the instrument is machinery in nature. </w:t>
      </w:r>
    </w:p>
    <w:p w14:paraId="7AD51145" w14:textId="1232C26C" w:rsidR="002C226C" w:rsidRDefault="002C226C" w:rsidP="001754CC">
      <w:pPr>
        <w:spacing w:before="240"/>
      </w:pPr>
      <w:r>
        <w:t xml:space="preserve">Details of the </w:t>
      </w:r>
      <w:r w:rsidR="004C2EEC">
        <w:t xml:space="preserve">Determination </w:t>
      </w:r>
      <w:r w:rsidR="00EB2AEF">
        <w:t>are set out in</w:t>
      </w:r>
      <w:r>
        <w:t xml:space="preserve"> </w:t>
      </w:r>
      <w:r w:rsidRPr="00317816">
        <w:rPr>
          <w:u w:val="single"/>
        </w:rPr>
        <w:t>Attachment</w:t>
      </w:r>
      <w:r w:rsidR="00EB2AEF">
        <w:rPr>
          <w:u w:val="single"/>
        </w:rPr>
        <w:t xml:space="preserve"> </w:t>
      </w:r>
      <w:r w:rsidR="00307C38">
        <w:rPr>
          <w:u w:val="single"/>
        </w:rPr>
        <w:t>A</w:t>
      </w:r>
      <w:r w:rsidR="00B53E4F">
        <w:rPr>
          <w:u w:val="single"/>
        </w:rPr>
        <w:t>.</w:t>
      </w:r>
      <w:r w:rsidR="00013390">
        <w:t xml:space="preserve"> </w:t>
      </w:r>
    </w:p>
    <w:p w14:paraId="5B0487B7" w14:textId="30333B1A" w:rsidR="002C226C" w:rsidRDefault="002C226C" w:rsidP="004C3F60">
      <w:pPr>
        <w:spacing w:before="240"/>
        <w:ind w:right="-483"/>
      </w:pPr>
      <w:r>
        <w:t>The</w:t>
      </w:r>
      <w:r w:rsidRPr="00D3322F">
        <w:t xml:space="preserve"> </w:t>
      </w:r>
      <w:r w:rsidR="0024072B">
        <w:t xml:space="preserve">Determination is </w:t>
      </w:r>
      <w:r w:rsidRPr="00D3322F">
        <w:t>a legislative instrument for the purposes of the</w:t>
      </w:r>
      <w:r w:rsidRPr="00322524">
        <w:t xml:space="preserve"> </w:t>
      </w:r>
      <w:r w:rsidRPr="00D3322F">
        <w:rPr>
          <w:i/>
        </w:rPr>
        <w:t>Legislation Act 2003</w:t>
      </w:r>
      <w:r w:rsidRPr="00D3322F">
        <w:t>.</w:t>
      </w:r>
    </w:p>
    <w:p w14:paraId="57D76DCB" w14:textId="66BB8E94" w:rsidR="009143A0" w:rsidRPr="00647BB7" w:rsidRDefault="0024072B" w:rsidP="00647BB7">
      <w:pPr>
        <w:spacing w:before="240"/>
        <w:rPr>
          <w:i/>
        </w:rPr>
      </w:pPr>
      <w:r>
        <w:t xml:space="preserve">The Determination </w:t>
      </w:r>
      <w:r w:rsidR="00307C38">
        <w:t>commenced on the day after it was registered.</w:t>
      </w:r>
    </w:p>
    <w:p w14:paraId="4BB2781B" w14:textId="4459B7FB" w:rsidR="00EB2AEF" w:rsidRPr="00013390" w:rsidRDefault="00EB2AEF" w:rsidP="00647BB7">
      <w:pPr>
        <w:spacing w:before="240"/>
      </w:pPr>
      <w:r>
        <w:t xml:space="preserve">A statement of Compatibility with Human Rights is at </w:t>
      </w:r>
      <w:r w:rsidRPr="000B39A1">
        <w:rPr>
          <w:u w:val="single"/>
        </w:rPr>
        <w:t xml:space="preserve">Attachment </w:t>
      </w:r>
      <w:r w:rsidR="00952082">
        <w:rPr>
          <w:u w:val="single"/>
        </w:rPr>
        <w:t>B</w:t>
      </w:r>
      <w:r w:rsidR="00475444">
        <w:t>.</w:t>
      </w:r>
    </w:p>
    <w:p w14:paraId="18B67DF3" w14:textId="1C017EEC" w:rsidR="00EA4DD8" w:rsidRDefault="00EA4DD8" w:rsidP="00EA4DD8">
      <w:pPr>
        <w:pageBreakBefore/>
        <w:spacing w:before="240"/>
        <w:jc w:val="right"/>
        <w:rPr>
          <w:b/>
          <w:u w:val="single"/>
        </w:rPr>
      </w:pPr>
      <w:r w:rsidRPr="007B335E">
        <w:rPr>
          <w:b/>
          <w:u w:val="single"/>
        </w:rPr>
        <w:lastRenderedPageBreak/>
        <w:t xml:space="preserve">ATTACHMENT </w:t>
      </w:r>
      <w:r w:rsidR="00F04ED1">
        <w:rPr>
          <w:b/>
          <w:u w:val="single"/>
        </w:rPr>
        <w:t>A</w:t>
      </w:r>
    </w:p>
    <w:p w14:paraId="2C0A9A76" w14:textId="40F3E775" w:rsidR="00EA4DD8" w:rsidRDefault="00EA4DD8" w:rsidP="00EA4DD8">
      <w:pPr>
        <w:spacing w:before="240"/>
        <w:ind w:right="91"/>
        <w:rPr>
          <w:b/>
          <w:bCs/>
          <w:szCs w:val="24"/>
          <w:u w:val="single"/>
        </w:rPr>
      </w:pPr>
      <w:r>
        <w:rPr>
          <w:b/>
          <w:bCs/>
          <w:u w:val="single"/>
        </w:rPr>
        <w:t xml:space="preserve">Details of </w:t>
      </w:r>
      <w:r w:rsidRPr="00A468CC">
        <w:rPr>
          <w:b/>
          <w:bCs/>
          <w:u w:val="single"/>
        </w:rPr>
        <w:t xml:space="preserve">the </w:t>
      </w:r>
      <w:r w:rsidR="00936FB6" w:rsidRPr="00300788">
        <w:rPr>
          <w:b/>
          <w:bCs/>
          <w:i/>
          <w:u w:val="single"/>
        </w:rPr>
        <w:t>Coronavirus Economic Response Package (Deferral of Sunsetting</w:t>
      </w:r>
      <w:r w:rsidR="004C2EEC" w:rsidRPr="0099454B">
        <w:rPr>
          <w:b/>
          <w:i/>
          <w:u w:val="single"/>
        </w:rPr>
        <w:t>—Treasury Portfolio Instruments</w:t>
      </w:r>
      <w:r w:rsidR="00936FB6" w:rsidRPr="0099454B">
        <w:rPr>
          <w:b/>
          <w:bCs/>
          <w:i/>
          <w:u w:val="single"/>
        </w:rPr>
        <w:t>)</w:t>
      </w:r>
      <w:r w:rsidR="00936FB6" w:rsidRPr="00300788">
        <w:rPr>
          <w:b/>
          <w:bCs/>
          <w:i/>
          <w:u w:val="single"/>
        </w:rPr>
        <w:t xml:space="preserve"> Determination 2020</w:t>
      </w:r>
      <w:r w:rsidR="00936FB6" w:rsidRPr="00936FB6" w:rsidDel="00936FB6">
        <w:rPr>
          <w:b/>
          <w:bCs/>
          <w:u w:val="single"/>
        </w:rPr>
        <w:t xml:space="preserve"> </w:t>
      </w:r>
    </w:p>
    <w:p w14:paraId="2DD469C6" w14:textId="2FF8187E" w:rsidR="00EA4DD8" w:rsidRDefault="00EA4DD8" w:rsidP="00EA4DD8">
      <w:pPr>
        <w:spacing w:before="240"/>
        <w:rPr>
          <w:rFonts w:ascii="Calibri" w:hAnsi="Calibri"/>
          <w:sz w:val="22"/>
          <w:szCs w:val="22"/>
          <w:u w:val="single"/>
          <w:lang w:eastAsia="en-US"/>
        </w:rPr>
      </w:pPr>
      <w:r>
        <w:rPr>
          <w:u w:val="single"/>
        </w:rPr>
        <w:t xml:space="preserve">Section 1 – Name of the </w:t>
      </w:r>
      <w:r w:rsidR="00813930">
        <w:rPr>
          <w:u w:val="single"/>
        </w:rPr>
        <w:t>Determination</w:t>
      </w:r>
    </w:p>
    <w:p w14:paraId="192E6702" w14:textId="68035416" w:rsidR="00A468CC" w:rsidRDefault="00EA4DD8" w:rsidP="00EA4DD8">
      <w:pPr>
        <w:spacing w:before="240"/>
      </w:pPr>
      <w:r>
        <w:t xml:space="preserve">This section provides that the name of the </w:t>
      </w:r>
      <w:r w:rsidR="00A468CC">
        <w:t xml:space="preserve">Determination is the </w:t>
      </w:r>
      <w:r w:rsidR="00936FB6" w:rsidRPr="00C15997">
        <w:rPr>
          <w:i/>
        </w:rPr>
        <w:t>Coronavirus Economic Response Package (Deferral of Sunsetting</w:t>
      </w:r>
      <w:r w:rsidR="004C2EEC">
        <w:rPr>
          <w:i/>
        </w:rPr>
        <w:t>—Treasury Portfolio Instruments</w:t>
      </w:r>
      <w:r w:rsidR="00936FB6" w:rsidRPr="00C15997">
        <w:rPr>
          <w:i/>
        </w:rPr>
        <w:t>) Determination 2020</w:t>
      </w:r>
      <w:r w:rsidR="00A468CC">
        <w:t>.</w:t>
      </w:r>
    </w:p>
    <w:p w14:paraId="6C220AB2" w14:textId="77777777" w:rsidR="00EA4DD8" w:rsidRDefault="00EA4DD8" w:rsidP="00EA4DD8">
      <w:pPr>
        <w:spacing w:before="240"/>
        <w:ind w:right="91"/>
        <w:rPr>
          <w:u w:val="single"/>
        </w:rPr>
      </w:pPr>
      <w:r>
        <w:rPr>
          <w:u w:val="single"/>
        </w:rPr>
        <w:t>Section 2 – Commencement</w:t>
      </w:r>
    </w:p>
    <w:p w14:paraId="71013B4F" w14:textId="47443C75" w:rsidR="00EA4DD8" w:rsidRDefault="0098481A" w:rsidP="00EA4DD8">
      <w:pPr>
        <w:spacing w:before="240"/>
        <w:ind w:right="91"/>
      </w:pPr>
      <w:r>
        <w:t>The Determination commenced on the day after the instrument was registered on the Federal Register of Legislation.</w:t>
      </w:r>
    </w:p>
    <w:p w14:paraId="574D2E39" w14:textId="77777777" w:rsidR="00EA4DD8" w:rsidRDefault="00EA4DD8" w:rsidP="00EA4DD8">
      <w:pPr>
        <w:spacing w:before="240"/>
        <w:ind w:right="91"/>
        <w:rPr>
          <w:u w:val="single"/>
        </w:rPr>
      </w:pPr>
      <w:r>
        <w:rPr>
          <w:u w:val="single"/>
        </w:rPr>
        <w:t>Section 3 – Authority</w:t>
      </w:r>
    </w:p>
    <w:p w14:paraId="5857FF1F" w14:textId="04777046" w:rsidR="0098481A" w:rsidRDefault="0098481A" w:rsidP="0098481A">
      <w:pPr>
        <w:spacing w:before="240"/>
        <w:ind w:right="91"/>
      </w:pPr>
      <w:r>
        <w:t>Th</w:t>
      </w:r>
      <w:r w:rsidR="008B6FFF">
        <w:t>e Determination is made under Schedule 16 of the</w:t>
      </w:r>
      <w:r>
        <w:t xml:space="preserve"> </w:t>
      </w:r>
      <w:r w:rsidRPr="0098481A">
        <w:rPr>
          <w:i/>
        </w:rPr>
        <w:t>Coronavirus Economic Response Package Omnibus Act 2020</w:t>
      </w:r>
      <w:r>
        <w:t>.</w:t>
      </w:r>
    </w:p>
    <w:p w14:paraId="0EB79D41" w14:textId="00C84C6A" w:rsidR="004C2EEC" w:rsidRDefault="004C2EEC" w:rsidP="0098481A">
      <w:pPr>
        <w:spacing w:before="240"/>
        <w:ind w:right="91"/>
        <w:rPr>
          <w:u w:val="single"/>
        </w:rPr>
      </w:pPr>
      <w:r>
        <w:rPr>
          <w:u w:val="single"/>
        </w:rPr>
        <w:t>Section 4 – Definitions</w:t>
      </w:r>
    </w:p>
    <w:p w14:paraId="1F282998" w14:textId="56290686" w:rsidR="004C2EEC" w:rsidRPr="0099454B" w:rsidRDefault="00356486" w:rsidP="0098481A">
      <w:pPr>
        <w:spacing w:before="240"/>
        <w:ind w:right="91"/>
      </w:pPr>
      <w:r w:rsidRPr="0099454B">
        <w:t>Section 4</w:t>
      </w:r>
      <w:r w:rsidR="004C2EEC" w:rsidRPr="0099454B">
        <w:t xml:space="preserve"> includes a definition of </w:t>
      </w:r>
      <w:r w:rsidR="004C2EEC" w:rsidRPr="0099454B">
        <w:rPr>
          <w:b/>
          <w:i/>
        </w:rPr>
        <w:t>sun</w:t>
      </w:r>
      <w:r w:rsidR="003E00E5">
        <w:rPr>
          <w:b/>
          <w:i/>
        </w:rPr>
        <w:t>s</w:t>
      </w:r>
      <w:r w:rsidR="004C2EEC" w:rsidRPr="0099454B">
        <w:rPr>
          <w:b/>
          <w:i/>
        </w:rPr>
        <w:t>etting instrument</w:t>
      </w:r>
      <w:r w:rsidR="004C2EEC" w:rsidRPr="0099454B">
        <w:t xml:space="preserve"> </w:t>
      </w:r>
      <w:r w:rsidRPr="0099454B">
        <w:t>which sets the scope of the Determination.</w:t>
      </w:r>
    </w:p>
    <w:p w14:paraId="31AF31B7" w14:textId="62BDAF00" w:rsidR="00A33396" w:rsidRPr="00A33396" w:rsidRDefault="00A33396" w:rsidP="0098481A">
      <w:pPr>
        <w:spacing w:before="240"/>
        <w:ind w:right="91"/>
        <w:rPr>
          <w:u w:val="single"/>
        </w:rPr>
      </w:pPr>
      <w:r w:rsidRPr="00A33396">
        <w:rPr>
          <w:u w:val="single"/>
        </w:rPr>
        <w:t xml:space="preserve">Section </w:t>
      </w:r>
      <w:r w:rsidR="00356486">
        <w:rPr>
          <w:u w:val="single"/>
        </w:rPr>
        <w:t>5</w:t>
      </w:r>
      <w:r w:rsidR="00356486" w:rsidRPr="00A33396">
        <w:rPr>
          <w:u w:val="single"/>
        </w:rPr>
        <w:t xml:space="preserve"> </w:t>
      </w:r>
      <w:r w:rsidRPr="00A33396">
        <w:rPr>
          <w:u w:val="single"/>
        </w:rPr>
        <w:t>– Deferral o</w:t>
      </w:r>
      <w:r w:rsidR="006C3A23">
        <w:rPr>
          <w:u w:val="single"/>
        </w:rPr>
        <w:t>f original sunset date</w:t>
      </w:r>
      <w:r w:rsidRPr="00A33396">
        <w:rPr>
          <w:u w:val="single"/>
        </w:rPr>
        <w:t xml:space="preserve"> </w:t>
      </w:r>
    </w:p>
    <w:p w14:paraId="75FF939A" w14:textId="21EF7921" w:rsidR="0098481A" w:rsidRDefault="00356486" w:rsidP="0098481A">
      <w:pPr>
        <w:spacing w:before="240"/>
        <w:ind w:right="91"/>
      </w:pPr>
      <w:r>
        <w:t>Section 5</w:t>
      </w:r>
      <w:r w:rsidR="00C14A1A">
        <w:t xml:space="preserve"> </w:t>
      </w:r>
      <w:r w:rsidR="00303211">
        <w:t xml:space="preserve">defers the sunsetting date of </w:t>
      </w:r>
      <w:r w:rsidR="001F30C7">
        <w:t xml:space="preserve">three </w:t>
      </w:r>
      <w:r w:rsidR="00E230D4">
        <w:t xml:space="preserve">Treasury portfolio </w:t>
      </w:r>
      <w:r w:rsidR="00303211">
        <w:t>legislative instruments</w:t>
      </w:r>
      <w:r w:rsidR="001F30C7">
        <w:t>,</w:t>
      </w:r>
      <w:r w:rsidR="00303211">
        <w:t xml:space="preserve"> due to be repealed by section 50 of the </w:t>
      </w:r>
      <w:r w:rsidR="00303211">
        <w:rPr>
          <w:i/>
        </w:rPr>
        <w:t>Legislation Act 2003</w:t>
      </w:r>
      <w:r w:rsidR="00303211">
        <w:t xml:space="preserve"> </w:t>
      </w:r>
      <w:r w:rsidR="00622AF6">
        <w:t>(</w:t>
      </w:r>
      <w:r w:rsidR="001F30C7">
        <w:t xml:space="preserve">that is, </w:t>
      </w:r>
      <w:r w:rsidR="00622AF6">
        <w:t xml:space="preserve">due </w:t>
      </w:r>
      <w:r w:rsidR="001F30C7">
        <w:t>to</w:t>
      </w:r>
      <w:r w:rsidR="00622AF6">
        <w:t xml:space="preserve"> sunset) </w:t>
      </w:r>
      <w:r w:rsidR="00303211">
        <w:t>on 1 October 2020. These instruments are:</w:t>
      </w:r>
    </w:p>
    <w:p w14:paraId="06518593" w14:textId="4B421133" w:rsidR="00303211" w:rsidRDefault="00303211" w:rsidP="00303211">
      <w:pPr>
        <w:pStyle w:val="ListParagraph"/>
        <w:numPr>
          <w:ilvl w:val="0"/>
          <w:numId w:val="4"/>
        </w:numPr>
        <w:spacing w:before="240"/>
        <w:ind w:right="91"/>
      </w:pPr>
      <w:r w:rsidRPr="008A4C69">
        <w:rPr>
          <w:i/>
        </w:rPr>
        <w:t>ASIC Class Order [CO 10/407]</w:t>
      </w:r>
      <w:r w:rsidR="00356486">
        <w:rPr>
          <w:i/>
        </w:rPr>
        <w:t xml:space="preserve"> (Federal Register of Legislation ID F2010L01522)</w:t>
      </w:r>
      <w:r>
        <w:t>;</w:t>
      </w:r>
    </w:p>
    <w:p w14:paraId="03677D23" w14:textId="391C0205" w:rsidR="00303211" w:rsidRDefault="003F1314" w:rsidP="00303211">
      <w:pPr>
        <w:pStyle w:val="ListParagraph"/>
        <w:numPr>
          <w:ilvl w:val="0"/>
          <w:numId w:val="4"/>
        </w:numPr>
        <w:spacing w:before="240"/>
        <w:ind w:right="91"/>
      </w:pPr>
      <w:r w:rsidRPr="003F1314">
        <w:rPr>
          <w:i/>
        </w:rPr>
        <w:t>ASIC Class Order [CO 10/654]</w:t>
      </w:r>
      <w:r w:rsidR="00356486">
        <w:rPr>
          <w:i/>
        </w:rPr>
        <w:t xml:space="preserve"> (Federal Register of Legislation ID F2017C00172)</w:t>
      </w:r>
      <w:r>
        <w:t>; and</w:t>
      </w:r>
    </w:p>
    <w:p w14:paraId="40C674CA" w14:textId="5F6C6304" w:rsidR="003F1314" w:rsidRPr="003F1314" w:rsidRDefault="003F1314" w:rsidP="00303211">
      <w:pPr>
        <w:pStyle w:val="ListParagraph"/>
        <w:numPr>
          <w:ilvl w:val="0"/>
          <w:numId w:val="4"/>
        </w:numPr>
        <w:spacing w:before="240"/>
        <w:ind w:right="91"/>
      </w:pPr>
      <w:r w:rsidRPr="003F1314">
        <w:rPr>
          <w:i/>
        </w:rPr>
        <w:t>Australian Securities and Investments Commission Act 2001 – Takeovers Panel – Procedural Rules (12/04/2010)</w:t>
      </w:r>
      <w:r w:rsidR="00356486">
        <w:rPr>
          <w:i/>
        </w:rPr>
        <w:t xml:space="preserve"> (Federal Register of Legislation ID F2010L000948)</w:t>
      </w:r>
      <w:r>
        <w:rPr>
          <w:i/>
        </w:rPr>
        <w:t>.</w:t>
      </w:r>
    </w:p>
    <w:p w14:paraId="1661F21A" w14:textId="7665509C" w:rsidR="003F1314" w:rsidRDefault="00ED78EE" w:rsidP="003F1314">
      <w:pPr>
        <w:spacing w:before="240"/>
        <w:ind w:right="91"/>
      </w:pPr>
      <w:r>
        <w:lastRenderedPageBreak/>
        <w:t xml:space="preserve">The sunsetting date </w:t>
      </w:r>
      <w:r w:rsidR="005F357A">
        <w:t>of each of these instruments</w:t>
      </w:r>
      <w:r>
        <w:t xml:space="preserve"> i</w:t>
      </w:r>
      <w:r w:rsidR="00C12902">
        <w:t>s deferred until the earlier of the following days (known as the later sunset day):</w:t>
      </w:r>
    </w:p>
    <w:p w14:paraId="0FF9827A" w14:textId="7B06B091" w:rsidR="00C12902" w:rsidRDefault="00C12902" w:rsidP="00300788">
      <w:pPr>
        <w:pStyle w:val="ListParagraph"/>
        <w:numPr>
          <w:ilvl w:val="0"/>
          <w:numId w:val="5"/>
        </w:numPr>
        <w:spacing w:before="240"/>
        <w:ind w:right="91"/>
      </w:pPr>
      <w:r>
        <w:t>1 April 2021 (</w:t>
      </w:r>
      <w:r w:rsidR="000E35BC">
        <w:t>six</w:t>
      </w:r>
      <w:r>
        <w:t xml:space="preserve"> months after the original sunset day of </w:t>
      </w:r>
      <w:r w:rsidR="00905A37">
        <w:t xml:space="preserve">each of </w:t>
      </w:r>
      <w:r>
        <w:t>these instrument</w:t>
      </w:r>
      <w:r w:rsidR="002A0CE4">
        <w:t>s</w:t>
      </w:r>
      <w:r>
        <w:t>);</w:t>
      </w:r>
    </w:p>
    <w:p w14:paraId="6A2836D0" w14:textId="563921BE" w:rsidR="00C12902" w:rsidRDefault="00C12902" w:rsidP="00300788">
      <w:pPr>
        <w:pStyle w:val="ListParagraph"/>
        <w:numPr>
          <w:ilvl w:val="0"/>
          <w:numId w:val="5"/>
        </w:numPr>
        <w:spacing w:before="240"/>
        <w:ind w:right="91"/>
      </w:pPr>
      <w:r>
        <w:t xml:space="preserve">the </w:t>
      </w:r>
      <w:r w:rsidR="00300788">
        <w:t>day that sunsetting instrument is repealed</w:t>
      </w:r>
      <w:r w:rsidR="00356486">
        <w:t xml:space="preserve"> if it is remade and repealed before 1 April 2021</w:t>
      </w:r>
      <w:r>
        <w:t>.</w:t>
      </w:r>
    </w:p>
    <w:p w14:paraId="202F603D" w14:textId="4AB092C0" w:rsidR="00C12902" w:rsidRDefault="00B00A43">
      <w:pPr>
        <w:spacing w:before="240"/>
        <w:ind w:right="91"/>
      </w:pPr>
      <w:r>
        <w:t>Each instrument is</w:t>
      </w:r>
      <w:r w:rsidR="00C12902">
        <w:t xml:space="preserve"> repealed on that later sunset day.</w:t>
      </w:r>
    </w:p>
    <w:p w14:paraId="2560CF03" w14:textId="77777777" w:rsidR="00EA4DD8" w:rsidRDefault="00EA4DD8" w:rsidP="00EA4DD8">
      <w:pPr>
        <w:spacing w:before="0" w:after="0"/>
        <w:rPr>
          <w:b/>
          <w:kern w:val="28"/>
        </w:rPr>
      </w:pPr>
      <w:r>
        <w:br w:type="page"/>
      </w:r>
    </w:p>
    <w:p w14:paraId="0DF27EE2" w14:textId="35656311" w:rsidR="007A55A7" w:rsidRDefault="007A55A7" w:rsidP="00013390">
      <w:pPr>
        <w:pageBreakBefore/>
        <w:spacing w:before="240"/>
        <w:jc w:val="right"/>
        <w:rPr>
          <w:b/>
          <w:u w:val="single"/>
        </w:rPr>
      </w:pPr>
      <w:r w:rsidRPr="007B335E">
        <w:rPr>
          <w:b/>
          <w:u w:val="single"/>
        </w:rPr>
        <w:lastRenderedPageBreak/>
        <w:t xml:space="preserve">ATTACHMENT </w:t>
      </w:r>
      <w:r w:rsidR="00952082">
        <w:rPr>
          <w:b/>
          <w:u w:val="single"/>
        </w:rPr>
        <w:t>B</w:t>
      </w:r>
    </w:p>
    <w:p w14:paraId="2AFA60F2" w14:textId="77777777" w:rsidR="00E4438C" w:rsidRPr="00462095" w:rsidRDefault="00E4438C" w:rsidP="00F03A62">
      <w:pPr>
        <w:pStyle w:val="Heading3"/>
        <w:jc w:val="center"/>
      </w:pPr>
      <w:r w:rsidRPr="00462095">
        <w:t>Statement of Compatibility with Human Rights</w:t>
      </w:r>
    </w:p>
    <w:p w14:paraId="6265EA45" w14:textId="77777777" w:rsidR="00E4438C" w:rsidRPr="00647BB7" w:rsidRDefault="00E4438C" w:rsidP="00AC1D15">
      <w:pPr>
        <w:spacing w:before="240"/>
        <w:jc w:val="center"/>
        <w:rPr>
          <w:i/>
        </w:rPr>
      </w:pPr>
      <w:r w:rsidRPr="00647BB7">
        <w:rPr>
          <w:i/>
        </w:rPr>
        <w:t>Prepared in accordance with Part 3 of the Human Rights (Parliamentary Scrutiny) Act 2011</w:t>
      </w:r>
    </w:p>
    <w:p w14:paraId="7AD94868" w14:textId="63BB3EE9" w:rsidR="00E4438C" w:rsidRPr="00C118FD" w:rsidRDefault="00821BF3" w:rsidP="003E1CE3">
      <w:pPr>
        <w:pStyle w:val="Heading3"/>
        <w:jc w:val="center"/>
      </w:pPr>
      <w:r>
        <w:rPr>
          <w:i/>
        </w:rPr>
        <w:t>Coronavirus Economic Response Package (Deferral of Sunsetting</w:t>
      </w:r>
      <w:r w:rsidR="00F9724D">
        <w:rPr>
          <w:i/>
        </w:rPr>
        <w:t>—Treasury Portfolio Instruments</w:t>
      </w:r>
      <w:r>
        <w:rPr>
          <w:i/>
        </w:rPr>
        <w:t>) Determination 2020</w:t>
      </w:r>
    </w:p>
    <w:p w14:paraId="7CBBBAD5" w14:textId="77777777" w:rsidR="00E4438C" w:rsidRPr="00647BB7" w:rsidRDefault="00E4438C" w:rsidP="00647BB7">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48FB83BA" w14:textId="77777777" w:rsidR="00E4438C" w:rsidRPr="00647BB7" w:rsidRDefault="00E4438C" w:rsidP="003E1CE3">
      <w:pPr>
        <w:pStyle w:val="Heading3"/>
      </w:pPr>
      <w:r w:rsidRPr="00647BB7">
        <w:t>Overview of the Legislative Instrument</w:t>
      </w:r>
    </w:p>
    <w:p w14:paraId="73F94445" w14:textId="1E130AD8" w:rsidR="00E4438C" w:rsidRDefault="007F7BD8" w:rsidP="00647BB7">
      <w:pPr>
        <w:spacing w:before="240"/>
      </w:pPr>
      <w:r>
        <w:t xml:space="preserve">The </w:t>
      </w:r>
      <w:r w:rsidR="005F357A">
        <w:rPr>
          <w:i/>
        </w:rPr>
        <w:t>Coronavirus Economic Response Package (Deferral of Sunsetting</w:t>
      </w:r>
      <w:r w:rsidR="00F9724D">
        <w:rPr>
          <w:i/>
        </w:rPr>
        <w:t>—Treasury Portfolio Instruments</w:t>
      </w:r>
      <w:r w:rsidR="005F357A">
        <w:rPr>
          <w:i/>
        </w:rPr>
        <w:t>) Determination 2020</w:t>
      </w:r>
      <w:r w:rsidR="00023E7D">
        <w:rPr>
          <w:i/>
        </w:rPr>
        <w:t xml:space="preserve"> </w:t>
      </w:r>
      <w:r w:rsidR="00023E7D">
        <w:t xml:space="preserve">defers the sunsetting date of the following legislative instruments </w:t>
      </w:r>
      <w:r w:rsidR="00821BF3">
        <w:t>that are due to sunset on</w:t>
      </w:r>
      <w:r w:rsidR="00023E7D">
        <w:t xml:space="preserve"> </w:t>
      </w:r>
      <w:r w:rsidR="00F9724D">
        <w:t>1 </w:t>
      </w:r>
      <w:r w:rsidR="00023E7D">
        <w:t>October 2020</w:t>
      </w:r>
      <w:r w:rsidR="00821BF3">
        <w:t>:</w:t>
      </w:r>
    </w:p>
    <w:p w14:paraId="40D0FC47" w14:textId="77777777" w:rsidR="00023E7D" w:rsidRDefault="00023E7D" w:rsidP="00023E7D">
      <w:pPr>
        <w:pStyle w:val="ListParagraph"/>
        <w:numPr>
          <w:ilvl w:val="0"/>
          <w:numId w:val="4"/>
        </w:numPr>
        <w:spacing w:before="240"/>
        <w:ind w:right="91"/>
      </w:pPr>
      <w:r w:rsidRPr="008A4C69">
        <w:rPr>
          <w:i/>
        </w:rPr>
        <w:t>ASIC Class Order [CO 10/407]</w:t>
      </w:r>
      <w:r>
        <w:t>;</w:t>
      </w:r>
    </w:p>
    <w:p w14:paraId="2C6B1566" w14:textId="77777777" w:rsidR="00023E7D" w:rsidRDefault="00023E7D" w:rsidP="00023E7D">
      <w:pPr>
        <w:pStyle w:val="ListParagraph"/>
        <w:numPr>
          <w:ilvl w:val="0"/>
          <w:numId w:val="4"/>
        </w:numPr>
        <w:spacing w:before="240"/>
        <w:ind w:right="91"/>
      </w:pPr>
      <w:r w:rsidRPr="003F1314">
        <w:rPr>
          <w:i/>
        </w:rPr>
        <w:t>ASIC Class Order [CO 10/654]</w:t>
      </w:r>
      <w:r>
        <w:t>; and</w:t>
      </w:r>
    </w:p>
    <w:p w14:paraId="2320A939" w14:textId="77777777" w:rsidR="00023E7D" w:rsidRPr="003F1314" w:rsidRDefault="00023E7D" w:rsidP="00023E7D">
      <w:pPr>
        <w:pStyle w:val="ListParagraph"/>
        <w:numPr>
          <w:ilvl w:val="0"/>
          <w:numId w:val="4"/>
        </w:numPr>
        <w:spacing w:before="240"/>
        <w:ind w:right="91"/>
      </w:pPr>
      <w:r w:rsidRPr="003F1314">
        <w:rPr>
          <w:i/>
        </w:rPr>
        <w:t>Australian Securities and Investments Commission Act 2001 – Takeovers Panel – Procedural Rules (12/04/2010)</w:t>
      </w:r>
      <w:r>
        <w:rPr>
          <w:i/>
        </w:rPr>
        <w:t>.</w:t>
      </w:r>
    </w:p>
    <w:p w14:paraId="3A733F5B" w14:textId="2764E863" w:rsidR="005F357A" w:rsidRDefault="00551B96" w:rsidP="00647BB7">
      <w:pPr>
        <w:spacing w:before="240"/>
      </w:pPr>
      <w:r>
        <w:t>Each of these instruments</w:t>
      </w:r>
      <w:r w:rsidR="00023E7D">
        <w:t xml:space="preserve"> </w:t>
      </w:r>
      <w:r w:rsidR="00F9724D">
        <w:t xml:space="preserve">now </w:t>
      </w:r>
      <w:r w:rsidR="005F357A">
        <w:t>continue to operate until the earlier of the following days</w:t>
      </w:r>
      <w:r w:rsidR="006B6E6B">
        <w:t xml:space="preserve"> (known as the later sunset day)</w:t>
      </w:r>
      <w:r w:rsidR="005F357A">
        <w:t>:</w:t>
      </w:r>
    </w:p>
    <w:p w14:paraId="2A2CE52A" w14:textId="77777777" w:rsidR="005F357A" w:rsidRDefault="005F357A" w:rsidP="00782116">
      <w:pPr>
        <w:pStyle w:val="ListParagraph"/>
        <w:numPr>
          <w:ilvl w:val="0"/>
          <w:numId w:val="6"/>
        </w:numPr>
      </w:pPr>
      <w:r>
        <w:t xml:space="preserve">1 April 2021; </w:t>
      </w:r>
    </w:p>
    <w:p w14:paraId="1173D2B7" w14:textId="736E5BCD" w:rsidR="006B6E6B" w:rsidRPr="006B6E6B" w:rsidRDefault="00F9724D" w:rsidP="006B6E6B">
      <w:pPr>
        <w:pStyle w:val="ListParagraph"/>
        <w:numPr>
          <w:ilvl w:val="0"/>
          <w:numId w:val="6"/>
        </w:numPr>
      </w:pPr>
      <w:r>
        <w:t xml:space="preserve">the </w:t>
      </w:r>
      <w:r w:rsidR="00782116">
        <w:t>day that sunsetting instrument is repealed.</w:t>
      </w:r>
    </w:p>
    <w:p w14:paraId="3CBCF2C5" w14:textId="77777777" w:rsidR="00E4438C" w:rsidRPr="00647BB7" w:rsidRDefault="00E4438C" w:rsidP="003E1CE3">
      <w:pPr>
        <w:pStyle w:val="Heading3"/>
      </w:pPr>
      <w:r w:rsidRPr="00647BB7">
        <w:t>Human rights implications</w:t>
      </w:r>
    </w:p>
    <w:p w14:paraId="37BA3207" w14:textId="77777777" w:rsidR="00E4438C" w:rsidRPr="00647BB7" w:rsidRDefault="00E4438C" w:rsidP="00647BB7">
      <w:pPr>
        <w:spacing w:before="240"/>
      </w:pPr>
      <w:r w:rsidRPr="00647BB7">
        <w:t>This Legislative Instrument does not engage any of the applicable rights or freedoms.</w:t>
      </w:r>
    </w:p>
    <w:p w14:paraId="7D1E14CD" w14:textId="77777777" w:rsidR="00E4438C" w:rsidRPr="00647BB7" w:rsidRDefault="00E4438C" w:rsidP="003E1CE3">
      <w:pPr>
        <w:pStyle w:val="Heading3"/>
      </w:pPr>
      <w:r w:rsidRPr="00647BB7">
        <w:lastRenderedPageBreak/>
        <w:t>Conclusion</w:t>
      </w:r>
    </w:p>
    <w:p w14:paraId="51E02B71" w14:textId="49FDBF3E" w:rsidR="00482B81" w:rsidRPr="00EA4DD8" w:rsidRDefault="00E4438C" w:rsidP="000D28CE">
      <w:pPr>
        <w:spacing w:before="240"/>
      </w:pPr>
      <w:r w:rsidRPr="00647BB7">
        <w:t>This Legislative Instrument is compatible with human rights as it does not raise any human rights issues.</w:t>
      </w:r>
    </w:p>
    <w:sectPr w:rsidR="00482B81" w:rsidRPr="00EA4DD8" w:rsidSect="00392BBA">
      <w:footerReference w:type="default" r:id="rId1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BD35F" w14:textId="77777777" w:rsidR="00BE5680" w:rsidRDefault="00BE5680" w:rsidP="00954679">
      <w:pPr>
        <w:spacing w:before="0" w:after="0"/>
      </w:pPr>
      <w:r>
        <w:separator/>
      </w:r>
    </w:p>
  </w:endnote>
  <w:endnote w:type="continuationSeparator" w:id="0">
    <w:p w14:paraId="341703D7" w14:textId="77777777" w:rsidR="00BE5680" w:rsidRDefault="00BE5680" w:rsidP="009546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4A088CFA" w14:textId="42155588" w:rsidR="00954679" w:rsidRDefault="00954679" w:rsidP="00013390">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C14B89">
              <w:rPr>
                <w:bCs/>
                <w:noProof/>
              </w:rPr>
              <w:t>2</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C14B89">
              <w:rPr>
                <w:bCs/>
                <w:noProof/>
              </w:rPr>
              <w:t>4</w:t>
            </w:r>
            <w:r w:rsidRPr="00954679">
              <w:rPr>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3C266" w14:textId="77777777" w:rsidR="00BE5680" w:rsidRDefault="00BE5680" w:rsidP="00954679">
      <w:pPr>
        <w:spacing w:before="0" w:after="0"/>
      </w:pPr>
      <w:r>
        <w:separator/>
      </w:r>
    </w:p>
  </w:footnote>
  <w:footnote w:type="continuationSeparator" w:id="0">
    <w:p w14:paraId="7CF88C6B" w14:textId="77777777" w:rsidR="00BE5680" w:rsidRDefault="00BE5680" w:rsidP="0095467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88A6291"/>
    <w:multiLevelType w:val="hybridMultilevel"/>
    <w:tmpl w:val="5C28BDA8"/>
    <w:lvl w:ilvl="0" w:tplc="29E208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15:restartNumberingAfterBreak="0">
    <w:nsid w:val="38AB3EA7"/>
    <w:multiLevelType w:val="hybridMultilevel"/>
    <w:tmpl w:val="B592128E"/>
    <w:lvl w:ilvl="0" w:tplc="29E208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4E40906"/>
    <w:multiLevelType w:val="hybridMultilevel"/>
    <w:tmpl w:val="92CABF7E"/>
    <w:lvl w:ilvl="0" w:tplc="29E208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7A43C0B"/>
    <w:multiLevelType w:val="multilevel"/>
    <w:tmpl w:val="045CA2A8"/>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80"/>
    <w:rsid w:val="00013390"/>
    <w:rsid w:val="00016EA2"/>
    <w:rsid w:val="00023E7D"/>
    <w:rsid w:val="00025EC9"/>
    <w:rsid w:val="00031178"/>
    <w:rsid w:val="0005061E"/>
    <w:rsid w:val="00076178"/>
    <w:rsid w:val="00081D7E"/>
    <w:rsid w:val="00082B61"/>
    <w:rsid w:val="00095211"/>
    <w:rsid w:val="000B39A1"/>
    <w:rsid w:val="000C10DF"/>
    <w:rsid w:val="000C6935"/>
    <w:rsid w:val="000D28CE"/>
    <w:rsid w:val="000E254E"/>
    <w:rsid w:val="000E35BC"/>
    <w:rsid w:val="00113B45"/>
    <w:rsid w:val="00114DAC"/>
    <w:rsid w:val="0015776C"/>
    <w:rsid w:val="001754CC"/>
    <w:rsid w:val="001917C6"/>
    <w:rsid w:val="001A1245"/>
    <w:rsid w:val="001B7535"/>
    <w:rsid w:val="001C7834"/>
    <w:rsid w:val="001E6A74"/>
    <w:rsid w:val="001F30C7"/>
    <w:rsid w:val="001F41D0"/>
    <w:rsid w:val="00220F16"/>
    <w:rsid w:val="00222B02"/>
    <w:rsid w:val="00227836"/>
    <w:rsid w:val="00236159"/>
    <w:rsid w:val="0024072B"/>
    <w:rsid w:val="002425FB"/>
    <w:rsid w:val="0025065B"/>
    <w:rsid w:val="00254C5B"/>
    <w:rsid w:val="00255BBD"/>
    <w:rsid w:val="00272537"/>
    <w:rsid w:val="002A0CE4"/>
    <w:rsid w:val="002A0DCC"/>
    <w:rsid w:val="002A7E1F"/>
    <w:rsid w:val="002B316E"/>
    <w:rsid w:val="002B4A6C"/>
    <w:rsid w:val="002C226C"/>
    <w:rsid w:val="002D708D"/>
    <w:rsid w:val="002F1311"/>
    <w:rsid w:val="002F7A7A"/>
    <w:rsid w:val="00300788"/>
    <w:rsid w:val="00303211"/>
    <w:rsid w:val="003041FA"/>
    <w:rsid w:val="00307C38"/>
    <w:rsid w:val="00321F8E"/>
    <w:rsid w:val="00326511"/>
    <w:rsid w:val="003342CD"/>
    <w:rsid w:val="00335042"/>
    <w:rsid w:val="00356486"/>
    <w:rsid w:val="00362B70"/>
    <w:rsid w:val="00392BBA"/>
    <w:rsid w:val="003942FA"/>
    <w:rsid w:val="003954FD"/>
    <w:rsid w:val="003C7907"/>
    <w:rsid w:val="003D60D7"/>
    <w:rsid w:val="003E00E5"/>
    <w:rsid w:val="003E1CE3"/>
    <w:rsid w:val="003F1314"/>
    <w:rsid w:val="004018C8"/>
    <w:rsid w:val="00406E0F"/>
    <w:rsid w:val="0043537F"/>
    <w:rsid w:val="004479F0"/>
    <w:rsid w:val="004519A6"/>
    <w:rsid w:val="00462095"/>
    <w:rsid w:val="00466FF2"/>
    <w:rsid w:val="00470B9E"/>
    <w:rsid w:val="0047193C"/>
    <w:rsid w:val="00475444"/>
    <w:rsid w:val="0047729C"/>
    <w:rsid w:val="00482B81"/>
    <w:rsid w:val="00482D4C"/>
    <w:rsid w:val="00486646"/>
    <w:rsid w:val="004932CD"/>
    <w:rsid w:val="004A2200"/>
    <w:rsid w:val="004A2CAA"/>
    <w:rsid w:val="004B2371"/>
    <w:rsid w:val="004B3C0F"/>
    <w:rsid w:val="004C05E4"/>
    <w:rsid w:val="004C17EE"/>
    <w:rsid w:val="004C2EEC"/>
    <w:rsid w:val="004C3F60"/>
    <w:rsid w:val="004C4E20"/>
    <w:rsid w:val="004D05AD"/>
    <w:rsid w:val="004E0B0C"/>
    <w:rsid w:val="004E2F48"/>
    <w:rsid w:val="004E39E1"/>
    <w:rsid w:val="004F56D0"/>
    <w:rsid w:val="00503E44"/>
    <w:rsid w:val="00515283"/>
    <w:rsid w:val="00516562"/>
    <w:rsid w:val="00533926"/>
    <w:rsid w:val="00551B96"/>
    <w:rsid w:val="00552706"/>
    <w:rsid w:val="0055675D"/>
    <w:rsid w:val="00566E8F"/>
    <w:rsid w:val="0057422E"/>
    <w:rsid w:val="005833BE"/>
    <w:rsid w:val="0059158D"/>
    <w:rsid w:val="005B69A8"/>
    <w:rsid w:val="005C3001"/>
    <w:rsid w:val="005D7D5A"/>
    <w:rsid w:val="005E4BAC"/>
    <w:rsid w:val="005F357A"/>
    <w:rsid w:val="00600207"/>
    <w:rsid w:val="0060130D"/>
    <w:rsid w:val="00622AF6"/>
    <w:rsid w:val="0062435E"/>
    <w:rsid w:val="0064129F"/>
    <w:rsid w:val="00647715"/>
    <w:rsid w:val="00647BB7"/>
    <w:rsid w:val="00680297"/>
    <w:rsid w:val="006873CE"/>
    <w:rsid w:val="006A0786"/>
    <w:rsid w:val="006B6E6B"/>
    <w:rsid w:val="006C3A23"/>
    <w:rsid w:val="00710E94"/>
    <w:rsid w:val="00715D1E"/>
    <w:rsid w:val="00727D8A"/>
    <w:rsid w:val="00731FEA"/>
    <w:rsid w:val="00733D2D"/>
    <w:rsid w:val="00736F61"/>
    <w:rsid w:val="00742253"/>
    <w:rsid w:val="007662C7"/>
    <w:rsid w:val="00766C32"/>
    <w:rsid w:val="00776306"/>
    <w:rsid w:val="00781EEA"/>
    <w:rsid w:val="00782116"/>
    <w:rsid w:val="00795E37"/>
    <w:rsid w:val="007A55A7"/>
    <w:rsid w:val="007B1F10"/>
    <w:rsid w:val="007B335E"/>
    <w:rsid w:val="007C3E4C"/>
    <w:rsid w:val="007E018D"/>
    <w:rsid w:val="007E15C4"/>
    <w:rsid w:val="007F1B2E"/>
    <w:rsid w:val="007F1B71"/>
    <w:rsid w:val="007F7BD8"/>
    <w:rsid w:val="00804491"/>
    <w:rsid w:val="00807E7D"/>
    <w:rsid w:val="00813930"/>
    <w:rsid w:val="00821BF3"/>
    <w:rsid w:val="00831675"/>
    <w:rsid w:val="00847A20"/>
    <w:rsid w:val="00872ECC"/>
    <w:rsid w:val="0088467C"/>
    <w:rsid w:val="00890BEC"/>
    <w:rsid w:val="00894579"/>
    <w:rsid w:val="00897DC9"/>
    <w:rsid w:val="008A5B67"/>
    <w:rsid w:val="008B6E5C"/>
    <w:rsid w:val="008B6FFF"/>
    <w:rsid w:val="008D16F7"/>
    <w:rsid w:val="008D6922"/>
    <w:rsid w:val="008E1427"/>
    <w:rsid w:val="00900DA5"/>
    <w:rsid w:val="00905A37"/>
    <w:rsid w:val="009143A0"/>
    <w:rsid w:val="0091766B"/>
    <w:rsid w:val="00936902"/>
    <w:rsid w:val="00936FB6"/>
    <w:rsid w:val="009419F1"/>
    <w:rsid w:val="0094208C"/>
    <w:rsid w:val="00952082"/>
    <w:rsid w:val="00954679"/>
    <w:rsid w:val="009738C6"/>
    <w:rsid w:val="0098481A"/>
    <w:rsid w:val="0099454B"/>
    <w:rsid w:val="009A13A6"/>
    <w:rsid w:val="009C5018"/>
    <w:rsid w:val="009C6A1E"/>
    <w:rsid w:val="009E2F86"/>
    <w:rsid w:val="00A012E5"/>
    <w:rsid w:val="00A05CD7"/>
    <w:rsid w:val="00A12209"/>
    <w:rsid w:val="00A279A7"/>
    <w:rsid w:val="00A33396"/>
    <w:rsid w:val="00A36DF3"/>
    <w:rsid w:val="00A42741"/>
    <w:rsid w:val="00A468CC"/>
    <w:rsid w:val="00A532DD"/>
    <w:rsid w:val="00A80BCF"/>
    <w:rsid w:val="00A8369C"/>
    <w:rsid w:val="00AA1689"/>
    <w:rsid w:val="00AA5770"/>
    <w:rsid w:val="00AB6C85"/>
    <w:rsid w:val="00AC1D15"/>
    <w:rsid w:val="00AD3662"/>
    <w:rsid w:val="00AE6EE0"/>
    <w:rsid w:val="00AF6820"/>
    <w:rsid w:val="00B00A43"/>
    <w:rsid w:val="00B07B0C"/>
    <w:rsid w:val="00B25563"/>
    <w:rsid w:val="00B26D48"/>
    <w:rsid w:val="00B42EE1"/>
    <w:rsid w:val="00B4576C"/>
    <w:rsid w:val="00B53E4F"/>
    <w:rsid w:val="00B8293D"/>
    <w:rsid w:val="00B878E4"/>
    <w:rsid w:val="00B92478"/>
    <w:rsid w:val="00BA6188"/>
    <w:rsid w:val="00BD61A2"/>
    <w:rsid w:val="00BD7778"/>
    <w:rsid w:val="00BE484D"/>
    <w:rsid w:val="00BE5680"/>
    <w:rsid w:val="00C0062F"/>
    <w:rsid w:val="00C118FD"/>
    <w:rsid w:val="00C12902"/>
    <w:rsid w:val="00C13AD5"/>
    <w:rsid w:val="00C14A1A"/>
    <w:rsid w:val="00C14B89"/>
    <w:rsid w:val="00C157FF"/>
    <w:rsid w:val="00C15997"/>
    <w:rsid w:val="00C253A3"/>
    <w:rsid w:val="00C2693B"/>
    <w:rsid w:val="00C3741A"/>
    <w:rsid w:val="00C37E05"/>
    <w:rsid w:val="00C43715"/>
    <w:rsid w:val="00C448CA"/>
    <w:rsid w:val="00C54F05"/>
    <w:rsid w:val="00C55D29"/>
    <w:rsid w:val="00C669A3"/>
    <w:rsid w:val="00C9270C"/>
    <w:rsid w:val="00CA0BE9"/>
    <w:rsid w:val="00CA138D"/>
    <w:rsid w:val="00CC412F"/>
    <w:rsid w:val="00CC516A"/>
    <w:rsid w:val="00CC7641"/>
    <w:rsid w:val="00CD1C14"/>
    <w:rsid w:val="00CF67E6"/>
    <w:rsid w:val="00CF6F36"/>
    <w:rsid w:val="00D13794"/>
    <w:rsid w:val="00D24052"/>
    <w:rsid w:val="00D24386"/>
    <w:rsid w:val="00D25D4B"/>
    <w:rsid w:val="00D31575"/>
    <w:rsid w:val="00D34626"/>
    <w:rsid w:val="00D34FB4"/>
    <w:rsid w:val="00D402B5"/>
    <w:rsid w:val="00D4257A"/>
    <w:rsid w:val="00D62665"/>
    <w:rsid w:val="00D75C1D"/>
    <w:rsid w:val="00D82E47"/>
    <w:rsid w:val="00DC0CDE"/>
    <w:rsid w:val="00DC3A0A"/>
    <w:rsid w:val="00DC4D72"/>
    <w:rsid w:val="00DD494D"/>
    <w:rsid w:val="00DD62D2"/>
    <w:rsid w:val="00DE6457"/>
    <w:rsid w:val="00E0624D"/>
    <w:rsid w:val="00E230D4"/>
    <w:rsid w:val="00E3343F"/>
    <w:rsid w:val="00E4438C"/>
    <w:rsid w:val="00E457F3"/>
    <w:rsid w:val="00E56444"/>
    <w:rsid w:val="00E67CFE"/>
    <w:rsid w:val="00E90D51"/>
    <w:rsid w:val="00EA4DD8"/>
    <w:rsid w:val="00EB2AEF"/>
    <w:rsid w:val="00EB7E71"/>
    <w:rsid w:val="00EC15C6"/>
    <w:rsid w:val="00EC38F5"/>
    <w:rsid w:val="00ED78EE"/>
    <w:rsid w:val="00EF300A"/>
    <w:rsid w:val="00F03A62"/>
    <w:rsid w:val="00F04ED1"/>
    <w:rsid w:val="00F109D4"/>
    <w:rsid w:val="00F15EE9"/>
    <w:rsid w:val="00F201AB"/>
    <w:rsid w:val="00F23A3B"/>
    <w:rsid w:val="00F32300"/>
    <w:rsid w:val="00F4399D"/>
    <w:rsid w:val="00F47585"/>
    <w:rsid w:val="00F60198"/>
    <w:rsid w:val="00F76505"/>
    <w:rsid w:val="00F824AF"/>
    <w:rsid w:val="00F85E6F"/>
    <w:rsid w:val="00F874A9"/>
    <w:rsid w:val="00F9724D"/>
    <w:rsid w:val="00FB386D"/>
    <w:rsid w:val="00FC41A0"/>
    <w:rsid w:val="00FD37C6"/>
    <w:rsid w:val="00FE04E4"/>
    <w:rsid w:val="00FE4958"/>
    <w:rsid w:val="00FE73F9"/>
    <w:rsid w:val="00FF1057"/>
    <w:rsid w:val="00FF3E25"/>
    <w:rsid w:val="00FF4E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31CB61"/>
  <w15:docId w15:val="{FEEAB904-3DC5-4B75-AFBC-75190D29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styleId="ListParagraph">
    <w:name w:val="List Paragraph"/>
    <w:basedOn w:val="Normal"/>
    <w:uiPriority w:val="34"/>
    <w:qFormat/>
    <w:rsid w:val="003032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84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61C28AFBD1495B8ED0A136DAD66F16"/>
        <w:category>
          <w:name w:val="General"/>
          <w:gallery w:val="placeholder"/>
        </w:category>
        <w:types>
          <w:type w:val="bbPlcHdr"/>
        </w:types>
        <w:behaviors>
          <w:behavior w:val="content"/>
        </w:behaviors>
        <w:guid w:val="{5C0C400D-D295-40D8-BBC1-5B301F2C6DCF}"/>
      </w:docPartPr>
      <w:docPartBody>
        <w:p w:rsidR="00845B3B" w:rsidRDefault="00845B3B">
          <w:pPr>
            <w:pStyle w:val="5461C28AFBD1495B8ED0A136DAD66F16"/>
          </w:pPr>
          <w:r w:rsidRPr="003C7907">
            <w:rPr>
              <w:rStyle w:val="PlaceholderText"/>
              <w:sz w:val="24"/>
              <w:szCs w:val="24"/>
            </w:rPr>
            <w:t>Select a Minister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B3B"/>
    <w:rsid w:val="00845B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461C28AFBD1495B8ED0A136DAD66F16">
    <w:name w:val="5461C28AFBD1495B8ED0A136DAD66F16"/>
  </w:style>
  <w:style w:type="paragraph" w:customStyle="1" w:styleId="5A144F425E884256BDF436F6823D965F">
    <w:name w:val="5A144F425E884256BDF436F6823D965F"/>
  </w:style>
  <w:style w:type="paragraph" w:customStyle="1" w:styleId="D63B3E7F60D340FF942070749CF8B032">
    <w:name w:val="D63B3E7F60D340FF942070749CF8B032"/>
  </w:style>
  <w:style w:type="paragraph" w:customStyle="1" w:styleId="2D8144CFDDB74FB1B3E6506C78C88DAE">
    <w:name w:val="2D8144CFDDB74FB1B3E6506C78C88D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IconOverlay xmlns="http://schemas.microsoft.com/sharepoint/v4" xsi:nil="true"/>
    <TaxCatchAll xmlns="0f563589-9cf9-4143-b1eb-fb0534803d38">
      <Value>7</Value>
      <Value>132</Value>
    </TaxCatchAll>
    <_dlc_DocId xmlns="0f563589-9cf9-4143-b1eb-fb0534803d38">2020RG-136-55883</_dlc_DocId>
    <_dlc_DocIdUrl xmlns="0f563589-9cf9-4143-b1eb-fb0534803d38">
      <Url>http://tweb/sites/rg/ldp/_layouts/15/DocIdRedir.aspx?ID=2020RG-136-55883</Url>
      <Description>2020RG-136-55883</Description>
    </_dlc_DocIdUrl>
    <LMU_x0020_Number xmlns="687b78b0-2ddd-4441-8a8b-c9638c2a1939" xsi:nil="true"/>
    <Responsible_x0020_LDO_x0020_Officer xmlns="687b78b0-2ddd-4441-8a8b-c9638c2a1939">
      <UserInfo>
        <DisplayName/>
        <AccountId xsi:nil="true"/>
        <AccountType/>
      </UserInfo>
    </Responsible_x0020_LDO_x0020_Officer>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TermInfo xmlns="http://schemas.microsoft.com/office/infopath/2007/PartnerControls">
          <TermName xmlns="http://schemas.microsoft.com/office/infopath/2007/PartnerControls">COVID-19</TermName>
          <TermId xmlns="http://schemas.microsoft.com/office/infopath/2007/PartnerControls">cc09a21e-f925-49e1-9a69-f2288a9e1b97</TermId>
        </TermInfo>
      </Terms>
    </i6880fa62fd2465ea894b48b45824d1c>
  </documentManagement>
</p:properti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2880" ma:contentTypeDescription="" ma:contentTypeScope="" ma:versionID="b81297ff9090a0b1b48941961f1d7991">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0f563589-9cf9-4143-b1eb-fb0534803d38"/>
    <ds:schemaRef ds:uri="http://purl.org/dc/elements/1.1/"/>
    <ds:schemaRef ds:uri="http://schemas.microsoft.com/office/2006/metadata/properties"/>
    <ds:schemaRef ds:uri="http://schemas.microsoft.com/sharepoint/v3"/>
    <ds:schemaRef ds:uri="9f7bc583-7cbe-45b9-a2bd-8bbb6543b37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4"/>
    <ds:schemaRef ds:uri="687b78b0-2ddd-4441-8a8b-c9638c2a1939"/>
    <ds:schemaRef ds:uri="http://www.w3.org/XML/1998/namespace"/>
    <ds:schemaRef ds:uri="http://purl.org/dc/dcmitype/"/>
  </ds:schemaRefs>
</ds:datastoreItem>
</file>

<file path=customXml/itemProps3.xml><?xml version="1.0" encoding="utf-8"?>
<ds:datastoreItem xmlns:ds="http://schemas.openxmlformats.org/officeDocument/2006/customXml" ds:itemID="{8C9C95AF-DC3D-454D-876B-A90DFB6AC3F1}">
  <ds:schemaRefs>
    <ds:schemaRef ds:uri="office.server.policy"/>
  </ds:schemaRefs>
</ds:datastoreItem>
</file>

<file path=customXml/itemProps4.xml><?xml version="1.0" encoding="utf-8"?>
<ds:datastoreItem xmlns:ds="http://schemas.openxmlformats.org/officeDocument/2006/customXml" ds:itemID="{976D3F3D-058F-4DE7-90BA-FD5FEFFC16B4}">
  <ds:schemaRefs>
    <ds:schemaRef ds:uri="http://schemas.microsoft.com/sharepoint/events"/>
  </ds:schemaRefs>
</ds:datastoreItem>
</file>

<file path=customXml/itemProps5.xml><?xml version="1.0" encoding="utf-8"?>
<ds:datastoreItem xmlns:ds="http://schemas.openxmlformats.org/officeDocument/2006/customXml" ds:itemID="{0F588AFF-05EF-4584-9F1E-D9D0C4656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E1C3276-3C87-4CC5-8ED7-685E26CF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0</TotalTime>
  <Pages>4</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Treasury</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Yan, Jia</dc:creator>
  <cp:keywords/>
  <cp:lastModifiedBy>Yan, Jia</cp:lastModifiedBy>
  <cp:revision>2</cp:revision>
  <cp:lastPrinted>2020-07-07T22:34:00Z</cp:lastPrinted>
  <dcterms:created xsi:type="dcterms:W3CDTF">2020-10-19T23:41:00Z</dcterms:created>
  <dcterms:modified xsi:type="dcterms:W3CDTF">2020-10-19T23:41:00Z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y fmtid="{D5CDD505-2E9C-101B-9397-08002B2CF9AE}" pid="7" name="ContentTypeId">
    <vt:lpwstr>0x01010036BB8DE7EC542E42A8B2E98CC20CB69700AD614E3FF758BD46BB6A91BF499E7E08</vt:lpwstr>
  </property>
  <property fmtid="{D5CDD505-2E9C-101B-9397-08002B2CF9AE}" pid="8" name="TSYRecordClass">
    <vt:lpwstr>7;#TSY RA-9236 - Retain as national archives|c6a225b4-6b93-473e-bcbb-6bc6ab25b623</vt:lpwstr>
  </property>
  <property fmtid="{D5CDD505-2E9C-101B-9397-08002B2CF9AE}" pid="9" name="_dlc_DocIdItemGuid">
    <vt:lpwstr>4f784d4a-f6c4-48f2-8848-5f09cc5fa764</vt:lpwstr>
  </property>
  <property fmtid="{D5CDD505-2E9C-101B-9397-08002B2CF9AE}" pid="12" name="RecordPoint_WorkflowType">
    <vt:lpwstr>ActiveSubmitStub</vt:lpwstr>
  </property>
  <property fmtid="{D5CDD505-2E9C-101B-9397-08002B2CF9AE}" pid="13" name="RecordPoint_ActiveItemUniqueId">
    <vt:lpwstr>{4f784d4a-f6c4-48f2-8848-5f09cc5fa764}</vt:lpwstr>
  </property>
  <property fmtid="{D5CDD505-2E9C-101B-9397-08002B2CF9AE}" pid="14" name="RecordPoint_SubmissionCompleted">
    <vt:lpwstr/>
  </property>
  <property fmtid="{D5CDD505-2E9C-101B-9397-08002B2CF9AE}" pid="15" name="RecordPoint_ActiveItemWebId">
    <vt:lpwstr>{09392e0d-4618-463d-b4d2-50a90b9447cf}</vt:lpwstr>
  </property>
  <property fmtid="{D5CDD505-2E9C-101B-9397-08002B2CF9AE}" pid="16" name="RecordPoint_ActiveItemSiteId">
    <vt:lpwstr>{5b52b9a5-e5b2-4521-8814-a1e24ca2869d}</vt:lpwstr>
  </property>
  <property fmtid="{D5CDD505-2E9C-101B-9397-08002B2CF9AE}" pid="17" name="RecordPoint_ActiveItemListId">
    <vt:lpwstr>{687b78b0-2ddd-4441-8a8b-c9638c2a1939}</vt:lpwstr>
  </property>
  <property fmtid="{D5CDD505-2E9C-101B-9397-08002B2CF9AE}" pid="18" name="RecordPoint_RecordNumberSubmitted">
    <vt:lpwstr/>
  </property>
  <property fmtid="{D5CDD505-2E9C-101B-9397-08002B2CF9AE}" pid="19" name="MailSubject">
    <vt:lpwstr/>
  </property>
  <property fmtid="{D5CDD505-2E9C-101B-9397-08002B2CF9AE}" pid="20" name="OriginalSubject">
    <vt:lpwstr/>
  </property>
  <property fmtid="{D5CDD505-2E9C-101B-9397-08002B2CF9AE}" pid="21" name="AlternateThumbnailUrl">
    <vt:lpwstr/>
  </property>
  <property fmtid="{D5CDD505-2E9C-101B-9397-08002B2CF9AE}" pid="22" name="Cc">
    <vt:lpwstr/>
  </property>
  <property fmtid="{D5CDD505-2E9C-101B-9397-08002B2CF9AE}" pid="23" name="From1">
    <vt:lpwstr/>
  </property>
  <property fmtid="{D5CDD505-2E9C-101B-9397-08002B2CF9AE}" pid="24" name="oae75e2df9d943898d59cb03ca0993c5">
    <vt:lpwstr/>
  </property>
  <property fmtid="{D5CDD505-2E9C-101B-9397-08002B2CF9AE}" pid="25" name="MailIn-Reply-To">
    <vt:lpwstr/>
  </property>
  <property fmtid="{D5CDD505-2E9C-101B-9397-08002B2CF9AE}" pid="26" name="MailReferences">
    <vt:lpwstr/>
  </property>
  <property fmtid="{D5CDD505-2E9C-101B-9397-08002B2CF9AE}" pid="27" name="MailTo">
    <vt:lpwstr/>
  </property>
  <property fmtid="{D5CDD505-2E9C-101B-9397-08002B2CF9AE}" pid="28" name="Topics">
    <vt:lpwstr/>
  </property>
  <property fmtid="{D5CDD505-2E9C-101B-9397-08002B2CF9AE}" pid="29" name="Comments">
    <vt:lpwstr/>
  </property>
  <property fmtid="{D5CDD505-2E9C-101B-9397-08002B2CF9AE}" pid="30" name="TSYTopic">
    <vt:lpwstr>132;#COVID-19|cc09a21e-f925-49e1-9a69-f2288a9e1b97</vt:lpwstr>
  </property>
  <property fmtid="{D5CDD505-2E9C-101B-9397-08002B2CF9AE}" pid="31" name="RecordPoint_SubmissionDate">
    <vt:lpwstr/>
  </property>
  <property fmtid="{D5CDD505-2E9C-101B-9397-08002B2CF9AE}" pid="32" name="RecordPoint_RecordFormat">
    <vt:lpwstr/>
  </property>
  <property fmtid="{D5CDD505-2E9C-101B-9397-08002B2CF9AE}" pid="33" name="RecordPoint_ActiveItemMoved">
    <vt:lpwstr/>
  </property>
</Properties>
</file>