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9FBCB" w14:textId="77777777" w:rsidR="00CA173C" w:rsidRPr="00BD7FE8" w:rsidRDefault="00CA173C" w:rsidP="00B40569">
      <w:pPr>
        <w:pStyle w:val="Heading3"/>
        <w:ind w:left="2550"/>
        <w:rPr>
          <w:rFonts w:ascii="Times New Roman" w:hAnsi="Times New Roman" w:cs="Times New Roman"/>
          <w:i w:val="0"/>
          <w:sz w:val="24"/>
          <w:szCs w:val="24"/>
        </w:rPr>
      </w:pPr>
      <w:bookmarkStart w:id="0" w:name="_GoBack"/>
      <w:bookmarkEnd w:id="0"/>
      <w:r w:rsidRPr="00BD7FE8">
        <w:rPr>
          <w:rFonts w:ascii="Times New Roman" w:hAnsi="Times New Roman" w:cs="Times New Roman"/>
          <w:i w:val="0"/>
          <w:sz w:val="24"/>
          <w:szCs w:val="24"/>
        </w:rPr>
        <w:t>EXPLANATORY STATEMENT</w:t>
      </w:r>
    </w:p>
    <w:p w14:paraId="21DD60CE" w14:textId="77777777" w:rsidR="00CA173C" w:rsidRPr="00BD7FE8" w:rsidRDefault="00CA173C" w:rsidP="00CA173C">
      <w:pPr>
        <w:jc w:val="center"/>
        <w:rPr>
          <w:szCs w:val="24"/>
        </w:rPr>
      </w:pPr>
    </w:p>
    <w:p w14:paraId="44D7924E" w14:textId="77777777" w:rsidR="00CA173C" w:rsidRPr="00BD7FE8" w:rsidRDefault="00CA173C" w:rsidP="00CA173C">
      <w:pPr>
        <w:jc w:val="center"/>
        <w:rPr>
          <w:szCs w:val="24"/>
        </w:rPr>
      </w:pPr>
      <w:r w:rsidRPr="00BD7FE8">
        <w:rPr>
          <w:szCs w:val="24"/>
        </w:rPr>
        <w:t>Issued by the authority of the Minister for Health</w:t>
      </w:r>
    </w:p>
    <w:p w14:paraId="1D14A184" w14:textId="77777777" w:rsidR="00CA173C" w:rsidRPr="00BD7FE8" w:rsidRDefault="00CA173C" w:rsidP="00CA173C">
      <w:pPr>
        <w:jc w:val="center"/>
        <w:rPr>
          <w:i/>
          <w:szCs w:val="24"/>
        </w:rPr>
      </w:pPr>
    </w:p>
    <w:p w14:paraId="3B84FD00" w14:textId="77777777" w:rsidR="00CA173C" w:rsidRPr="00BD7FE8" w:rsidRDefault="00CA173C" w:rsidP="00CA173C">
      <w:pPr>
        <w:jc w:val="center"/>
        <w:rPr>
          <w:szCs w:val="24"/>
        </w:rPr>
      </w:pPr>
      <w:r w:rsidRPr="00BD7FE8">
        <w:rPr>
          <w:i/>
          <w:szCs w:val="24"/>
        </w:rPr>
        <w:t>National Health Act 1953</w:t>
      </w:r>
    </w:p>
    <w:p w14:paraId="77EABDBE" w14:textId="77777777" w:rsidR="00CA173C" w:rsidRPr="00BD7FE8" w:rsidRDefault="00CA173C" w:rsidP="00CA173C">
      <w:pPr>
        <w:rPr>
          <w:i/>
          <w:szCs w:val="24"/>
        </w:rPr>
      </w:pPr>
    </w:p>
    <w:p w14:paraId="037E0C93" w14:textId="77777777" w:rsidR="003F0D47" w:rsidRPr="00BD7FE8" w:rsidRDefault="00EA122D" w:rsidP="003F0D47">
      <w:pPr>
        <w:jc w:val="center"/>
        <w:rPr>
          <w:i/>
        </w:rPr>
      </w:pPr>
      <w:r w:rsidRPr="00EA122D">
        <w:rPr>
          <w:i/>
        </w:rPr>
        <w:t>National Health (Pharmaceutical Benefits) Amendment (Seventh Community Pharmacy Agreement) Regulations 2020</w:t>
      </w:r>
    </w:p>
    <w:p w14:paraId="15B52245" w14:textId="77777777" w:rsidR="00CA173C" w:rsidRPr="00BD7FE8" w:rsidRDefault="00CA173C" w:rsidP="00CA173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03957FEB" w14:textId="77B98DD4" w:rsidR="00A95037" w:rsidRPr="00BD7FE8" w:rsidRDefault="0032002D" w:rsidP="00A95037">
      <w:pPr>
        <w:pStyle w:val="PlainParagraph"/>
        <w:spacing w:before="0" w:after="0" w:line="240" w:lineRule="auto"/>
        <w:rPr>
          <w:rFonts w:ascii="Times New Roman" w:hAnsi="Times New Roman" w:cs="Times New Roman"/>
          <w:sz w:val="24"/>
          <w:szCs w:val="24"/>
        </w:rPr>
      </w:pPr>
      <w:r w:rsidRPr="00807F3D">
        <w:rPr>
          <w:rFonts w:ascii="Times New Roman" w:hAnsi="Times New Roman" w:cs="Times New Roman"/>
          <w:sz w:val="24"/>
          <w:szCs w:val="24"/>
        </w:rPr>
        <w:t xml:space="preserve">The Pharmaceutical Benefits Scheme (PBS) is established under the </w:t>
      </w:r>
      <w:r w:rsidRPr="00807F3D">
        <w:rPr>
          <w:rFonts w:ascii="Times New Roman" w:hAnsi="Times New Roman" w:cs="Times New Roman"/>
          <w:i/>
          <w:sz w:val="24"/>
          <w:szCs w:val="24"/>
        </w:rPr>
        <w:t>National Health Act 1953</w:t>
      </w:r>
      <w:r w:rsidRPr="00807F3D">
        <w:rPr>
          <w:rFonts w:ascii="Times New Roman" w:hAnsi="Times New Roman" w:cs="Times New Roman"/>
          <w:sz w:val="24"/>
          <w:szCs w:val="24"/>
        </w:rPr>
        <w:t xml:space="preserve"> (the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r w:rsidR="00E52528">
        <w:rPr>
          <w:rFonts w:ascii="Times New Roman" w:hAnsi="Times New Roman" w:cs="Times New Roman"/>
          <w:sz w:val="24"/>
          <w:szCs w:val="24"/>
        </w:rPr>
        <w:t>.</w:t>
      </w:r>
    </w:p>
    <w:p w14:paraId="0FB6BD2E" w14:textId="77777777" w:rsidR="006F1C54" w:rsidRDefault="006F1C54" w:rsidP="00A95037">
      <w:pPr>
        <w:pStyle w:val="PlainParagraph"/>
        <w:spacing w:before="0" w:after="0" w:line="240" w:lineRule="auto"/>
        <w:rPr>
          <w:rFonts w:ascii="Times New Roman" w:hAnsi="Times New Roman" w:cs="Times New Roman"/>
          <w:sz w:val="24"/>
          <w:szCs w:val="24"/>
        </w:rPr>
      </w:pPr>
    </w:p>
    <w:p w14:paraId="195914D1" w14:textId="6183934C" w:rsidR="00691D00" w:rsidRPr="00BD7FE8" w:rsidRDefault="00691D00" w:rsidP="00A95037">
      <w:pPr>
        <w:pStyle w:val="PlainParagraph"/>
        <w:spacing w:before="0" w:after="0" w:line="240" w:lineRule="auto"/>
        <w:rPr>
          <w:rFonts w:ascii="Times New Roman" w:hAnsi="Times New Roman" w:cs="Times New Roman"/>
          <w:sz w:val="24"/>
          <w:szCs w:val="24"/>
        </w:rPr>
      </w:pPr>
      <w:r w:rsidRPr="00BD7FE8">
        <w:rPr>
          <w:rFonts w:ascii="Times New Roman" w:hAnsi="Times New Roman" w:cs="Times New Roman"/>
          <w:sz w:val="24"/>
          <w:szCs w:val="24"/>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p>
    <w:p w14:paraId="30502BB2" w14:textId="77777777" w:rsidR="00EA122D" w:rsidRDefault="00EA122D" w:rsidP="00EA122D">
      <w:pPr>
        <w:ind w:right="91"/>
      </w:pPr>
    </w:p>
    <w:p w14:paraId="148A6F16" w14:textId="343D5381" w:rsidR="0088359B" w:rsidRDefault="0088359B" w:rsidP="00EA122D">
      <w:pPr>
        <w:ind w:right="91"/>
      </w:pPr>
      <w:r w:rsidRPr="0088359B">
        <w:t xml:space="preserve">Subsection 84C(1E) of the Act provides that the regulations may prescribe the </w:t>
      </w:r>
      <w:r w:rsidR="00E244A4">
        <w:t>‘</w:t>
      </w:r>
      <w:r w:rsidRPr="0088359B">
        <w:t>value for safety net purposes</w:t>
      </w:r>
      <w:r w:rsidR="00E244A4">
        <w:t>’</w:t>
      </w:r>
      <w:r w:rsidRPr="0088359B">
        <w:t xml:space="preserve"> of a supply of a pharmaceutical benefit. Subsection 84C(1F) of the Act provides that the value must take into account the amount charged for the supply, but may make adjustments for safety net purposes such as excluding certain components of the amount charged or setting a maximum limit on the value.</w:t>
      </w:r>
    </w:p>
    <w:p w14:paraId="3B240EB5" w14:textId="77777777" w:rsidR="0088359B" w:rsidRDefault="0088359B" w:rsidP="00EA122D">
      <w:pPr>
        <w:ind w:right="91"/>
      </w:pPr>
    </w:p>
    <w:p w14:paraId="0EA9292E" w14:textId="72FAA49F" w:rsidR="00EA122D" w:rsidRDefault="00EA122D" w:rsidP="00EA122D">
      <w:pPr>
        <w:ind w:right="91"/>
      </w:pPr>
      <w:r w:rsidRPr="005411E2">
        <w:t xml:space="preserve">The </w:t>
      </w:r>
      <w:r>
        <w:rPr>
          <w:i/>
        </w:rPr>
        <w:t>National Health (Pharmaceutical Benefits) Regulations 2017</w:t>
      </w:r>
      <w:r w:rsidRPr="005411E2">
        <w:t xml:space="preserve"> (the Principal Regulations) prescribe</w:t>
      </w:r>
      <w:r>
        <w:t xml:space="preserve">, among other things, for the calculation of the </w:t>
      </w:r>
      <w:r w:rsidR="002B15BD">
        <w:t>‘</w:t>
      </w:r>
      <w:r>
        <w:t>value for safety net purposes</w:t>
      </w:r>
      <w:r w:rsidR="002B15BD">
        <w:t>’</w:t>
      </w:r>
      <w:r>
        <w:t xml:space="preserve"> to determine whether a person is entitled to be issued with a safety net concession card or pharmaceutical benefit entitlement card under Division 1A of Part VII of the Act.  Section 87 of the Act provides that the holder of a safety net concession card or a pharmaceutical benefit entitlement card is entitled to be supplied pharmaceutical benefits </w:t>
      </w:r>
      <w:r w:rsidR="00355F56">
        <w:t xml:space="preserve">at a </w:t>
      </w:r>
      <w:r w:rsidR="0064463B">
        <w:t xml:space="preserve">lower </w:t>
      </w:r>
      <w:r w:rsidR="00355F56">
        <w:t xml:space="preserve">price or </w:t>
      </w:r>
      <w:r>
        <w:t>free of charge during the relevant entitlement period</w:t>
      </w:r>
      <w:r w:rsidR="00355F56">
        <w:t xml:space="preserve"> once the relevant thresholds are met</w:t>
      </w:r>
      <w:r>
        <w:t>.</w:t>
      </w:r>
    </w:p>
    <w:p w14:paraId="0A9D7134" w14:textId="77777777" w:rsidR="00EA122D" w:rsidRDefault="00EA122D" w:rsidP="00EA122D">
      <w:pPr>
        <w:ind w:right="91"/>
      </w:pPr>
    </w:p>
    <w:p w14:paraId="550C80CD" w14:textId="7FEC0C60" w:rsidR="00EA122D" w:rsidRDefault="00EA122D" w:rsidP="00EA122D">
      <w:pPr>
        <w:ind w:right="91"/>
      </w:pPr>
      <w:r>
        <w:t>Regulation 17A of the Principal Regulations</w:t>
      </w:r>
      <w:r w:rsidR="002B15BD">
        <w:t xml:space="preserve"> </w:t>
      </w:r>
      <w:r w:rsidR="006B5B47">
        <w:t xml:space="preserve">prescribes </w:t>
      </w:r>
      <w:r w:rsidR="002B15BD">
        <w:t>the ‘value for safety net purposes’ of the supply of a pharmaceutical benefit for the purposes of the Act. Regulation 17A</w:t>
      </w:r>
      <w:r>
        <w:t xml:space="preserve"> provides that the value of any ‘additional patient charge (or part thereof)’ that an approved pharmacist charges a patient in respect of the dispense of a pharmaceutical benefit is not to be counted towards </w:t>
      </w:r>
      <w:r w:rsidR="002B15BD">
        <w:t xml:space="preserve">determining </w:t>
      </w:r>
      <w:r>
        <w:t xml:space="preserve">the </w:t>
      </w:r>
      <w:r w:rsidR="002B15BD">
        <w:t>‘</w:t>
      </w:r>
      <w:r>
        <w:t>value for safety net purposes</w:t>
      </w:r>
      <w:r w:rsidR="002B15BD">
        <w:t>’</w:t>
      </w:r>
      <w:r>
        <w:t>.</w:t>
      </w:r>
    </w:p>
    <w:p w14:paraId="5BB6190E" w14:textId="77777777" w:rsidR="00EA122D" w:rsidRDefault="00EA122D" w:rsidP="00EA122D">
      <w:pPr>
        <w:ind w:right="91"/>
      </w:pPr>
    </w:p>
    <w:p w14:paraId="73EC0D18" w14:textId="61F6D3A3" w:rsidR="00663E35" w:rsidRDefault="00EA122D" w:rsidP="00EA122D">
      <w:pPr>
        <w:ind w:right="91"/>
      </w:pPr>
      <w:r>
        <w:t>Regulation 5(1) of the Principal Regulations defines ‘additional patient charge’ by reference to clauses 5.2.2(c) or 5.2.3(c) of the Sixth Community Pharmacy Agreement. The Sixth Community Pharmacy Agreement is an agreement between the Commonwealth, through the Minister for Health</w:t>
      </w:r>
      <w:r w:rsidR="0064463B">
        <w:t xml:space="preserve"> and</w:t>
      </w:r>
      <w:r>
        <w:t xml:space="preserve"> the Pharmacy Guild of Australia. </w:t>
      </w:r>
    </w:p>
    <w:p w14:paraId="41BF37D9" w14:textId="77777777" w:rsidR="00663E35" w:rsidRDefault="00663E35" w:rsidP="00EA122D">
      <w:pPr>
        <w:ind w:right="91"/>
      </w:pPr>
    </w:p>
    <w:p w14:paraId="5FCE497C" w14:textId="5521FB51" w:rsidR="00EA122D" w:rsidRPr="005411E2" w:rsidRDefault="00EA122D" w:rsidP="00496F8F">
      <w:pPr>
        <w:keepNext/>
        <w:keepLines/>
        <w:ind w:right="91"/>
      </w:pPr>
      <w:r>
        <w:lastRenderedPageBreak/>
        <w:t xml:space="preserve">On 11 June 2020, the Commonwealth, through the Minister for Health, the Pharmacy Guild of Australia and the Pharmaceutical Society of Australia </w:t>
      </w:r>
      <w:r w:rsidR="002B286B">
        <w:t xml:space="preserve">Limited </w:t>
      </w:r>
      <w:r>
        <w:t>signed the Seventh Community</w:t>
      </w:r>
      <w:r w:rsidR="006B5B47">
        <w:t xml:space="preserve"> Pharmacy</w:t>
      </w:r>
      <w:r>
        <w:t xml:space="preserve"> Agreement, which replaces the Sixth Community Pharmacy Agreement with effect from 1</w:t>
      </w:r>
      <w:r w:rsidR="006F1C54">
        <w:t> </w:t>
      </w:r>
      <w:r>
        <w:t>July</w:t>
      </w:r>
      <w:r w:rsidR="006F1C54">
        <w:t> </w:t>
      </w:r>
      <w:r>
        <w:t xml:space="preserve">2020. The Seventh Community </w:t>
      </w:r>
      <w:r w:rsidR="00663E35">
        <w:t xml:space="preserve">Pharmacy </w:t>
      </w:r>
      <w:r>
        <w:t>Agreement</w:t>
      </w:r>
      <w:r w:rsidR="00CE4FC5">
        <w:t xml:space="preserve"> </w:t>
      </w:r>
      <w:r>
        <w:t>includes clauses that set the additional patient charge that an approved pharmacist may charge a patient in respect of the supply of pharmaceutical benefits.</w:t>
      </w:r>
      <w:r w:rsidR="00E3131D">
        <w:t xml:space="preserve"> A copy of the Seventh Community Pharmacy Agreement can be found at the Department of Health’s website at: </w:t>
      </w:r>
      <w:hyperlink r:id="rId11" w:history="1">
        <w:r w:rsidR="00E3131D" w:rsidRPr="00E3131D">
          <w:t>https://www1.health.gov.au/internet/main/publishing.nsf/Content/New-7th-Community-Pharmacy-Agreement</w:t>
        </w:r>
      </w:hyperlink>
    </w:p>
    <w:p w14:paraId="07E60918" w14:textId="77777777" w:rsidR="00EA122D" w:rsidRPr="005411E2" w:rsidRDefault="00EA122D" w:rsidP="00EA122D">
      <w:pPr>
        <w:ind w:right="91"/>
      </w:pPr>
    </w:p>
    <w:p w14:paraId="1EF7988A" w14:textId="77777777" w:rsidR="00DC26EA" w:rsidRPr="00BD7FE8" w:rsidRDefault="00DC26EA" w:rsidP="006F1C54">
      <w:pPr>
        <w:keepNext/>
        <w:tabs>
          <w:tab w:val="left" w:pos="567"/>
        </w:tabs>
        <w:spacing w:after="120"/>
        <w:rPr>
          <w:szCs w:val="24"/>
          <w:u w:val="single"/>
        </w:rPr>
      </w:pPr>
      <w:r w:rsidRPr="00BD7FE8">
        <w:rPr>
          <w:u w:val="single"/>
        </w:rPr>
        <w:t>Consultation</w:t>
      </w:r>
    </w:p>
    <w:p w14:paraId="1BA3B02A" w14:textId="35CD96A4" w:rsidR="00E3131D" w:rsidRDefault="005D36AA" w:rsidP="0075495D">
      <w:pPr>
        <w:keepNext/>
        <w:keepLines/>
        <w:autoSpaceDE w:val="0"/>
        <w:autoSpaceDN w:val="0"/>
        <w:adjustRightInd w:val="0"/>
        <w:rPr>
          <w:szCs w:val="24"/>
        </w:rPr>
      </w:pPr>
      <w:r>
        <w:rPr>
          <w:color w:val="000000"/>
          <w:szCs w:val="24"/>
        </w:rPr>
        <w:t xml:space="preserve">The </w:t>
      </w:r>
      <w:r w:rsidR="00E3131D">
        <w:rPr>
          <w:color w:val="000000"/>
          <w:szCs w:val="24"/>
        </w:rPr>
        <w:t xml:space="preserve">Pharmacy Guild of Australia </w:t>
      </w:r>
      <w:r>
        <w:rPr>
          <w:color w:val="000000"/>
          <w:szCs w:val="24"/>
        </w:rPr>
        <w:t xml:space="preserve">was consulted on the change to the </w:t>
      </w:r>
      <w:r w:rsidR="005C22CB">
        <w:rPr>
          <w:color w:val="000000"/>
          <w:szCs w:val="24"/>
        </w:rPr>
        <w:t xml:space="preserve">further </w:t>
      </w:r>
      <w:r>
        <w:rPr>
          <w:color w:val="000000"/>
          <w:szCs w:val="24"/>
        </w:rPr>
        <w:t xml:space="preserve">additional patient charge </w:t>
      </w:r>
      <w:r w:rsidR="005C22CB">
        <w:rPr>
          <w:color w:val="000000"/>
          <w:szCs w:val="24"/>
        </w:rPr>
        <w:t>prior to the signing of the</w:t>
      </w:r>
      <w:r>
        <w:rPr>
          <w:color w:val="000000"/>
          <w:szCs w:val="24"/>
        </w:rPr>
        <w:t xml:space="preserve"> Seventh Community Pharmacy Agreement.</w:t>
      </w:r>
      <w:r w:rsidR="00E46B11">
        <w:rPr>
          <w:color w:val="000000"/>
          <w:szCs w:val="24"/>
        </w:rPr>
        <w:t xml:space="preserve">  No specific consultation was undertaken in relation to the Regulations as they provide for a technical amendment related to the implementation of the Seventh Community Pharmacy Agreement </w:t>
      </w:r>
      <w:r w:rsidR="002A3ED0">
        <w:rPr>
          <w:color w:val="000000"/>
          <w:szCs w:val="24"/>
        </w:rPr>
        <w:t xml:space="preserve">that is similar to the </w:t>
      </w:r>
      <w:r w:rsidR="00E46B11">
        <w:rPr>
          <w:color w:val="000000"/>
          <w:szCs w:val="24"/>
        </w:rPr>
        <w:t>existing arrangements.</w:t>
      </w:r>
    </w:p>
    <w:p w14:paraId="71AA006A" w14:textId="77777777" w:rsidR="00E3131D" w:rsidRDefault="00E3131D" w:rsidP="0075495D">
      <w:pPr>
        <w:keepNext/>
        <w:keepLines/>
        <w:autoSpaceDE w:val="0"/>
        <w:autoSpaceDN w:val="0"/>
        <w:adjustRightInd w:val="0"/>
        <w:rPr>
          <w:szCs w:val="24"/>
        </w:rPr>
      </w:pPr>
    </w:p>
    <w:p w14:paraId="705574DD" w14:textId="77777777" w:rsidR="00E3131D" w:rsidRPr="00E3131D" w:rsidRDefault="00E3131D" w:rsidP="00E3131D">
      <w:pPr>
        <w:shd w:val="clear" w:color="auto" w:fill="FFFFFF"/>
        <w:spacing w:after="180"/>
        <w:ind w:right="-45"/>
        <w:rPr>
          <w:color w:val="000000"/>
          <w:szCs w:val="24"/>
        </w:rPr>
      </w:pPr>
      <w:r w:rsidRPr="00E3131D">
        <w:rPr>
          <w:color w:val="000000"/>
          <w:szCs w:val="24"/>
        </w:rPr>
        <w:t>Details of the Regulations are set out in the </w:t>
      </w:r>
      <w:r w:rsidRPr="00E3131D">
        <w:rPr>
          <w:color w:val="000000"/>
          <w:szCs w:val="24"/>
          <w:u w:val="single"/>
        </w:rPr>
        <w:t>Attachment</w:t>
      </w:r>
      <w:r w:rsidRPr="00E3131D">
        <w:rPr>
          <w:color w:val="000000"/>
          <w:szCs w:val="24"/>
        </w:rPr>
        <w:t>.</w:t>
      </w:r>
    </w:p>
    <w:p w14:paraId="19713933" w14:textId="77777777" w:rsidR="00E3131D" w:rsidRPr="00E3131D" w:rsidRDefault="00E3131D" w:rsidP="00E3131D">
      <w:pPr>
        <w:shd w:val="clear" w:color="auto" w:fill="FFFFFF"/>
        <w:spacing w:after="180"/>
        <w:ind w:right="-45"/>
        <w:rPr>
          <w:color w:val="000000"/>
          <w:szCs w:val="24"/>
        </w:rPr>
      </w:pPr>
      <w:r w:rsidRPr="00E3131D">
        <w:rPr>
          <w:color w:val="000000"/>
          <w:szCs w:val="24"/>
        </w:rPr>
        <w:t>The Act specifies no conditions that need to be satisfied before the power to make the Regulations is exercised.</w:t>
      </w:r>
    </w:p>
    <w:p w14:paraId="27AC1732" w14:textId="77777777" w:rsidR="00E3131D" w:rsidRPr="00E3131D" w:rsidRDefault="00E3131D" w:rsidP="00E3131D">
      <w:pPr>
        <w:shd w:val="clear" w:color="auto" w:fill="FFFFFF"/>
        <w:spacing w:after="180"/>
        <w:ind w:right="96"/>
        <w:rPr>
          <w:color w:val="000000"/>
          <w:szCs w:val="24"/>
        </w:rPr>
      </w:pPr>
      <w:r w:rsidRPr="00E3131D">
        <w:rPr>
          <w:color w:val="000000"/>
          <w:szCs w:val="24"/>
        </w:rPr>
        <w:t>The Regulations are a legislative instrument for the purposes of the </w:t>
      </w:r>
      <w:r w:rsidRPr="00E3131D">
        <w:rPr>
          <w:i/>
          <w:iCs/>
          <w:color w:val="000000"/>
          <w:szCs w:val="24"/>
        </w:rPr>
        <w:t>Legislation Act 2003.</w:t>
      </w:r>
    </w:p>
    <w:p w14:paraId="10029F73" w14:textId="65857F33" w:rsidR="00BF1B89" w:rsidRPr="00BD7FE8" w:rsidRDefault="000939DA" w:rsidP="00DC26EA">
      <w:pPr>
        <w:pStyle w:val="Dot1"/>
        <w:numPr>
          <w:ilvl w:val="0"/>
          <w:numId w:val="0"/>
        </w:numPr>
        <w:spacing w:after="0" w:line="240" w:lineRule="auto"/>
        <w:rPr>
          <w:rFonts w:ascii="Times New Roman" w:hAnsi="Times New Roman" w:cs="Times New Roman"/>
          <w:sz w:val="24"/>
          <w:szCs w:val="24"/>
        </w:rPr>
      </w:pPr>
      <w:r w:rsidRPr="000939DA">
        <w:rPr>
          <w:rFonts w:ascii="Times New Roman" w:hAnsi="Times New Roman" w:cs="Times New Roman"/>
          <w:sz w:val="24"/>
          <w:szCs w:val="24"/>
        </w:rPr>
        <w:t xml:space="preserve">The Regulations commence on </w:t>
      </w:r>
      <w:r w:rsidR="00BC6E37">
        <w:rPr>
          <w:rFonts w:ascii="Times New Roman" w:hAnsi="Times New Roman" w:cs="Times New Roman"/>
          <w:sz w:val="24"/>
          <w:szCs w:val="24"/>
        </w:rPr>
        <w:t xml:space="preserve">the day </w:t>
      </w:r>
      <w:r w:rsidR="008C107D">
        <w:rPr>
          <w:rFonts w:ascii="Times New Roman" w:hAnsi="Times New Roman" w:cs="Times New Roman"/>
          <w:sz w:val="24"/>
          <w:szCs w:val="24"/>
        </w:rPr>
        <w:t xml:space="preserve">after </w:t>
      </w:r>
      <w:r w:rsidR="006A78E6">
        <w:rPr>
          <w:rFonts w:ascii="Times New Roman" w:hAnsi="Times New Roman" w:cs="Times New Roman"/>
          <w:sz w:val="24"/>
          <w:szCs w:val="24"/>
        </w:rPr>
        <w:t>the Regulations</w:t>
      </w:r>
      <w:r w:rsidR="008C107D">
        <w:rPr>
          <w:rFonts w:ascii="Times New Roman" w:hAnsi="Times New Roman" w:cs="Times New Roman"/>
          <w:sz w:val="24"/>
          <w:szCs w:val="24"/>
        </w:rPr>
        <w:t xml:space="preserve"> are registered</w:t>
      </w:r>
      <w:r w:rsidRPr="000939DA">
        <w:rPr>
          <w:rFonts w:ascii="Times New Roman" w:hAnsi="Times New Roman" w:cs="Times New Roman"/>
          <w:sz w:val="24"/>
          <w:szCs w:val="24"/>
        </w:rPr>
        <w:t xml:space="preserve">. </w:t>
      </w:r>
    </w:p>
    <w:p w14:paraId="4FABC0CA" w14:textId="77777777" w:rsidR="0005057B" w:rsidRPr="00BD7FE8" w:rsidRDefault="0005057B" w:rsidP="000D4E4D">
      <w:pPr>
        <w:rPr>
          <w:i/>
        </w:rPr>
      </w:pPr>
    </w:p>
    <w:p w14:paraId="0B0FE033" w14:textId="77777777" w:rsidR="000D4E4D" w:rsidRPr="00BD7FE8" w:rsidRDefault="000D4E4D" w:rsidP="000D4E4D">
      <w:pPr>
        <w:jc w:val="right"/>
        <w:rPr>
          <w:b/>
        </w:rPr>
      </w:pPr>
    </w:p>
    <w:p w14:paraId="7B18BDB2" w14:textId="77777777" w:rsidR="009C3A08" w:rsidRPr="00BD7FE8" w:rsidRDefault="009C3A08">
      <w:pPr>
        <w:rPr>
          <w:b/>
        </w:rPr>
      </w:pPr>
      <w:r w:rsidRPr="00BD7FE8">
        <w:rPr>
          <w:b/>
        </w:rPr>
        <w:br w:type="page"/>
      </w:r>
    </w:p>
    <w:p w14:paraId="7F324634" w14:textId="77777777" w:rsidR="00C72D11" w:rsidRPr="005411E2" w:rsidRDefault="00C72D11" w:rsidP="00C72D11">
      <w:pPr>
        <w:ind w:right="91"/>
        <w:jc w:val="right"/>
        <w:rPr>
          <w:u w:val="single"/>
        </w:rPr>
      </w:pPr>
      <w:r w:rsidRPr="005411E2">
        <w:rPr>
          <w:b/>
          <w:u w:val="single"/>
        </w:rPr>
        <w:lastRenderedPageBreak/>
        <w:t>ATTACHMENT</w:t>
      </w:r>
    </w:p>
    <w:p w14:paraId="46BC3280" w14:textId="77777777" w:rsidR="00C72D11" w:rsidRPr="005411E2" w:rsidRDefault="00C72D11" w:rsidP="00C72D11">
      <w:pPr>
        <w:ind w:right="91"/>
        <w:jc w:val="right"/>
      </w:pPr>
    </w:p>
    <w:p w14:paraId="3CEA2AD9" w14:textId="77777777" w:rsidR="00C72D11" w:rsidRPr="005411E2" w:rsidRDefault="00C72D11" w:rsidP="00C72D11">
      <w:pPr>
        <w:ind w:right="91"/>
        <w:rPr>
          <w:u w:val="single"/>
        </w:rPr>
      </w:pPr>
      <w:r w:rsidRPr="005411E2">
        <w:rPr>
          <w:b/>
          <w:u w:val="single"/>
        </w:rPr>
        <w:t xml:space="preserve">Details of the proposed </w:t>
      </w:r>
      <w:r w:rsidRPr="004A72B3">
        <w:rPr>
          <w:b/>
          <w:i/>
          <w:u w:val="single"/>
        </w:rPr>
        <w:t>National Health (Pharmaceutical Benefits) Amendment (Seventh Community Pharmacy Agreement) Regulations 2020</w:t>
      </w:r>
    </w:p>
    <w:p w14:paraId="7E7A9235" w14:textId="77777777" w:rsidR="00C72D11" w:rsidRPr="005411E2" w:rsidRDefault="00C72D11" w:rsidP="00C72D11">
      <w:pPr>
        <w:ind w:right="91"/>
      </w:pPr>
    </w:p>
    <w:p w14:paraId="3F47F11E" w14:textId="1DA3AFF2" w:rsidR="00C72D11" w:rsidRPr="005411E2" w:rsidRDefault="00C72D11" w:rsidP="00C72D11">
      <w:pPr>
        <w:ind w:right="91"/>
      </w:pPr>
      <w:r w:rsidRPr="005411E2">
        <w:rPr>
          <w:u w:val="single"/>
        </w:rPr>
        <w:t xml:space="preserve">Section 1 - Name </w:t>
      </w:r>
    </w:p>
    <w:p w14:paraId="45F9DB19" w14:textId="77777777" w:rsidR="00C72D11" w:rsidRPr="005411E2" w:rsidRDefault="00C72D11" w:rsidP="00C72D11">
      <w:pPr>
        <w:ind w:right="91"/>
      </w:pPr>
    </w:p>
    <w:p w14:paraId="1D5727B3" w14:textId="6FD6A988" w:rsidR="00C72D11" w:rsidRPr="005411E2" w:rsidRDefault="00C72D11" w:rsidP="00C72D11">
      <w:pPr>
        <w:ind w:right="91"/>
      </w:pPr>
      <w:r w:rsidRPr="005411E2">
        <w:t xml:space="preserve">This section </w:t>
      </w:r>
      <w:r w:rsidR="00E3131D">
        <w:t xml:space="preserve">provides </w:t>
      </w:r>
      <w:r w:rsidRPr="005411E2">
        <w:t xml:space="preserve">that the title of the </w:t>
      </w:r>
      <w:r w:rsidR="0049496B">
        <w:t>instrument</w:t>
      </w:r>
      <w:r w:rsidR="0049496B" w:rsidRPr="005411E2">
        <w:t xml:space="preserve"> </w:t>
      </w:r>
      <w:r w:rsidRPr="005411E2">
        <w:t xml:space="preserve">is the </w:t>
      </w:r>
      <w:r>
        <w:rPr>
          <w:i/>
        </w:rPr>
        <w:t>National Health (Pharmaceutical Benefits)</w:t>
      </w:r>
      <w:r w:rsidRPr="005411E2">
        <w:rPr>
          <w:i/>
        </w:rPr>
        <w:t xml:space="preserve"> Amendment </w:t>
      </w:r>
      <w:r>
        <w:rPr>
          <w:i/>
        </w:rPr>
        <w:t xml:space="preserve">(Seventh Community Pharmacy Agreement) </w:t>
      </w:r>
      <w:r w:rsidRPr="005411E2">
        <w:rPr>
          <w:i/>
        </w:rPr>
        <w:t>Regulations 20</w:t>
      </w:r>
      <w:r>
        <w:rPr>
          <w:i/>
        </w:rPr>
        <w:t>20</w:t>
      </w:r>
      <w:r w:rsidRPr="005411E2">
        <w:rPr>
          <w:i/>
        </w:rPr>
        <w:t>.</w:t>
      </w:r>
    </w:p>
    <w:p w14:paraId="339ABACC" w14:textId="77777777" w:rsidR="00C72D11" w:rsidRPr="005411E2" w:rsidRDefault="00C72D11" w:rsidP="00C72D11">
      <w:pPr>
        <w:ind w:right="91"/>
      </w:pPr>
    </w:p>
    <w:p w14:paraId="51FCE37F" w14:textId="77777777" w:rsidR="00C72D11" w:rsidRPr="005411E2" w:rsidRDefault="00C72D11" w:rsidP="00C72D11">
      <w:pPr>
        <w:ind w:right="91"/>
        <w:rPr>
          <w:u w:val="single"/>
        </w:rPr>
      </w:pPr>
      <w:r w:rsidRPr="005411E2">
        <w:rPr>
          <w:u w:val="single"/>
        </w:rPr>
        <w:t>Section 2 - Commencement</w:t>
      </w:r>
    </w:p>
    <w:p w14:paraId="6DB07299" w14:textId="77777777" w:rsidR="00C72D11" w:rsidRPr="005411E2" w:rsidRDefault="00C72D11" w:rsidP="00C72D11">
      <w:pPr>
        <w:ind w:right="91"/>
      </w:pPr>
    </w:p>
    <w:p w14:paraId="25295444" w14:textId="10333133" w:rsidR="00C72D11" w:rsidRPr="005411E2" w:rsidRDefault="00C72D11" w:rsidP="00C72D11">
      <w:pPr>
        <w:ind w:right="91"/>
      </w:pPr>
      <w:r w:rsidRPr="005411E2">
        <w:t>This section provide</w:t>
      </w:r>
      <w:r w:rsidR="001C28EC">
        <w:t>s</w:t>
      </w:r>
      <w:r w:rsidRPr="005411E2">
        <w:t xml:space="preserve"> for the </w:t>
      </w:r>
      <w:r w:rsidR="0049496B">
        <w:t>instrument</w:t>
      </w:r>
      <w:r w:rsidR="0049496B" w:rsidRPr="005411E2">
        <w:t xml:space="preserve"> </w:t>
      </w:r>
      <w:r w:rsidRPr="005411E2">
        <w:t xml:space="preserve">to commence on </w:t>
      </w:r>
      <w:r w:rsidR="008C107D">
        <w:t>the day after the instrument is registered</w:t>
      </w:r>
      <w:r w:rsidRPr="005411E2">
        <w:t>.</w:t>
      </w:r>
    </w:p>
    <w:p w14:paraId="3D9271C5" w14:textId="77777777" w:rsidR="00C72D11" w:rsidRPr="005411E2" w:rsidRDefault="00C72D11" w:rsidP="00C72D11">
      <w:pPr>
        <w:ind w:right="91"/>
      </w:pPr>
    </w:p>
    <w:p w14:paraId="36236DD4" w14:textId="77777777" w:rsidR="00C72D11" w:rsidRPr="005411E2" w:rsidRDefault="00C72D11" w:rsidP="00C72D11">
      <w:pPr>
        <w:ind w:right="91"/>
      </w:pPr>
      <w:r w:rsidRPr="005411E2">
        <w:rPr>
          <w:u w:val="single"/>
        </w:rPr>
        <w:t>Section 3 - Authority</w:t>
      </w:r>
    </w:p>
    <w:p w14:paraId="08394100" w14:textId="77777777" w:rsidR="00C72D11" w:rsidRPr="005411E2" w:rsidRDefault="00C72D11" w:rsidP="00C72D11">
      <w:pPr>
        <w:ind w:right="91"/>
      </w:pPr>
    </w:p>
    <w:p w14:paraId="177F4E75" w14:textId="6EB6521C" w:rsidR="00C72D11" w:rsidRPr="005411E2" w:rsidRDefault="00C72D11" w:rsidP="00C72D11">
      <w:pPr>
        <w:ind w:right="91"/>
      </w:pPr>
      <w:r w:rsidRPr="005411E2">
        <w:t>This section provide</w:t>
      </w:r>
      <w:r w:rsidR="001C28EC">
        <w:t>s</w:t>
      </w:r>
      <w:r w:rsidRPr="005411E2">
        <w:t xml:space="preserve"> that the </w:t>
      </w:r>
      <w:r w:rsidR="0049496B" w:rsidRPr="00051D15">
        <w:t>instrumen</w:t>
      </w:r>
      <w:r w:rsidR="0049496B">
        <w:t>t</w:t>
      </w:r>
      <w:r w:rsidR="005D36AA">
        <w:rPr>
          <w:i/>
        </w:rPr>
        <w:t xml:space="preserve"> </w:t>
      </w:r>
      <w:r w:rsidRPr="005411E2">
        <w:t xml:space="preserve">is made under the </w:t>
      </w:r>
      <w:r>
        <w:rPr>
          <w:i/>
        </w:rPr>
        <w:t>National Health</w:t>
      </w:r>
      <w:r w:rsidRPr="005411E2">
        <w:rPr>
          <w:i/>
        </w:rPr>
        <w:t xml:space="preserve"> Act </w:t>
      </w:r>
      <w:r>
        <w:rPr>
          <w:i/>
        </w:rPr>
        <w:t>1953</w:t>
      </w:r>
      <w:r w:rsidRPr="005411E2">
        <w:t>.</w:t>
      </w:r>
    </w:p>
    <w:p w14:paraId="09F18D7D" w14:textId="77777777" w:rsidR="00C72D11" w:rsidRPr="005411E2" w:rsidRDefault="00C72D11" w:rsidP="00C72D11">
      <w:pPr>
        <w:ind w:right="91"/>
      </w:pPr>
    </w:p>
    <w:p w14:paraId="12CDA39E" w14:textId="77777777" w:rsidR="00C72D11" w:rsidRPr="005411E2" w:rsidRDefault="00C72D11" w:rsidP="00C72D11">
      <w:pPr>
        <w:keepNext/>
        <w:ind w:right="748"/>
        <w:rPr>
          <w:u w:val="single"/>
        </w:rPr>
      </w:pPr>
      <w:r w:rsidRPr="005411E2">
        <w:rPr>
          <w:u w:val="single"/>
        </w:rPr>
        <w:t>Section 4 - Schedules</w:t>
      </w:r>
    </w:p>
    <w:p w14:paraId="760AA881" w14:textId="77777777" w:rsidR="00C72D11" w:rsidRPr="005411E2" w:rsidRDefault="00C72D11" w:rsidP="00C72D11">
      <w:pPr>
        <w:keepNext/>
        <w:ind w:right="748"/>
      </w:pPr>
    </w:p>
    <w:p w14:paraId="11EF6157" w14:textId="582F5153" w:rsidR="00C72D11" w:rsidRPr="005411E2" w:rsidRDefault="00C72D11" w:rsidP="00C72D11">
      <w:pPr>
        <w:keepNext/>
        <w:ind w:right="748"/>
      </w:pPr>
      <w:r w:rsidRPr="005411E2">
        <w:t>This section provide</w:t>
      </w:r>
      <w:r w:rsidR="001C28EC">
        <w:t>s</w:t>
      </w:r>
      <w:r w:rsidRPr="005411E2">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775FF7A" w14:textId="77777777" w:rsidR="00C72D11" w:rsidRPr="005411E2" w:rsidRDefault="00C72D11" w:rsidP="00C72D11">
      <w:pPr>
        <w:ind w:right="91"/>
        <w:rPr>
          <w:u w:val="single"/>
        </w:rPr>
      </w:pPr>
    </w:p>
    <w:p w14:paraId="74D6BFFD" w14:textId="77777777" w:rsidR="00C72D11" w:rsidRPr="00051D15" w:rsidRDefault="00C72D11" w:rsidP="00C72D11">
      <w:pPr>
        <w:ind w:right="91"/>
        <w:rPr>
          <w:b/>
        </w:rPr>
      </w:pPr>
      <w:r w:rsidRPr="00051D15">
        <w:rPr>
          <w:b/>
          <w:u w:val="single"/>
        </w:rPr>
        <w:t>Schedule 1 - Amendments</w:t>
      </w:r>
    </w:p>
    <w:p w14:paraId="6D90307D" w14:textId="1374E507" w:rsidR="00C72D11" w:rsidRDefault="00C72D11" w:rsidP="00C72D11">
      <w:pPr>
        <w:ind w:right="91"/>
      </w:pPr>
    </w:p>
    <w:p w14:paraId="0682F931" w14:textId="064F437B" w:rsidR="00C53BBD" w:rsidRPr="00051D15" w:rsidRDefault="00C53BBD" w:rsidP="00C72D11">
      <w:pPr>
        <w:ind w:right="91"/>
        <w:rPr>
          <w:b/>
          <w:i/>
        </w:rPr>
      </w:pPr>
      <w:r w:rsidRPr="00051D15">
        <w:rPr>
          <w:b/>
          <w:i/>
        </w:rPr>
        <w:t>National Health (Pharmaceutical Benefits) Regulations 2017</w:t>
      </w:r>
    </w:p>
    <w:p w14:paraId="29DC8BBE" w14:textId="77777777" w:rsidR="00C53BBD" w:rsidRPr="005411E2" w:rsidRDefault="00C53BBD" w:rsidP="00C72D11">
      <w:pPr>
        <w:ind w:right="91"/>
      </w:pPr>
    </w:p>
    <w:p w14:paraId="4FA114AF" w14:textId="77777777" w:rsidR="00C72D11" w:rsidRPr="005411E2" w:rsidRDefault="00C72D11" w:rsidP="00C72D11">
      <w:pPr>
        <w:ind w:right="91"/>
      </w:pPr>
      <w:r w:rsidRPr="005411E2">
        <w:rPr>
          <w:b/>
        </w:rPr>
        <w:t>Item [1] - sub</w:t>
      </w:r>
      <w:r>
        <w:rPr>
          <w:b/>
        </w:rPr>
        <w:t>section</w:t>
      </w:r>
      <w:r w:rsidRPr="005411E2">
        <w:rPr>
          <w:b/>
        </w:rPr>
        <w:t xml:space="preserve"> </w:t>
      </w:r>
      <w:r>
        <w:rPr>
          <w:b/>
        </w:rPr>
        <w:t>5</w:t>
      </w:r>
      <w:r w:rsidRPr="005411E2">
        <w:rPr>
          <w:b/>
        </w:rPr>
        <w:t>(</w:t>
      </w:r>
      <w:r>
        <w:rPr>
          <w:b/>
        </w:rPr>
        <w:t>1</w:t>
      </w:r>
      <w:r w:rsidRPr="005411E2">
        <w:rPr>
          <w:b/>
        </w:rPr>
        <w:t>)</w:t>
      </w:r>
    </w:p>
    <w:p w14:paraId="71A35F5A" w14:textId="77777777" w:rsidR="00C72D11" w:rsidRPr="005411E2" w:rsidRDefault="00C72D11" w:rsidP="00C72D11">
      <w:pPr>
        <w:ind w:right="91"/>
      </w:pPr>
    </w:p>
    <w:p w14:paraId="238E0179" w14:textId="26A3273A" w:rsidR="001C28EC" w:rsidRDefault="00C72D11" w:rsidP="001C28EC">
      <w:pPr>
        <w:shd w:val="clear" w:color="auto" w:fill="FFFFFF"/>
        <w:spacing w:after="180"/>
        <w:ind w:right="96"/>
        <w:rPr>
          <w:color w:val="000000"/>
          <w:szCs w:val="24"/>
        </w:rPr>
      </w:pPr>
      <w:r w:rsidRPr="005411E2">
        <w:t>Sub</w:t>
      </w:r>
      <w:r>
        <w:t>section</w:t>
      </w:r>
      <w:r w:rsidRPr="005411E2">
        <w:t xml:space="preserve"> </w:t>
      </w:r>
      <w:r>
        <w:t>5</w:t>
      </w:r>
      <w:r w:rsidRPr="005411E2">
        <w:t>(</w:t>
      </w:r>
      <w:r>
        <w:t>1</w:t>
      </w:r>
      <w:r w:rsidRPr="005411E2">
        <w:t xml:space="preserve">) of the Principal Regulations </w:t>
      </w:r>
      <w:r w:rsidR="001C28EC">
        <w:t xml:space="preserve">is amended to provide </w:t>
      </w:r>
      <w:r w:rsidR="00C53BBD">
        <w:t>t</w:t>
      </w:r>
      <w:r w:rsidRPr="005411E2">
        <w:t xml:space="preserve">hat </w:t>
      </w:r>
      <w:r w:rsidR="001C28EC">
        <w:t>‘</w:t>
      </w:r>
      <w:r>
        <w:t>additional patient charge</w:t>
      </w:r>
      <w:r w:rsidR="001C28EC">
        <w:t>’</w:t>
      </w:r>
      <w:r>
        <w:t xml:space="preserve"> means the </w:t>
      </w:r>
      <w:r w:rsidR="00D7000F">
        <w:t xml:space="preserve">further </w:t>
      </w:r>
      <w:r>
        <w:t>additional patient charge referred to in clause 4.2.1(c) or 4.2.2(c) of the Seventh Community Pharmacy Agreement, as in force on 1 July 2020</w:t>
      </w:r>
      <w:r w:rsidRPr="005411E2">
        <w:t>.</w:t>
      </w:r>
      <w:r w:rsidR="001C28EC" w:rsidRPr="001C28EC">
        <w:rPr>
          <w:color w:val="000000"/>
          <w:szCs w:val="24"/>
        </w:rPr>
        <w:t xml:space="preserve"> </w:t>
      </w:r>
    </w:p>
    <w:p w14:paraId="19DB4983" w14:textId="77777777" w:rsidR="0075495D" w:rsidRDefault="0075495D" w:rsidP="00C72D11">
      <w:pPr>
        <w:ind w:right="91"/>
      </w:pPr>
    </w:p>
    <w:p w14:paraId="0C9FF62B" w14:textId="77777777" w:rsidR="0075495D" w:rsidRDefault="0075495D" w:rsidP="0075495D">
      <w:pPr>
        <w:pStyle w:val="NumberLevel1"/>
      </w:pPr>
      <w:r>
        <w:br w:type="page"/>
      </w:r>
    </w:p>
    <w:p w14:paraId="6FB37F59" w14:textId="77777777" w:rsidR="00C72D11" w:rsidRPr="005411E2" w:rsidRDefault="00C72D11" w:rsidP="00C72D11">
      <w:pPr>
        <w:ind w:right="91"/>
      </w:pPr>
    </w:p>
    <w:p w14:paraId="54296E38" w14:textId="77777777" w:rsidR="00440F0A" w:rsidRPr="00BD7FE8" w:rsidRDefault="00440F0A" w:rsidP="00440F0A">
      <w:pPr>
        <w:pStyle w:val="PlainParagraph"/>
        <w:spacing w:after="0" w:line="240" w:lineRule="auto"/>
        <w:jc w:val="center"/>
        <w:rPr>
          <w:rFonts w:ascii="Times New Roman" w:hAnsi="Times New Roman" w:cs="Times New Roman"/>
          <w:i/>
          <w:sz w:val="24"/>
          <w:szCs w:val="24"/>
        </w:rPr>
      </w:pPr>
      <w:r w:rsidRPr="00BD7FE8">
        <w:rPr>
          <w:rFonts w:ascii="Times New Roman" w:hAnsi="Times New Roman" w:cs="Times New Roman"/>
          <w:b/>
          <w:sz w:val="24"/>
          <w:szCs w:val="24"/>
        </w:rPr>
        <w:t>Statement of Compatibility with Human Rights</w:t>
      </w:r>
      <w:r w:rsidRPr="00BD7FE8">
        <w:rPr>
          <w:rFonts w:ascii="Times New Roman" w:hAnsi="Times New Roman" w:cs="Times New Roman"/>
          <w:i/>
          <w:sz w:val="24"/>
          <w:szCs w:val="24"/>
        </w:rPr>
        <w:t xml:space="preserve"> </w:t>
      </w:r>
    </w:p>
    <w:p w14:paraId="547641F8" w14:textId="77777777" w:rsidR="003F0D47" w:rsidRPr="00BD7FE8" w:rsidRDefault="003F0D47" w:rsidP="00440F0A">
      <w:pPr>
        <w:pStyle w:val="PlainParagraph"/>
        <w:spacing w:after="280"/>
        <w:jc w:val="center"/>
        <w:rPr>
          <w:rFonts w:ascii="Times New Roman" w:hAnsi="Times New Roman" w:cs="Times New Roman"/>
          <w:i/>
          <w:sz w:val="24"/>
          <w:szCs w:val="24"/>
          <w:u w:val="single"/>
        </w:rPr>
      </w:pPr>
      <w:r w:rsidRPr="00BD7FE8">
        <w:rPr>
          <w:rFonts w:ascii="Times New Roman" w:hAnsi="Times New Roman" w:cs="Times New Roman"/>
          <w:i/>
          <w:sz w:val="24"/>
          <w:szCs w:val="24"/>
        </w:rPr>
        <w:t>Prepared in accordance with Part 3 of the Human Rights (Parliamentary Scrutiny) Act 2011</w:t>
      </w:r>
    </w:p>
    <w:p w14:paraId="57CDA8F3" w14:textId="77777777" w:rsidR="00440F0A" w:rsidRPr="00BD7FE8" w:rsidRDefault="0075495D" w:rsidP="00440F0A">
      <w:pPr>
        <w:jc w:val="center"/>
        <w:rPr>
          <w:i/>
        </w:rPr>
      </w:pPr>
      <w:r w:rsidRPr="0075495D">
        <w:rPr>
          <w:i/>
        </w:rPr>
        <w:t>National Health (Pharmaceutical Benefits) Amendment (Seventh Community Pharmacy Agreement) Regulations 2020</w:t>
      </w:r>
    </w:p>
    <w:p w14:paraId="07D754A9" w14:textId="77777777" w:rsidR="0085389A" w:rsidRPr="00BD7FE8" w:rsidRDefault="0085389A" w:rsidP="00440F0A">
      <w:pPr>
        <w:jc w:val="center"/>
        <w:rPr>
          <w:i/>
        </w:rPr>
      </w:pPr>
    </w:p>
    <w:p w14:paraId="6AD79DD3" w14:textId="77777777" w:rsidR="003F0D47" w:rsidRPr="00BD7FE8" w:rsidRDefault="003F0D47" w:rsidP="00440F0A">
      <w:pPr>
        <w:rPr>
          <w:szCs w:val="24"/>
        </w:rPr>
      </w:pPr>
      <w:r w:rsidRPr="00BD7FE8">
        <w:rPr>
          <w:szCs w:val="24"/>
        </w:rPr>
        <w:t xml:space="preserve">The </w:t>
      </w:r>
      <w:r w:rsidR="0075495D" w:rsidRPr="0075495D">
        <w:rPr>
          <w:i/>
        </w:rPr>
        <w:t>National Health (Pharmaceutical Benefits) Amendment (Seventh Community Pharmacy Agreement) Regulations 2020</w:t>
      </w:r>
      <w:r w:rsidR="00440F0A" w:rsidRPr="00BD7FE8">
        <w:rPr>
          <w:i/>
        </w:rPr>
        <w:t xml:space="preserve"> </w:t>
      </w:r>
      <w:r w:rsidR="004015EB" w:rsidRPr="00BD7FE8">
        <w:t>(the</w:t>
      </w:r>
      <w:r w:rsidR="00AE28DE" w:rsidRPr="00BD7FE8">
        <w:t xml:space="preserve"> Amendment</w:t>
      </w:r>
      <w:r w:rsidR="005578B2" w:rsidRPr="00BD7FE8">
        <w:t xml:space="preserve"> Regulations</w:t>
      </w:r>
      <w:r w:rsidR="004015EB" w:rsidRPr="00BD7FE8">
        <w:t>)</w:t>
      </w:r>
      <w:r w:rsidR="00440F0A" w:rsidRPr="00BD7FE8">
        <w:rPr>
          <w:i/>
        </w:rPr>
        <w:t xml:space="preserve"> </w:t>
      </w:r>
      <w:r w:rsidR="005578B2" w:rsidRPr="00BD7FE8">
        <w:t>are</w:t>
      </w:r>
      <w:r w:rsidRPr="00BD7FE8">
        <w:rPr>
          <w:szCs w:val="24"/>
        </w:rPr>
        <w:t xml:space="preserve"> compatible with the human rights and freedoms recognised or declared in the international instruments listed in section 3 of the </w:t>
      </w:r>
      <w:r w:rsidRPr="00BD7FE8">
        <w:rPr>
          <w:i/>
          <w:szCs w:val="24"/>
        </w:rPr>
        <w:t>Human Rights (Parliamentary Scrutiny) Act 2011</w:t>
      </w:r>
      <w:r w:rsidRPr="00BD7FE8">
        <w:rPr>
          <w:szCs w:val="24"/>
        </w:rPr>
        <w:t>.</w:t>
      </w:r>
    </w:p>
    <w:p w14:paraId="6CCE9DF6" w14:textId="77777777" w:rsidR="003F0D47" w:rsidRPr="00BD7FE8" w:rsidRDefault="003F0D47" w:rsidP="003F0D47">
      <w:pPr>
        <w:spacing w:before="140" w:after="140"/>
        <w:rPr>
          <w:b/>
          <w:szCs w:val="24"/>
        </w:rPr>
      </w:pPr>
      <w:r w:rsidRPr="00BD7FE8">
        <w:rPr>
          <w:b/>
          <w:szCs w:val="24"/>
        </w:rPr>
        <w:t>Overview of the Regulations</w:t>
      </w:r>
    </w:p>
    <w:p w14:paraId="4D8EDF60" w14:textId="77777777" w:rsidR="0075495D" w:rsidRDefault="003F0D47" w:rsidP="00DC26EA">
      <w:pPr>
        <w:pStyle w:val="PlainParagraph"/>
        <w:rPr>
          <w:rFonts w:ascii="Times New Roman" w:hAnsi="Times New Roman" w:cs="Times New Roman"/>
          <w:sz w:val="24"/>
          <w:szCs w:val="24"/>
        </w:rPr>
      </w:pPr>
      <w:r w:rsidRPr="00BD7FE8">
        <w:rPr>
          <w:rFonts w:ascii="Times New Roman" w:hAnsi="Times New Roman" w:cs="Times New Roman"/>
          <w:sz w:val="24"/>
          <w:szCs w:val="24"/>
        </w:rPr>
        <w:t xml:space="preserve">The </w:t>
      </w:r>
      <w:r w:rsidR="00AE28DE" w:rsidRPr="00BD7FE8">
        <w:rPr>
          <w:rFonts w:ascii="Times New Roman" w:hAnsi="Times New Roman" w:cs="Times New Roman"/>
          <w:sz w:val="24"/>
          <w:szCs w:val="24"/>
        </w:rPr>
        <w:t>Amendment</w:t>
      </w:r>
      <w:r w:rsidR="005578B2" w:rsidRPr="00BD7FE8">
        <w:rPr>
          <w:rFonts w:ascii="Times New Roman" w:hAnsi="Times New Roman" w:cs="Times New Roman"/>
          <w:sz w:val="24"/>
          <w:szCs w:val="24"/>
        </w:rPr>
        <w:t xml:space="preserve"> Regulations are made under section 140 of the </w:t>
      </w:r>
      <w:r w:rsidR="005578B2" w:rsidRPr="0075495D">
        <w:rPr>
          <w:rFonts w:ascii="Times New Roman" w:hAnsi="Times New Roman" w:cs="Times New Roman"/>
          <w:i/>
          <w:sz w:val="24"/>
          <w:szCs w:val="24"/>
        </w:rPr>
        <w:t>National Health Act 1953</w:t>
      </w:r>
      <w:r w:rsidR="005578B2" w:rsidRPr="00BD7FE8">
        <w:rPr>
          <w:rFonts w:ascii="Times New Roman" w:hAnsi="Times New Roman" w:cs="Times New Roman"/>
          <w:sz w:val="24"/>
          <w:szCs w:val="24"/>
        </w:rPr>
        <w:t xml:space="preserve"> (the Act). Section 140 provides that the </w:t>
      </w:r>
      <w:r w:rsidR="00DC26EA" w:rsidRPr="00BD7FE8">
        <w:rPr>
          <w:rFonts w:ascii="Times New Roman" w:hAnsi="Times New Roman" w:cs="Times New Roman"/>
          <w:sz w:val="24"/>
          <w:szCs w:val="24"/>
        </w:rPr>
        <w:t>Governor-General may make regulations, not inconsistent with the Act, prescribing all matters which by this Act are required or permitted to be prescribed, or which are necessary or convenient to be prescribed for carrying out or giving effect to the Act.</w:t>
      </w:r>
      <w:r w:rsidR="0075495D">
        <w:rPr>
          <w:rFonts w:ascii="Times New Roman" w:hAnsi="Times New Roman" w:cs="Times New Roman"/>
          <w:sz w:val="24"/>
          <w:szCs w:val="24"/>
        </w:rPr>
        <w:t xml:space="preserve"> </w:t>
      </w:r>
      <w:r w:rsidR="0075495D">
        <w:rPr>
          <w:rFonts w:ascii="Times New Roman" w:hAnsi="Times New Roman" w:cs="Times New Roman"/>
          <w:sz w:val="24"/>
        </w:rPr>
        <w:t>Subsection 84C(1E) of the Act further provides that regulations may prescribe the ‘value for safety net purposes’ of the supply of a pharmaceutical benefit.</w:t>
      </w:r>
      <w:r w:rsidR="00DC26EA" w:rsidRPr="00BD7FE8">
        <w:rPr>
          <w:rFonts w:ascii="Times New Roman" w:hAnsi="Times New Roman" w:cs="Times New Roman"/>
          <w:sz w:val="24"/>
          <w:szCs w:val="24"/>
        </w:rPr>
        <w:t xml:space="preserve"> </w:t>
      </w:r>
    </w:p>
    <w:p w14:paraId="7D1C4D33" w14:textId="34FF2FFF" w:rsidR="00DC26EA" w:rsidRDefault="00AE28DE" w:rsidP="0075495D">
      <w:pPr>
        <w:shd w:val="clear" w:color="auto" w:fill="FFFFFF"/>
        <w:spacing w:before="120" w:after="120"/>
      </w:pPr>
      <w:r w:rsidRPr="00BD7FE8">
        <w:rPr>
          <w:szCs w:val="24"/>
        </w:rPr>
        <w:t>The Amendment</w:t>
      </w:r>
      <w:r w:rsidR="00DC26EA" w:rsidRPr="00BD7FE8">
        <w:rPr>
          <w:szCs w:val="24"/>
        </w:rPr>
        <w:t xml:space="preserve"> Regulations amend the </w:t>
      </w:r>
      <w:r w:rsidR="0075495D">
        <w:rPr>
          <w:i/>
        </w:rPr>
        <w:t>National Health (Pharmaceutical Benefits) Regulations 2017</w:t>
      </w:r>
      <w:r w:rsidR="0075495D" w:rsidRPr="005411E2">
        <w:t xml:space="preserve"> </w:t>
      </w:r>
      <w:r w:rsidR="00DC26EA" w:rsidRPr="00BD7FE8">
        <w:rPr>
          <w:szCs w:val="24"/>
        </w:rPr>
        <w:t>(the Principal Regulations)</w:t>
      </w:r>
      <w:r w:rsidR="00DC26EA" w:rsidRPr="00BD7FE8">
        <w:rPr>
          <w:i/>
          <w:iCs/>
          <w:szCs w:val="24"/>
        </w:rPr>
        <w:t xml:space="preserve">. </w:t>
      </w:r>
      <w:r w:rsidRPr="00BD7FE8">
        <w:rPr>
          <w:szCs w:val="24"/>
        </w:rPr>
        <w:t>The Amendment</w:t>
      </w:r>
      <w:r w:rsidR="00DC26EA" w:rsidRPr="00BD7FE8">
        <w:rPr>
          <w:szCs w:val="24"/>
        </w:rPr>
        <w:t xml:space="preserve"> Regulations establish </w:t>
      </w:r>
      <w:r w:rsidR="0075495D">
        <w:rPr>
          <w:szCs w:val="24"/>
        </w:rPr>
        <w:t xml:space="preserve">the amounts for the purposes of determining the ‘additional patient charge’ </w:t>
      </w:r>
      <w:r w:rsidR="00DC26EA" w:rsidRPr="00BD7FE8">
        <w:rPr>
          <w:szCs w:val="24"/>
        </w:rPr>
        <w:t xml:space="preserve">for </w:t>
      </w:r>
      <w:r w:rsidR="0075495D">
        <w:rPr>
          <w:szCs w:val="24"/>
        </w:rPr>
        <w:t>the purpose of calculating</w:t>
      </w:r>
      <w:r w:rsidR="00AF0A22">
        <w:rPr>
          <w:szCs w:val="24"/>
        </w:rPr>
        <w:t xml:space="preserve"> the value for safety net purposes in order to determine if a person is entitled to be issued with a safety net concession card or a pharmaceutical benefit entitlement card under the Act. The holder of a safety net concession card or a pharmaceutical benefit entitlement card is entitled to be supplied pharmaceutical benefits</w:t>
      </w:r>
      <w:r w:rsidR="00F71F8A">
        <w:rPr>
          <w:szCs w:val="24"/>
        </w:rPr>
        <w:t xml:space="preserve"> at a </w:t>
      </w:r>
      <w:r w:rsidR="005D36AA">
        <w:rPr>
          <w:szCs w:val="24"/>
        </w:rPr>
        <w:t xml:space="preserve">lower </w:t>
      </w:r>
      <w:r w:rsidR="00F71F8A">
        <w:rPr>
          <w:szCs w:val="24"/>
        </w:rPr>
        <w:t>price or</w:t>
      </w:r>
      <w:r w:rsidR="00AF0A22">
        <w:rPr>
          <w:szCs w:val="24"/>
        </w:rPr>
        <w:t xml:space="preserve"> free of charge during an entitlement period</w:t>
      </w:r>
      <w:r w:rsidR="00F71F8A">
        <w:rPr>
          <w:szCs w:val="24"/>
        </w:rPr>
        <w:t xml:space="preserve"> once the relevant thresholds are met</w:t>
      </w:r>
      <w:r w:rsidR="00AF0A22">
        <w:rPr>
          <w:szCs w:val="24"/>
        </w:rPr>
        <w:t>.</w:t>
      </w:r>
      <w:r w:rsidR="00F71F8A">
        <w:rPr>
          <w:szCs w:val="24"/>
        </w:rPr>
        <w:t xml:space="preserve"> </w:t>
      </w:r>
      <w:r w:rsidR="00F71F8A">
        <w:t xml:space="preserve"> </w:t>
      </w:r>
    </w:p>
    <w:p w14:paraId="3CE110BF" w14:textId="78F881FA" w:rsidR="002B286B" w:rsidRDefault="002B286B" w:rsidP="0075495D">
      <w:pPr>
        <w:shd w:val="clear" w:color="auto" w:fill="FFFFFF"/>
        <w:spacing w:before="120" w:after="120"/>
      </w:pPr>
      <w:r>
        <w:t>The amount of the additional patient charge has been agreed between the Commonwealth, through the Minister for Health</w:t>
      </w:r>
      <w:r w:rsidR="00CE4FC5">
        <w:t xml:space="preserve"> and</w:t>
      </w:r>
      <w:r>
        <w:t xml:space="preserve"> the Pharmacy Guild of Australia in the Seventh Community Pharmacy Agreement to commence from 1 July 2020.</w:t>
      </w:r>
    </w:p>
    <w:p w14:paraId="6CBEC1D9" w14:textId="02CFE269" w:rsidR="00620BD1" w:rsidRDefault="00F32FDD" w:rsidP="00620BD1">
      <w:pPr>
        <w:ind w:right="91"/>
      </w:pPr>
      <w:r w:rsidRPr="00051D15">
        <w:rPr>
          <w:szCs w:val="19"/>
          <w:lang w:val="en-US"/>
        </w:rPr>
        <w:t xml:space="preserve">The </w:t>
      </w:r>
      <w:r w:rsidR="00CE4FC5">
        <w:rPr>
          <w:szCs w:val="19"/>
          <w:lang w:val="en-US"/>
        </w:rPr>
        <w:t>A</w:t>
      </w:r>
      <w:r w:rsidRPr="00051D15">
        <w:rPr>
          <w:szCs w:val="19"/>
          <w:lang w:val="en-US"/>
        </w:rPr>
        <w:t>mendment</w:t>
      </w:r>
      <w:r w:rsidR="00CE4FC5">
        <w:rPr>
          <w:szCs w:val="19"/>
          <w:lang w:val="en-US"/>
        </w:rPr>
        <w:t xml:space="preserve"> Regulation</w:t>
      </w:r>
      <w:r w:rsidRPr="00051D15">
        <w:rPr>
          <w:szCs w:val="19"/>
          <w:lang w:val="en-US"/>
        </w:rPr>
        <w:t xml:space="preserve">s are required to ensure that </w:t>
      </w:r>
      <w:r w:rsidR="00620BD1">
        <w:rPr>
          <w:szCs w:val="19"/>
          <w:lang w:val="en-US"/>
        </w:rPr>
        <w:t xml:space="preserve">approved pharmacists are able to </w:t>
      </w:r>
      <w:r w:rsidR="00213C93">
        <w:rPr>
          <w:szCs w:val="19"/>
          <w:lang w:val="en-US"/>
        </w:rPr>
        <w:t xml:space="preserve">continue to </w:t>
      </w:r>
      <w:r w:rsidR="00620BD1">
        <w:rPr>
          <w:szCs w:val="19"/>
          <w:lang w:val="en-US"/>
        </w:rPr>
        <w:t>record against patients</w:t>
      </w:r>
      <w:r w:rsidR="00213C93">
        <w:rPr>
          <w:szCs w:val="19"/>
          <w:lang w:val="en-US"/>
        </w:rPr>
        <w:t>’</w:t>
      </w:r>
      <w:r w:rsidR="00620BD1">
        <w:rPr>
          <w:szCs w:val="19"/>
          <w:lang w:val="en-US"/>
        </w:rPr>
        <w:t xml:space="preserve"> safety net, the correct value for the purposes </w:t>
      </w:r>
      <w:r w:rsidR="00213C93">
        <w:rPr>
          <w:szCs w:val="19"/>
          <w:lang w:val="en-US"/>
        </w:rPr>
        <w:t xml:space="preserve">of </w:t>
      </w:r>
      <w:r w:rsidR="00620BD1">
        <w:rPr>
          <w:szCs w:val="19"/>
          <w:lang w:val="en-US"/>
        </w:rPr>
        <w:t xml:space="preserve">determining the </w:t>
      </w:r>
      <w:r w:rsidR="00213C93">
        <w:rPr>
          <w:szCs w:val="19"/>
          <w:lang w:val="en-US"/>
        </w:rPr>
        <w:t xml:space="preserve">price of a pharmaceutical benefit </w:t>
      </w:r>
      <w:r w:rsidR="00620BD1">
        <w:rPr>
          <w:szCs w:val="19"/>
          <w:lang w:val="en-US"/>
        </w:rPr>
        <w:t xml:space="preserve">for safety net purposes, </w:t>
      </w:r>
      <w:r w:rsidRPr="00051D15">
        <w:rPr>
          <w:szCs w:val="19"/>
          <w:lang w:val="en-US"/>
        </w:rPr>
        <w:t xml:space="preserve">where </w:t>
      </w:r>
      <w:r w:rsidR="00620BD1">
        <w:rPr>
          <w:szCs w:val="19"/>
          <w:lang w:val="en-US"/>
        </w:rPr>
        <w:t>approved pharmacist</w:t>
      </w:r>
      <w:r w:rsidR="00213C93">
        <w:rPr>
          <w:szCs w:val="19"/>
          <w:lang w:val="en-US"/>
        </w:rPr>
        <w:t>s</w:t>
      </w:r>
      <w:r w:rsidR="00620BD1">
        <w:rPr>
          <w:szCs w:val="19"/>
          <w:lang w:val="en-US"/>
        </w:rPr>
        <w:t xml:space="preserve"> charge patient</w:t>
      </w:r>
      <w:r w:rsidR="00213C93">
        <w:rPr>
          <w:szCs w:val="19"/>
          <w:lang w:val="en-US"/>
        </w:rPr>
        <w:t>s</w:t>
      </w:r>
      <w:r w:rsidR="00620BD1">
        <w:rPr>
          <w:szCs w:val="19"/>
          <w:lang w:val="en-US"/>
        </w:rPr>
        <w:t xml:space="preserve"> an </w:t>
      </w:r>
      <w:r w:rsidRPr="00051D15">
        <w:rPr>
          <w:szCs w:val="19"/>
          <w:lang w:val="en-US"/>
        </w:rPr>
        <w:t>additional patient charge</w:t>
      </w:r>
      <w:r w:rsidR="00213C93">
        <w:rPr>
          <w:szCs w:val="19"/>
          <w:lang w:val="en-US"/>
        </w:rPr>
        <w:t xml:space="preserve">. </w:t>
      </w:r>
      <w:r w:rsidR="00213C93">
        <w:t xml:space="preserve">Regulation 17A of the Principal Regulations provides that the value of any ‘additional patient charge (or part thereof)’ that an approved pharmacist charges a patient in respect of the dispense of a pharmaceutical benefit is not to be counted towards determining the value for safety net purposes. </w:t>
      </w:r>
      <w:r w:rsidR="00213C93">
        <w:rPr>
          <w:szCs w:val="19"/>
          <w:lang w:val="en-US"/>
        </w:rPr>
        <w:t>The Amendment Regulations update the amount of the additional patient charge that must be deducted from the value calculated for safety net purposes</w:t>
      </w:r>
      <w:r w:rsidR="002B286B">
        <w:rPr>
          <w:szCs w:val="19"/>
          <w:lang w:val="en-US"/>
        </w:rPr>
        <w:t xml:space="preserve"> to reflect the amount of the additional patient charge agreed between the Commonwealth, through the Minister for Health, and the Pharmacy Guild of Australia in the Seventh Community Pharmacy Agreement</w:t>
      </w:r>
      <w:r w:rsidR="00213C93">
        <w:rPr>
          <w:szCs w:val="19"/>
          <w:lang w:val="en-US"/>
        </w:rPr>
        <w:t>.</w:t>
      </w:r>
      <w:r w:rsidR="00752830">
        <w:rPr>
          <w:szCs w:val="19"/>
          <w:lang w:val="en-US"/>
        </w:rPr>
        <w:t xml:space="preserve"> </w:t>
      </w:r>
    </w:p>
    <w:p w14:paraId="41CA89E0" w14:textId="77777777" w:rsidR="003F0D47" w:rsidRPr="00BD7FE8" w:rsidRDefault="003F0D47" w:rsidP="003F0D47">
      <w:pPr>
        <w:spacing w:before="120" w:after="120"/>
        <w:rPr>
          <w:b/>
          <w:szCs w:val="24"/>
        </w:rPr>
      </w:pPr>
      <w:r w:rsidRPr="00BD7FE8">
        <w:rPr>
          <w:b/>
          <w:szCs w:val="24"/>
        </w:rPr>
        <w:t>Human rights implications</w:t>
      </w:r>
    </w:p>
    <w:p w14:paraId="12182308" w14:textId="77777777" w:rsidR="003F0D47" w:rsidRPr="00BD7FE8" w:rsidRDefault="003F0D47" w:rsidP="006251BF">
      <w:pPr>
        <w:pStyle w:val="Default"/>
        <w:spacing w:after="140"/>
      </w:pPr>
      <w:r w:rsidRPr="00BD7FE8">
        <w:t>The</w:t>
      </w:r>
      <w:r w:rsidR="00677F6B" w:rsidRPr="00BD7FE8">
        <w:t xml:space="preserve"> </w:t>
      </w:r>
      <w:r w:rsidR="00AE28DE" w:rsidRPr="00BD7FE8">
        <w:t>Amendment</w:t>
      </w:r>
      <w:r w:rsidR="00DC26EA" w:rsidRPr="00BD7FE8">
        <w:t xml:space="preserve"> Regulations </w:t>
      </w:r>
      <w:r w:rsidRPr="00BD7FE8">
        <w:t>engage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4304966A" w14:textId="77777777" w:rsidR="00DC4F41" w:rsidRPr="0063796C" w:rsidRDefault="003F0D47" w:rsidP="0085389A">
      <w:pPr>
        <w:pStyle w:val="Default"/>
        <w:spacing w:after="140"/>
        <w:rPr>
          <w:color w:val="auto"/>
        </w:rPr>
      </w:pPr>
      <w:r w:rsidRPr="00BD7FE8">
        <w:t xml:space="preserve">The PBS and </w:t>
      </w:r>
      <w:r w:rsidR="00AF0A22">
        <w:t>the safety net scheme</w:t>
      </w:r>
      <w:r w:rsidRPr="00BD7FE8">
        <w:t xml:space="preserve"> </w:t>
      </w:r>
      <w:r w:rsidR="00AF0A22">
        <w:t xml:space="preserve">under the Act </w:t>
      </w:r>
      <w:r w:rsidRPr="00BD7FE8">
        <w:t xml:space="preserve">are benefit schemes which assist with advancement of this human right by providing subsidised access by patients to </w:t>
      </w:r>
      <w:r w:rsidRPr="0063796C">
        <w:rPr>
          <w:color w:val="auto"/>
        </w:rPr>
        <w:t xml:space="preserve">medicines. </w:t>
      </w:r>
    </w:p>
    <w:p w14:paraId="220B364E" w14:textId="77777777" w:rsidR="003F0D47" w:rsidRPr="00BD7FE8" w:rsidRDefault="003F0D47" w:rsidP="006251BF">
      <w:pPr>
        <w:pStyle w:val="Default"/>
        <w:spacing w:after="140"/>
      </w:pPr>
      <w:r w:rsidRPr="00BD7FE8">
        <w:rPr>
          <w:b/>
          <w:bCs/>
        </w:rPr>
        <w:lastRenderedPageBreak/>
        <w:t>Conclusion</w:t>
      </w:r>
    </w:p>
    <w:p w14:paraId="232F00FD" w14:textId="7C2D8306" w:rsidR="003F0D47" w:rsidRPr="00BD7FE8" w:rsidRDefault="00775C84" w:rsidP="003F0D47">
      <w:pPr>
        <w:rPr>
          <w:szCs w:val="24"/>
        </w:rPr>
      </w:pPr>
      <w:r>
        <w:rPr>
          <w:szCs w:val="24"/>
        </w:rPr>
        <w:t>The</w:t>
      </w:r>
      <w:r w:rsidRPr="00BD7FE8">
        <w:rPr>
          <w:szCs w:val="24"/>
        </w:rPr>
        <w:t xml:space="preserve"> </w:t>
      </w:r>
      <w:r w:rsidR="00F32FDD" w:rsidRPr="00BD7FE8">
        <w:t>Amendment Regulations</w:t>
      </w:r>
      <w:r w:rsidR="00F32FDD" w:rsidRPr="00BD7FE8" w:rsidDel="00F32FDD">
        <w:rPr>
          <w:szCs w:val="24"/>
        </w:rPr>
        <w:t xml:space="preserve"> </w:t>
      </w:r>
      <w:r w:rsidR="00F32FDD">
        <w:rPr>
          <w:szCs w:val="24"/>
        </w:rPr>
        <w:t>are</w:t>
      </w:r>
      <w:r w:rsidR="003F0D47" w:rsidRPr="00BD7FE8">
        <w:rPr>
          <w:szCs w:val="24"/>
        </w:rPr>
        <w:t xml:space="preserve"> compatible with human rights</w:t>
      </w:r>
      <w:r w:rsidR="006C1674">
        <w:rPr>
          <w:szCs w:val="24"/>
        </w:rPr>
        <w:t xml:space="preserve"> </w:t>
      </w:r>
      <w:r w:rsidR="006C1674" w:rsidRPr="006C1674">
        <w:rPr>
          <w:szCs w:val="24"/>
        </w:rPr>
        <w:t>as they do not raise any human rights issues or impinge on any applicable rights or freedoms</w:t>
      </w:r>
      <w:r w:rsidR="003F0D47" w:rsidRPr="00BD7FE8">
        <w:rPr>
          <w:szCs w:val="24"/>
        </w:rPr>
        <w:t>. Human rights continue to be protected by ensur</w:t>
      </w:r>
      <w:r w:rsidR="00AF0A22">
        <w:rPr>
          <w:szCs w:val="24"/>
        </w:rPr>
        <w:t>ing</w:t>
      </w:r>
      <w:r w:rsidR="003F0D47" w:rsidRPr="00BD7FE8">
        <w:rPr>
          <w:szCs w:val="24"/>
        </w:rPr>
        <w:t xml:space="preserve"> the </w:t>
      </w:r>
      <w:r w:rsidR="00AF0A22">
        <w:rPr>
          <w:szCs w:val="24"/>
        </w:rPr>
        <w:t xml:space="preserve">access to affordable </w:t>
      </w:r>
      <w:r w:rsidR="003F0D47" w:rsidRPr="00BD7FE8">
        <w:rPr>
          <w:szCs w:val="24"/>
        </w:rPr>
        <w:t>medicine</w:t>
      </w:r>
      <w:r w:rsidR="00AF0A22">
        <w:rPr>
          <w:szCs w:val="24"/>
        </w:rPr>
        <w:t>s</w:t>
      </w:r>
      <w:r w:rsidR="003F0D47" w:rsidRPr="00BD7FE8">
        <w:rPr>
          <w:szCs w:val="24"/>
        </w:rPr>
        <w:t xml:space="preserve"> to Australians.</w:t>
      </w:r>
    </w:p>
    <w:p w14:paraId="5D45BBA8" w14:textId="77777777" w:rsidR="003F0D47" w:rsidRPr="00BD7FE8" w:rsidRDefault="003F0D47" w:rsidP="003F0D47">
      <w:pPr>
        <w:rPr>
          <w:szCs w:val="24"/>
        </w:rPr>
      </w:pPr>
    </w:p>
    <w:p w14:paraId="573CFC63" w14:textId="77777777" w:rsidR="003F0D47" w:rsidRPr="00BD7FE8" w:rsidRDefault="003F0D47" w:rsidP="003F0D47">
      <w:pPr>
        <w:rPr>
          <w:rFonts w:eastAsia="Calibri"/>
          <w:szCs w:val="24"/>
          <w:lang w:eastAsia="en-US"/>
        </w:rPr>
      </w:pPr>
    </w:p>
    <w:p w14:paraId="59AB526E" w14:textId="77777777" w:rsidR="003F0D47" w:rsidRPr="00BD7FE8" w:rsidRDefault="003F0D47" w:rsidP="003F0D47">
      <w:pPr>
        <w:rPr>
          <w:rFonts w:eastAsia="Calibri"/>
          <w:szCs w:val="24"/>
          <w:lang w:eastAsia="en-US"/>
        </w:rPr>
      </w:pPr>
    </w:p>
    <w:p w14:paraId="1C863874" w14:textId="77777777" w:rsidR="003F0D47" w:rsidRPr="00BD7FE8" w:rsidRDefault="003F0D47" w:rsidP="003F0D47">
      <w:pPr>
        <w:spacing w:before="120" w:after="120" w:line="276" w:lineRule="auto"/>
        <w:jc w:val="center"/>
        <w:rPr>
          <w:rFonts w:eastAsia="Calibri"/>
          <w:b/>
          <w:szCs w:val="24"/>
          <w:lang w:eastAsia="en-US"/>
        </w:rPr>
      </w:pPr>
      <w:r w:rsidRPr="00BD7FE8">
        <w:rPr>
          <w:rFonts w:eastAsia="Calibri"/>
          <w:b/>
          <w:szCs w:val="24"/>
          <w:lang w:eastAsia="en-US"/>
        </w:rPr>
        <w:t>The Hon Greg Hunt MP</w:t>
      </w:r>
    </w:p>
    <w:p w14:paraId="340EF3DC" w14:textId="2A10E2EA" w:rsidR="000D4E4D" w:rsidRDefault="003F0D47" w:rsidP="00344068">
      <w:pPr>
        <w:spacing w:before="120" w:after="120" w:line="276" w:lineRule="auto"/>
        <w:jc w:val="center"/>
        <w:rPr>
          <w:b/>
          <w:szCs w:val="24"/>
        </w:rPr>
      </w:pPr>
      <w:r w:rsidRPr="00BD7FE8">
        <w:rPr>
          <w:rFonts w:eastAsia="Calibri"/>
          <w:b/>
          <w:szCs w:val="24"/>
          <w:lang w:eastAsia="en-US"/>
        </w:rPr>
        <w:t>Minister for Health</w:t>
      </w:r>
    </w:p>
    <w:sectPr w:rsidR="000D4E4D" w:rsidSect="000D4E4D">
      <w:footerReference w:type="even" r:id="rId12"/>
      <w:footerReference w:type="defaul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127F" w14:textId="77777777" w:rsidR="00825A1A" w:rsidRDefault="00825A1A">
      <w:r>
        <w:separator/>
      </w:r>
    </w:p>
  </w:endnote>
  <w:endnote w:type="continuationSeparator" w:id="0">
    <w:p w14:paraId="2D8332C3" w14:textId="77777777" w:rsidR="00825A1A" w:rsidRDefault="0082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2F67" w14:textId="77777777" w:rsidR="007F687E" w:rsidRDefault="007F687E">
    <w:pPr>
      <w:pStyle w:val="Footer"/>
    </w:pPr>
  </w:p>
  <w:p w14:paraId="5DE148ED" w14:textId="4620135D" w:rsidR="007F687E" w:rsidRPr="007F687E" w:rsidRDefault="007F687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057111"/>
      <w:docPartObj>
        <w:docPartGallery w:val="Page Numbers (Bottom of Page)"/>
        <w:docPartUnique/>
      </w:docPartObj>
    </w:sdtPr>
    <w:sdtEndPr>
      <w:rPr>
        <w:rFonts w:ascii="Times New Roman" w:hAnsi="Times New Roman" w:cs="Times New Roman"/>
        <w:noProof/>
        <w:sz w:val="20"/>
        <w:szCs w:val="20"/>
      </w:rPr>
    </w:sdtEndPr>
    <w:sdtContent>
      <w:p w14:paraId="6929FEE7" w14:textId="441E50EA" w:rsidR="00352C72" w:rsidRDefault="00352C72" w:rsidP="005B41F8">
        <w:pPr>
          <w:pStyle w:val="Footer"/>
          <w:jc w:val="center"/>
          <w:rPr>
            <w:rFonts w:ascii="Times New Roman" w:hAnsi="Times New Roman" w:cs="Times New Roman"/>
            <w:noProof/>
            <w:sz w:val="20"/>
            <w:szCs w:val="20"/>
          </w:rPr>
        </w:pPr>
        <w:r w:rsidRPr="00946A00">
          <w:rPr>
            <w:rFonts w:ascii="Times New Roman" w:hAnsi="Times New Roman" w:cs="Times New Roman"/>
            <w:sz w:val="20"/>
            <w:szCs w:val="20"/>
          </w:rPr>
          <w:fldChar w:fldCharType="begin"/>
        </w:r>
        <w:r w:rsidRPr="00946A00">
          <w:rPr>
            <w:rFonts w:ascii="Times New Roman" w:hAnsi="Times New Roman" w:cs="Times New Roman"/>
            <w:sz w:val="20"/>
            <w:szCs w:val="20"/>
          </w:rPr>
          <w:instrText xml:space="preserve"> PAGE   \* MERGEFORMAT </w:instrText>
        </w:r>
        <w:r w:rsidRPr="00946A00">
          <w:rPr>
            <w:rFonts w:ascii="Times New Roman" w:hAnsi="Times New Roman" w:cs="Times New Roman"/>
            <w:sz w:val="20"/>
            <w:szCs w:val="20"/>
          </w:rPr>
          <w:fldChar w:fldCharType="separate"/>
        </w:r>
        <w:r w:rsidR="00DF41EF">
          <w:rPr>
            <w:rFonts w:ascii="Times New Roman" w:hAnsi="Times New Roman" w:cs="Times New Roman"/>
            <w:noProof/>
            <w:sz w:val="20"/>
            <w:szCs w:val="20"/>
          </w:rPr>
          <w:t>2</w:t>
        </w:r>
        <w:r w:rsidRPr="00946A00">
          <w:rPr>
            <w:rFonts w:ascii="Times New Roman" w:hAnsi="Times New Roman" w:cs="Times New Roman"/>
            <w:noProof/>
            <w:sz w:val="20"/>
            <w:szCs w:val="20"/>
          </w:rPr>
          <w:fldChar w:fldCharType="end"/>
        </w:r>
      </w:p>
    </w:sdtContent>
  </w:sdt>
  <w:p w14:paraId="0B24C494" w14:textId="5DA98577" w:rsidR="007F687E" w:rsidRPr="007F687E" w:rsidRDefault="007F687E" w:rsidP="005B41F8">
    <w:pPr>
      <w:pStyle w:val="Footer"/>
      <w:jc w:val="center"/>
      <w:rPr>
        <w:sz w:val="14"/>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B683F" w14:textId="77777777" w:rsidR="007F687E" w:rsidRDefault="007F687E">
    <w:pPr>
      <w:pStyle w:val="Footer"/>
    </w:pPr>
  </w:p>
  <w:p w14:paraId="6D2B02D7" w14:textId="352E23CC" w:rsidR="007F687E" w:rsidRPr="007F687E" w:rsidRDefault="007F687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D8AB" w14:textId="77777777" w:rsidR="00825A1A" w:rsidRDefault="00825A1A">
      <w:r>
        <w:separator/>
      </w:r>
    </w:p>
  </w:footnote>
  <w:footnote w:type="continuationSeparator" w:id="0">
    <w:p w14:paraId="32B0C7F0" w14:textId="77777777" w:rsidR="00825A1A" w:rsidRDefault="0082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706687"/>
    <w:multiLevelType w:val="hybridMultilevel"/>
    <w:tmpl w:val="4560E98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2" w15:restartNumberingAfterBreak="0">
    <w:nsid w:val="28463141"/>
    <w:multiLevelType w:val="hybridMultilevel"/>
    <w:tmpl w:val="7E62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5" w15:restartNumberingAfterBreak="0">
    <w:nsid w:val="2A04185D"/>
    <w:multiLevelType w:val="hybridMultilevel"/>
    <w:tmpl w:val="CD80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36E384D"/>
    <w:multiLevelType w:val="hybridMultilevel"/>
    <w:tmpl w:val="790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7950ACE"/>
    <w:multiLevelType w:val="hybridMultilevel"/>
    <w:tmpl w:val="7E7A6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3"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4C15D23"/>
    <w:multiLevelType w:val="hybridMultilevel"/>
    <w:tmpl w:val="57F266A8"/>
    <w:lvl w:ilvl="0" w:tplc="0C090001">
      <w:start w:val="1"/>
      <w:numFmt w:val="bullet"/>
      <w:lvlText w:val=""/>
      <w:lvlJc w:val="left"/>
      <w:pPr>
        <w:ind w:left="720" w:hanging="360"/>
      </w:pPr>
      <w:rPr>
        <w:rFonts w:ascii="Symbol" w:hAnsi="Symbol" w:hint="default"/>
      </w:rPr>
    </w:lvl>
    <w:lvl w:ilvl="1" w:tplc="B1C8DC8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A6536"/>
    <w:multiLevelType w:val="hybridMultilevel"/>
    <w:tmpl w:val="4014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C36EE"/>
    <w:multiLevelType w:val="hybridMultilevel"/>
    <w:tmpl w:val="ED242AA0"/>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30568A"/>
    <w:multiLevelType w:val="hybridMultilevel"/>
    <w:tmpl w:val="727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0" w15:restartNumberingAfterBreak="0">
    <w:nsid w:val="70C63509"/>
    <w:multiLevelType w:val="hybridMultilevel"/>
    <w:tmpl w:val="A30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5DF2E05"/>
    <w:multiLevelType w:val="hybridMultilevel"/>
    <w:tmpl w:val="491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302333"/>
    <w:multiLevelType w:val="hybridMultilevel"/>
    <w:tmpl w:val="16BC7076"/>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4"/>
  </w:num>
  <w:num w:numId="3">
    <w:abstractNumId w:val="14"/>
  </w:num>
  <w:num w:numId="4">
    <w:abstractNumId w:val="17"/>
  </w:num>
  <w:num w:numId="5">
    <w:abstractNumId w:val="13"/>
  </w:num>
  <w:num w:numId="6">
    <w:abstractNumId w:val="46"/>
  </w:num>
  <w:num w:numId="7">
    <w:abstractNumId w:val="54"/>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42"/>
  </w:num>
  <w:num w:numId="22">
    <w:abstractNumId w:val="18"/>
  </w:num>
  <w:num w:numId="23">
    <w:abstractNumId w:val="49"/>
  </w:num>
  <w:num w:numId="24">
    <w:abstractNumId w:val="16"/>
  </w:num>
  <w:num w:numId="25">
    <w:abstractNumId w:val="15"/>
  </w:num>
  <w:num w:numId="26">
    <w:abstractNumId w:val="26"/>
  </w:num>
  <w:num w:numId="27">
    <w:abstractNumId w:val="10"/>
  </w:num>
  <w:num w:numId="28">
    <w:abstractNumId w:val="20"/>
  </w:num>
  <w:num w:numId="29">
    <w:abstractNumId w:val="21"/>
  </w:num>
  <w:num w:numId="30">
    <w:abstractNumId w:val="40"/>
  </w:num>
  <w:num w:numId="31">
    <w:abstractNumId w:val="25"/>
  </w:num>
  <w:num w:numId="32">
    <w:abstractNumId w:val="28"/>
  </w:num>
  <w:num w:numId="33">
    <w:abstractNumId w:val="22"/>
  </w:num>
  <w:num w:numId="34">
    <w:abstractNumId w:val="50"/>
  </w:num>
  <w:num w:numId="35">
    <w:abstractNumId w:val="52"/>
  </w:num>
  <w:num w:numId="36">
    <w:abstractNumId w:val="35"/>
  </w:num>
  <w:num w:numId="37">
    <w:abstractNumId w:val="51"/>
  </w:num>
  <w:num w:numId="38">
    <w:abstractNumId w:val="34"/>
  </w:num>
  <w:num w:numId="39">
    <w:abstractNumId w:val="23"/>
  </w:num>
  <w:num w:numId="40">
    <w:abstractNumId w:val="23"/>
  </w:num>
  <w:num w:numId="41">
    <w:abstractNumId w:val="23"/>
  </w:num>
  <w:num w:numId="42">
    <w:abstractNumId w:val="47"/>
  </w:num>
  <w:num w:numId="43">
    <w:abstractNumId w:val="53"/>
  </w:num>
  <w:num w:numId="44">
    <w:abstractNumId w:val="36"/>
  </w:num>
  <w:num w:numId="45">
    <w:abstractNumId w:val="30"/>
  </w:num>
  <w:num w:numId="46">
    <w:abstractNumId w:val="19"/>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CA173C"/>
    <w:rsid w:val="00000465"/>
    <w:rsid w:val="00000B18"/>
    <w:rsid w:val="000016C5"/>
    <w:rsid w:val="00003405"/>
    <w:rsid w:val="000047A8"/>
    <w:rsid w:val="000054DB"/>
    <w:rsid w:val="00005F06"/>
    <w:rsid w:val="00007CD1"/>
    <w:rsid w:val="00012F01"/>
    <w:rsid w:val="00012FCC"/>
    <w:rsid w:val="00014A05"/>
    <w:rsid w:val="00014C6F"/>
    <w:rsid w:val="00021730"/>
    <w:rsid w:val="000237B9"/>
    <w:rsid w:val="00026B97"/>
    <w:rsid w:val="000301A1"/>
    <w:rsid w:val="00034ED9"/>
    <w:rsid w:val="00043D1B"/>
    <w:rsid w:val="00050291"/>
    <w:rsid w:val="0005057B"/>
    <w:rsid w:val="000505AA"/>
    <w:rsid w:val="00050C42"/>
    <w:rsid w:val="00051D15"/>
    <w:rsid w:val="000545DF"/>
    <w:rsid w:val="00056825"/>
    <w:rsid w:val="00062C2A"/>
    <w:rsid w:val="00065A3C"/>
    <w:rsid w:val="00065BE3"/>
    <w:rsid w:val="00067249"/>
    <w:rsid w:val="000677B5"/>
    <w:rsid w:val="00070A64"/>
    <w:rsid w:val="000716D3"/>
    <w:rsid w:val="00084065"/>
    <w:rsid w:val="00086738"/>
    <w:rsid w:val="000939DA"/>
    <w:rsid w:val="00097DFB"/>
    <w:rsid w:val="000A0F9F"/>
    <w:rsid w:val="000A6EA4"/>
    <w:rsid w:val="000D358D"/>
    <w:rsid w:val="000D421A"/>
    <w:rsid w:val="000D4E4D"/>
    <w:rsid w:val="000E0308"/>
    <w:rsid w:val="000E3389"/>
    <w:rsid w:val="000F04E1"/>
    <w:rsid w:val="00103411"/>
    <w:rsid w:val="001054BC"/>
    <w:rsid w:val="0011343D"/>
    <w:rsid w:val="00116E6B"/>
    <w:rsid w:val="00121F73"/>
    <w:rsid w:val="00127DB8"/>
    <w:rsid w:val="00131ED8"/>
    <w:rsid w:val="00133CBD"/>
    <w:rsid w:val="00137A06"/>
    <w:rsid w:val="00141170"/>
    <w:rsid w:val="0015247B"/>
    <w:rsid w:val="001536A3"/>
    <w:rsid w:val="00154BDF"/>
    <w:rsid w:val="001636A2"/>
    <w:rsid w:val="00164D53"/>
    <w:rsid w:val="00165DAF"/>
    <w:rsid w:val="00171FF7"/>
    <w:rsid w:val="00173847"/>
    <w:rsid w:val="00190DA8"/>
    <w:rsid w:val="00195069"/>
    <w:rsid w:val="001A0FF1"/>
    <w:rsid w:val="001A427B"/>
    <w:rsid w:val="001A6226"/>
    <w:rsid w:val="001A63D4"/>
    <w:rsid w:val="001C0768"/>
    <w:rsid w:val="001C28EC"/>
    <w:rsid w:val="001C4C6C"/>
    <w:rsid w:val="001C4CDD"/>
    <w:rsid w:val="001C6C95"/>
    <w:rsid w:val="001D0122"/>
    <w:rsid w:val="001D1B66"/>
    <w:rsid w:val="001D3B7B"/>
    <w:rsid w:val="001D446B"/>
    <w:rsid w:val="001E5097"/>
    <w:rsid w:val="001F3CFC"/>
    <w:rsid w:val="001F4535"/>
    <w:rsid w:val="001F4E5D"/>
    <w:rsid w:val="002026C7"/>
    <w:rsid w:val="00213C93"/>
    <w:rsid w:val="0021487B"/>
    <w:rsid w:val="002321F6"/>
    <w:rsid w:val="002347C8"/>
    <w:rsid w:val="00237887"/>
    <w:rsid w:val="002430A3"/>
    <w:rsid w:val="002458AE"/>
    <w:rsid w:val="00260505"/>
    <w:rsid w:val="00260A05"/>
    <w:rsid w:val="00280D13"/>
    <w:rsid w:val="002820AC"/>
    <w:rsid w:val="00282490"/>
    <w:rsid w:val="0028712C"/>
    <w:rsid w:val="00295F57"/>
    <w:rsid w:val="00296BF4"/>
    <w:rsid w:val="002A216B"/>
    <w:rsid w:val="002A3ED0"/>
    <w:rsid w:val="002A43E6"/>
    <w:rsid w:val="002A4B65"/>
    <w:rsid w:val="002B15BD"/>
    <w:rsid w:val="002B286B"/>
    <w:rsid w:val="002B52E2"/>
    <w:rsid w:val="002C1B5F"/>
    <w:rsid w:val="002D186F"/>
    <w:rsid w:val="002D1C95"/>
    <w:rsid w:val="002E2B47"/>
    <w:rsid w:val="00304FDF"/>
    <w:rsid w:val="00306EC8"/>
    <w:rsid w:val="003079C3"/>
    <w:rsid w:val="00310C3E"/>
    <w:rsid w:val="003131CB"/>
    <w:rsid w:val="0032002D"/>
    <w:rsid w:val="00320CF6"/>
    <w:rsid w:val="0034014D"/>
    <w:rsid w:val="003428A7"/>
    <w:rsid w:val="00344068"/>
    <w:rsid w:val="00344BA1"/>
    <w:rsid w:val="0035146E"/>
    <w:rsid w:val="00352939"/>
    <w:rsid w:val="00352C72"/>
    <w:rsid w:val="00353BBA"/>
    <w:rsid w:val="00354E4F"/>
    <w:rsid w:val="00355B0E"/>
    <w:rsid w:val="00355F56"/>
    <w:rsid w:val="00362C1C"/>
    <w:rsid w:val="00375C06"/>
    <w:rsid w:val="00377BBD"/>
    <w:rsid w:val="00382276"/>
    <w:rsid w:val="00382CE9"/>
    <w:rsid w:val="00390B8C"/>
    <w:rsid w:val="003973B7"/>
    <w:rsid w:val="0039749E"/>
    <w:rsid w:val="003979FF"/>
    <w:rsid w:val="003A3FD2"/>
    <w:rsid w:val="003A5E15"/>
    <w:rsid w:val="003A64A7"/>
    <w:rsid w:val="003A7319"/>
    <w:rsid w:val="003C452F"/>
    <w:rsid w:val="003C7AC4"/>
    <w:rsid w:val="003D3E1E"/>
    <w:rsid w:val="003D4146"/>
    <w:rsid w:val="003E7278"/>
    <w:rsid w:val="003F0D47"/>
    <w:rsid w:val="003F3ECB"/>
    <w:rsid w:val="003F7620"/>
    <w:rsid w:val="004015EB"/>
    <w:rsid w:val="00403080"/>
    <w:rsid w:val="0040665C"/>
    <w:rsid w:val="00416427"/>
    <w:rsid w:val="00421379"/>
    <w:rsid w:val="004406DF"/>
    <w:rsid w:val="00440F0A"/>
    <w:rsid w:val="00442B3A"/>
    <w:rsid w:val="004522B9"/>
    <w:rsid w:val="00467C8A"/>
    <w:rsid w:val="00473585"/>
    <w:rsid w:val="00476CA9"/>
    <w:rsid w:val="0049496B"/>
    <w:rsid w:val="00496F8F"/>
    <w:rsid w:val="004A02D8"/>
    <w:rsid w:val="004B2859"/>
    <w:rsid w:val="004B4A5D"/>
    <w:rsid w:val="004B574C"/>
    <w:rsid w:val="004B71BD"/>
    <w:rsid w:val="004B7340"/>
    <w:rsid w:val="004D5783"/>
    <w:rsid w:val="004D7493"/>
    <w:rsid w:val="004E02FA"/>
    <w:rsid w:val="004E324F"/>
    <w:rsid w:val="004F3BFE"/>
    <w:rsid w:val="004F430A"/>
    <w:rsid w:val="004F5701"/>
    <w:rsid w:val="004F6901"/>
    <w:rsid w:val="005033D9"/>
    <w:rsid w:val="00515DE6"/>
    <w:rsid w:val="00520A6A"/>
    <w:rsid w:val="00521E0B"/>
    <w:rsid w:val="005342BF"/>
    <w:rsid w:val="005343C1"/>
    <w:rsid w:val="00537F84"/>
    <w:rsid w:val="00540465"/>
    <w:rsid w:val="00543760"/>
    <w:rsid w:val="005578B2"/>
    <w:rsid w:val="0056195E"/>
    <w:rsid w:val="00562634"/>
    <w:rsid w:val="00574091"/>
    <w:rsid w:val="00581994"/>
    <w:rsid w:val="00581D23"/>
    <w:rsid w:val="00583403"/>
    <w:rsid w:val="00591B25"/>
    <w:rsid w:val="0059305B"/>
    <w:rsid w:val="00596AB4"/>
    <w:rsid w:val="00596D35"/>
    <w:rsid w:val="005A12EC"/>
    <w:rsid w:val="005A363D"/>
    <w:rsid w:val="005A75CF"/>
    <w:rsid w:val="005B1CA4"/>
    <w:rsid w:val="005B1F31"/>
    <w:rsid w:val="005B41F8"/>
    <w:rsid w:val="005B4AA4"/>
    <w:rsid w:val="005C04E6"/>
    <w:rsid w:val="005C0B0C"/>
    <w:rsid w:val="005C22CB"/>
    <w:rsid w:val="005D36AA"/>
    <w:rsid w:val="005D50C9"/>
    <w:rsid w:val="005D5B26"/>
    <w:rsid w:val="005E603E"/>
    <w:rsid w:val="00600E02"/>
    <w:rsid w:val="00601FA1"/>
    <w:rsid w:val="006158AC"/>
    <w:rsid w:val="006202F2"/>
    <w:rsid w:val="00620827"/>
    <w:rsid w:val="00620BD1"/>
    <w:rsid w:val="00623B6F"/>
    <w:rsid w:val="006251BF"/>
    <w:rsid w:val="00627A6D"/>
    <w:rsid w:val="006300F0"/>
    <w:rsid w:val="00634961"/>
    <w:rsid w:val="0063796C"/>
    <w:rsid w:val="0064356D"/>
    <w:rsid w:val="00643D2C"/>
    <w:rsid w:val="0064463B"/>
    <w:rsid w:val="0064667D"/>
    <w:rsid w:val="00656F05"/>
    <w:rsid w:val="00663AEE"/>
    <w:rsid w:val="00663E35"/>
    <w:rsid w:val="00663FFF"/>
    <w:rsid w:val="0066445A"/>
    <w:rsid w:val="0067007B"/>
    <w:rsid w:val="00673FBA"/>
    <w:rsid w:val="00674EF0"/>
    <w:rsid w:val="00675AAF"/>
    <w:rsid w:val="00677F6B"/>
    <w:rsid w:val="00684821"/>
    <w:rsid w:val="0068726D"/>
    <w:rsid w:val="00691D00"/>
    <w:rsid w:val="006A0D1E"/>
    <w:rsid w:val="006A3E47"/>
    <w:rsid w:val="006A78E6"/>
    <w:rsid w:val="006A7F6C"/>
    <w:rsid w:val="006B3ADE"/>
    <w:rsid w:val="006B5B47"/>
    <w:rsid w:val="006B67CD"/>
    <w:rsid w:val="006B7365"/>
    <w:rsid w:val="006C0241"/>
    <w:rsid w:val="006C1674"/>
    <w:rsid w:val="006C18C9"/>
    <w:rsid w:val="006C1CB6"/>
    <w:rsid w:val="006C5DCA"/>
    <w:rsid w:val="006C6235"/>
    <w:rsid w:val="006D208A"/>
    <w:rsid w:val="006D5BA2"/>
    <w:rsid w:val="006D7EC9"/>
    <w:rsid w:val="006E0D46"/>
    <w:rsid w:val="006E5B0E"/>
    <w:rsid w:val="006E5D89"/>
    <w:rsid w:val="006F1C54"/>
    <w:rsid w:val="006F3361"/>
    <w:rsid w:val="006F34BA"/>
    <w:rsid w:val="007002C8"/>
    <w:rsid w:val="00703CD5"/>
    <w:rsid w:val="007047B9"/>
    <w:rsid w:val="00716578"/>
    <w:rsid w:val="00717308"/>
    <w:rsid w:val="0072216E"/>
    <w:rsid w:val="00722744"/>
    <w:rsid w:val="00724DB2"/>
    <w:rsid w:val="00752830"/>
    <w:rsid w:val="00752C43"/>
    <w:rsid w:val="00752F6C"/>
    <w:rsid w:val="0075328E"/>
    <w:rsid w:val="0075495D"/>
    <w:rsid w:val="00764DE3"/>
    <w:rsid w:val="007677CA"/>
    <w:rsid w:val="00775C84"/>
    <w:rsid w:val="007766F8"/>
    <w:rsid w:val="00776F5E"/>
    <w:rsid w:val="00797987"/>
    <w:rsid w:val="007A2B63"/>
    <w:rsid w:val="007A338B"/>
    <w:rsid w:val="007A54D9"/>
    <w:rsid w:val="007B60C3"/>
    <w:rsid w:val="007B6C2C"/>
    <w:rsid w:val="007C5E6C"/>
    <w:rsid w:val="007D729A"/>
    <w:rsid w:val="007F1D22"/>
    <w:rsid w:val="007F20E6"/>
    <w:rsid w:val="007F687E"/>
    <w:rsid w:val="00801D55"/>
    <w:rsid w:val="00803A75"/>
    <w:rsid w:val="008043B5"/>
    <w:rsid w:val="008149CB"/>
    <w:rsid w:val="0081596C"/>
    <w:rsid w:val="00825A1A"/>
    <w:rsid w:val="0082608A"/>
    <w:rsid w:val="00827550"/>
    <w:rsid w:val="00833B53"/>
    <w:rsid w:val="0084518A"/>
    <w:rsid w:val="0085389A"/>
    <w:rsid w:val="008561F7"/>
    <w:rsid w:val="00857C39"/>
    <w:rsid w:val="008609B1"/>
    <w:rsid w:val="008679D0"/>
    <w:rsid w:val="00872499"/>
    <w:rsid w:val="0088359B"/>
    <w:rsid w:val="00883EEF"/>
    <w:rsid w:val="008876D2"/>
    <w:rsid w:val="008933AC"/>
    <w:rsid w:val="0089641E"/>
    <w:rsid w:val="008A5548"/>
    <w:rsid w:val="008A7C59"/>
    <w:rsid w:val="008B3176"/>
    <w:rsid w:val="008B4B5C"/>
    <w:rsid w:val="008B5F6F"/>
    <w:rsid w:val="008C107D"/>
    <w:rsid w:val="008D12E4"/>
    <w:rsid w:val="008D135B"/>
    <w:rsid w:val="008D26EF"/>
    <w:rsid w:val="008D3B2B"/>
    <w:rsid w:val="008E41F8"/>
    <w:rsid w:val="008E4A4F"/>
    <w:rsid w:val="008F3A94"/>
    <w:rsid w:val="008F6B5D"/>
    <w:rsid w:val="008F7AD5"/>
    <w:rsid w:val="00900C97"/>
    <w:rsid w:val="00904115"/>
    <w:rsid w:val="00904B87"/>
    <w:rsid w:val="009075E5"/>
    <w:rsid w:val="0090782F"/>
    <w:rsid w:val="0091674D"/>
    <w:rsid w:val="00924A9A"/>
    <w:rsid w:val="00925B9B"/>
    <w:rsid w:val="0093199E"/>
    <w:rsid w:val="009319D5"/>
    <w:rsid w:val="009333F0"/>
    <w:rsid w:val="00935658"/>
    <w:rsid w:val="0093724B"/>
    <w:rsid w:val="00944180"/>
    <w:rsid w:val="00945D77"/>
    <w:rsid w:val="00946A00"/>
    <w:rsid w:val="009511F5"/>
    <w:rsid w:val="00952373"/>
    <w:rsid w:val="00962E16"/>
    <w:rsid w:val="009647EB"/>
    <w:rsid w:val="00966DBC"/>
    <w:rsid w:val="00975436"/>
    <w:rsid w:val="009772DB"/>
    <w:rsid w:val="00981E64"/>
    <w:rsid w:val="00982D68"/>
    <w:rsid w:val="00990580"/>
    <w:rsid w:val="009A7E7C"/>
    <w:rsid w:val="009B6623"/>
    <w:rsid w:val="009B7F75"/>
    <w:rsid w:val="009C0240"/>
    <w:rsid w:val="009C3A08"/>
    <w:rsid w:val="009C7E90"/>
    <w:rsid w:val="009D2711"/>
    <w:rsid w:val="009D4C2B"/>
    <w:rsid w:val="009E4B1B"/>
    <w:rsid w:val="009F0700"/>
    <w:rsid w:val="009F172A"/>
    <w:rsid w:val="009F678F"/>
    <w:rsid w:val="009F6E11"/>
    <w:rsid w:val="009F7C8F"/>
    <w:rsid w:val="009F7EA8"/>
    <w:rsid w:val="00A0210D"/>
    <w:rsid w:val="00A1189C"/>
    <w:rsid w:val="00A13084"/>
    <w:rsid w:val="00A16FDA"/>
    <w:rsid w:val="00A17F3A"/>
    <w:rsid w:val="00A26DB8"/>
    <w:rsid w:val="00A42666"/>
    <w:rsid w:val="00A42927"/>
    <w:rsid w:val="00A43551"/>
    <w:rsid w:val="00A439F3"/>
    <w:rsid w:val="00A44B27"/>
    <w:rsid w:val="00A4569D"/>
    <w:rsid w:val="00A47DE9"/>
    <w:rsid w:val="00A50538"/>
    <w:rsid w:val="00A55C5C"/>
    <w:rsid w:val="00A57013"/>
    <w:rsid w:val="00A6602E"/>
    <w:rsid w:val="00A7074A"/>
    <w:rsid w:val="00A72270"/>
    <w:rsid w:val="00A72D09"/>
    <w:rsid w:val="00A80F6C"/>
    <w:rsid w:val="00A90865"/>
    <w:rsid w:val="00A90B72"/>
    <w:rsid w:val="00A95037"/>
    <w:rsid w:val="00AA05EF"/>
    <w:rsid w:val="00AA45E5"/>
    <w:rsid w:val="00AA51FE"/>
    <w:rsid w:val="00AA6E9A"/>
    <w:rsid w:val="00AA72B4"/>
    <w:rsid w:val="00AA7A5B"/>
    <w:rsid w:val="00AB6123"/>
    <w:rsid w:val="00AC0812"/>
    <w:rsid w:val="00AC1D38"/>
    <w:rsid w:val="00AC600A"/>
    <w:rsid w:val="00AC6CC0"/>
    <w:rsid w:val="00AE2869"/>
    <w:rsid w:val="00AE28DE"/>
    <w:rsid w:val="00AE3A25"/>
    <w:rsid w:val="00AF0A22"/>
    <w:rsid w:val="00AF1FE5"/>
    <w:rsid w:val="00AF5B6B"/>
    <w:rsid w:val="00B02F0C"/>
    <w:rsid w:val="00B03F07"/>
    <w:rsid w:val="00B0537C"/>
    <w:rsid w:val="00B15A77"/>
    <w:rsid w:val="00B22E3E"/>
    <w:rsid w:val="00B40569"/>
    <w:rsid w:val="00B51507"/>
    <w:rsid w:val="00B54FE2"/>
    <w:rsid w:val="00B61B0C"/>
    <w:rsid w:val="00B6569A"/>
    <w:rsid w:val="00B702FF"/>
    <w:rsid w:val="00B765DC"/>
    <w:rsid w:val="00B808C6"/>
    <w:rsid w:val="00B86E35"/>
    <w:rsid w:val="00B92AF0"/>
    <w:rsid w:val="00B92E27"/>
    <w:rsid w:val="00BA1ECD"/>
    <w:rsid w:val="00BB3F92"/>
    <w:rsid w:val="00BC2ACF"/>
    <w:rsid w:val="00BC5541"/>
    <w:rsid w:val="00BC6E37"/>
    <w:rsid w:val="00BD0168"/>
    <w:rsid w:val="00BD1C9E"/>
    <w:rsid w:val="00BD3E5E"/>
    <w:rsid w:val="00BD7FE8"/>
    <w:rsid w:val="00BE7207"/>
    <w:rsid w:val="00BF0729"/>
    <w:rsid w:val="00BF0A43"/>
    <w:rsid w:val="00BF1B89"/>
    <w:rsid w:val="00BF234A"/>
    <w:rsid w:val="00C04BE1"/>
    <w:rsid w:val="00C07097"/>
    <w:rsid w:val="00C12A83"/>
    <w:rsid w:val="00C14979"/>
    <w:rsid w:val="00C14B32"/>
    <w:rsid w:val="00C23DED"/>
    <w:rsid w:val="00C27167"/>
    <w:rsid w:val="00C31B6F"/>
    <w:rsid w:val="00C418CF"/>
    <w:rsid w:val="00C4589F"/>
    <w:rsid w:val="00C468CB"/>
    <w:rsid w:val="00C51C3A"/>
    <w:rsid w:val="00C51D21"/>
    <w:rsid w:val="00C53681"/>
    <w:rsid w:val="00C53AF7"/>
    <w:rsid w:val="00C53BBD"/>
    <w:rsid w:val="00C601E8"/>
    <w:rsid w:val="00C72D11"/>
    <w:rsid w:val="00C73C55"/>
    <w:rsid w:val="00C758BE"/>
    <w:rsid w:val="00C75AAB"/>
    <w:rsid w:val="00C84FB2"/>
    <w:rsid w:val="00C907D4"/>
    <w:rsid w:val="00C92FFC"/>
    <w:rsid w:val="00C93B53"/>
    <w:rsid w:val="00C970DD"/>
    <w:rsid w:val="00CA173C"/>
    <w:rsid w:val="00CA254B"/>
    <w:rsid w:val="00CA420C"/>
    <w:rsid w:val="00CA5FB3"/>
    <w:rsid w:val="00CB017F"/>
    <w:rsid w:val="00CB0681"/>
    <w:rsid w:val="00CB2669"/>
    <w:rsid w:val="00CB6E29"/>
    <w:rsid w:val="00CD2BBB"/>
    <w:rsid w:val="00CD41FC"/>
    <w:rsid w:val="00CD5C4B"/>
    <w:rsid w:val="00CE1D9D"/>
    <w:rsid w:val="00CE4770"/>
    <w:rsid w:val="00CE4FC5"/>
    <w:rsid w:val="00CF48E0"/>
    <w:rsid w:val="00D018D3"/>
    <w:rsid w:val="00D0687C"/>
    <w:rsid w:val="00D108C1"/>
    <w:rsid w:val="00D120E1"/>
    <w:rsid w:val="00D134E9"/>
    <w:rsid w:val="00D24C7A"/>
    <w:rsid w:val="00D3260E"/>
    <w:rsid w:val="00D3543D"/>
    <w:rsid w:val="00D35954"/>
    <w:rsid w:val="00D373F7"/>
    <w:rsid w:val="00D539B1"/>
    <w:rsid w:val="00D55152"/>
    <w:rsid w:val="00D579F1"/>
    <w:rsid w:val="00D60E25"/>
    <w:rsid w:val="00D61587"/>
    <w:rsid w:val="00D635D2"/>
    <w:rsid w:val="00D649DB"/>
    <w:rsid w:val="00D6537E"/>
    <w:rsid w:val="00D7000F"/>
    <w:rsid w:val="00D7186D"/>
    <w:rsid w:val="00D76400"/>
    <w:rsid w:val="00D800BC"/>
    <w:rsid w:val="00D83527"/>
    <w:rsid w:val="00D85755"/>
    <w:rsid w:val="00D86B79"/>
    <w:rsid w:val="00D909EB"/>
    <w:rsid w:val="00D97003"/>
    <w:rsid w:val="00DA3CEC"/>
    <w:rsid w:val="00DA61E5"/>
    <w:rsid w:val="00DC26EA"/>
    <w:rsid w:val="00DC4F41"/>
    <w:rsid w:val="00DC6638"/>
    <w:rsid w:val="00DD2247"/>
    <w:rsid w:val="00DD5B52"/>
    <w:rsid w:val="00DD6453"/>
    <w:rsid w:val="00DF20DD"/>
    <w:rsid w:val="00DF41EF"/>
    <w:rsid w:val="00DF53D7"/>
    <w:rsid w:val="00DF5AB0"/>
    <w:rsid w:val="00E00A17"/>
    <w:rsid w:val="00E0193B"/>
    <w:rsid w:val="00E01B17"/>
    <w:rsid w:val="00E02AC4"/>
    <w:rsid w:val="00E03201"/>
    <w:rsid w:val="00E036E1"/>
    <w:rsid w:val="00E05CDC"/>
    <w:rsid w:val="00E10CFF"/>
    <w:rsid w:val="00E115A5"/>
    <w:rsid w:val="00E2059F"/>
    <w:rsid w:val="00E22FFB"/>
    <w:rsid w:val="00E244A4"/>
    <w:rsid w:val="00E26369"/>
    <w:rsid w:val="00E27C62"/>
    <w:rsid w:val="00E3004D"/>
    <w:rsid w:val="00E3131D"/>
    <w:rsid w:val="00E32C64"/>
    <w:rsid w:val="00E46B11"/>
    <w:rsid w:val="00E52528"/>
    <w:rsid w:val="00E71165"/>
    <w:rsid w:val="00E71CE8"/>
    <w:rsid w:val="00E74253"/>
    <w:rsid w:val="00E82F47"/>
    <w:rsid w:val="00E950BD"/>
    <w:rsid w:val="00E95A42"/>
    <w:rsid w:val="00E95FC6"/>
    <w:rsid w:val="00EA122D"/>
    <w:rsid w:val="00EA4C9A"/>
    <w:rsid w:val="00EB2985"/>
    <w:rsid w:val="00EB2BD8"/>
    <w:rsid w:val="00EB50B2"/>
    <w:rsid w:val="00EB54E4"/>
    <w:rsid w:val="00EB62C9"/>
    <w:rsid w:val="00EB77B3"/>
    <w:rsid w:val="00EB7C62"/>
    <w:rsid w:val="00EC1039"/>
    <w:rsid w:val="00EC11B1"/>
    <w:rsid w:val="00EC3F20"/>
    <w:rsid w:val="00EC4CFB"/>
    <w:rsid w:val="00EF7308"/>
    <w:rsid w:val="00F10F57"/>
    <w:rsid w:val="00F14C4F"/>
    <w:rsid w:val="00F165DA"/>
    <w:rsid w:val="00F24A53"/>
    <w:rsid w:val="00F30D47"/>
    <w:rsid w:val="00F32FDD"/>
    <w:rsid w:val="00F3349D"/>
    <w:rsid w:val="00F37163"/>
    <w:rsid w:val="00F378C5"/>
    <w:rsid w:val="00F45235"/>
    <w:rsid w:val="00F52A80"/>
    <w:rsid w:val="00F52B1A"/>
    <w:rsid w:val="00F6181B"/>
    <w:rsid w:val="00F624AA"/>
    <w:rsid w:val="00F6408E"/>
    <w:rsid w:val="00F65867"/>
    <w:rsid w:val="00F65F46"/>
    <w:rsid w:val="00F70D08"/>
    <w:rsid w:val="00F71F8A"/>
    <w:rsid w:val="00F75E3A"/>
    <w:rsid w:val="00F76C83"/>
    <w:rsid w:val="00F76DEA"/>
    <w:rsid w:val="00F77A08"/>
    <w:rsid w:val="00F85C24"/>
    <w:rsid w:val="00F925A1"/>
    <w:rsid w:val="00F930BE"/>
    <w:rsid w:val="00FA5069"/>
    <w:rsid w:val="00FA5BB2"/>
    <w:rsid w:val="00FD11C9"/>
    <w:rsid w:val="00FD219E"/>
    <w:rsid w:val="00FE005B"/>
    <w:rsid w:val="00FE1297"/>
    <w:rsid w:val="00FE4A01"/>
    <w:rsid w:val="00FF0BC2"/>
    <w:rsid w:val="00FF406E"/>
    <w:rsid w:val="00FF425C"/>
    <w:rsid w:val="00FF7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F38A67"/>
  <w15:docId w15:val="{52186554-E5DE-427F-BE97-384C661B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4" w:qFormat="1"/>
    <w:lsdException w:name="heading 2" w:uiPriority="24" w:qFormat="1"/>
    <w:lsdException w:name="heading 3" w:uiPriority="0" w:qFormat="1"/>
    <w:lsdException w:name="heading 4" w:uiPriority="24" w:qFormat="1"/>
    <w:lsdException w:name="heading 5" w:uiPriority="24"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3C"/>
    <w:rPr>
      <w:sz w:val="24"/>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1">
    <w:name w:val="Grid Table 1 Light1"/>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9"/>
    <w:qFormat/>
    <w:rsid w:val="008F3A94"/>
    <w:pPr>
      <w:numPr>
        <w:numId w:val="14"/>
      </w:numPr>
      <w:contextualSpacing/>
    </w:pPr>
  </w:style>
  <w:style w:type="paragraph" w:styleId="ListNumber2">
    <w:name w:val="List Number 2"/>
    <w:basedOn w:val="Normal"/>
    <w:uiPriority w:val="99"/>
    <w:rsid w:val="008F3A94"/>
    <w:pPr>
      <w:numPr>
        <w:numId w:val="15"/>
      </w:numPr>
      <w:contextualSpacing/>
    </w:pPr>
  </w:style>
  <w:style w:type="paragraph" w:styleId="ListNumber3">
    <w:name w:val="List Number 3"/>
    <w:basedOn w:val="Normal"/>
    <w:uiPriority w:val="99"/>
    <w:rsid w:val="008F3A94"/>
    <w:pPr>
      <w:numPr>
        <w:numId w:val="16"/>
      </w:numPr>
      <w:contextualSpacing/>
    </w:pPr>
  </w:style>
  <w:style w:type="paragraph" w:styleId="ListNumber4">
    <w:name w:val="List Number 4"/>
    <w:basedOn w:val="Normal"/>
    <w:uiPriority w:val="99"/>
    <w:rsid w:val="008F3A94"/>
    <w:pPr>
      <w:numPr>
        <w:numId w:val="17"/>
      </w:numPr>
      <w:contextualSpacing/>
    </w:pPr>
  </w:style>
  <w:style w:type="paragraph" w:styleId="ListNumber5">
    <w:name w:val="List Number 5"/>
    <w:basedOn w:val="Normal"/>
    <w:uiPriority w:val="99"/>
    <w:rsid w:val="008F3A94"/>
    <w:pPr>
      <w:numPr>
        <w:numId w:val="18"/>
      </w:numPr>
      <w:contextualSpacing/>
    </w:pPr>
  </w:style>
  <w:style w:type="paragraph" w:styleId="ListParagraph">
    <w:name w:val="List Paragraph"/>
    <w:basedOn w:val="Normal"/>
    <w:uiPriority w:val="98"/>
    <w:semiHidden/>
    <w:rsid w:val="008F3A94"/>
    <w:pPr>
      <w:ind w:left="720"/>
    </w:pPr>
  </w:style>
  <w:style w:type="table" w:customStyle="1" w:styleId="ListTable1Light1">
    <w:name w:val="List Table 1 Light1"/>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1">
    <w:name w:val="Plain Table 1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BodyTextChar">
    <w:name w:val="Body Text Char"/>
    <w:basedOn w:val="DefaultParagraphFont"/>
    <w:link w:val="BodyText"/>
    <w:rsid w:val="00CA173C"/>
    <w:rPr>
      <w:rFonts w:ascii="Arial" w:hAnsi="Arial" w:cs="Arial"/>
      <w:sz w:val="22"/>
      <w:szCs w:val="22"/>
    </w:rPr>
  </w:style>
  <w:style w:type="paragraph" w:customStyle="1" w:styleId="Default">
    <w:name w:val="Default"/>
    <w:rsid w:val="00CA173C"/>
    <w:pPr>
      <w:autoSpaceDE w:val="0"/>
      <w:autoSpaceDN w:val="0"/>
      <w:adjustRightInd w:val="0"/>
    </w:pPr>
    <w:rPr>
      <w:rFonts w:eastAsiaTheme="minorHAnsi"/>
      <w:color w:val="000000"/>
      <w:sz w:val="24"/>
      <w:szCs w:val="24"/>
      <w:lang w:eastAsia="en-US"/>
    </w:rPr>
  </w:style>
  <w:style w:type="character" w:customStyle="1" w:styleId="FooterChar">
    <w:name w:val="Footer Char"/>
    <w:basedOn w:val="DefaultParagraphFont"/>
    <w:link w:val="Footer"/>
    <w:uiPriority w:val="99"/>
    <w:rsid w:val="00946A00"/>
    <w:rPr>
      <w:rFonts w:ascii="Arial" w:hAnsi="Arial" w:cs="Arial"/>
      <w:sz w:val="16"/>
      <w:szCs w:val="22"/>
    </w:rPr>
  </w:style>
  <w:style w:type="paragraph" w:customStyle="1" w:styleId="ActHead3">
    <w:name w:val="ActHead 3"/>
    <w:aliases w:val="d"/>
    <w:basedOn w:val="Normal"/>
    <w:next w:val="Normal"/>
    <w:qFormat/>
    <w:rsid w:val="00DD6453"/>
    <w:pPr>
      <w:keepNext/>
      <w:keepLines/>
      <w:spacing w:before="240"/>
      <w:ind w:left="1134" w:hanging="1134"/>
      <w:outlineLvl w:val="2"/>
    </w:pPr>
    <w:rPr>
      <w:b/>
      <w:kern w:val="28"/>
      <w:sz w:val="28"/>
    </w:rPr>
  </w:style>
  <w:style w:type="paragraph" w:customStyle="1" w:styleId="ActHead5">
    <w:name w:val="ActHead 5"/>
    <w:aliases w:val="s"/>
    <w:basedOn w:val="Normal"/>
    <w:next w:val="subsection"/>
    <w:link w:val="ActHead5Char"/>
    <w:qFormat/>
    <w:rsid w:val="00DD6453"/>
    <w:pPr>
      <w:keepNext/>
      <w:keepLines/>
      <w:spacing w:before="280"/>
      <w:ind w:left="1134" w:hanging="1134"/>
      <w:outlineLvl w:val="4"/>
    </w:pPr>
    <w:rPr>
      <w:b/>
      <w:kern w:val="28"/>
    </w:rPr>
  </w:style>
  <w:style w:type="character" w:customStyle="1" w:styleId="CharDivNo">
    <w:name w:val="CharDivNo"/>
    <w:basedOn w:val="DefaultParagraphFont"/>
    <w:uiPriority w:val="1"/>
    <w:qFormat/>
    <w:rsid w:val="00DD6453"/>
  </w:style>
  <w:style w:type="character" w:customStyle="1" w:styleId="CharDivText">
    <w:name w:val="CharDivText"/>
    <w:basedOn w:val="DefaultParagraphFont"/>
    <w:uiPriority w:val="1"/>
    <w:qFormat/>
    <w:rsid w:val="00DD6453"/>
  </w:style>
  <w:style w:type="character" w:customStyle="1" w:styleId="CharSectno">
    <w:name w:val="CharSectno"/>
    <w:basedOn w:val="DefaultParagraphFont"/>
    <w:uiPriority w:val="1"/>
    <w:qFormat/>
    <w:rsid w:val="00DD6453"/>
  </w:style>
  <w:style w:type="paragraph" w:customStyle="1" w:styleId="subsection">
    <w:name w:val="subsection"/>
    <w:aliases w:val="ss"/>
    <w:basedOn w:val="Normal"/>
    <w:link w:val="subsectionChar"/>
    <w:rsid w:val="00DD6453"/>
    <w:pPr>
      <w:tabs>
        <w:tab w:val="right" w:pos="1021"/>
      </w:tabs>
      <w:spacing w:before="180"/>
      <w:ind w:left="1134" w:hanging="1134"/>
    </w:pPr>
    <w:rPr>
      <w:sz w:val="22"/>
    </w:rPr>
  </w:style>
  <w:style w:type="paragraph" w:customStyle="1" w:styleId="Item">
    <w:name w:val="Item"/>
    <w:aliases w:val="i"/>
    <w:basedOn w:val="Normal"/>
    <w:next w:val="ItemHead"/>
    <w:rsid w:val="00DD6453"/>
    <w:pPr>
      <w:keepLines/>
      <w:spacing w:before="80"/>
      <w:ind w:left="709"/>
    </w:pPr>
    <w:rPr>
      <w:sz w:val="22"/>
    </w:rPr>
  </w:style>
  <w:style w:type="paragraph" w:customStyle="1" w:styleId="ItemHead">
    <w:name w:val="ItemHead"/>
    <w:aliases w:val="ih"/>
    <w:basedOn w:val="Normal"/>
    <w:next w:val="Item"/>
    <w:rsid w:val="00DD6453"/>
    <w:pPr>
      <w:keepNext/>
      <w:keepLines/>
      <w:spacing w:before="220"/>
      <w:ind w:left="709" w:hanging="709"/>
    </w:pPr>
    <w:rPr>
      <w:rFonts w:ascii="Arial" w:hAnsi="Arial"/>
      <w:b/>
      <w:kern w:val="28"/>
    </w:rPr>
  </w:style>
  <w:style w:type="paragraph" w:customStyle="1" w:styleId="notedraft">
    <w:name w:val="note(draft)"/>
    <w:aliases w:val="nd"/>
    <w:basedOn w:val="Normal"/>
    <w:rsid w:val="00DD6453"/>
    <w:pPr>
      <w:spacing w:before="240"/>
      <w:ind w:left="284" w:hanging="284"/>
    </w:pPr>
    <w:rPr>
      <w:i/>
    </w:rPr>
  </w:style>
  <w:style w:type="paragraph" w:customStyle="1" w:styleId="paragraphsub">
    <w:name w:val="paragraph(sub)"/>
    <w:aliases w:val="aa"/>
    <w:basedOn w:val="Normal"/>
    <w:rsid w:val="00DD6453"/>
    <w:pPr>
      <w:tabs>
        <w:tab w:val="right" w:pos="1985"/>
      </w:tabs>
      <w:spacing w:before="40"/>
      <w:ind w:left="2098" w:hanging="2098"/>
    </w:pPr>
    <w:rPr>
      <w:sz w:val="22"/>
    </w:rPr>
  </w:style>
  <w:style w:type="paragraph" w:customStyle="1" w:styleId="paragraph">
    <w:name w:val="paragraph"/>
    <w:aliases w:val="a"/>
    <w:basedOn w:val="Normal"/>
    <w:link w:val="paragraphChar"/>
    <w:rsid w:val="00DD6453"/>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DD6453"/>
    <w:rPr>
      <w:sz w:val="22"/>
    </w:rPr>
  </w:style>
  <w:style w:type="character" w:customStyle="1" w:styleId="ActHead5Char">
    <w:name w:val="ActHead 5 Char"/>
    <w:aliases w:val="s Char"/>
    <w:link w:val="ActHead5"/>
    <w:rsid w:val="00DD6453"/>
    <w:rPr>
      <w:b/>
      <w:kern w:val="28"/>
      <w:sz w:val="24"/>
    </w:rPr>
  </w:style>
  <w:style w:type="character" w:customStyle="1" w:styleId="paragraphChar">
    <w:name w:val="paragraph Char"/>
    <w:aliases w:val="a Char"/>
    <w:link w:val="paragraph"/>
    <w:rsid w:val="00DD6453"/>
    <w:rPr>
      <w:sz w:val="22"/>
    </w:rPr>
  </w:style>
  <w:style w:type="paragraph" w:customStyle="1" w:styleId="Definition">
    <w:name w:val="Definition"/>
    <w:aliases w:val="dd"/>
    <w:basedOn w:val="Normal"/>
    <w:uiPriority w:val="99"/>
    <w:rsid w:val="009E4B1B"/>
    <w:pPr>
      <w:spacing w:before="180"/>
      <w:ind w:left="1134"/>
    </w:pPr>
    <w:rPr>
      <w:rFonts w:eastAsiaTheme="minorHAnsi"/>
      <w:sz w:val="22"/>
      <w:szCs w:val="22"/>
    </w:rPr>
  </w:style>
  <w:style w:type="character" w:customStyle="1" w:styleId="CommentTextChar">
    <w:name w:val="Comment Text Char"/>
    <w:basedOn w:val="DefaultParagraphFont"/>
    <w:link w:val="CommentText"/>
    <w:uiPriority w:val="99"/>
    <w:rsid w:val="00A95037"/>
  </w:style>
  <w:style w:type="paragraph" w:customStyle="1" w:styleId="dot10">
    <w:name w:val="dot1"/>
    <w:basedOn w:val="Normal"/>
    <w:rsid w:val="00DC26EA"/>
    <w:pPr>
      <w:spacing w:before="100" w:beforeAutospacing="1" w:after="100" w:afterAutospacing="1"/>
    </w:pPr>
    <w:rPr>
      <w:szCs w:val="24"/>
    </w:rPr>
  </w:style>
  <w:style w:type="paragraph" w:customStyle="1" w:styleId="legalPart">
    <w:name w:val="legalPart"/>
    <w:basedOn w:val="Normal"/>
    <w:next w:val="Normal"/>
    <w:qFormat/>
    <w:rsid w:val="00EA122D"/>
    <w:pPr>
      <w:keepNext/>
      <w:numPr>
        <w:numId w:val="47"/>
      </w:numPr>
      <w:pBdr>
        <w:top w:val="single" w:sz="4" w:space="6" w:color="82002A"/>
      </w:pBdr>
      <w:spacing w:before="480" w:after="480" w:line="264" w:lineRule="auto"/>
    </w:pPr>
    <w:rPr>
      <w:rFonts w:asciiTheme="minorHAnsi" w:eastAsiaTheme="minorHAnsi" w:hAnsiTheme="minorHAnsi"/>
      <w:b/>
      <w:color w:val="82002A"/>
      <w:sz w:val="22"/>
      <w:lang w:eastAsia="en-US"/>
    </w:rPr>
  </w:style>
  <w:style w:type="character" w:customStyle="1" w:styleId="UnresolvedMention1">
    <w:name w:val="Unresolved Mention1"/>
    <w:basedOn w:val="DefaultParagraphFont"/>
    <w:uiPriority w:val="99"/>
    <w:semiHidden/>
    <w:unhideWhenUsed/>
    <w:rsid w:val="00E31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08452">
      <w:bodyDiv w:val="1"/>
      <w:marLeft w:val="0"/>
      <w:marRight w:val="0"/>
      <w:marTop w:val="0"/>
      <w:marBottom w:val="0"/>
      <w:divBdr>
        <w:top w:val="none" w:sz="0" w:space="0" w:color="auto"/>
        <w:left w:val="none" w:sz="0" w:space="0" w:color="auto"/>
        <w:bottom w:val="none" w:sz="0" w:space="0" w:color="auto"/>
        <w:right w:val="none" w:sz="0" w:space="0" w:color="auto"/>
      </w:divBdr>
    </w:div>
    <w:div w:id="707071462">
      <w:bodyDiv w:val="1"/>
      <w:marLeft w:val="0"/>
      <w:marRight w:val="0"/>
      <w:marTop w:val="0"/>
      <w:marBottom w:val="0"/>
      <w:divBdr>
        <w:top w:val="none" w:sz="0" w:space="0" w:color="auto"/>
        <w:left w:val="none" w:sz="0" w:space="0" w:color="auto"/>
        <w:bottom w:val="none" w:sz="0" w:space="0" w:color="auto"/>
        <w:right w:val="none" w:sz="0" w:space="0" w:color="auto"/>
      </w:divBdr>
    </w:div>
    <w:div w:id="960377758">
      <w:bodyDiv w:val="1"/>
      <w:marLeft w:val="0"/>
      <w:marRight w:val="0"/>
      <w:marTop w:val="0"/>
      <w:marBottom w:val="0"/>
      <w:divBdr>
        <w:top w:val="none" w:sz="0" w:space="0" w:color="auto"/>
        <w:left w:val="none" w:sz="0" w:space="0" w:color="auto"/>
        <w:bottom w:val="none" w:sz="0" w:space="0" w:color="auto"/>
        <w:right w:val="none" w:sz="0" w:space="0" w:color="auto"/>
      </w:divBdr>
      <w:divsChild>
        <w:div w:id="1302535922">
          <w:marLeft w:val="0"/>
          <w:marRight w:val="0"/>
          <w:marTop w:val="0"/>
          <w:marBottom w:val="0"/>
          <w:divBdr>
            <w:top w:val="none" w:sz="0" w:space="0" w:color="auto"/>
            <w:left w:val="none" w:sz="0" w:space="0" w:color="auto"/>
            <w:bottom w:val="none" w:sz="0" w:space="0" w:color="auto"/>
            <w:right w:val="none" w:sz="0" w:space="0" w:color="auto"/>
          </w:divBdr>
          <w:divsChild>
            <w:div w:id="1859467393">
              <w:marLeft w:val="0"/>
              <w:marRight w:val="0"/>
              <w:marTop w:val="0"/>
              <w:marBottom w:val="0"/>
              <w:divBdr>
                <w:top w:val="none" w:sz="0" w:space="0" w:color="auto"/>
                <w:left w:val="none" w:sz="0" w:space="0" w:color="auto"/>
                <w:bottom w:val="none" w:sz="0" w:space="0" w:color="auto"/>
                <w:right w:val="none" w:sz="0" w:space="0" w:color="auto"/>
              </w:divBdr>
              <w:divsChild>
                <w:div w:id="1698315208">
                  <w:marLeft w:val="0"/>
                  <w:marRight w:val="0"/>
                  <w:marTop w:val="0"/>
                  <w:marBottom w:val="0"/>
                  <w:divBdr>
                    <w:top w:val="none" w:sz="0" w:space="0" w:color="auto"/>
                    <w:left w:val="none" w:sz="0" w:space="0" w:color="auto"/>
                    <w:bottom w:val="none" w:sz="0" w:space="0" w:color="auto"/>
                    <w:right w:val="none" w:sz="0" w:space="0" w:color="auto"/>
                  </w:divBdr>
                  <w:divsChild>
                    <w:div w:id="1051885486">
                      <w:marLeft w:val="0"/>
                      <w:marRight w:val="0"/>
                      <w:marTop w:val="0"/>
                      <w:marBottom w:val="0"/>
                      <w:divBdr>
                        <w:top w:val="none" w:sz="0" w:space="0" w:color="auto"/>
                        <w:left w:val="none" w:sz="0" w:space="0" w:color="auto"/>
                        <w:bottom w:val="none" w:sz="0" w:space="0" w:color="auto"/>
                        <w:right w:val="none" w:sz="0" w:space="0" w:color="auto"/>
                      </w:divBdr>
                      <w:divsChild>
                        <w:div w:id="1647587780">
                          <w:marLeft w:val="0"/>
                          <w:marRight w:val="0"/>
                          <w:marTop w:val="0"/>
                          <w:marBottom w:val="0"/>
                          <w:divBdr>
                            <w:top w:val="none" w:sz="0" w:space="0" w:color="auto"/>
                            <w:left w:val="none" w:sz="0" w:space="0" w:color="auto"/>
                            <w:bottom w:val="none" w:sz="0" w:space="0" w:color="auto"/>
                            <w:right w:val="none" w:sz="0" w:space="0" w:color="auto"/>
                          </w:divBdr>
                          <w:divsChild>
                            <w:div w:id="2090543606">
                              <w:marLeft w:val="0"/>
                              <w:marRight w:val="0"/>
                              <w:marTop w:val="0"/>
                              <w:marBottom w:val="0"/>
                              <w:divBdr>
                                <w:top w:val="none" w:sz="0" w:space="0" w:color="auto"/>
                                <w:left w:val="none" w:sz="0" w:space="0" w:color="auto"/>
                                <w:bottom w:val="none" w:sz="0" w:space="0" w:color="auto"/>
                                <w:right w:val="none" w:sz="0" w:space="0" w:color="auto"/>
                              </w:divBdr>
                              <w:divsChild>
                                <w:div w:id="240912531">
                                  <w:marLeft w:val="0"/>
                                  <w:marRight w:val="0"/>
                                  <w:marTop w:val="0"/>
                                  <w:marBottom w:val="0"/>
                                  <w:divBdr>
                                    <w:top w:val="none" w:sz="0" w:space="0" w:color="auto"/>
                                    <w:left w:val="none" w:sz="0" w:space="0" w:color="auto"/>
                                    <w:bottom w:val="none" w:sz="0" w:space="0" w:color="auto"/>
                                    <w:right w:val="none" w:sz="0" w:space="0" w:color="auto"/>
                                  </w:divBdr>
                                  <w:divsChild>
                                    <w:div w:id="311762306">
                                      <w:marLeft w:val="0"/>
                                      <w:marRight w:val="0"/>
                                      <w:marTop w:val="0"/>
                                      <w:marBottom w:val="0"/>
                                      <w:divBdr>
                                        <w:top w:val="none" w:sz="0" w:space="0" w:color="auto"/>
                                        <w:left w:val="none" w:sz="0" w:space="0" w:color="auto"/>
                                        <w:bottom w:val="none" w:sz="0" w:space="0" w:color="auto"/>
                                        <w:right w:val="none" w:sz="0" w:space="0" w:color="auto"/>
                                      </w:divBdr>
                                      <w:divsChild>
                                        <w:div w:id="1388340912">
                                          <w:marLeft w:val="0"/>
                                          <w:marRight w:val="0"/>
                                          <w:marTop w:val="0"/>
                                          <w:marBottom w:val="0"/>
                                          <w:divBdr>
                                            <w:top w:val="none" w:sz="0" w:space="0" w:color="auto"/>
                                            <w:left w:val="none" w:sz="0" w:space="0" w:color="auto"/>
                                            <w:bottom w:val="none" w:sz="0" w:space="0" w:color="auto"/>
                                            <w:right w:val="none" w:sz="0" w:space="0" w:color="auto"/>
                                          </w:divBdr>
                                          <w:divsChild>
                                            <w:div w:id="1254241062">
                                              <w:marLeft w:val="0"/>
                                              <w:marRight w:val="0"/>
                                              <w:marTop w:val="0"/>
                                              <w:marBottom w:val="0"/>
                                              <w:divBdr>
                                                <w:top w:val="none" w:sz="0" w:space="0" w:color="auto"/>
                                                <w:left w:val="none" w:sz="0" w:space="0" w:color="auto"/>
                                                <w:bottom w:val="none" w:sz="0" w:space="0" w:color="auto"/>
                                                <w:right w:val="none" w:sz="0" w:space="0" w:color="auto"/>
                                              </w:divBdr>
                                              <w:divsChild>
                                                <w:div w:id="1011563186">
                                                  <w:marLeft w:val="0"/>
                                                  <w:marRight w:val="0"/>
                                                  <w:marTop w:val="0"/>
                                                  <w:marBottom w:val="0"/>
                                                  <w:divBdr>
                                                    <w:top w:val="none" w:sz="0" w:space="0" w:color="auto"/>
                                                    <w:left w:val="none" w:sz="0" w:space="0" w:color="auto"/>
                                                    <w:bottom w:val="none" w:sz="0" w:space="0" w:color="auto"/>
                                                    <w:right w:val="none" w:sz="0" w:space="0" w:color="auto"/>
                                                  </w:divBdr>
                                                  <w:divsChild>
                                                    <w:div w:id="1102064671">
                                                      <w:marLeft w:val="0"/>
                                                      <w:marRight w:val="0"/>
                                                      <w:marTop w:val="0"/>
                                                      <w:marBottom w:val="0"/>
                                                      <w:divBdr>
                                                        <w:top w:val="none" w:sz="0" w:space="0" w:color="auto"/>
                                                        <w:left w:val="none" w:sz="0" w:space="0" w:color="auto"/>
                                                        <w:bottom w:val="none" w:sz="0" w:space="0" w:color="auto"/>
                                                        <w:right w:val="none" w:sz="0" w:space="0" w:color="auto"/>
                                                      </w:divBdr>
                                                      <w:divsChild>
                                                        <w:div w:id="13004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New-7th-Community-Pharmacy-Agre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1ACEB2B9F6A04288F37A857CC41924" ma:contentTypeVersion="" ma:contentTypeDescription="PDMS Document Site Content Type" ma:contentTypeScope="" ma:versionID="b6903aa0478cf7ffd2128ceadd61d9d7">
  <xsd:schema xmlns:xsd="http://www.w3.org/2001/XMLSchema" xmlns:xs="http://www.w3.org/2001/XMLSchema" xmlns:p="http://schemas.microsoft.com/office/2006/metadata/properties" xmlns:ns2="6440D957-E2FA-464C-99A8-B4579589DEAF" targetNamespace="http://schemas.microsoft.com/office/2006/metadata/properties" ma:root="true" ma:fieldsID="643792708f92146ec0415066a7c8fba3" ns2:_="">
    <xsd:import namespace="6440D957-E2FA-464C-99A8-B4579589DEA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D957-E2FA-464C-99A8-B4579589DEA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440D957-E2FA-464C-99A8-B4579589DE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3422D27A-CB6B-490F-BD8D-BA4E468E0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D957-E2FA-464C-99A8-B4579589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E70A-B07C-4AEE-AB59-5DC33234C261}">
  <ds:schemaRefs>
    <ds:schemaRef ds:uri="6440D957-E2FA-464C-99A8-B4579589DE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C8137C-681F-499E-9FED-6BC530BA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Chenoweth, Jack</dc:creator>
  <cp:keywords/>
  <dc:description/>
  <cp:lastModifiedBy>Pitt, Michael</cp:lastModifiedBy>
  <cp:revision>2</cp:revision>
  <cp:lastPrinted>2020-06-25T03:25:00Z</cp:lastPrinted>
  <dcterms:created xsi:type="dcterms:W3CDTF">2020-07-09T02:44:00Z</dcterms:created>
  <dcterms:modified xsi:type="dcterms:W3CDTF">2020-07-09T02:44:00Z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32034082</vt:lpwstr>
  </property>
  <property fmtid="{D5CDD505-2E9C-101B-9397-08002B2CF9AE}" pid="3" name="ContentTypeId">
    <vt:lpwstr>0x010100266966F133664895A6EE3632470D45F500F51ACEB2B9F6A04288F37A857CC41924</vt:lpwstr>
  </property>
</Properties>
</file>