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712EF" w14:textId="77777777" w:rsidR="002B1DB3" w:rsidRPr="005D1ABF" w:rsidRDefault="001813AC" w:rsidP="005D1ABF">
      <w:pPr>
        <w:spacing w:after="0" w:line="240" w:lineRule="auto"/>
        <w:jc w:val="center"/>
        <w:rPr>
          <w:rFonts w:ascii="Times New Roman" w:hAnsi="Times New Roman" w:cs="Times New Roman"/>
          <w:b/>
          <w:caps/>
          <w:sz w:val="24"/>
          <w:szCs w:val="24"/>
          <w:u w:val="single"/>
        </w:rPr>
      </w:pPr>
      <w:r w:rsidRPr="005D1ABF">
        <w:rPr>
          <w:rFonts w:ascii="Times New Roman" w:hAnsi="Times New Roman" w:cs="Times New Roman"/>
          <w:b/>
          <w:caps/>
          <w:sz w:val="24"/>
          <w:szCs w:val="24"/>
          <w:u w:val="single"/>
        </w:rPr>
        <w:t>Explanatory Statement</w:t>
      </w:r>
    </w:p>
    <w:p w14:paraId="18AE2B3A" w14:textId="77777777" w:rsidR="005D1ABF" w:rsidRPr="005D1ABF" w:rsidRDefault="005D1ABF" w:rsidP="005D1ABF">
      <w:pPr>
        <w:spacing w:after="0" w:line="240" w:lineRule="auto"/>
        <w:jc w:val="center"/>
        <w:rPr>
          <w:rFonts w:ascii="Times New Roman" w:hAnsi="Times New Roman" w:cs="Times New Roman"/>
          <w:b/>
          <w:caps/>
          <w:sz w:val="24"/>
          <w:szCs w:val="24"/>
          <w:u w:val="single"/>
        </w:rPr>
      </w:pPr>
    </w:p>
    <w:p w14:paraId="6CBCFFB9" w14:textId="77777777" w:rsidR="002B1DB3" w:rsidRPr="003E3FC6" w:rsidRDefault="002B1DB3" w:rsidP="005D1ABF">
      <w:pPr>
        <w:spacing w:after="0" w:line="240" w:lineRule="auto"/>
        <w:jc w:val="center"/>
        <w:rPr>
          <w:rFonts w:ascii="Times New Roman" w:hAnsi="Times New Roman" w:cs="Times New Roman"/>
          <w:color w:val="000000" w:themeColor="text1"/>
          <w:sz w:val="24"/>
          <w:szCs w:val="24"/>
          <w:u w:val="single"/>
        </w:rPr>
      </w:pPr>
      <w:r w:rsidRPr="003E3FC6">
        <w:rPr>
          <w:rFonts w:ascii="Times New Roman" w:hAnsi="Times New Roman" w:cs="Times New Roman"/>
          <w:color w:val="000000" w:themeColor="text1"/>
          <w:sz w:val="24"/>
          <w:szCs w:val="24"/>
          <w:u w:val="single"/>
        </w:rPr>
        <w:t xml:space="preserve">Issued by Authority of the </w:t>
      </w:r>
      <w:r w:rsidR="00470AE8" w:rsidRPr="003E3FC6">
        <w:rPr>
          <w:rFonts w:ascii="Times New Roman" w:hAnsi="Times New Roman" w:cs="Times New Roman"/>
          <w:color w:val="000000" w:themeColor="text1"/>
          <w:sz w:val="24"/>
          <w:szCs w:val="24"/>
          <w:u w:val="single"/>
        </w:rPr>
        <w:t>Minister for Agriculture</w:t>
      </w:r>
      <w:r w:rsidR="00CA6F6B" w:rsidRPr="003E3FC6">
        <w:rPr>
          <w:rFonts w:ascii="Times New Roman" w:hAnsi="Times New Roman" w:cs="Times New Roman"/>
          <w:color w:val="000000" w:themeColor="text1"/>
          <w:sz w:val="24"/>
          <w:szCs w:val="24"/>
          <w:u w:val="single"/>
        </w:rPr>
        <w:t>, Drought and Emergency Management</w:t>
      </w:r>
    </w:p>
    <w:p w14:paraId="29AB4A21" w14:textId="77777777" w:rsidR="002B1DB3" w:rsidRPr="003E3FC6" w:rsidRDefault="002B1DB3" w:rsidP="005D1ABF">
      <w:pPr>
        <w:spacing w:after="0" w:line="240" w:lineRule="auto"/>
        <w:jc w:val="center"/>
        <w:rPr>
          <w:rFonts w:ascii="Times New Roman" w:hAnsi="Times New Roman" w:cs="Times New Roman"/>
          <w:i/>
          <w:snapToGrid w:val="0"/>
          <w:color w:val="000000" w:themeColor="text1"/>
          <w:sz w:val="24"/>
          <w:szCs w:val="24"/>
        </w:rPr>
      </w:pPr>
    </w:p>
    <w:p w14:paraId="2B479973" w14:textId="77777777" w:rsidR="002B1DB3" w:rsidRPr="005D1ABF" w:rsidRDefault="002E3939" w:rsidP="005D1ABF">
      <w:pPr>
        <w:spacing w:after="0" w:line="240" w:lineRule="auto"/>
        <w:jc w:val="center"/>
        <w:rPr>
          <w:rFonts w:ascii="Times New Roman" w:hAnsi="Times New Roman" w:cs="Times New Roman"/>
          <w:snapToGrid w:val="0"/>
          <w:sz w:val="24"/>
          <w:szCs w:val="24"/>
        </w:rPr>
      </w:pPr>
      <w:r w:rsidRPr="002E3939">
        <w:rPr>
          <w:rFonts w:ascii="Times New Roman" w:hAnsi="Times New Roman" w:cs="Times New Roman"/>
          <w:i/>
          <w:snapToGrid w:val="0"/>
          <w:sz w:val="24"/>
          <w:szCs w:val="24"/>
        </w:rPr>
        <w:t xml:space="preserve">Illegal Logging Prohibition </w:t>
      </w:r>
      <w:r w:rsidR="002B1DB3" w:rsidRPr="005D1ABF">
        <w:rPr>
          <w:rFonts w:ascii="Times New Roman" w:hAnsi="Times New Roman" w:cs="Times New Roman"/>
          <w:i/>
          <w:snapToGrid w:val="0"/>
          <w:sz w:val="24"/>
          <w:szCs w:val="24"/>
        </w:rPr>
        <w:t>Act</w:t>
      </w:r>
      <w:r>
        <w:rPr>
          <w:rFonts w:ascii="Times New Roman" w:hAnsi="Times New Roman" w:cs="Times New Roman"/>
          <w:i/>
          <w:snapToGrid w:val="0"/>
          <w:sz w:val="24"/>
          <w:szCs w:val="24"/>
        </w:rPr>
        <w:t xml:space="preserve"> 2012</w:t>
      </w:r>
    </w:p>
    <w:p w14:paraId="74D692DC" w14:textId="77777777" w:rsidR="002B1DB3" w:rsidRPr="005D1ABF" w:rsidRDefault="002B1DB3" w:rsidP="005D1ABF">
      <w:pPr>
        <w:spacing w:after="0" w:line="240" w:lineRule="auto"/>
        <w:jc w:val="center"/>
        <w:rPr>
          <w:rFonts w:ascii="Times New Roman" w:hAnsi="Times New Roman" w:cs="Times New Roman"/>
          <w:sz w:val="24"/>
          <w:szCs w:val="24"/>
        </w:rPr>
      </w:pPr>
    </w:p>
    <w:p w14:paraId="66CD0A11" w14:textId="062B9DA2" w:rsidR="002B1DB3" w:rsidRPr="001A3865" w:rsidRDefault="00BE2404" w:rsidP="005D1ABF">
      <w:pPr>
        <w:spacing w:after="0" w:line="240" w:lineRule="auto"/>
        <w:jc w:val="center"/>
        <w:rPr>
          <w:rFonts w:ascii="Times New Roman" w:hAnsi="Times New Roman" w:cs="Times New Roman"/>
          <w:i/>
          <w:sz w:val="24"/>
          <w:szCs w:val="24"/>
        </w:rPr>
      </w:pPr>
      <w:r w:rsidRPr="001A3865">
        <w:rPr>
          <w:rFonts w:ascii="Times New Roman" w:hAnsi="Times New Roman" w:cs="Times New Roman"/>
          <w:i/>
          <w:sz w:val="24"/>
          <w:szCs w:val="24"/>
        </w:rPr>
        <w:t>Illegal Logging Prohibition Amendment (Country Specific Guidelines) Regulations 2020</w:t>
      </w:r>
    </w:p>
    <w:p w14:paraId="630809A9" w14:textId="77777777" w:rsidR="001C09FB" w:rsidRPr="001A3865" w:rsidRDefault="001C09FB" w:rsidP="005D1ABF">
      <w:pPr>
        <w:spacing w:after="0" w:line="240" w:lineRule="auto"/>
        <w:jc w:val="center"/>
        <w:rPr>
          <w:rFonts w:ascii="Times New Roman" w:hAnsi="Times New Roman" w:cs="Times New Roman"/>
          <w:i/>
          <w:sz w:val="24"/>
          <w:szCs w:val="24"/>
        </w:rPr>
      </w:pPr>
    </w:p>
    <w:p w14:paraId="46679048" w14:textId="77777777" w:rsidR="002B1DB3" w:rsidRPr="001A3865" w:rsidRDefault="002B1DB3" w:rsidP="005D1ABF">
      <w:pPr>
        <w:tabs>
          <w:tab w:val="left" w:pos="1701"/>
          <w:tab w:val="right" w:pos="9072"/>
        </w:tabs>
        <w:spacing w:after="0" w:line="240" w:lineRule="auto"/>
        <w:rPr>
          <w:rFonts w:ascii="Times New Roman" w:hAnsi="Times New Roman" w:cs="Times New Roman"/>
          <w:sz w:val="24"/>
          <w:szCs w:val="24"/>
        </w:rPr>
      </w:pPr>
      <w:r w:rsidRPr="001A3865">
        <w:rPr>
          <w:rFonts w:ascii="Times New Roman" w:hAnsi="Times New Roman" w:cs="Times New Roman"/>
          <w:b/>
          <w:sz w:val="24"/>
          <w:szCs w:val="24"/>
        </w:rPr>
        <w:t>Legislative Authority</w:t>
      </w:r>
    </w:p>
    <w:p w14:paraId="0E16E59D" w14:textId="77777777" w:rsidR="002B1DB3" w:rsidRPr="001A3865" w:rsidRDefault="002B1DB3" w:rsidP="005D1ABF">
      <w:pPr>
        <w:tabs>
          <w:tab w:val="right" w:pos="9072"/>
        </w:tabs>
        <w:spacing w:after="0" w:line="240" w:lineRule="auto"/>
        <w:rPr>
          <w:rFonts w:ascii="Times New Roman" w:hAnsi="Times New Roman" w:cs="Times New Roman"/>
          <w:sz w:val="24"/>
          <w:szCs w:val="24"/>
        </w:rPr>
      </w:pPr>
    </w:p>
    <w:p w14:paraId="1F736824" w14:textId="35EEB96C" w:rsidR="00A36027" w:rsidRDefault="00A36027" w:rsidP="00A36027">
      <w:pPr>
        <w:tabs>
          <w:tab w:val="left" w:pos="2760"/>
        </w:tabs>
        <w:spacing w:after="0" w:line="240" w:lineRule="auto"/>
        <w:rPr>
          <w:rFonts w:ascii="Times New Roman" w:hAnsi="Times New Roman" w:cs="Times New Roman"/>
          <w:sz w:val="24"/>
        </w:rPr>
      </w:pPr>
      <w:r w:rsidRPr="001A3865">
        <w:rPr>
          <w:rFonts w:ascii="Times New Roman" w:hAnsi="Times New Roman" w:cs="Times New Roman"/>
          <w:sz w:val="24"/>
        </w:rPr>
        <w:t xml:space="preserve">The </w:t>
      </w:r>
      <w:r w:rsidRPr="003E3FC6">
        <w:rPr>
          <w:rFonts w:ascii="Times New Roman" w:hAnsi="Times New Roman" w:cs="Times New Roman"/>
          <w:i/>
          <w:sz w:val="24"/>
        </w:rPr>
        <w:t>Illegal Logging Prohibition Act 2012</w:t>
      </w:r>
      <w:r w:rsidRPr="001A3865">
        <w:rPr>
          <w:rFonts w:ascii="Times New Roman" w:hAnsi="Times New Roman" w:cs="Times New Roman"/>
          <w:sz w:val="24"/>
        </w:rPr>
        <w:t xml:space="preserve"> (the Act) aims to reduce the harmful environmental, social and economic impacts of illegal logging by restricting the importation and sale of illegally logged timber in Australia. The Act requires importers of regulated timber products and processors of domestically grown raw logs to conduct a due diligence process in order to reduce the risk that illegally logged timber is imported or processed.</w:t>
      </w:r>
    </w:p>
    <w:p w14:paraId="224C444B" w14:textId="62E4C5D7" w:rsidR="00236F07" w:rsidRDefault="00236F07" w:rsidP="00A36027">
      <w:pPr>
        <w:tabs>
          <w:tab w:val="left" w:pos="2760"/>
        </w:tabs>
        <w:spacing w:after="0" w:line="240" w:lineRule="auto"/>
        <w:rPr>
          <w:rFonts w:ascii="Times New Roman" w:hAnsi="Times New Roman" w:cs="Times New Roman"/>
          <w:sz w:val="24"/>
        </w:rPr>
      </w:pPr>
    </w:p>
    <w:p w14:paraId="7D86A5B7" w14:textId="06CE6B74" w:rsidR="00236F07" w:rsidRPr="001A3865" w:rsidRDefault="00236F07" w:rsidP="00A36027">
      <w:pPr>
        <w:tabs>
          <w:tab w:val="left" w:pos="2760"/>
        </w:tabs>
        <w:spacing w:after="0" w:line="240" w:lineRule="auto"/>
        <w:rPr>
          <w:rFonts w:ascii="Times New Roman" w:hAnsi="Times New Roman" w:cs="Times New Roman"/>
          <w:sz w:val="24"/>
        </w:rPr>
      </w:pPr>
      <w:r>
        <w:rPr>
          <w:rFonts w:ascii="Times New Roman" w:hAnsi="Times New Roman" w:cs="Times New Roman"/>
          <w:sz w:val="24"/>
        </w:rPr>
        <w:t>Section 12 of Division 2 of Part 2 of the Act provides that a person commits an offence if the person imports a thing, the thing is a regulated timber product, the person does not comply with the due diligence requirements for importing the product and the thing is not prescribe</w:t>
      </w:r>
      <w:r w:rsidR="00BA6DBB">
        <w:rPr>
          <w:rFonts w:ascii="Times New Roman" w:hAnsi="Times New Roman" w:cs="Times New Roman"/>
          <w:sz w:val="24"/>
        </w:rPr>
        <w:t>d as exempt by the Regulations.</w:t>
      </w:r>
    </w:p>
    <w:p w14:paraId="296EF815" w14:textId="77777777" w:rsidR="00A36027" w:rsidRPr="001A3865" w:rsidRDefault="00A36027" w:rsidP="00A36027">
      <w:pPr>
        <w:tabs>
          <w:tab w:val="left" w:pos="2760"/>
        </w:tabs>
        <w:spacing w:after="0" w:line="240" w:lineRule="auto"/>
        <w:rPr>
          <w:rFonts w:ascii="Times New Roman" w:hAnsi="Times New Roman" w:cs="Times New Roman"/>
          <w:sz w:val="24"/>
        </w:rPr>
      </w:pPr>
    </w:p>
    <w:p w14:paraId="2BE1768A" w14:textId="1F1A2C5F" w:rsidR="00223CC7" w:rsidRDefault="00A36027" w:rsidP="00A36027">
      <w:pPr>
        <w:tabs>
          <w:tab w:val="left" w:pos="2760"/>
        </w:tabs>
        <w:spacing w:after="0" w:line="240" w:lineRule="auto"/>
        <w:rPr>
          <w:rFonts w:ascii="Times New Roman" w:hAnsi="Times New Roman" w:cs="Times New Roman"/>
          <w:sz w:val="24"/>
        </w:rPr>
      </w:pPr>
      <w:r w:rsidRPr="001A3865">
        <w:rPr>
          <w:rFonts w:ascii="Times New Roman" w:hAnsi="Times New Roman" w:cs="Times New Roman"/>
          <w:sz w:val="24"/>
        </w:rPr>
        <w:t>Section 86 of the Act provides that the Governor</w:t>
      </w:r>
      <w:r w:rsidRPr="001A3865">
        <w:rPr>
          <w:rFonts w:ascii="Cambria Math" w:hAnsi="Cambria Math" w:cs="Cambria Math"/>
          <w:sz w:val="24"/>
        </w:rPr>
        <w:t>‑</w:t>
      </w:r>
      <w:r w:rsidRPr="001A3865">
        <w:rPr>
          <w:rFonts w:ascii="Times New Roman" w:hAnsi="Times New Roman" w:cs="Times New Roman"/>
          <w:sz w:val="24"/>
        </w:rPr>
        <w:t>General may make regulations prescribing matters required or permitted by the Act to be prescribed or matters necessary or convenient to be prescribed for carrying out or giving effect to the Act.</w:t>
      </w:r>
    </w:p>
    <w:p w14:paraId="5F3259CC" w14:textId="77777777" w:rsidR="00223CC7" w:rsidRDefault="00223CC7" w:rsidP="00A36027">
      <w:pPr>
        <w:tabs>
          <w:tab w:val="left" w:pos="2760"/>
        </w:tabs>
        <w:spacing w:after="0" w:line="240" w:lineRule="auto"/>
        <w:rPr>
          <w:rFonts w:ascii="Times New Roman" w:hAnsi="Times New Roman" w:cs="Times New Roman"/>
          <w:sz w:val="24"/>
        </w:rPr>
      </w:pPr>
    </w:p>
    <w:p w14:paraId="00216023" w14:textId="39AC392C" w:rsidR="00223CC7" w:rsidRDefault="00236F07" w:rsidP="00A36027">
      <w:pPr>
        <w:tabs>
          <w:tab w:val="left" w:pos="2760"/>
        </w:tabs>
        <w:spacing w:after="0" w:line="240" w:lineRule="auto"/>
        <w:rPr>
          <w:rFonts w:ascii="Times New Roman" w:hAnsi="Times New Roman" w:cs="Times New Roman"/>
          <w:sz w:val="24"/>
        </w:rPr>
      </w:pPr>
      <w:r>
        <w:rPr>
          <w:rFonts w:ascii="Times New Roman" w:hAnsi="Times New Roman" w:cs="Times New Roman"/>
          <w:sz w:val="24"/>
        </w:rPr>
        <w:t>Subsection 14(1)</w:t>
      </w:r>
      <w:r w:rsidR="00223CC7">
        <w:rPr>
          <w:rFonts w:ascii="Times New Roman" w:hAnsi="Times New Roman" w:cs="Times New Roman"/>
          <w:sz w:val="24"/>
        </w:rPr>
        <w:t xml:space="preserve"> of the Act</w:t>
      </w:r>
      <w:r>
        <w:rPr>
          <w:rFonts w:ascii="Times New Roman" w:hAnsi="Times New Roman" w:cs="Times New Roman"/>
          <w:sz w:val="24"/>
        </w:rPr>
        <w:t xml:space="preserve"> provides that the regulations must prescribe due diligence requirements for importing regulated timber products. Under subsection 14(2), the requirements must be prescribed only for the purposes of reducing the risk that imported regulated timber products are, are made from, or in</w:t>
      </w:r>
      <w:r w:rsidR="00BA6DBB">
        <w:rPr>
          <w:rFonts w:ascii="Times New Roman" w:hAnsi="Times New Roman" w:cs="Times New Roman"/>
          <w:sz w:val="24"/>
        </w:rPr>
        <w:t>clude, illegally logged timber.</w:t>
      </w:r>
    </w:p>
    <w:p w14:paraId="786E5569" w14:textId="77777777" w:rsidR="00223CC7" w:rsidRDefault="00223CC7" w:rsidP="00A36027">
      <w:pPr>
        <w:tabs>
          <w:tab w:val="left" w:pos="2760"/>
        </w:tabs>
        <w:spacing w:after="0" w:line="240" w:lineRule="auto"/>
        <w:rPr>
          <w:rFonts w:ascii="Times New Roman" w:hAnsi="Times New Roman" w:cs="Times New Roman"/>
          <w:sz w:val="24"/>
        </w:rPr>
      </w:pPr>
    </w:p>
    <w:p w14:paraId="213010A7" w14:textId="688C0AAF" w:rsidR="00A36027" w:rsidRPr="001A3865" w:rsidRDefault="00236F07" w:rsidP="00A36027">
      <w:pPr>
        <w:tabs>
          <w:tab w:val="left" w:pos="2760"/>
        </w:tabs>
        <w:spacing w:after="0" w:line="240" w:lineRule="auto"/>
        <w:rPr>
          <w:rFonts w:ascii="Times New Roman" w:hAnsi="Times New Roman" w:cs="Times New Roman"/>
          <w:sz w:val="24"/>
        </w:rPr>
      </w:pPr>
      <w:r>
        <w:rPr>
          <w:rFonts w:ascii="Times New Roman" w:hAnsi="Times New Roman" w:cs="Times New Roman"/>
          <w:sz w:val="24"/>
        </w:rPr>
        <w:t xml:space="preserve">Subsection 14(5) </w:t>
      </w:r>
      <w:r w:rsidR="00223CC7">
        <w:rPr>
          <w:rFonts w:ascii="Times New Roman" w:hAnsi="Times New Roman" w:cs="Times New Roman"/>
          <w:sz w:val="24"/>
        </w:rPr>
        <w:t xml:space="preserve">of the Act </w:t>
      </w:r>
      <w:r>
        <w:rPr>
          <w:rFonts w:ascii="Times New Roman" w:hAnsi="Times New Roman" w:cs="Times New Roman"/>
          <w:sz w:val="24"/>
        </w:rPr>
        <w:t>relevantly provides that the regulations may provide for due diligence requirements for imp</w:t>
      </w:r>
      <w:r w:rsidR="002D1FDB">
        <w:rPr>
          <w:rFonts w:ascii="Times New Roman" w:hAnsi="Times New Roman" w:cs="Times New Roman"/>
          <w:sz w:val="24"/>
        </w:rPr>
        <w:t>orting</w:t>
      </w:r>
      <w:r>
        <w:rPr>
          <w:rFonts w:ascii="Times New Roman" w:hAnsi="Times New Roman" w:cs="Times New Roman"/>
          <w:sz w:val="24"/>
        </w:rPr>
        <w:t xml:space="preserve"> </w:t>
      </w:r>
      <w:r w:rsidR="003E1443">
        <w:rPr>
          <w:rFonts w:ascii="Times New Roman" w:hAnsi="Times New Roman" w:cs="Times New Roman"/>
          <w:sz w:val="24"/>
        </w:rPr>
        <w:t>regulated timber products to be satisfied, wholly or partly, by compliance with specified laws, rules, or processes, including laws, or processes under laws, in force in a State o</w:t>
      </w:r>
      <w:r w:rsidR="00BA6DBB">
        <w:rPr>
          <w:rFonts w:ascii="Times New Roman" w:hAnsi="Times New Roman" w:cs="Times New Roman"/>
          <w:sz w:val="24"/>
        </w:rPr>
        <w:t>r Territory or another country.</w:t>
      </w:r>
    </w:p>
    <w:p w14:paraId="5D65353A" w14:textId="77777777" w:rsidR="0027637A" w:rsidRDefault="0027637A" w:rsidP="00A36027">
      <w:pPr>
        <w:tabs>
          <w:tab w:val="left" w:pos="2760"/>
        </w:tabs>
        <w:spacing w:after="0" w:line="240" w:lineRule="auto"/>
        <w:rPr>
          <w:rFonts w:ascii="Times New Roman" w:hAnsi="Times New Roman" w:cs="Times New Roman"/>
          <w:sz w:val="24"/>
        </w:rPr>
      </w:pPr>
    </w:p>
    <w:p w14:paraId="0D6AEE0C" w14:textId="00AB2745" w:rsidR="002B1DB3" w:rsidRDefault="00556205" w:rsidP="00A36027">
      <w:pPr>
        <w:tabs>
          <w:tab w:val="left" w:pos="2760"/>
        </w:tabs>
        <w:spacing w:after="0" w:line="240" w:lineRule="auto"/>
        <w:rPr>
          <w:rFonts w:ascii="Times New Roman" w:hAnsi="Times New Roman" w:cs="Times New Roman"/>
          <w:sz w:val="24"/>
        </w:rPr>
      </w:pPr>
      <w:r>
        <w:rPr>
          <w:rFonts w:ascii="Times New Roman" w:hAnsi="Times New Roman" w:cs="Times New Roman"/>
          <w:sz w:val="24"/>
        </w:rPr>
        <w:t>Section 8 of Division 2 of Part 2 of the</w:t>
      </w:r>
      <w:r w:rsidR="00A36027" w:rsidRPr="001A3865">
        <w:rPr>
          <w:rFonts w:ascii="Times New Roman" w:hAnsi="Times New Roman" w:cs="Times New Roman"/>
          <w:sz w:val="24"/>
        </w:rPr>
        <w:t xml:space="preserve"> </w:t>
      </w:r>
      <w:r w:rsidR="00A36027" w:rsidRPr="003E3FC6">
        <w:rPr>
          <w:rFonts w:ascii="Times New Roman" w:hAnsi="Times New Roman" w:cs="Times New Roman"/>
          <w:i/>
          <w:sz w:val="24"/>
        </w:rPr>
        <w:t>Illegal Logging Prohibition Regulation 2012</w:t>
      </w:r>
      <w:r w:rsidR="00A36027" w:rsidRPr="001A3865">
        <w:rPr>
          <w:rFonts w:ascii="Times New Roman" w:hAnsi="Times New Roman" w:cs="Times New Roman"/>
          <w:sz w:val="24"/>
        </w:rPr>
        <w:t xml:space="preserve"> (</w:t>
      </w:r>
      <w:r w:rsidR="00223CC7">
        <w:rPr>
          <w:rFonts w:ascii="Times New Roman" w:hAnsi="Times New Roman" w:cs="Times New Roman"/>
          <w:sz w:val="24"/>
        </w:rPr>
        <w:t>the P</w:t>
      </w:r>
      <w:r w:rsidR="00A36027" w:rsidRPr="001A3865">
        <w:rPr>
          <w:rFonts w:ascii="Times New Roman" w:hAnsi="Times New Roman" w:cs="Times New Roman"/>
          <w:sz w:val="24"/>
        </w:rPr>
        <w:t>rincipal Regulation) prescribe</w:t>
      </w:r>
      <w:r w:rsidR="000B06B1">
        <w:rPr>
          <w:rFonts w:ascii="Times New Roman" w:hAnsi="Times New Roman" w:cs="Times New Roman"/>
          <w:sz w:val="24"/>
        </w:rPr>
        <w:t>s</w:t>
      </w:r>
      <w:r w:rsidR="00A36027" w:rsidRPr="001A3865">
        <w:rPr>
          <w:rFonts w:ascii="Times New Roman" w:hAnsi="Times New Roman" w:cs="Times New Roman"/>
          <w:sz w:val="24"/>
        </w:rPr>
        <w:t xml:space="preserve"> due diligence requirements for importing regulated timber products </w:t>
      </w:r>
      <w:r>
        <w:rPr>
          <w:rFonts w:ascii="Times New Roman" w:hAnsi="Times New Roman" w:cs="Times New Roman"/>
          <w:sz w:val="24"/>
        </w:rPr>
        <w:t>for the purposes of subsection 14(1) of the Act</w:t>
      </w:r>
      <w:r w:rsidR="0027637A">
        <w:rPr>
          <w:rFonts w:ascii="Times New Roman" w:hAnsi="Times New Roman" w:cs="Times New Roman"/>
          <w:sz w:val="24"/>
        </w:rPr>
        <w:t xml:space="preserve"> (among other things)</w:t>
      </w:r>
      <w:r w:rsidR="00A36027" w:rsidRPr="001A3865">
        <w:rPr>
          <w:rFonts w:ascii="Times New Roman" w:hAnsi="Times New Roman" w:cs="Times New Roman"/>
          <w:sz w:val="24"/>
        </w:rPr>
        <w:t xml:space="preserve">. </w:t>
      </w:r>
      <w:r w:rsidR="008F6908">
        <w:rPr>
          <w:rFonts w:ascii="Times New Roman" w:hAnsi="Times New Roman" w:cs="Times New Roman"/>
          <w:sz w:val="24"/>
        </w:rPr>
        <w:t>Consistent with subsection 14(2) of the Act, the</w:t>
      </w:r>
      <w:r w:rsidR="00A36027" w:rsidRPr="001A3865">
        <w:rPr>
          <w:rFonts w:ascii="Times New Roman" w:hAnsi="Times New Roman" w:cs="Times New Roman"/>
          <w:sz w:val="24"/>
        </w:rPr>
        <w:t xml:space="preserve"> due diligence requirements are prescribed to </w:t>
      </w:r>
      <w:r w:rsidR="000B06B1">
        <w:rPr>
          <w:rFonts w:ascii="Times New Roman" w:hAnsi="Times New Roman" w:cs="Times New Roman"/>
          <w:sz w:val="24"/>
        </w:rPr>
        <w:t>reduce</w:t>
      </w:r>
      <w:r w:rsidR="000B06B1" w:rsidRPr="001A3865">
        <w:rPr>
          <w:rFonts w:ascii="Times New Roman" w:hAnsi="Times New Roman" w:cs="Times New Roman"/>
          <w:sz w:val="24"/>
        </w:rPr>
        <w:t xml:space="preserve"> </w:t>
      </w:r>
      <w:r w:rsidR="00A36027" w:rsidRPr="001A3865">
        <w:rPr>
          <w:rFonts w:ascii="Times New Roman" w:hAnsi="Times New Roman" w:cs="Times New Roman"/>
          <w:sz w:val="24"/>
        </w:rPr>
        <w:t xml:space="preserve">the risk </w:t>
      </w:r>
      <w:r w:rsidR="000B06B1">
        <w:rPr>
          <w:rFonts w:ascii="Times New Roman" w:hAnsi="Times New Roman" w:cs="Times New Roman"/>
          <w:sz w:val="24"/>
        </w:rPr>
        <w:t>that imported</w:t>
      </w:r>
      <w:r w:rsidR="00A36027" w:rsidRPr="001A3865">
        <w:rPr>
          <w:rFonts w:ascii="Times New Roman" w:hAnsi="Times New Roman" w:cs="Times New Roman"/>
          <w:sz w:val="24"/>
        </w:rPr>
        <w:t xml:space="preserve"> regulated timber product</w:t>
      </w:r>
      <w:r w:rsidR="000B06B1">
        <w:rPr>
          <w:rFonts w:ascii="Times New Roman" w:hAnsi="Times New Roman" w:cs="Times New Roman"/>
          <w:sz w:val="24"/>
        </w:rPr>
        <w:t>s are made from, or include,</w:t>
      </w:r>
      <w:r w:rsidR="00A36027" w:rsidRPr="001A3865">
        <w:rPr>
          <w:rFonts w:ascii="Times New Roman" w:hAnsi="Times New Roman" w:cs="Times New Roman"/>
          <w:sz w:val="24"/>
        </w:rPr>
        <w:t xml:space="preserve"> illegally logged timber</w:t>
      </w:r>
      <w:r w:rsidR="00CA121F" w:rsidRPr="001A3865">
        <w:rPr>
          <w:rFonts w:ascii="Times New Roman" w:hAnsi="Times New Roman" w:cs="Times New Roman"/>
          <w:sz w:val="24"/>
        </w:rPr>
        <w:t>.</w:t>
      </w:r>
    </w:p>
    <w:p w14:paraId="31CB7E55" w14:textId="77777777" w:rsidR="00C23AAE" w:rsidRDefault="00C23AAE" w:rsidP="00A36027">
      <w:pPr>
        <w:tabs>
          <w:tab w:val="left" w:pos="2760"/>
        </w:tabs>
        <w:spacing w:after="0" w:line="240" w:lineRule="auto"/>
        <w:rPr>
          <w:rFonts w:ascii="Times New Roman" w:hAnsi="Times New Roman" w:cs="Times New Roman"/>
          <w:sz w:val="24"/>
        </w:rPr>
      </w:pPr>
    </w:p>
    <w:p w14:paraId="6D640345" w14:textId="6EDFF627" w:rsidR="0027637A" w:rsidRDefault="0027637A" w:rsidP="00A36027">
      <w:pPr>
        <w:tabs>
          <w:tab w:val="left" w:pos="2760"/>
        </w:tabs>
        <w:spacing w:after="0" w:line="240" w:lineRule="auto"/>
        <w:rPr>
          <w:rFonts w:ascii="Times New Roman" w:hAnsi="Times New Roman" w:cs="Times New Roman"/>
          <w:sz w:val="24"/>
        </w:rPr>
      </w:pPr>
      <w:r>
        <w:rPr>
          <w:rFonts w:ascii="Times New Roman" w:hAnsi="Times New Roman" w:cs="Times New Roman"/>
          <w:sz w:val="24"/>
        </w:rPr>
        <w:t>Subsection 10(1) of the Principal Regulation provides that an importer must, before importing a regulated timber product, obtain as much of the information about the product mentioned in subsection 10(2) as it is reasonably practicable for the importer to obtain. The information includes, if a country-specific guideline applies to the timber in the product, or the place in which the timber is harvested – the information or evidence (such as a certificate, license or other document) relating to the product that the guideline r</w:t>
      </w:r>
      <w:r w:rsidR="00BA6DBB">
        <w:rPr>
          <w:rFonts w:ascii="Times New Roman" w:hAnsi="Times New Roman" w:cs="Times New Roman"/>
          <w:sz w:val="24"/>
        </w:rPr>
        <w:t>equires the importer to obtain.</w:t>
      </w:r>
    </w:p>
    <w:p w14:paraId="153C1F43" w14:textId="3E8809CF" w:rsidR="00C23AAE" w:rsidRDefault="00C23AAE" w:rsidP="00A36027">
      <w:pPr>
        <w:tabs>
          <w:tab w:val="left" w:pos="2760"/>
        </w:tabs>
        <w:spacing w:after="0" w:line="240" w:lineRule="auto"/>
        <w:rPr>
          <w:rFonts w:ascii="Times New Roman" w:hAnsi="Times New Roman" w:cs="Times New Roman"/>
          <w:sz w:val="24"/>
        </w:rPr>
      </w:pPr>
    </w:p>
    <w:p w14:paraId="03ED1415" w14:textId="1AEC3199" w:rsidR="00C23AAE" w:rsidRDefault="00C23AAE" w:rsidP="00A36027">
      <w:pPr>
        <w:tabs>
          <w:tab w:val="left" w:pos="2760"/>
        </w:tabs>
        <w:spacing w:after="0" w:line="240" w:lineRule="auto"/>
        <w:rPr>
          <w:rFonts w:ascii="Times New Roman" w:hAnsi="Times New Roman" w:cs="Times New Roman"/>
          <w:sz w:val="24"/>
        </w:rPr>
      </w:pPr>
      <w:r>
        <w:rPr>
          <w:rFonts w:ascii="Times New Roman" w:hAnsi="Times New Roman" w:cs="Times New Roman"/>
          <w:sz w:val="24"/>
        </w:rPr>
        <w:t xml:space="preserve">Section 12 </w:t>
      </w:r>
      <w:r w:rsidR="00A46209">
        <w:rPr>
          <w:rFonts w:ascii="Times New Roman" w:hAnsi="Times New Roman" w:cs="Times New Roman"/>
          <w:sz w:val="24"/>
        </w:rPr>
        <w:t xml:space="preserve">of the Principal Regulation </w:t>
      </w:r>
      <w:r>
        <w:rPr>
          <w:rFonts w:ascii="Times New Roman" w:hAnsi="Times New Roman" w:cs="Times New Roman"/>
          <w:sz w:val="24"/>
        </w:rPr>
        <w:t xml:space="preserve">sets out the due diligence requirements for identifying and assessing risk against country-specific guidelines (as an optional risk mitigation process). </w:t>
      </w:r>
      <w:r>
        <w:rPr>
          <w:rFonts w:ascii="Times New Roman" w:hAnsi="Times New Roman" w:cs="Times New Roman"/>
          <w:sz w:val="24"/>
        </w:rPr>
        <w:lastRenderedPageBreak/>
        <w:t>Section 12 applies to an importer in relation to the importation of a regulated timber product if a country-specific guideline prescribed in Part 2 of Schedule 2 applies to the timber in the product, or the area in which the timber is harvested, and the importer elects to use t</w:t>
      </w:r>
      <w:r w:rsidR="00BA6DBB">
        <w:rPr>
          <w:rFonts w:ascii="Times New Roman" w:hAnsi="Times New Roman" w:cs="Times New Roman"/>
          <w:sz w:val="24"/>
        </w:rPr>
        <w:t>he process in subsection 12(2).</w:t>
      </w:r>
    </w:p>
    <w:p w14:paraId="63F46ECA" w14:textId="334B33F2" w:rsidR="00C23AAE" w:rsidRDefault="00C23AAE" w:rsidP="00A36027">
      <w:pPr>
        <w:tabs>
          <w:tab w:val="left" w:pos="2760"/>
        </w:tabs>
        <w:spacing w:after="0" w:line="240" w:lineRule="auto"/>
        <w:rPr>
          <w:rFonts w:ascii="Times New Roman" w:hAnsi="Times New Roman" w:cs="Times New Roman"/>
          <w:sz w:val="24"/>
        </w:rPr>
      </w:pPr>
    </w:p>
    <w:p w14:paraId="6714885A" w14:textId="503A843A" w:rsidR="00C23AAE" w:rsidRDefault="00C23AAE" w:rsidP="00A36027">
      <w:pPr>
        <w:tabs>
          <w:tab w:val="left" w:pos="2760"/>
        </w:tabs>
        <w:spacing w:after="0" w:line="240" w:lineRule="auto"/>
        <w:rPr>
          <w:rFonts w:ascii="Times New Roman" w:hAnsi="Times New Roman" w:cs="Times New Roman"/>
          <w:sz w:val="24"/>
        </w:rPr>
      </w:pPr>
      <w:r>
        <w:rPr>
          <w:rFonts w:ascii="Times New Roman" w:hAnsi="Times New Roman" w:cs="Times New Roman"/>
          <w:sz w:val="24"/>
        </w:rPr>
        <w:t>Subsection 12(2) provides that the importer must, before importing the product:</w:t>
      </w:r>
    </w:p>
    <w:p w14:paraId="6FEF7983" w14:textId="2CFBFE22" w:rsidR="00C23AAE" w:rsidRDefault="00C23AAE" w:rsidP="00C23AAE">
      <w:pPr>
        <w:pStyle w:val="ListParagraph"/>
        <w:numPr>
          <w:ilvl w:val="0"/>
          <w:numId w:val="22"/>
        </w:numPr>
        <w:tabs>
          <w:tab w:val="left" w:pos="27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assess the information gathered in accordance with subsection 10(1), </w:t>
      </w:r>
      <w:proofErr w:type="gramStart"/>
      <w:r>
        <w:rPr>
          <w:rFonts w:ascii="Times New Roman" w:hAnsi="Times New Roman" w:cs="Times New Roman"/>
          <w:sz w:val="24"/>
          <w:szCs w:val="24"/>
        </w:rPr>
        <w:t>by the use of</w:t>
      </w:r>
      <w:proofErr w:type="gramEnd"/>
      <w:r>
        <w:rPr>
          <w:rFonts w:ascii="Times New Roman" w:hAnsi="Times New Roman" w:cs="Times New Roman"/>
          <w:sz w:val="24"/>
          <w:szCs w:val="24"/>
        </w:rPr>
        <w:t xml:space="preserve"> the guideline; and</w:t>
      </w:r>
    </w:p>
    <w:p w14:paraId="5A51375D" w14:textId="786CC78D" w:rsidR="00C23AAE" w:rsidRDefault="00C23AAE" w:rsidP="00C23AAE">
      <w:pPr>
        <w:pStyle w:val="ListParagraph"/>
        <w:numPr>
          <w:ilvl w:val="0"/>
          <w:numId w:val="22"/>
        </w:numPr>
        <w:tabs>
          <w:tab w:val="left" w:pos="27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identify and assess (to the standard set out in subsection (2A)), by the use of the guideline and consideration of the information gathered in accordance with subsection 10(1), whether there is a risk that the product is, is made from, or includes, illegally logged timber; and </w:t>
      </w:r>
    </w:p>
    <w:p w14:paraId="3399A4E5" w14:textId="3B1116B5" w:rsidR="00C23AAE" w:rsidRDefault="00C23AAE" w:rsidP="00C23AAE">
      <w:pPr>
        <w:pStyle w:val="ListParagraph"/>
        <w:numPr>
          <w:ilvl w:val="0"/>
          <w:numId w:val="22"/>
        </w:numPr>
        <w:tabs>
          <w:tab w:val="left" w:pos="27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identification and assessment of risk mentioned in paragraph (b), consider any other information the importer knows, or ought reasonably to know, that may indicate whether the product is, is made from, or includes, illegally logged timber; and </w:t>
      </w:r>
    </w:p>
    <w:p w14:paraId="19A0F6EC" w14:textId="00306B28" w:rsidR="00C23AAE" w:rsidRDefault="00C23AAE" w:rsidP="00C23AAE">
      <w:pPr>
        <w:pStyle w:val="ListParagraph"/>
        <w:numPr>
          <w:ilvl w:val="0"/>
          <w:numId w:val="22"/>
        </w:numPr>
        <w:tabs>
          <w:tab w:val="left" w:pos="27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make a written record of the identification and assessment undertaken in accordance with this section. </w:t>
      </w:r>
    </w:p>
    <w:p w14:paraId="5C8B859E" w14:textId="70EB9116" w:rsidR="008F6908" w:rsidRDefault="008F6908" w:rsidP="008F6908">
      <w:pPr>
        <w:tabs>
          <w:tab w:val="left" w:pos="2760"/>
        </w:tabs>
        <w:spacing w:after="0" w:line="240" w:lineRule="auto"/>
        <w:rPr>
          <w:rFonts w:ascii="Times New Roman" w:hAnsi="Times New Roman" w:cs="Times New Roman"/>
          <w:sz w:val="24"/>
          <w:szCs w:val="24"/>
        </w:rPr>
      </w:pPr>
    </w:p>
    <w:p w14:paraId="1829E98A" w14:textId="4F052904" w:rsidR="008F6908" w:rsidRPr="000B06B1" w:rsidRDefault="008F6908" w:rsidP="008F6908">
      <w:pPr>
        <w:tabs>
          <w:tab w:val="left" w:pos="2760"/>
        </w:tabs>
        <w:spacing w:after="0" w:line="240" w:lineRule="auto"/>
        <w:rPr>
          <w:rFonts w:ascii="Times New Roman" w:hAnsi="Times New Roman" w:cs="Times New Roman"/>
          <w:sz w:val="24"/>
          <w:szCs w:val="24"/>
        </w:rPr>
      </w:pPr>
      <w:r>
        <w:rPr>
          <w:rFonts w:ascii="Times New Roman" w:hAnsi="Times New Roman" w:cs="Times New Roman"/>
          <w:sz w:val="24"/>
          <w:szCs w:val="24"/>
        </w:rPr>
        <w:t>The country specific guidelines are set out in</w:t>
      </w:r>
      <w:r w:rsidR="00CB1C30">
        <w:rPr>
          <w:rFonts w:ascii="Times New Roman" w:hAnsi="Times New Roman" w:cs="Times New Roman"/>
          <w:sz w:val="24"/>
          <w:szCs w:val="24"/>
        </w:rPr>
        <w:t xml:space="preserve"> the table in</w:t>
      </w:r>
      <w:r>
        <w:rPr>
          <w:rFonts w:ascii="Times New Roman" w:hAnsi="Times New Roman" w:cs="Times New Roman"/>
          <w:sz w:val="24"/>
          <w:szCs w:val="24"/>
        </w:rPr>
        <w:t xml:space="preserve"> Part 2 of Schedule 2 of the Principal Regulation. They include country</w:t>
      </w:r>
      <w:r w:rsidR="00065269">
        <w:rPr>
          <w:rFonts w:ascii="Times New Roman" w:hAnsi="Times New Roman" w:cs="Times New Roman"/>
          <w:sz w:val="24"/>
          <w:szCs w:val="24"/>
        </w:rPr>
        <w:t xml:space="preserve"> </w:t>
      </w:r>
      <w:r>
        <w:rPr>
          <w:rFonts w:ascii="Times New Roman" w:hAnsi="Times New Roman" w:cs="Times New Roman"/>
          <w:sz w:val="24"/>
          <w:szCs w:val="24"/>
        </w:rPr>
        <w:t>specific guidelines for Finland (item 2)</w:t>
      </w:r>
      <w:r w:rsidR="007B6243">
        <w:rPr>
          <w:rFonts w:ascii="Times New Roman" w:hAnsi="Times New Roman" w:cs="Times New Roman"/>
          <w:sz w:val="24"/>
          <w:szCs w:val="24"/>
        </w:rPr>
        <w:t>,</w:t>
      </w:r>
      <w:r>
        <w:rPr>
          <w:rFonts w:ascii="Times New Roman" w:hAnsi="Times New Roman" w:cs="Times New Roman"/>
          <w:sz w:val="24"/>
          <w:szCs w:val="24"/>
        </w:rPr>
        <w:t xml:space="preserve"> </w:t>
      </w:r>
      <w:r w:rsidR="00CB1C30">
        <w:rPr>
          <w:rFonts w:ascii="Times New Roman" w:hAnsi="Times New Roman" w:cs="Times New Roman"/>
          <w:sz w:val="24"/>
          <w:szCs w:val="24"/>
        </w:rPr>
        <w:t xml:space="preserve">Malaysia (item 4A) and New Zealand (item 5). </w:t>
      </w:r>
    </w:p>
    <w:p w14:paraId="5A3AEE7E" w14:textId="77777777" w:rsidR="00A36027" w:rsidRPr="001A3865" w:rsidRDefault="00A36027" w:rsidP="005D1ABF">
      <w:pPr>
        <w:tabs>
          <w:tab w:val="left" w:pos="1701"/>
          <w:tab w:val="right" w:pos="9072"/>
        </w:tabs>
        <w:spacing w:after="0" w:line="240" w:lineRule="auto"/>
        <w:rPr>
          <w:rFonts w:ascii="Times New Roman" w:hAnsi="Times New Roman" w:cs="Times New Roman"/>
          <w:b/>
          <w:sz w:val="24"/>
          <w:szCs w:val="24"/>
        </w:rPr>
      </w:pPr>
    </w:p>
    <w:p w14:paraId="21DC3117" w14:textId="77777777" w:rsidR="002B1DB3" w:rsidRPr="001A3865" w:rsidRDefault="002B1DB3" w:rsidP="005D1ABF">
      <w:pPr>
        <w:tabs>
          <w:tab w:val="left" w:pos="1701"/>
          <w:tab w:val="right" w:pos="9072"/>
        </w:tabs>
        <w:spacing w:after="0" w:line="240" w:lineRule="auto"/>
        <w:rPr>
          <w:rFonts w:ascii="Times New Roman" w:hAnsi="Times New Roman" w:cs="Times New Roman"/>
          <w:b/>
          <w:sz w:val="24"/>
          <w:szCs w:val="24"/>
        </w:rPr>
      </w:pPr>
      <w:r w:rsidRPr="001A3865">
        <w:rPr>
          <w:rFonts w:ascii="Times New Roman" w:hAnsi="Times New Roman" w:cs="Times New Roman"/>
          <w:b/>
          <w:sz w:val="24"/>
          <w:szCs w:val="24"/>
        </w:rPr>
        <w:t>Purpose</w:t>
      </w:r>
    </w:p>
    <w:p w14:paraId="1754069D" w14:textId="77777777" w:rsidR="002B1DB3" w:rsidRPr="001A3865" w:rsidRDefault="002B1DB3" w:rsidP="005D1ABF">
      <w:pPr>
        <w:tabs>
          <w:tab w:val="right" w:pos="9072"/>
        </w:tabs>
        <w:spacing w:after="0" w:line="240" w:lineRule="auto"/>
        <w:rPr>
          <w:rFonts w:ascii="Times New Roman" w:hAnsi="Times New Roman" w:cs="Times New Roman"/>
          <w:sz w:val="24"/>
          <w:szCs w:val="24"/>
        </w:rPr>
      </w:pPr>
    </w:p>
    <w:p w14:paraId="0D8E84EA" w14:textId="53CD1024" w:rsidR="001C09FB" w:rsidRPr="001A3865" w:rsidRDefault="001C09FB" w:rsidP="001C09FB">
      <w:pPr>
        <w:tabs>
          <w:tab w:val="left" w:pos="1701"/>
          <w:tab w:val="right" w:pos="9072"/>
        </w:tabs>
        <w:spacing w:after="0" w:line="240" w:lineRule="auto"/>
        <w:rPr>
          <w:rFonts w:ascii="Times New Roman" w:hAnsi="Times New Roman" w:cs="Times New Roman"/>
          <w:sz w:val="24"/>
        </w:rPr>
      </w:pPr>
      <w:r w:rsidRPr="001A3865">
        <w:rPr>
          <w:rFonts w:ascii="Times New Roman" w:hAnsi="Times New Roman" w:cs="Times New Roman"/>
          <w:sz w:val="24"/>
        </w:rPr>
        <w:t>The purpose of the</w:t>
      </w:r>
      <w:r w:rsidR="006A253A" w:rsidRPr="001A3865">
        <w:rPr>
          <w:rFonts w:ascii="Times New Roman" w:hAnsi="Times New Roman" w:cs="Times New Roman"/>
          <w:sz w:val="24"/>
        </w:rPr>
        <w:t xml:space="preserve"> </w:t>
      </w:r>
      <w:r w:rsidR="00BE2404" w:rsidRPr="001A3865">
        <w:rPr>
          <w:rFonts w:ascii="Times New Roman" w:hAnsi="Times New Roman" w:cs="Times New Roman"/>
          <w:i/>
          <w:sz w:val="24"/>
        </w:rPr>
        <w:t>Illegal Logging Prohibition Amendment (Country Specific Guidelines) Regulations 2020</w:t>
      </w:r>
      <w:r w:rsidR="002E3939" w:rsidRPr="001A3865">
        <w:rPr>
          <w:rFonts w:ascii="Times New Roman" w:hAnsi="Times New Roman" w:cs="Times New Roman"/>
          <w:sz w:val="24"/>
        </w:rPr>
        <w:t xml:space="preserve"> </w:t>
      </w:r>
      <w:r w:rsidR="00A36027" w:rsidRPr="001A3865">
        <w:rPr>
          <w:rFonts w:ascii="Times New Roman" w:hAnsi="Times New Roman" w:cs="Times New Roman"/>
          <w:sz w:val="24"/>
        </w:rPr>
        <w:t xml:space="preserve">(the Amendment Regulations) </w:t>
      </w:r>
      <w:r w:rsidR="002E3939" w:rsidRPr="001A3865">
        <w:rPr>
          <w:rFonts w:ascii="Times New Roman" w:hAnsi="Times New Roman" w:cs="Times New Roman"/>
          <w:sz w:val="24"/>
        </w:rPr>
        <w:t xml:space="preserve">is to </w:t>
      </w:r>
      <w:r w:rsidR="00A36027" w:rsidRPr="001A3865">
        <w:rPr>
          <w:rFonts w:ascii="Times New Roman" w:hAnsi="Times New Roman" w:cs="Times New Roman"/>
          <w:sz w:val="24"/>
        </w:rPr>
        <w:t>amend</w:t>
      </w:r>
      <w:r w:rsidR="002D1FDB">
        <w:rPr>
          <w:rFonts w:ascii="Times New Roman" w:hAnsi="Times New Roman" w:cs="Times New Roman"/>
          <w:sz w:val="24"/>
        </w:rPr>
        <w:t xml:space="preserve"> various items in the table in</w:t>
      </w:r>
      <w:r w:rsidR="00A36027" w:rsidRPr="001A3865">
        <w:rPr>
          <w:rFonts w:ascii="Times New Roman" w:hAnsi="Times New Roman" w:cs="Times New Roman"/>
          <w:sz w:val="24"/>
        </w:rPr>
        <w:t xml:space="preserve"> </w:t>
      </w:r>
      <w:r w:rsidR="009855AF">
        <w:rPr>
          <w:rFonts w:ascii="Times New Roman" w:hAnsi="Times New Roman" w:cs="Times New Roman"/>
          <w:sz w:val="24"/>
        </w:rPr>
        <w:t xml:space="preserve">Part 2 of Schedule 2 to </w:t>
      </w:r>
      <w:r w:rsidR="00A36027" w:rsidRPr="001A3865">
        <w:rPr>
          <w:rFonts w:ascii="Times New Roman" w:hAnsi="Times New Roman" w:cs="Times New Roman"/>
          <w:sz w:val="24"/>
        </w:rPr>
        <w:t xml:space="preserve">the </w:t>
      </w:r>
      <w:r w:rsidR="00223CC7">
        <w:rPr>
          <w:rFonts w:ascii="Times New Roman" w:hAnsi="Times New Roman" w:cs="Times New Roman"/>
          <w:sz w:val="24"/>
        </w:rPr>
        <w:t>P</w:t>
      </w:r>
      <w:r w:rsidR="00A36027" w:rsidRPr="001A3865">
        <w:rPr>
          <w:rFonts w:ascii="Times New Roman" w:hAnsi="Times New Roman" w:cs="Times New Roman"/>
          <w:sz w:val="24"/>
        </w:rPr>
        <w:t xml:space="preserve">rincipal Regulation to add a new country specific guideline for Chile and to replace the country specific guidelines for New Zealand, Finland and </w:t>
      </w:r>
      <w:r w:rsidR="00181A30" w:rsidRPr="001A3865">
        <w:rPr>
          <w:rFonts w:ascii="Times New Roman" w:hAnsi="Times New Roman" w:cs="Times New Roman"/>
          <w:sz w:val="24"/>
        </w:rPr>
        <w:t>Malaysia with updated versions</w:t>
      </w:r>
      <w:r w:rsidR="007B6243">
        <w:rPr>
          <w:rFonts w:ascii="Times New Roman" w:hAnsi="Times New Roman" w:cs="Times New Roman"/>
          <w:sz w:val="24"/>
        </w:rPr>
        <w:t xml:space="preserve"> of those guidelines</w:t>
      </w:r>
      <w:r w:rsidR="00181A30" w:rsidRPr="001A3865">
        <w:rPr>
          <w:rFonts w:ascii="Times New Roman" w:hAnsi="Times New Roman" w:cs="Times New Roman"/>
          <w:sz w:val="24"/>
        </w:rPr>
        <w:t>.</w:t>
      </w:r>
      <w:r w:rsidR="005170F1" w:rsidRPr="001A3865">
        <w:rPr>
          <w:rFonts w:ascii="Times New Roman" w:hAnsi="Times New Roman" w:cs="Times New Roman"/>
          <w:sz w:val="24"/>
        </w:rPr>
        <w:t xml:space="preserve"> </w:t>
      </w:r>
    </w:p>
    <w:p w14:paraId="2F8DAA40" w14:textId="77777777" w:rsidR="002B1DB3" w:rsidRPr="001A3865" w:rsidRDefault="002B1DB3" w:rsidP="005D1ABF">
      <w:pPr>
        <w:tabs>
          <w:tab w:val="right" w:pos="9072"/>
        </w:tabs>
        <w:spacing w:after="0" w:line="240" w:lineRule="auto"/>
        <w:rPr>
          <w:rFonts w:ascii="Times New Roman" w:hAnsi="Times New Roman" w:cs="Times New Roman"/>
          <w:sz w:val="24"/>
          <w:szCs w:val="24"/>
        </w:rPr>
      </w:pPr>
    </w:p>
    <w:p w14:paraId="68C9174A" w14:textId="77777777" w:rsidR="002B1DB3" w:rsidRPr="001A3865" w:rsidRDefault="002B1DB3" w:rsidP="005D1ABF">
      <w:pPr>
        <w:tabs>
          <w:tab w:val="left" w:pos="1701"/>
          <w:tab w:val="right" w:pos="9072"/>
        </w:tabs>
        <w:spacing w:after="0" w:line="240" w:lineRule="auto"/>
        <w:rPr>
          <w:rFonts w:ascii="Times New Roman" w:hAnsi="Times New Roman" w:cs="Times New Roman"/>
          <w:b/>
          <w:sz w:val="24"/>
          <w:szCs w:val="24"/>
        </w:rPr>
      </w:pPr>
      <w:r w:rsidRPr="001A3865">
        <w:rPr>
          <w:rFonts w:ascii="Times New Roman" w:hAnsi="Times New Roman" w:cs="Times New Roman"/>
          <w:b/>
          <w:sz w:val="24"/>
          <w:szCs w:val="24"/>
        </w:rPr>
        <w:t>Background</w:t>
      </w:r>
    </w:p>
    <w:p w14:paraId="058F5B03" w14:textId="77777777" w:rsidR="002B1DB3" w:rsidRPr="001A3865" w:rsidRDefault="002B1DB3" w:rsidP="005D1ABF">
      <w:pPr>
        <w:tabs>
          <w:tab w:val="right" w:pos="9072"/>
        </w:tabs>
        <w:spacing w:after="0" w:line="240" w:lineRule="auto"/>
        <w:rPr>
          <w:rFonts w:ascii="Times New Roman" w:hAnsi="Times New Roman" w:cs="Times New Roman"/>
          <w:sz w:val="24"/>
          <w:szCs w:val="24"/>
        </w:rPr>
      </w:pPr>
    </w:p>
    <w:p w14:paraId="59C5C225" w14:textId="535F42D6" w:rsidR="009855AF" w:rsidRDefault="00181A30" w:rsidP="005170F1">
      <w:pPr>
        <w:tabs>
          <w:tab w:val="left" w:pos="1701"/>
          <w:tab w:val="right" w:pos="9072"/>
        </w:tabs>
        <w:spacing w:after="0" w:line="240" w:lineRule="auto"/>
        <w:rPr>
          <w:rFonts w:ascii="Times New Roman" w:hAnsi="Times New Roman" w:cs="Times New Roman"/>
          <w:sz w:val="24"/>
        </w:rPr>
      </w:pPr>
      <w:r w:rsidRPr="001A3865">
        <w:rPr>
          <w:rFonts w:ascii="Times New Roman" w:hAnsi="Times New Roman" w:cs="Times New Roman"/>
          <w:sz w:val="24"/>
        </w:rPr>
        <w:t xml:space="preserve">The </w:t>
      </w:r>
      <w:r w:rsidR="00065269">
        <w:rPr>
          <w:rFonts w:ascii="Times New Roman" w:hAnsi="Times New Roman" w:cs="Times New Roman"/>
          <w:sz w:val="24"/>
        </w:rPr>
        <w:t xml:space="preserve">addition of </w:t>
      </w:r>
      <w:r w:rsidRPr="001A3865">
        <w:rPr>
          <w:rFonts w:ascii="Times New Roman" w:hAnsi="Times New Roman" w:cs="Times New Roman"/>
          <w:sz w:val="24"/>
        </w:rPr>
        <w:t>the country specific guideline for Chile provides an additional option</w:t>
      </w:r>
      <w:r w:rsidR="007B6243">
        <w:rPr>
          <w:rFonts w:ascii="Times New Roman" w:hAnsi="Times New Roman" w:cs="Times New Roman"/>
          <w:sz w:val="24"/>
        </w:rPr>
        <w:t xml:space="preserve"> by which</w:t>
      </w:r>
      <w:r w:rsidRPr="001A3865">
        <w:rPr>
          <w:rFonts w:ascii="Times New Roman" w:hAnsi="Times New Roman" w:cs="Times New Roman"/>
          <w:sz w:val="24"/>
        </w:rPr>
        <w:t xml:space="preserve"> importers of regulated timber products from Chile </w:t>
      </w:r>
      <w:r w:rsidR="007B6243">
        <w:rPr>
          <w:rFonts w:ascii="Times New Roman" w:hAnsi="Times New Roman" w:cs="Times New Roman"/>
          <w:sz w:val="24"/>
        </w:rPr>
        <w:t>may</w:t>
      </w:r>
      <w:r w:rsidRPr="001A3865">
        <w:rPr>
          <w:rFonts w:ascii="Times New Roman" w:hAnsi="Times New Roman" w:cs="Times New Roman"/>
          <w:sz w:val="24"/>
        </w:rPr>
        <w:t xml:space="preserve"> conduct due diligence</w:t>
      </w:r>
      <w:r w:rsidR="00065269">
        <w:rPr>
          <w:rFonts w:ascii="Times New Roman" w:hAnsi="Times New Roman" w:cs="Times New Roman"/>
          <w:sz w:val="24"/>
        </w:rPr>
        <w:t xml:space="preserve"> to reduce the risk that imported regulated timber products from that country are, are made from, or include, illegally logged timber</w:t>
      </w:r>
      <w:r w:rsidRPr="001A3865">
        <w:rPr>
          <w:rFonts w:ascii="Times New Roman" w:hAnsi="Times New Roman" w:cs="Times New Roman"/>
          <w:sz w:val="24"/>
        </w:rPr>
        <w:t xml:space="preserve">. </w:t>
      </w:r>
    </w:p>
    <w:p w14:paraId="69F55447" w14:textId="77777777" w:rsidR="009855AF" w:rsidRDefault="009855AF" w:rsidP="005170F1">
      <w:pPr>
        <w:tabs>
          <w:tab w:val="left" w:pos="1701"/>
          <w:tab w:val="right" w:pos="9072"/>
        </w:tabs>
        <w:spacing w:after="0" w:line="240" w:lineRule="auto"/>
        <w:rPr>
          <w:rFonts w:ascii="Times New Roman" w:hAnsi="Times New Roman" w:cs="Times New Roman"/>
          <w:sz w:val="24"/>
        </w:rPr>
      </w:pPr>
    </w:p>
    <w:p w14:paraId="67A32F7F" w14:textId="72376CA2" w:rsidR="002B1DB3" w:rsidRPr="001A3865" w:rsidRDefault="00181A30" w:rsidP="005170F1">
      <w:pPr>
        <w:tabs>
          <w:tab w:val="left" w:pos="1701"/>
          <w:tab w:val="right" w:pos="9072"/>
        </w:tabs>
        <w:spacing w:after="0" w:line="240" w:lineRule="auto"/>
        <w:rPr>
          <w:rFonts w:ascii="Times New Roman" w:hAnsi="Times New Roman" w:cs="Times New Roman"/>
          <w:sz w:val="24"/>
        </w:rPr>
      </w:pPr>
      <w:r w:rsidRPr="001A3865">
        <w:rPr>
          <w:rFonts w:ascii="Times New Roman" w:hAnsi="Times New Roman" w:cs="Times New Roman"/>
          <w:sz w:val="24"/>
        </w:rPr>
        <w:t xml:space="preserve">The amendments to add the revised versions of the country specific guidelines for New Zealand, Finland and Malaysia enable importers </w:t>
      </w:r>
      <w:r w:rsidR="00065269">
        <w:rPr>
          <w:rFonts w:ascii="Times New Roman" w:hAnsi="Times New Roman" w:cs="Times New Roman"/>
          <w:sz w:val="24"/>
        </w:rPr>
        <w:t>of</w:t>
      </w:r>
      <w:r w:rsidRPr="001A3865">
        <w:rPr>
          <w:rFonts w:ascii="Times New Roman" w:hAnsi="Times New Roman" w:cs="Times New Roman"/>
          <w:sz w:val="24"/>
        </w:rPr>
        <w:t xml:space="preserve"> regulated timber products from these countries to access the most up-to-date guidance material on forestry legal frameworks in </w:t>
      </w:r>
      <w:r w:rsidR="00065269">
        <w:rPr>
          <w:rFonts w:ascii="Times New Roman" w:hAnsi="Times New Roman" w:cs="Times New Roman"/>
          <w:sz w:val="24"/>
        </w:rPr>
        <w:t xml:space="preserve">those countries in </w:t>
      </w:r>
      <w:r w:rsidRPr="001A3865">
        <w:rPr>
          <w:rFonts w:ascii="Times New Roman" w:hAnsi="Times New Roman" w:cs="Times New Roman"/>
          <w:sz w:val="24"/>
        </w:rPr>
        <w:t>order to carry out their due diligence.</w:t>
      </w:r>
    </w:p>
    <w:p w14:paraId="7A61F7D2" w14:textId="77777777" w:rsidR="005170F1" w:rsidRPr="001A3865" w:rsidRDefault="005170F1" w:rsidP="005170F1">
      <w:pPr>
        <w:tabs>
          <w:tab w:val="left" w:pos="1701"/>
          <w:tab w:val="right" w:pos="9072"/>
        </w:tabs>
        <w:spacing w:after="0" w:line="240" w:lineRule="auto"/>
        <w:rPr>
          <w:rFonts w:ascii="Times New Roman" w:hAnsi="Times New Roman" w:cs="Times New Roman"/>
          <w:sz w:val="24"/>
        </w:rPr>
      </w:pPr>
    </w:p>
    <w:p w14:paraId="1B6D2795" w14:textId="77777777" w:rsidR="002B1DB3" w:rsidRPr="001A3865" w:rsidRDefault="002B1DB3" w:rsidP="005D1ABF">
      <w:pPr>
        <w:tabs>
          <w:tab w:val="left" w:pos="1701"/>
          <w:tab w:val="right" w:pos="9072"/>
        </w:tabs>
        <w:spacing w:after="0" w:line="240" w:lineRule="auto"/>
        <w:rPr>
          <w:rFonts w:ascii="Times New Roman" w:hAnsi="Times New Roman" w:cs="Times New Roman"/>
          <w:b/>
          <w:sz w:val="24"/>
          <w:szCs w:val="24"/>
        </w:rPr>
      </w:pPr>
      <w:r w:rsidRPr="001A3865">
        <w:rPr>
          <w:rFonts w:ascii="Times New Roman" w:hAnsi="Times New Roman" w:cs="Times New Roman"/>
          <w:b/>
          <w:sz w:val="24"/>
          <w:szCs w:val="24"/>
        </w:rPr>
        <w:t>Impact and Effect</w:t>
      </w:r>
    </w:p>
    <w:p w14:paraId="45942F02" w14:textId="77777777" w:rsidR="002B1DB3" w:rsidRPr="001A3865" w:rsidRDefault="002B1DB3" w:rsidP="005D1ABF">
      <w:pPr>
        <w:tabs>
          <w:tab w:val="right" w:pos="9072"/>
        </w:tabs>
        <w:spacing w:after="0" w:line="240" w:lineRule="auto"/>
        <w:rPr>
          <w:rFonts w:ascii="Times New Roman" w:hAnsi="Times New Roman" w:cs="Times New Roman"/>
          <w:sz w:val="24"/>
          <w:szCs w:val="24"/>
        </w:rPr>
      </w:pPr>
    </w:p>
    <w:p w14:paraId="60DC3C30" w14:textId="3F09F703" w:rsidR="00181A30" w:rsidRPr="001A3865" w:rsidRDefault="00181A30" w:rsidP="005170F1">
      <w:pPr>
        <w:tabs>
          <w:tab w:val="left" w:pos="1701"/>
          <w:tab w:val="right" w:pos="9072"/>
        </w:tabs>
        <w:spacing w:after="0" w:line="240" w:lineRule="auto"/>
        <w:rPr>
          <w:rFonts w:ascii="Times New Roman" w:hAnsi="Times New Roman" w:cs="Times New Roman"/>
          <w:sz w:val="24"/>
        </w:rPr>
      </w:pPr>
      <w:r w:rsidRPr="001A3865">
        <w:rPr>
          <w:rFonts w:ascii="Times New Roman" w:hAnsi="Times New Roman" w:cs="Times New Roman"/>
          <w:sz w:val="24"/>
        </w:rPr>
        <w:t xml:space="preserve">The </w:t>
      </w:r>
      <w:r w:rsidR="00065269">
        <w:rPr>
          <w:rFonts w:ascii="Times New Roman" w:hAnsi="Times New Roman" w:cs="Times New Roman"/>
          <w:sz w:val="24"/>
        </w:rPr>
        <w:t>P</w:t>
      </w:r>
      <w:r w:rsidRPr="001A3865">
        <w:rPr>
          <w:rFonts w:ascii="Times New Roman" w:hAnsi="Times New Roman" w:cs="Times New Roman"/>
          <w:sz w:val="24"/>
        </w:rPr>
        <w:t xml:space="preserve">rincipal Regulation has been amended to add the new country specific guideline for Chile, and the revised versions of the country specific guidelines for New Zealand, Finland and Malaysia. These documents offer importers guidance on how to meet their due diligence obligations for regulated timber products originating from those countries. </w:t>
      </w:r>
    </w:p>
    <w:p w14:paraId="550D46E5" w14:textId="77777777" w:rsidR="005170F1" w:rsidRPr="001A3865" w:rsidRDefault="005170F1" w:rsidP="005D1ABF">
      <w:pPr>
        <w:tabs>
          <w:tab w:val="right" w:pos="9072"/>
        </w:tabs>
        <w:spacing w:after="0" w:line="240" w:lineRule="auto"/>
        <w:rPr>
          <w:rFonts w:ascii="Times New Roman" w:hAnsi="Times New Roman" w:cs="Times New Roman"/>
          <w:sz w:val="24"/>
          <w:szCs w:val="24"/>
        </w:rPr>
      </w:pPr>
    </w:p>
    <w:p w14:paraId="534F6994" w14:textId="77777777" w:rsidR="00BA6DBB" w:rsidRDefault="00BA6DBB" w:rsidP="005D1ABF">
      <w:pPr>
        <w:tabs>
          <w:tab w:val="left" w:pos="1701"/>
          <w:tab w:val="right" w:pos="9072"/>
        </w:tabs>
        <w:spacing w:after="0" w:line="240" w:lineRule="auto"/>
        <w:rPr>
          <w:rFonts w:ascii="Times New Roman" w:hAnsi="Times New Roman" w:cs="Times New Roman"/>
          <w:b/>
          <w:sz w:val="24"/>
          <w:szCs w:val="24"/>
        </w:rPr>
      </w:pPr>
    </w:p>
    <w:p w14:paraId="79659A87" w14:textId="77777777" w:rsidR="002B1DB3" w:rsidRPr="001A3865" w:rsidRDefault="002B1DB3" w:rsidP="005D1ABF">
      <w:pPr>
        <w:tabs>
          <w:tab w:val="left" w:pos="1701"/>
          <w:tab w:val="right" w:pos="9072"/>
        </w:tabs>
        <w:spacing w:after="0" w:line="240" w:lineRule="auto"/>
        <w:rPr>
          <w:rFonts w:ascii="Times New Roman" w:hAnsi="Times New Roman" w:cs="Times New Roman"/>
          <w:sz w:val="24"/>
          <w:szCs w:val="24"/>
        </w:rPr>
      </w:pPr>
      <w:r w:rsidRPr="001A3865">
        <w:rPr>
          <w:rFonts w:ascii="Times New Roman" w:hAnsi="Times New Roman" w:cs="Times New Roman"/>
          <w:b/>
          <w:sz w:val="24"/>
          <w:szCs w:val="24"/>
        </w:rPr>
        <w:lastRenderedPageBreak/>
        <w:t>Consultation</w:t>
      </w:r>
    </w:p>
    <w:p w14:paraId="49E616FE" w14:textId="77777777" w:rsidR="002B1DB3" w:rsidRPr="001A3865" w:rsidRDefault="002B1DB3" w:rsidP="005D1ABF">
      <w:pPr>
        <w:tabs>
          <w:tab w:val="left" w:pos="1701"/>
          <w:tab w:val="right" w:pos="9072"/>
        </w:tabs>
        <w:spacing w:after="0" w:line="240" w:lineRule="auto"/>
        <w:rPr>
          <w:rFonts w:ascii="Times New Roman" w:hAnsi="Times New Roman" w:cs="Times New Roman"/>
          <w:sz w:val="24"/>
          <w:szCs w:val="24"/>
        </w:rPr>
      </w:pPr>
    </w:p>
    <w:p w14:paraId="1B0CE21F" w14:textId="1583A6BD" w:rsidR="00661138" w:rsidRDefault="00181A30" w:rsidP="005D1ABF">
      <w:pPr>
        <w:tabs>
          <w:tab w:val="right" w:pos="9072"/>
        </w:tabs>
        <w:spacing w:after="0" w:line="240" w:lineRule="auto"/>
        <w:rPr>
          <w:rFonts w:ascii="Times New Roman" w:hAnsi="Times New Roman" w:cs="Times New Roman"/>
          <w:sz w:val="24"/>
          <w:szCs w:val="24"/>
        </w:rPr>
      </w:pPr>
      <w:r w:rsidRPr="001A3865">
        <w:rPr>
          <w:rFonts w:ascii="Times New Roman" w:hAnsi="Times New Roman" w:cs="Times New Roman"/>
          <w:sz w:val="24"/>
          <w:szCs w:val="24"/>
        </w:rPr>
        <w:t>The g</w:t>
      </w:r>
      <w:r w:rsidR="00661138" w:rsidRPr="001A3865">
        <w:rPr>
          <w:rFonts w:ascii="Times New Roman" w:hAnsi="Times New Roman" w:cs="Times New Roman"/>
          <w:sz w:val="24"/>
          <w:szCs w:val="24"/>
        </w:rPr>
        <w:t xml:space="preserve">overnments of Chile, New Zealand, Malaysia and Finland </w:t>
      </w:r>
      <w:r w:rsidRPr="001A3865">
        <w:rPr>
          <w:rFonts w:ascii="Times New Roman" w:hAnsi="Times New Roman" w:cs="Times New Roman"/>
          <w:sz w:val="24"/>
          <w:szCs w:val="24"/>
        </w:rPr>
        <w:t>were consulted during the development or revision of the individual country specific guidelines and co-endorsed the final guidelines</w:t>
      </w:r>
      <w:r w:rsidR="00661138" w:rsidRPr="001A3865">
        <w:rPr>
          <w:rFonts w:ascii="Times New Roman" w:hAnsi="Times New Roman" w:cs="Times New Roman"/>
          <w:sz w:val="24"/>
          <w:szCs w:val="24"/>
        </w:rPr>
        <w:t>.</w:t>
      </w:r>
      <w:r w:rsidR="00F97B6B">
        <w:rPr>
          <w:rFonts w:ascii="Times New Roman" w:hAnsi="Times New Roman" w:cs="Times New Roman"/>
          <w:sz w:val="24"/>
          <w:szCs w:val="24"/>
        </w:rPr>
        <w:t xml:space="preserve"> </w:t>
      </w:r>
      <w:r w:rsidR="00BA6DBB">
        <w:rPr>
          <w:rFonts w:ascii="Times New Roman" w:hAnsi="Times New Roman" w:cs="Times New Roman"/>
          <w:sz w:val="24"/>
          <w:szCs w:val="24"/>
        </w:rPr>
        <w:t xml:space="preserve">This consultation was undertaken through a </w:t>
      </w:r>
      <w:r w:rsidR="00203456">
        <w:rPr>
          <w:rFonts w:ascii="Times New Roman" w:hAnsi="Times New Roman" w:cs="Times New Roman"/>
          <w:sz w:val="24"/>
          <w:szCs w:val="24"/>
        </w:rPr>
        <w:t>range</w:t>
      </w:r>
      <w:r w:rsidR="00BA6DBB">
        <w:rPr>
          <w:rFonts w:ascii="Times New Roman" w:hAnsi="Times New Roman" w:cs="Times New Roman"/>
          <w:sz w:val="24"/>
          <w:szCs w:val="24"/>
        </w:rPr>
        <w:t xml:space="preserve"> of bilateral meetings </w:t>
      </w:r>
      <w:r w:rsidR="00203456">
        <w:rPr>
          <w:rFonts w:ascii="Times New Roman" w:hAnsi="Times New Roman" w:cs="Times New Roman"/>
          <w:sz w:val="24"/>
          <w:szCs w:val="24"/>
        </w:rPr>
        <w:t xml:space="preserve">undertaken </w:t>
      </w:r>
      <w:r w:rsidR="00BA6DBB">
        <w:rPr>
          <w:rFonts w:ascii="Times New Roman" w:hAnsi="Times New Roman" w:cs="Times New Roman"/>
          <w:sz w:val="24"/>
          <w:szCs w:val="24"/>
        </w:rPr>
        <w:t>with these governments and the exchange of correspondence.</w:t>
      </w:r>
    </w:p>
    <w:p w14:paraId="7ED89D61" w14:textId="571A7FEF" w:rsidR="00464DC9" w:rsidRDefault="00464DC9" w:rsidP="005D1ABF">
      <w:pPr>
        <w:tabs>
          <w:tab w:val="right" w:pos="9072"/>
        </w:tabs>
        <w:spacing w:after="0" w:line="240" w:lineRule="auto"/>
        <w:rPr>
          <w:rFonts w:ascii="Times New Roman" w:hAnsi="Times New Roman" w:cs="Times New Roman"/>
          <w:sz w:val="24"/>
          <w:szCs w:val="24"/>
        </w:rPr>
      </w:pPr>
    </w:p>
    <w:p w14:paraId="692DC99A" w14:textId="3393D916" w:rsidR="00464DC9" w:rsidRPr="001A3865" w:rsidRDefault="00464DC9" w:rsidP="00464DC9">
      <w:pPr>
        <w:tabs>
          <w:tab w:val="left" w:pos="1701"/>
          <w:tab w:val="right" w:pos="9072"/>
        </w:tabs>
        <w:spacing w:after="0" w:line="240" w:lineRule="auto"/>
        <w:rPr>
          <w:rFonts w:ascii="Times New Roman" w:hAnsi="Times New Roman" w:cs="Times New Roman"/>
          <w:sz w:val="24"/>
        </w:rPr>
      </w:pPr>
      <w:r w:rsidRPr="001A3865">
        <w:rPr>
          <w:rFonts w:ascii="Times New Roman" w:hAnsi="Times New Roman" w:cs="Times New Roman"/>
          <w:sz w:val="24"/>
        </w:rPr>
        <w:t xml:space="preserve">The </w:t>
      </w:r>
      <w:r>
        <w:rPr>
          <w:rFonts w:ascii="Times New Roman" w:hAnsi="Times New Roman" w:cs="Times New Roman"/>
          <w:sz w:val="24"/>
        </w:rPr>
        <w:t xml:space="preserve">Amendment Regulations </w:t>
      </w:r>
      <w:r w:rsidRPr="001A3865">
        <w:rPr>
          <w:rFonts w:ascii="Times New Roman" w:hAnsi="Times New Roman" w:cs="Times New Roman"/>
          <w:sz w:val="24"/>
        </w:rPr>
        <w:t xml:space="preserve">are machinery in nature and do not add any new </w:t>
      </w:r>
      <w:r>
        <w:rPr>
          <w:rFonts w:ascii="Times New Roman" w:hAnsi="Times New Roman" w:cs="Times New Roman"/>
          <w:sz w:val="24"/>
        </w:rPr>
        <w:t>requirements</w:t>
      </w:r>
      <w:r w:rsidRPr="001A3865">
        <w:rPr>
          <w:rFonts w:ascii="Times New Roman" w:hAnsi="Times New Roman" w:cs="Times New Roman"/>
          <w:sz w:val="24"/>
        </w:rPr>
        <w:t xml:space="preserve"> to the existing due diligence process and </w:t>
      </w:r>
      <w:r w:rsidR="00AD1E11">
        <w:rPr>
          <w:rFonts w:ascii="Times New Roman" w:hAnsi="Times New Roman" w:cs="Times New Roman"/>
          <w:sz w:val="24"/>
        </w:rPr>
        <w:t>will not</w:t>
      </w:r>
      <w:r w:rsidRPr="001A3865">
        <w:rPr>
          <w:rFonts w:ascii="Times New Roman" w:hAnsi="Times New Roman" w:cs="Times New Roman"/>
          <w:sz w:val="24"/>
        </w:rPr>
        <w:t xml:space="preserve"> create any additional regulatory burden for </w:t>
      </w:r>
      <w:r w:rsidR="0067702D">
        <w:rPr>
          <w:rFonts w:ascii="Times New Roman" w:hAnsi="Times New Roman" w:cs="Times New Roman"/>
          <w:sz w:val="24"/>
        </w:rPr>
        <w:t>affected stakeholders</w:t>
      </w:r>
      <w:r w:rsidR="00AD1E11">
        <w:rPr>
          <w:rFonts w:ascii="Times New Roman" w:hAnsi="Times New Roman" w:cs="Times New Roman"/>
          <w:sz w:val="24"/>
        </w:rPr>
        <w:t>.</w:t>
      </w:r>
      <w:r>
        <w:rPr>
          <w:rFonts w:ascii="Times New Roman" w:hAnsi="Times New Roman" w:cs="Times New Roman"/>
          <w:sz w:val="24"/>
        </w:rPr>
        <w:t xml:space="preserve"> </w:t>
      </w:r>
      <w:r w:rsidR="00AD1E11">
        <w:rPr>
          <w:rFonts w:ascii="Times New Roman" w:hAnsi="Times New Roman" w:cs="Times New Roman"/>
          <w:sz w:val="24"/>
        </w:rPr>
        <w:t>Consequently</w:t>
      </w:r>
      <w:r>
        <w:rPr>
          <w:rFonts w:ascii="Times New Roman" w:hAnsi="Times New Roman" w:cs="Times New Roman"/>
          <w:sz w:val="24"/>
        </w:rPr>
        <w:t xml:space="preserve">, importers of timber products have not been consulted in relation to the amendments. </w:t>
      </w:r>
      <w:r w:rsidR="00203456">
        <w:rPr>
          <w:rFonts w:ascii="Times New Roman" w:hAnsi="Times New Roman" w:cs="Times New Roman"/>
          <w:sz w:val="24"/>
        </w:rPr>
        <w:t>This is consistent with the approach used for the development of all previous country-specific guidelines.</w:t>
      </w:r>
    </w:p>
    <w:p w14:paraId="584B7C8D" w14:textId="77777777" w:rsidR="00661138" w:rsidRPr="001A3865" w:rsidRDefault="00661138" w:rsidP="005D1ABF">
      <w:pPr>
        <w:tabs>
          <w:tab w:val="right" w:pos="9072"/>
        </w:tabs>
        <w:spacing w:after="0" w:line="240" w:lineRule="auto"/>
        <w:rPr>
          <w:rFonts w:ascii="Times New Roman" w:hAnsi="Times New Roman" w:cs="Times New Roman"/>
          <w:sz w:val="24"/>
          <w:szCs w:val="24"/>
        </w:rPr>
      </w:pPr>
    </w:p>
    <w:p w14:paraId="62F61D63" w14:textId="49FBE720" w:rsidR="002B1DB3" w:rsidRPr="001A3865" w:rsidRDefault="005170F1" w:rsidP="005D1ABF">
      <w:pPr>
        <w:tabs>
          <w:tab w:val="right" w:pos="9072"/>
        </w:tabs>
        <w:spacing w:after="0" w:line="240" w:lineRule="auto"/>
        <w:rPr>
          <w:rFonts w:ascii="Times New Roman" w:hAnsi="Times New Roman" w:cs="Times New Roman"/>
          <w:sz w:val="24"/>
          <w:szCs w:val="24"/>
        </w:rPr>
      </w:pPr>
      <w:r w:rsidRPr="001A3865">
        <w:rPr>
          <w:rFonts w:ascii="Times New Roman" w:hAnsi="Times New Roman" w:cs="Times New Roman"/>
          <w:sz w:val="24"/>
          <w:szCs w:val="24"/>
        </w:rPr>
        <w:t xml:space="preserve">The Office of </w:t>
      </w:r>
      <w:r w:rsidR="00181A30" w:rsidRPr="001A3865">
        <w:rPr>
          <w:rFonts w:ascii="Times New Roman" w:hAnsi="Times New Roman" w:cs="Times New Roman"/>
          <w:sz w:val="24"/>
          <w:szCs w:val="24"/>
        </w:rPr>
        <w:t xml:space="preserve">Best Practice Regulation has been consulted and has advised that the amendments are </w:t>
      </w:r>
      <w:r w:rsidRPr="001A3865">
        <w:rPr>
          <w:rFonts w:ascii="Times New Roman" w:hAnsi="Times New Roman" w:cs="Times New Roman"/>
          <w:sz w:val="24"/>
          <w:szCs w:val="24"/>
        </w:rPr>
        <w:t xml:space="preserve">minor in nature, with the regulatory cost burden unlikely to </w:t>
      </w:r>
      <w:r w:rsidR="00AD1E11">
        <w:rPr>
          <w:rFonts w:ascii="Times New Roman" w:hAnsi="Times New Roman" w:cs="Times New Roman"/>
          <w:sz w:val="24"/>
          <w:szCs w:val="24"/>
        </w:rPr>
        <w:t>be affected</w:t>
      </w:r>
      <w:r w:rsidRPr="001A3865">
        <w:rPr>
          <w:rFonts w:ascii="Times New Roman" w:hAnsi="Times New Roman" w:cs="Times New Roman"/>
          <w:sz w:val="24"/>
          <w:szCs w:val="24"/>
        </w:rPr>
        <w:t xml:space="preserve">, and </w:t>
      </w:r>
      <w:r w:rsidR="00181A30" w:rsidRPr="001A3865">
        <w:rPr>
          <w:rFonts w:ascii="Times New Roman" w:hAnsi="Times New Roman" w:cs="Times New Roman"/>
          <w:sz w:val="24"/>
          <w:szCs w:val="24"/>
        </w:rPr>
        <w:t xml:space="preserve">that a </w:t>
      </w:r>
      <w:r w:rsidRPr="001A3865">
        <w:rPr>
          <w:rFonts w:ascii="Times New Roman" w:hAnsi="Times New Roman" w:cs="Times New Roman"/>
          <w:sz w:val="24"/>
          <w:szCs w:val="24"/>
        </w:rPr>
        <w:t xml:space="preserve">Regulation Impact Statement </w:t>
      </w:r>
      <w:r w:rsidR="00181A30" w:rsidRPr="001A3865">
        <w:rPr>
          <w:rFonts w:ascii="Times New Roman" w:hAnsi="Times New Roman" w:cs="Times New Roman"/>
          <w:sz w:val="24"/>
          <w:szCs w:val="24"/>
        </w:rPr>
        <w:t xml:space="preserve">is not required </w:t>
      </w:r>
      <w:r w:rsidRPr="001A3865">
        <w:rPr>
          <w:rFonts w:ascii="Times New Roman" w:hAnsi="Times New Roman" w:cs="Times New Roman"/>
          <w:sz w:val="24"/>
          <w:szCs w:val="24"/>
        </w:rPr>
        <w:t>(OBPR ID</w:t>
      </w:r>
      <w:r w:rsidR="00181A30" w:rsidRPr="001A3865">
        <w:rPr>
          <w:rFonts w:ascii="Times New Roman" w:hAnsi="Times New Roman" w:cs="Times New Roman"/>
          <w:sz w:val="24"/>
          <w:szCs w:val="24"/>
        </w:rPr>
        <w:t xml:space="preserve"> Number</w:t>
      </w:r>
      <w:r w:rsidRPr="001A3865">
        <w:rPr>
          <w:rFonts w:ascii="Times New Roman" w:hAnsi="Times New Roman" w:cs="Times New Roman"/>
          <w:sz w:val="24"/>
          <w:szCs w:val="24"/>
        </w:rPr>
        <w:t>: 25828).</w:t>
      </w:r>
    </w:p>
    <w:p w14:paraId="16D25BF3" w14:textId="77777777" w:rsidR="005170F1" w:rsidRPr="001A3865" w:rsidRDefault="005170F1" w:rsidP="005D1ABF">
      <w:pPr>
        <w:tabs>
          <w:tab w:val="right" w:pos="9072"/>
        </w:tabs>
        <w:spacing w:after="0" w:line="240" w:lineRule="auto"/>
        <w:rPr>
          <w:rFonts w:ascii="Times New Roman" w:hAnsi="Times New Roman" w:cs="Times New Roman"/>
          <w:sz w:val="24"/>
          <w:szCs w:val="24"/>
        </w:rPr>
      </w:pPr>
    </w:p>
    <w:p w14:paraId="1F1E2BDB" w14:textId="77777777" w:rsidR="00E76AB5" w:rsidRPr="001A3865" w:rsidRDefault="00E76AB5" w:rsidP="00E76AB5">
      <w:pPr>
        <w:tabs>
          <w:tab w:val="left" w:pos="1701"/>
          <w:tab w:val="right" w:pos="9072"/>
        </w:tabs>
        <w:spacing w:after="0" w:line="240" w:lineRule="auto"/>
        <w:rPr>
          <w:rFonts w:ascii="Times New Roman" w:hAnsi="Times New Roman" w:cs="Times New Roman"/>
          <w:b/>
          <w:sz w:val="24"/>
        </w:rPr>
      </w:pPr>
      <w:r w:rsidRPr="001A3865">
        <w:rPr>
          <w:rFonts w:ascii="Times New Roman" w:hAnsi="Times New Roman" w:cs="Times New Roman"/>
          <w:b/>
          <w:sz w:val="24"/>
        </w:rPr>
        <w:t>Details/ Operation</w:t>
      </w:r>
    </w:p>
    <w:p w14:paraId="63853B56" w14:textId="77777777" w:rsidR="00E76AB5" w:rsidRPr="001A3865" w:rsidRDefault="00E76AB5" w:rsidP="00E76AB5">
      <w:pPr>
        <w:tabs>
          <w:tab w:val="left" w:pos="1701"/>
          <w:tab w:val="right" w:pos="9072"/>
        </w:tabs>
        <w:spacing w:after="0" w:line="240" w:lineRule="auto"/>
        <w:rPr>
          <w:rFonts w:ascii="Times New Roman" w:hAnsi="Times New Roman" w:cs="Times New Roman"/>
          <w:sz w:val="24"/>
        </w:rPr>
      </w:pPr>
    </w:p>
    <w:p w14:paraId="094236BA" w14:textId="77777777" w:rsidR="005170F1" w:rsidRPr="001A3865" w:rsidRDefault="00181A30" w:rsidP="005170F1">
      <w:pPr>
        <w:tabs>
          <w:tab w:val="left" w:pos="1701"/>
          <w:tab w:val="right" w:pos="9072"/>
        </w:tabs>
        <w:spacing w:after="0" w:line="240" w:lineRule="auto"/>
        <w:rPr>
          <w:rFonts w:ascii="Times New Roman" w:hAnsi="Times New Roman" w:cs="Times New Roman"/>
          <w:sz w:val="24"/>
          <w:szCs w:val="24"/>
        </w:rPr>
      </w:pPr>
      <w:r w:rsidRPr="001A3865">
        <w:rPr>
          <w:rFonts w:ascii="Times New Roman" w:hAnsi="Times New Roman" w:cs="Times New Roman"/>
          <w:sz w:val="24"/>
          <w:szCs w:val="24"/>
        </w:rPr>
        <w:t xml:space="preserve">Details of the Amendment Regulations are set out in </w:t>
      </w:r>
      <w:r w:rsidRPr="001A3865">
        <w:rPr>
          <w:rFonts w:ascii="Times New Roman" w:hAnsi="Times New Roman" w:cs="Times New Roman"/>
          <w:sz w:val="24"/>
          <w:szCs w:val="24"/>
          <w:u w:val="single"/>
        </w:rPr>
        <w:t>Attachment A</w:t>
      </w:r>
      <w:r w:rsidRPr="001A3865">
        <w:rPr>
          <w:rFonts w:ascii="Times New Roman" w:hAnsi="Times New Roman" w:cs="Times New Roman"/>
          <w:sz w:val="24"/>
          <w:szCs w:val="24"/>
        </w:rPr>
        <w:t xml:space="preserve">. </w:t>
      </w:r>
    </w:p>
    <w:p w14:paraId="4C3A20F0" w14:textId="77777777" w:rsidR="00181A30" w:rsidRPr="001A3865" w:rsidRDefault="00181A30" w:rsidP="00E76AB5">
      <w:pPr>
        <w:tabs>
          <w:tab w:val="left" w:pos="1701"/>
          <w:tab w:val="right" w:pos="9072"/>
        </w:tabs>
        <w:spacing w:after="0" w:line="240" w:lineRule="auto"/>
        <w:rPr>
          <w:rFonts w:ascii="Times New Roman" w:hAnsi="Times New Roman" w:cs="Times New Roman"/>
          <w:sz w:val="24"/>
          <w:szCs w:val="24"/>
        </w:rPr>
      </w:pPr>
    </w:p>
    <w:p w14:paraId="6D0E66D5" w14:textId="50D4D6C9" w:rsidR="00E76AB5" w:rsidRPr="001A3865" w:rsidRDefault="00E76AB5" w:rsidP="00E76AB5">
      <w:pPr>
        <w:tabs>
          <w:tab w:val="left" w:pos="1701"/>
          <w:tab w:val="right" w:pos="9072"/>
        </w:tabs>
        <w:spacing w:after="0" w:line="240" w:lineRule="auto"/>
        <w:rPr>
          <w:rFonts w:ascii="Times New Roman" w:hAnsi="Times New Roman" w:cs="Times New Roman"/>
          <w:sz w:val="24"/>
          <w:szCs w:val="24"/>
        </w:rPr>
      </w:pPr>
      <w:r w:rsidRPr="001A3865">
        <w:rPr>
          <w:rFonts w:ascii="Times New Roman" w:hAnsi="Times New Roman" w:cs="Times New Roman"/>
          <w:sz w:val="24"/>
          <w:szCs w:val="24"/>
        </w:rPr>
        <w:t xml:space="preserve">The </w:t>
      </w:r>
      <w:r w:rsidR="00464DC9">
        <w:rPr>
          <w:rFonts w:ascii="Times New Roman" w:hAnsi="Times New Roman" w:cs="Times New Roman"/>
          <w:sz w:val="24"/>
          <w:szCs w:val="24"/>
        </w:rPr>
        <w:t xml:space="preserve">Amendment Regulations are </w:t>
      </w:r>
      <w:r w:rsidR="003A3A60" w:rsidRPr="001A3865">
        <w:rPr>
          <w:rFonts w:ascii="Times New Roman" w:hAnsi="Times New Roman" w:cs="Times New Roman"/>
          <w:sz w:val="24"/>
          <w:szCs w:val="24"/>
        </w:rPr>
        <w:t>compatible</w:t>
      </w:r>
      <w:r w:rsidRPr="001A3865">
        <w:rPr>
          <w:rFonts w:ascii="Times New Roman" w:hAnsi="Times New Roman" w:cs="Times New Roman"/>
          <w:sz w:val="24"/>
          <w:szCs w:val="24"/>
        </w:rPr>
        <w:t xml:space="preserve"> with the human rights and freedoms recognised or declared under section 3 of the </w:t>
      </w:r>
      <w:r w:rsidRPr="001A3865">
        <w:rPr>
          <w:rFonts w:ascii="Times New Roman" w:hAnsi="Times New Roman" w:cs="Times New Roman"/>
          <w:i/>
          <w:sz w:val="24"/>
          <w:szCs w:val="24"/>
        </w:rPr>
        <w:t>Human Rights (Parliamentary Scrutiny) Act 2011.</w:t>
      </w:r>
      <w:r w:rsidRPr="001A3865">
        <w:rPr>
          <w:rFonts w:ascii="Times New Roman" w:hAnsi="Times New Roman" w:cs="Times New Roman"/>
          <w:sz w:val="24"/>
          <w:szCs w:val="24"/>
        </w:rPr>
        <w:t xml:space="preserve"> A full statement of compatibility is set out in </w:t>
      </w:r>
      <w:r w:rsidRPr="001A3865">
        <w:rPr>
          <w:rFonts w:ascii="Times New Roman" w:hAnsi="Times New Roman" w:cs="Times New Roman"/>
          <w:sz w:val="24"/>
          <w:szCs w:val="24"/>
          <w:u w:val="single"/>
        </w:rPr>
        <w:t>Attachment B</w:t>
      </w:r>
      <w:r w:rsidRPr="001A3865">
        <w:rPr>
          <w:rFonts w:ascii="Times New Roman" w:hAnsi="Times New Roman" w:cs="Times New Roman"/>
          <w:sz w:val="24"/>
          <w:szCs w:val="24"/>
        </w:rPr>
        <w:t>.</w:t>
      </w:r>
    </w:p>
    <w:p w14:paraId="5C8BFCCD" w14:textId="77777777" w:rsidR="00E76AB5" w:rsidRPr="001A3865" w:rsidRDefault="00E76AB5" w:rsidP="00E76AB5">
      <w:pPr>
        <w:tabs>
          <w:tab w:val="left" w:pos="1701"/>
          <w:tab w:val="right" w:pos="9072"/>
        </w:tabs>
        <w:spacing w:after="0" w:line="240" w:lineRule="auto"/>
        <w:rPr>
          <w:rFonts w:ascii="Times New Roman" w:hAnsi="Times New Roman" w:cs="Times New Roman"/>
          <w:sz w:val="24"/>
          <w:szCs w:val="24"/>
        </w:rPr>
      </w:pPr>
    </w:p>
    <w:p w14:paraId="016E3565" w14:textId="77777777" w:rsidR="00203AAB" w:rsidRPr="001A3865" w:rsidRDefault="00203AAB" w:rsidP="00E76AB5">
      <w:pPr>
        <w:tabs>
          <w:tab w:val="left" w:pos="1701"/>
          <w:tab w:val="right" w:pos="9072"/>
        </w:tabs>
        <w:spacing w:after="0" w:line="240" w:lineRule="auto"/>
        <w:rPr>
          <w:rFonts w:ascii="Times New Roman" w:hAnsi="Times New Roman" w:cs="Times New Roman"/>
          <w:sz w:val="24"/>
          <w:szCs w:val="24"/>
        </w:rPr>
      </w:pPr>
      <w:r w:rsidRPr="001A3865">
        <w:rPr>
          <w:rFonts w:ascii="Times New Roman" w:hAnsi="Times New Roman" w:cs="Times New Roman"/>
          <w:sz w:val="24"/>
          <w:szCs w:val="24"/>
        </w:rPr>
        <w:t xml:space="preserve">The </w:t>
      </w:r>
      <w:r w:rsidR="007C02FF" w:rsidRPr="001A3865">
        <w:rPr>
          <w:rFonts w:ascii="Times New Roman" w:hAnsi="Times New Roman" w:cs="Times New Roman"/>
          <w:sz w:val="24"/>
          <w:szCs w:val="24"/>
        </w:rPr>
        <w:t>Amendment Regulations are</w:t>
      </w:r>
      <w:r w:rsidR="00D45E13" w:rsidRPr="001A3865">
        <w:rPr>
          <w:rFonts w:ascii="Times New Roman" w:hAnsi="Times New Roman" w:cs="Times New Roman"/>
          <w:sz w:val="24"/>
          <w:szCs w:val="24"/>
        </w:rPr>
        <w:t xml:space="preserve"> </w:t>
      </w:r>
      <w:r w:rsidRPr="001A3865">
        <w:rPr>
          <w:rFonts w:ascii="Times New Roman" w:hAnsi="Times New Roman" w:cs="Times New Roman"/>
          <w:sz w:val="24"/>
          <w:szCs w:val="24"/>
        </w:rPr>
        <w:t xml:space="preserve">a legislative instrument for the purposes of the </w:t>
      </w:r>
      <w:r w:rsidR="000645AB" w:rsidRPr="001A3865">
        <w:rPr>
          <w:rFonts w:ascii="Times New Roman" w:hAnsi="Times New Roman" w:cs="Times New Roman"/>
          <w:i/>
          <w:sz w:val="24"/>
          <w:szCs w:val="24"/>
        </w:rPr>
        <w:t xml:space="preserve">Legislation </w:t>
      </w:r>
      <w:r w:rsidRPr="001A3865">
        <w:rPr>
          <w:rFonts w:ascii="Times New Roman" w:hAnsi="Times New Roman" w:cs="Times New Roman"/>
          <w:i/>
          <w:sz w:val="24"/>
          <w:szCs w:val="24"/>
        </w:rPr>
        <w:t>Act 2003</w:t>
      </w:r>
      <w:r w:rsidRPr="001A3865">
        <w:rPr>
          <w:rFonts w:ascii="Times New Roman" w:hAnsi="Times New Roman" w:cs="Times New Roman"/>
          <w:sz w:val="24"/>
          <w:szCs w:val="24"/>
        </w:rPr>
        <w:t>.</w:t>
      </w:r>
    </w:p>
    <w:p w14:paraId="7C030CE6" w14:textId="77777777" w:rsidR="00E76AB5" w:rsidRPr="001A3865" w:rsidRDefault="00E76AB5" w:rsidP="00E76AB5">
      <w:pPr>
        <w:pStyle w:val="Normal-em"/>
        <w:spacing w:after="0" w:line="240" w:lineRule="auto"/>
        <w:rPr>
          <w:b/>
          <w:caps/>
          <w:color w:val="auto"/>
          <w:szCs w:val="24"/>
          <w:u w:val="single"/>
        </w:rPr>
      </w:pPr>
      <w:r w:rsidRPr="001A3865">
        <w:rPr>
          <w:b/>
          <w:caps/>
          <w:color w:val="auto"/>
          <w:szCs w:val="24"/>
          <w:u w:val="single"/>
        </w:rPr>
        <w:br w:type="page"/>
      </w:r>
    </w:p>
    <w:p w14:paraId="1C12D004" w14:textId="77777777" w:rsidR="002B1DB3" w:rsidRPr="005D1ABF" w:rsidRDefault="002B1DB3" w:rsidP="005D1ABF">
      <w:pPr>
        <w:pStyle w:val="Normal-em"/>
        <w:spacing w:after="0" w:line="240" w:lineRule="auto"/>
        <w:jc w:val="right"/>
        <w:rPr>
          <w:b/>
          <w:caps/>
          <w:szCs w:val="24"/>
          <w:u w:val="single"/>
        </w:rPr>
      </w:pPr>
      <w:r w:rsidRPr="005D1ABF">
        <w:rPr>
          <w:b/>
          <w:caps/>
          <w:szCs w:val="24"/>
          <w:u w:val="single"/>
        </w:rPr>
        <w:lastRenderedPageBreak/>
        <w:t>Attachment</w:t>
      </w:r>
      <w:r w:rsidR="007C02FF">
        <w:rPr>
          <w:b/>
          <w:caps/>
          <w:szCs w:val="24"/>
          <w:u w:val="single"/>
        </w:rPr>
        <w:t xml:space="preserve"> A</w:t>
      </w:r>
    </w:p>
    <w:p w14:paraId="18C2DD3B" w14:textId="77777777" w:rsidR="002B1DB3" w:rsidRDefault="002B1DB3" w:rsidP="005D1ABF">
      <w:pPr>
        <w:pStyle w:val="Normal-em"/>
        <w:spacing w:after="0" w:line="240" w:lineRule="auto"/>
        <w:rPr>
          <w:color w:val="auto"/>
          <w:szCs w:val="24"/>
        </w:rPr>
      </w:pPr>
    </w:p>
    <w:p w14:paraId="6CAFDBCE" w14:textId="77777777" w:rsidR="00CE50EA" w:rsidRPr="005D1ABF" w:rsidRDefault="00CE50EA" w:rsidP="005D1ABF">
      <w:pPr>
        <w:pStyle w:val="Normal-em"/>
        <w:spacing w:after="0" w:line="240" w:lineRule="auto"/>
        <w:rPr>
          <w:color w:val="auto"/>
          <w:szCs w:val="24"/>
        </w:rPr>
      </w:pPr>
    </w:p>
    <w:p w14:paraId="06ADE79F" w14:textId="1040AA80" w:rsidR="002B1DB3" w:rsidRPr="003E3FC6" w:rsidRDefault="002B1DB3" w:rsidP="005D1ABF">
      <w:pPr>
        <w:pStyle w:val="Normal-em"/>
        <w:spacing w:after="0" w:line="240" w:lineRule="auto"/>
        <w:rPr>
          <w:b/>
          <w:i/>
          <w:color w:val="000000" w:themeColor="text1"/>
          <w:szCs w:val="24"/>
          <w:u w:val="single"/>
        </w:rPr>
      </w:pPr>
      <w:r w:rsidRPr="005D1ABF">
        <w:rPr>
          <w:b/>
          <w:iCs/>
          <w:color w:val="auto"/>
          <w:szCs w:val="24"/>
          <w:u w:val="single"/>
        </w:rPr>
        <w:t xml:space="preserve">Details of </w:t>
      </w:r>
      <w:r w:rsidRPr="00661138">
        <w:rPr>
          <w:b/>
          <w:iCs/>
          <w:color w:val="auto"/>
          <w:szCs w:val="24"/>
          <w:u w:val="single"/>
        </w:rPr>
        <w:t xml:space="preserve">the </w:t>
      </w:r>
      <w:r w:rsidR="00BE2404" w:rsidRPr="00BE2404">
        <w:rPr>
          <w:b/>
          <w:i/>
          <w:color w:val="auto"/>
          <w:szCs w:val="24"/>
          <w:u w:val="single"/>
        </w:rPr>
        <w:t>Illegal Logging Prohibition Amendment (Country Specific Guideline</w:t>
      </w:r>
      <w:r w:rsidR="006B7E05">
        <w:rPr>
          <w:b/>
          <w:i/>
          <w:color w:val="auto"/>
          <w:szCs w:val="24"/>
          <w:u w:val="single"/>
        </w:rPr>
        <w:t>s</w:t>
      </w:r>
      <w:r w:rsidR="00BE2404" w:rsidRPr="00BE2404">
        <w:rPr>
          <w:b/>
          <w:i/>
          <w:color w:val="auto"/>
          <w:szCs w:val="24"/>
          <w:u w:val="single"/>
        </w:rPr>
        <w:t xml:space="preserve">) Regulations </w:t>
      </w:r>
      <w:r w:rsidR="00BE2404" w:rsidRPr="003E3FC6">
        <w:rPr>
          <w:b/>
          <w:i/>
          <w:color w:val="000000" w:themeColor="text1"/>
          <w:szCs w:val="24"/>
          <w:u w:val="single"/>
        </w:rPr>
        <w:t>2020</w:t>
      </w:r>
    </w:p>
    <w:p w14:paraId="589B614D" w14:textId="77777777" w:rsidR="00DF3F6E" w:rsidRPr="005D1ABF" w:rsidRDefault="00DF3F6E" w:rsidP="005D1ABF">
      <w:pPr>
        <w:pStyle w:val="Normal-em"/>
        <w:spacing w:after="0" w:line="240" w:lineRule="auto"/>
        <w:rPr>
          <w:color w:val="auto"/>
          <w:szCs w:val="24"/>
        </w:rPr>
      </w:pPr>
    </w:p>
    <w:p w14:paraId="5BF0BD0F" w14:textId="77777777" w:rsidR="002B1DB3" w:rsidRPr="005D1ABF" w:rsidRDefault="00DF3F6E" w:rsidP="005D1ABF">
      <w:pPr>
        <w:pStyle w:val="Normal-em"/>
        <w:spacing w:after="0" w:line="240" w:lineRule="auto"/>
        <w:ind w:left="1440" w:hanging="1440"/>
        <w:rPr>
          <w:color w:val="auto"/>
          <w:szCs w:val="24"/>
          <w:u w:val="single"/>
        </w:rPr>
      </w:pPr>
      <w:r w:rsidRPr="005D1ABF">
        <w:rPr>
          <w:color w:val="auto"/>
          <w:szCs w:val="24"/>
          <w:u w:val="single"/>
        </w:rPr>
        <w:t>Section 1 – Name</w:t>
      </w:r>
    </w:p>
    <w:p w14:paraId="3D91CC7B" w14:textId="77777777" w:rsidR="002B1DB3" w:rsidRPr="005D1ABF" w:rsidRDefault="002B1DB3" w:rsidP="005D1ABF">
      <w:pPr>
        <w:pStyle w:val="Normal-em"/>
        <w:spacing w:after="0" w:line="240" w:lineRule="auto"/>
        <w:ind w:left="1440" w:hanging="1440"/>
        <w:rPr>
          <w:b/>
          <w:color w:val="auto"/>
          <w:szCs w:val="24"/>
        </w:rPr>
      </w:pPr>
    </w:p>
    <w:p w14:paraId="1D5E50F8" w14:textId="074E80CD" w:rsidR="002B1DB3" w:rsidRPr="005D1ABF" w:rsidRDefault="002B1DB3" w:rsidP="005D1ABF">
      <w:pPr>
        <w:pStyle w:val="Normal-em"/>
        <w:spacing w:after="0" w:line="240" w:lineRule="auto"/>
        <w:rPr>
          <w:i/>
          <w:iCs/>
          <w:color w:val="auto"/>
          <w:szCs w:val="24"/>
        </w:rPr>
      </w:pPr>
      <w:r w:rsidRPr="005D1ABF">
        <w:rPr>
          <w:color w:val="auto"/>
          <w:szCs w:val="24"/>
        </w:rPr>
        <w:t xml:space="preserve">This </w:t>
      </w:r>
      <w:r w:rsidR="00DF3F6E" w:rsidRPr="005D1ABF">
        <w:rPr>
          <w:color w:val="auto"/>
          <w:szCs w:val="24"/>
        </w:rPr>
        <w:t>s</w:t>
      </w:r>
      <w:r w:rsidRPr="005D1ABF">
        <w:rPr>
          <w:color w:val="auto"/>
          <w:szCs w:val="24"/>
        </w:rPr>
        <w:t xml:space="preserve">ection provides </w:t>
      </w:r>
      <w:r w:rsidR="00DF3F6E" w:rsidRPr="005D1ABF">
        <w:rPr>
          <w:color w:val="auto"/>
          <w:szCs w:val="24"/>
        </w:rPr>
        <w:t xml:space="preserve">that the name of the </w:t>
      </w:r>
      <w:r w:rsidR="007C02FF">
        <w:rPr>
          <w:color w:val="auto"/>
          <w:szCs w:val="24"/>
        </w:rPr>
        <w:t xml:space="preserve">Amendment </w:t>
      </w:r>
      <w:r w:rsidR="007E6B30">
        <w:rPr>
          <w:color w:val="auto"/>
          <w:szCs w:val="24"/>
        </w:rPr>
        <w:t>Regulation</w:t>
      </w:r>
      <w:r w:rsidR="007C02FF">
        <w:rPr>
          <w:color w:val="auto"/>
          <w:szCs w:val="24"/>
        </w:rPr>
        <w:t>s</w:t>
      </w:r>
      <w:r w:rsidR="00DF3F6E" w:rsidRPr="00661138">
        <w:rPr>
          <w:color w:val="auto"/>
          <w:szCs w:val="24"/>
        </w:rPr>
        <w:t xml:space="preserve"> is the </w:t>
      </w:r>
      <w:r w:rsidR="00BE2404" w:rsidRPr="00BE2404">
        <w:rPr>
          <w:i/>
          <w:color w:val="auto"/>
          <w:szCs w:val="24"/>
        </w:rPr>
        <w:t>Illegal Logging Prohibition Amendment (Country Specific Guideline</w:t>
      </w:r>
      <w:r w:rsidR="006B7E05">
        <w:rPr>
          <w:i/>
          <w:color w:val="auto"/>
          <w:szCs w:val="24"/>
        </w:rPr>
        <w:t>s</w:t>
      </w:r>
      <w:r w:rsidR="00BE2404" w:rsidRPr="00BE2404">
        <w:rPr>
          <w:i/>
          <w:color w:val="auto"/>
          <w:szCs w:val="24"/>
        </w:rPr>
        <w:t>) Regulations 2020</w:t>
      </w:r>
      <w:r w:rsidRPr="005D1ABF">
        <w:rPr>
          <w:color w:val="auto"/>
          <w:szCs w:val="24"/>
        </w:rPr>
        <w:t>.</w:t>
      </w:r>
    </w:p>
    <w:p w14:paraId="4654FC1B" w14:textId="77777777" w:rsidR="002B1DB3" w:rsidRPr="005D1ABF" w:rsidRDefault="002B1DB3" w:rsidP="005D1ABF">
      <w:pPr>
        <w:pStyle w:val="Normal-em"/>
        <w:spacing w:after="0" w:line="240" w:lineRule="auto"/>
        <w:rPr>
          <w:color w:val="auto"/>
          <w:szCs w:val="24"/>
        </w:rPr>
      </w:pPr>
    </w:p>
    <w:p w14:paraId="4558729F" w14:textId="77777777" w:rsidR="002B1DB3" w:rsidRPr="005D1ABF" w:rsidRDefault="002B1DB3" w:rsidP="005D1ABF">
      <w:pPr>
        <w:pStyle w:val="Normal-em"/>
        <w:spacing w:after="0" w:line="240" w:lineRule="auto"/>
        <w:rPr>
          <w:color w:val="auto"/>
          <w:szCs w:val="24"/>
          <w:u w:val="single"/>
        </w:rPr>
      </w:pPr>
      <w:r w:rsidRPr="005D1ABF">
        <w:rPr>
          <w:color w:val="auto"/>
          <w:szCs w:val="24"/>
          <w:u w:val="single"/>
        </w:rPr>
        <w:t>Section 2 – Commencement</w:t>
      </w:r>
    </w:p>
    <w:p w14:paraId="6D321D4B" w14:textId="77777777" w:rsidR="002B1DB3" w:rsidRPr="005D1ABF" w:rsidRDefault="002B1DB3" w:rsidP="005D1ABF">
      <w:pPr>
        <w:pStyle w:val="Normal-em"/>
        <w:spacing w:after="0" w:line="240" w:lineRule="auto"/>
        <w:rPr>
          <w:color w:val="auto"/>
          <w:szCs w:val="24"/>
        </w:rPr>
      </w:pPr>
    </w:p>
    <w:p w14:paraId="369AB6CA" w14:textId="69AFFF94" w:rsidR="002B1DB3" w:rsidRPr="00661138" w:rsidRDefault="00DF3F6E" w:rsidP="005D1ABF">
      <w:pPr>
        <w:pStyle w:val="Normal-em"/>
        <w:spacing w:after="0" w:line="240" w:lineRule="auto"/>
        <w:rPr>
          <w:color w:val="auto"/>
          <w:szCs w:val="24"/>
          <w:highlight w:val="yellow"/>
        </w:rPr>
      </w:pPr>
      <w:r w:rsidRPr="005D1ABF">
        <w:rPr>
          <w:color w:val="auto"/>
          <w:szCs w:val="24"/>
        </w:rPr>
        <w:t>This s</w:t>
      </w:r>
      <w:r w:rsidR="002B1DB3" w:rsidRPr="005D1ABF">
        <w:rPr>
          <w:color w:val="auto"/>
          <w:szCs w:val="24"/>
        </w:rPr>
        <w:t xml:space="preserve">ection provides </w:t>
      </w:r>
      <w:r w:rsidRPr="005D1ABF">
        <w:rPr>
          <w:color w:val="auto"/>
          <w:szCs w:val="24"/>
        </w:rPr>
        <w:t xml:space="preserve">for the </w:t>
      </w:r>
      <w:r w:rsidR="007C02FF">
        <w:rPr>
          <w:color w:val="auto"/>
          <w:szCs w:val="24"/>
        </w:rPr>
        <w:t xml:space="preserve">Amendment </w:t>
      </w:r>
      <w:r w:rsidR="007E6B30">
        <w:rPr>
          <w:color w:val="auto"/>
          <w:szCs w:val="24"/>
        </w:rPr>
        <w:t>Regulation</w:t>
      </w:r>
      <w:r w:rsidR="007C02FF">
        <w:rPr>
          <w:color w:val="auto"/>
          <w:szCs w:val="24"/>
        </w:rPr>
        <w:t>s</w:t>
      </w:r>
      <w:r w:rsidRPr="00661138">
        <w:rPr>
          <w:color w:val="auto"/>
          <w:szCs w:val="24"/>
        </w:rPr>
        <w:t xml:space="preserve"> to commence on </w:t>
      </w:r>
      <w:r w:rsidR="00661138" w:rsidRPr="00661138">
        <w:rPr>
          <w:color w:val="auto"/>
          <w:szCs w:val="24"/>
        </w:rPr>
        <w:t>the day after the</w:t>
      </w:r>
      <w:r w:rsidR="00D80F37">
        <w:rPr>
          <w:color w:val="auto"/>
          <w:szCs w:val="24"/>
        </w:rPr>
        <w:t xml:space="preserve"> instrument</w:t>
      </w:r>
      <w:r w:rsidR="00661138" w:rsidRPr="00661138">
        <w:rPr>
          <w:color w:val="auto"/>
          <w:szCs w:val="24"/>
        </w:rPr>
        <w:t xml:space="preserve"> is registered</w:t>
      </w:r>
      <w:r w:rsidR="002B1DB3" w:rsidRPr="00661138">
        <w:rPr>
          <w:color w:val="auto"/>
          <w:szCs w:val="24"/>
        </w:rPr>
        <w:t>.</w:t>
      </w:r>
    </w:p>
    <w:p w14:paraId="686336A0" w14:textId="77777777" w:rsidR="002B1DB3" w:rsidRPr="005D1ABF" w:rsidRDefault="002B1DB3" w:rsidP="005D1ABF">
      <w:pPr>
        <w:pStyle w:val="Normal-em"/>
        <w:spacing w:after="0" w:line="240" w:lineRule="auto"/>
        <w:rPr>
          <w:color w:val="auto"/>
          <w:szCs w:val="24"/>
        </w:rPr>
      </w:pPr>
    </w:p>
    <w:p w14:paraId="413390C3" w14:textId="77777777" w:rsidR="002B1DB3" w:rsidRPr="005D1ABF" w:rsidRDefault="002B1DB3" w:rsidP="005D1ABF">
      <w:pPr>
        <w:pStyle w:val="Normal-em"/>
        <w:spacing w:after="0" w:line="240" w:lineRule="auto"/>
        <w:ind w:left="1440" w:hanging="1440"/>
        <w:rPr>
          <w:color w:val="auto"/>
          <w:szCs w:val="24"/>
          <w:u w:val="single"/>
        </w:rPr>
      </w:pPr>
      <w:r w:rsidRPr="005D1ABF">
        <w:rPr>
          <w:color w:val="auto"/>
          <w:szCs w:val="24"/>
          <w:u w:val="single"/>
        </w:rPr>
        <w:t xml:space="preserve">Section 3 – </w:t>
      </w:r>
      <w:r w:rsidR="00DF3F6E" w:rsidRPr="005D1ABF">
        <w:rPr>
          <w:color w:val="auto"/>
          <w:szCs w:val="24"/>
          <w:u w:val="single"/>
        </w:rPr>
        <w:t xml:space="preserve">Authority </w:t>
      </w:r>
    </w:p>
    <w:p w14:paraId="72454D3F" w14:textId="77777777" w:rsidR="002B1DB3" w:rsidRPr="005D1ABF" w:rsidRDefault="002B1DB3" w:rsidP="005D1ABF">
      <w:pPr>
        <w:pStyle w:val="Normal-em"/>
        <w:spacing w:after="0" w:line="240" w:lineRule="auto"/>
        <w:rPr>
          <w:color w:val="auto"/>
          <w:szCs w:val="24"/>
        </w:rPr>
      </w:pPr>
    </w:p>
    <w:p w14:paraId="67B163DE" w14:textId="0B5F5661" w:rsidR="002B1DB3" w:rsidRPr="005D1ABF" w:rsidRDefault="00DF3F6E" w:rsidP="005D1ABF">
      <w:pPr>
        <w:pStyle w:val="Normal-em"/>
        <w:spacing w:after="0" w:line="240" w:lineRule="auto"/>
        <w:rPr>
          <w:iCs/>
          <w:color w:val="auto"/>
          <w:szCs w:val="24"/>
        </w:rPr>
      </w:pPr>
      <w:r w:rsidRPr="005D1ABF">
        <w:rPr>
          <w:color w:val="auto"/>
          <w:szCs w:val="24"/>
        </w:rPr>
        <w:t>This s</w:t>
      </w:r>
      <w:r w:rsidR="002B1DB3" w:rsidRPr="005D1ABF">
        <w:rPr>
          <w:color w:val="auto"/>
          <w:szCs w:val="24"/>
        </w:rPr>
        <w:t xml:space="preserve">ection provides </w:t>
      </w:r>
      <w:r w:rsidRPr="003E3FC6">
        <w:rPr>
          <w:color w:val="000000" w:themeColor="text1"/>
          <w:szCs w:val="24"/>
        </w:rPr>
        <w:t xml:space="preserve">that the </w:t>
      </w:r>
      <w:r w:rsidR="009855AF" w:rsidRPr="003E3FC6">
        <w:rPr>
          <w:color w:val="000000" w:themeColor="text1"/>
          <w:szCs w:val="24"/>
        </w:rPr>
        <w:t xml:space="preserve">Amendment </w:t>
      </w:r>
      <w:r w:rsidR="007E6B30" w:rsidRPr="003E3FC6">
        <w:rPr>
          <w:color w:val="000000" w:themeColor="text1"/>
          <w:szCs w:val="24"/>
        </w:rPr>
        <w:t>Regulation</w:t>
      </w:r>
      <w:r w:rsidR="009855AF" w:rsidRPr="003E3FC6">
        <w:rPr>
          <w:color w:val="000000" w:themeColor="text1"/>
          <w:szCs w:val="24"/>
        </w:rPr>
        <w:t>s</w:t>
      </w:r>
      <w:r w:rsidRPr="003E3FC6">
        <w:rPr>
          <w:color w:val="000000" w:themeColor="text1"/>
          <w:szCs w:val="24"/>
        </w:rPr>
        <w:t xml:space="preserve"> </w:t>
      </w:r>
      <w:r w:rsidR="006B7E05">
        <w:rPr>
          <w:color w:val="000000" w:themeColor="text1"/>
          <w:szCs w:val="24"/>
        </w:rPr>
        <w:t xml:space="preserve">are </w:t>
      </w:r>
      <w:r w:rsidRPr="003E3FC6">
        <w:rPr>
          <w:color w:val="000000" w:themeColor="text1"/>
          <w:szCs w:val="24"/>
        </w:rPr>
        <w:t xml:space="preserve">made under the </w:t>
      </w:r>
      <w:r w:rsidR="00661138" w:rsidRPr="003E3FC6">
        <w:rPr>
          <w:i/>
          <w:color w:val="000000" w:themeColor="text1"/>
          <w:szCs w:val="24"/>
        </w:rPr>
        <w:t xml:space="preserve">Illegal Logging Prohibition </w:t>
      </w:r>
      <w:r w:rsidR="007C02FF" w:rsidRPr="003E3FC6">
        <w:rPr>
          <w:i/>
          <w:color w:val="000000" w:themeColor="text1"/>
          <w:szCs w:val="24"/>
        </w:rPr>
        <w:t>Act 2012</w:t>
      </w:r>
      <w:r w:rsidR="002B1DB3" w:rsidRPr="003E3FC6">
        <w:rPr>
          <w:color w:val="000000" w:themeColor="text1"/>
          <w:szCs w:val="24"/>
        </w:rPr>
        <w:t>.</w:t>
      </w:r>
    </w:p>
    <w:p w14:paraId="1B5130C4" w14:textId="77777777" w:rsidR="002B1DB3" w:rsidRPr="005D1ABF" w:rsidRDefault="002B1DB3" w:rsidP="005D1ABF">
      <w:pPr>
        <w:pStyle w:val="Normal-em"/>
        <w:spacing w:after="0" w:line="240" w:lineRule="auto"/>
        <w:rPr>
          <w:iCs/>
          <w:color w:val="auto"/>
          <w:szCs w:val="24"/>
        </w:rPr>
      </w:pPr>
    </w:p>
    <w:p w14:paraId="14C87F03" w14:textId="77777777" w:rsidR="00DF3F6E" w:rsidRPr="005D1ABF" w:rsidRDefault="00DF3F6E" w:rsidP="005D1ABF">
      <w:pPr>
        <w:pStyle w:val="Normal-em"/>
        <w:spacing w:after="0" w:line="240" w:lineRule="auto"/>
        <w:rPr>
          <w:color w:val="auto"/>
          <w:szCs w:val="24"/>
          <w:u w:val="single"/>
        </w:rPr>
      </w:pPr>
      <w:r w:rsidRPr="005D1ABF">
        <w:rPr>
          <w:color w:val="auto"/>
          <w:szCs w:val="24"/>
          <w:u w:val="single"/>
        </w:rPr>
        <w:t>Section 4 – Schedules</w:t>
      </w:r>
    </w:p>
    <w:p w14:paraId="6ABD4538" w14:textId="77777777" w:rsidR="00DF3F6E" w:rsidRPr="005D1ABF" w:rsidRDefault="00DF3F6E" w:rsidP="005D1ABF">
      <w:pPr>
        <w:pStyle w:val="Normal-em"/>
        <w:spacing w:after="0" w:line="240" w:lineRule="auto"/>
        <w:rPr>
          <w:color w:val="auto"/>
          <w:szCs w:val="24"/>
        </w:rPr>
      </w:pPr>
    </w:p>
    <w:p w14:paraId="7A1558D8" w14:textId="1455C479" w:rsidR="00DF3F6E" w:rsidRPr="005D1ABF" w:rsidRDefault="006B7E05" w:rsidP="005D1ABF">
      <w:pPr>
        <w:pStyle w:val="Normal-em"/>
        <w:spacing w:after="0" w:line="240" w:lineRule="auto"/>
        <w:rPr>
          <w:color w:val="auto"/>
          <w:szCs w:val="24"/>
        </w:rPr>
      </w:pPr>
      <w:r>
        <w:rPr>
          <w:color w:val="auto"/>
          <w:szCs w:val="24"/>
        </w:rPr>
        <w:t>The effect of this section is</w:t>
      </w:r>
      <w:r w:rsidR="00DF3F6E" w:rsidRPr="005D1ABF">
        <w:rPr>
          <w:color w:val="auto"/>
          <w:szCs w:val="24"/>
        </w:rPr>
        <w:t xml:space="preserve"> that the </w:t>
      </w:r>
      <w:r w:rsidR="007C02FF">
        <w:rPr>
          <w:i/>
          <w:color w:val="auto"/>
          <w:szCs w:val="24"/>
        </w:rPr>
        <w:t xml:space="preserve">Illegal Logging Prohibition </w:t>
      </w:r>
      <w:r w:rsidR="007E6B30" w:rsidRPr="007C02FF">
        <w:rPr>
          <w:i/>
          <w:color w:val="auto"/>
          <w:szCs w:val="24"/>
        </w:rPr>
        <w:t>Regulation</w:t>
      </w:r>
      <w:r w:rsidR="007C02FF">
        <w:rPr>
          <w:color w:val="auto"/>
          <w:szCs w:val="24"/>
        </w:rPr>
        <w:t xml:space="preserve"> </w:t>
      </w:r>
      <w:r w:rsidR="007C02FF">
        <w:rPr>
          <w:i/>
          <w:color w:val="auto"/>
          <w:szCs w:val="24"/>
        </w:rPr>
        <w:t xml:space="preserve">2012 </w:t>
      </w:r>
      <w:r w:rsidR="007C02FF">
        <w:rPr>
          <w:color w:val="auto"/>
          <w:szCs w:val="24"/>
        </w:rPr>
        <w:t xml:space="preserve">(the </w:t>
      </w:r>
      <w:r>
        <w:rPr>
          <w:color w:val="auto"/>
          <w:szCs w:val="24"/>
        </w:rPr>
        <w:t>P</w:t>
      </w:r>
      <w:r w:rsidR="007C02FF">
        <w:rPr>
          <w:color w:val="auto"/>
          <w:szCs w:val="24"/>
        </w:rPr>
        <w:t>rincipal Regulation)</w:t>
      </w:r>
      <w:r w:rsidR="00DF3F6E" w:rsidRPr="007E6B30">
        <w:rPr>
          <w:color w:val="auto"/>
          <w:szCs w:val="24"/>
        </w:rPr>
        <w:t xml:space="preserve"> </w:t>
      </w:r>
      <w:r w:rsidR="00DF3F6E" w:rsidRPr="005D1ABF">
        <w:rPr>
          <w:color w:val="auto"/>
          <w:szCs w:val="24"/>
        </w:rPr>
        <w:t>is amended as set out in</w:t>
      </w:r>
      <w:r w:rsidR="007C02FF">
        <w:rPr>
          <w:color w:val="auto"/>
          <w:szCs w:val="24"/>
        </w:rPr>
        <w:t xml:space="preserve"> Schedule 1</w:t>
      </w:r>
      <w:r w:rsidR="00DF3F6E" w:rsidRPr="005D1ABF">
        <w:rPr>
          <w:color w:val="auto"/>
          <w:szCs w:val="24"/>
        </w:rPr>
        <w:t>.</w:t>
      </w:r>
    </w:p>
    <w:p w14:paraId="1FFE5F11" w14:textId="77777777" w:rsidR="00DF3F6E" w:rsidRPr="005D1ABF" w:rsidRDefault="00DF3F6E" w:rsidP="005D1ABF">
      <w:pPr>
        <w:pStyle w:val="Normal-em"/>
        <w:spacing w:after="0" w:line="240" w:lineRule="auto"/>
        <w:rPr>
          <w:color w:val="auto"/>
          <w:szCs w:val="24"/>
          <w:u w:val="single"/>
        </w:rPr>
      </w:pPr>
    </w:p>
    <w:p w14:paraId="7C91C7BE" w14:textId="77777777" w:rsidR="002B1DB3" w:rsidRPr="00AD1E11" w:rsidRDefault="002B1DB3" w:rsidP="005D1ABF">
      <w:pPr>
        <w:pStyle w:val="Normal-em"/>
        <w:spacing w:after="0" w:line="240" w:lineRule="auto"/>
        <w:rPr>
          <w:b/>
          <w:bCs/>
          <w:color w:val="auto"/>
          <w:sz w:val="28"/>
          <w:szCs w:val="28"/>
        </w:rPr>
      </w:pPr>
      <w:r w:rsidRPr="00AD1E11">
        <w:rPr>
          <w:b/>
          <w:bCs/>
          <w:color w:val="auto"/>
          <w:sz w:val="28"/>
          <w:szCs w:val="28"/>
        </w:rPr>
        <w:t>Schedule 1 – Amendments</w:t>
      </w:r>
    </w:p>
    <w:p w14:paraId="7FA8C98B" w14:textId="77777777" w:rsidR="002B1DB3" w:rsidRPr="005D1ABF" w:rsidRDefault="002B1DB3" w:rsidP="005D1ABF">
      <w:pPr>
        <w:pStyle w:val="Normal-em"/>
        <w:spacing w:after="0" w:line="240" w:lineRule="auto"/>
        <w:rPr>
          <w:iCs/>
          <w:color w:val="auto"/>
          <w:szCs w:val="24"/>
        </w:rPr>
      </w:pPr>
    </w:p>
    <w:p w14:paraId="29D75F4C" w14:textId="7D530562" w:rsidR="006B7E05" w:rsidRDefault="002B1DB3" w:rsidP="00680272">
      <w:pPr>
        <w:pStyle w:val="Normal-em"/>
        <w:spacing w:after="0" w:line="240" w:lineRule="auto"/>
        <w:rPr>
          <w:szCs w:val="24"/>
        </w:rPr>
      </w:pPr>
      <w:r w:rsidRPr="00680272">
        <w:rPr>
          <w:b/>
          <w:szCs w:val="24"/>
        </w:rPr>
        <w:t>Item 1</w:t>
      </w:r>
      <w:r w:rsidRPr="00680272">
        <w:rPr>
          <w:szCs w:val="24"/>
        </w:rPr>
        <w:t xml:space="preserve"> </w:t>
      </w:r>
      <w:r w:rsidR="006B7E05" w:rsidRPr="00AD1E11">
        <w:rPr>
          <w:b/>
          <w:bCs/>
          <w:szCs w:val="24"/>
        </w:rPr>
        <w:t>– Clause 2 of Schedule 2 (after table item 1)</w:t>
      </w:r>
    </w:p>
    <w:p w14:paraId="47CF521B" w14:textId="77777777" w:rsidR="006B7E05" w:rsidRDefault="006B7E05" w:rsidP="00680272">
      <w:pPr>
        <w:pStyle w:val="Normal-em"/>
        <w:spacing w:after="0" w:line="240" w:lineRule="auto"/>
        <w:rPr>
          <w:szCs w:val="24"/>
        </w:rPr>
      </w:pPr>
    </w:p>
    <w:p w14:paraId="1898DABA" w14:textId="11525276" w:rsidR="00680272" w:rsidRPr="002304D2" w:rsidRDefault="006B7E05" w:rsidP="00680272">
      <w:pPr>
        <w:pStyle w:val="Normal-em"/>
        <w:spacing w:after="0" w:line="240" w:lineRule="auto"/>
        <w:rPr>
          <w:szCs w:val="24"/>
        </w:rPr>
      </w:pPr>
      <w:r>
        <w:rPr>
          <w:szCs w:val="24"/>
        </w:rPr>
        <w:t xml:space="preserve">This item </w:t>
      </w:r>
      <w:r w:rsidR="00680272" w:rsidRPr="00680272">
        <w:rPr>
          <w:szCs w:val="24"/>
        </w:rPr>
        <w:t>inserts</w:t>
      </w:r>
      <w:r w:rsidR="00680272">
        <w:rPr>
          <w:iCs/>
          <w:color w:val="auto"/>
          <w:szCs w:val="24"/>
        </w:rPr>
        <w:t xml:space="preserve"> a new table</w:t>
      </w:r>
      <w:r w:rsidR="00680272" w:rsidRPr="005B0F09">
        <w:rPr>
          <w:iCs/>
          <w:color w:val="auto"/>
          <w:szCs w:val="24"/>
        </w:rPr>
        <w:t xml:space="preserve"> item </w:t>
      </w:r>
      <w:r w:rsidR="00680272">
        <w:rPr>
          <w:iCs/>
          <w:color w:val="auto"/>
          <w:szCs w:val="24"/>
        </w:rPr>
        <w:t>1A</w:t>
      </w:r>
      <w:r w:rsidR="00680272" w:rsidRPr="005B0F09">
        <w:rPr>
          <w:iCs/>
          <w:color w:val="auto"/>
          <w:szCs w:val="24"/>
        </w:rPr>
        <w:t xml:space="preserve"> in </w:t>
      </w:r>
      <w:r w:rsidR="00680272">
        <w:rPr>
          <w:iCs/>
          <w:color w:val="auto"/>
          <w:szCs w:val="24"/>
        </w:rPr>
        <w:t>clause</w:t>
      </w:r>
      <w:r w:rsidR="00680272" w:rsidRPr="005B0F09">
        <w:rPr>
          <w:iCs/>
          <w:color w:val="auto"/>
          <w:szCs w:val="24"/>
        </w:rPr>
        <w:t xml:space="preserve"> 2 of Schedule 2 </w:t>
      </w:r>
      <w:r w:rsidR="00680272">
        <w:rPr>
          <w:iCs/>
          <w:color w:val="auto"/>
          <w:szCs w:val="24"/>
        </w:rPr>
        <w:t>to</w:t>
      </w:r>
      <w:r w:rsidR="00680272" w:rsidRPr="005B0F09">
        <w:rPr>
          <w:iCs/>
          <w:color w:val="auto"/>
          <w:szCs w:val="24"/>
        </w:rPr>
        <w:t xml:space="preserve"> the </w:t>
      </w:r>
      <w:r w:rsidR="00BB0E52">
        <w:rPr>
          <w:iCs/>
          <w:color w:val="auto"/>
          <w:szCs w:val="24"/>
        </w:rPr>
        <w:t>Principal</w:t>
      </w:r>
      <w:r w:rsidR="00AC197B">
        <w:rPr>
          <w:iCs/>
          <w:color w:val="auto"/>
          <w:szCs w:val="24"/>
        </w:rPr>
        <w:t xml:space="preserve"> </w:t>
      </w:r>
      <w:r w:rsidR="00680272" w:rsidRPr="005B0F09">
        <w:rPr>
          <w:iCs/>
          <w:color w:val="auto"/>
          <w:szCs w:val="24"/>
        </w:rPr>
        <w:t>Regulation</w:t>
      </w:r>
      <w:r w:rsidR="00680272">
        <w:rPr>
          <w:iCs/>
          <w:color w:val="auto"/>
          <w:szCs w:val="24"/>
        </w:rPr>
        <w:t xml:space="preserve">, to list the </w:t>
      </w:r>
      <w:r w:rsidR="00680272" w:rsidRPr="005B0F09">
        <w:t>Country specific</w:t>
      </w:r>
      <w:r w:rsidR="00680272" w:rsidRPr="00B10C8F">
        <w:t xml:space="preserve"> </w:t>
      </w:r>
      <w:r w:rsidR="00680272">
        <w:t>g</w:t>
      </w:r>
      <w:r w:rsidR="00680272" w:rsidRPr="00B10C8F">
        <w:t xml:space="preserve">uideline for </w:t>
      </w:r>
      <w:r w:rsidR="00680272">
        <w:t>Chile</w:t>
      </w:r>
      <w:r w:rsidR="00680272" w:rsidRPr="00B10C8F">
        <w:t xml:space="preserve">, </w:t>
      </w:r>
      <w:r w:rsidR="00680272">
        <w:t xml:space="preserve">which was </w:t>
      </w:r>
      <w:r w:rsidR="00680272" w:rsidRPr="00B10C8F">
        <w:t xml:space="preserve">co-endorsed by the Government of Australia and the Government of </w:t>
      </w:r>
      <w:r w:rsidR="00680272">
        <w:t xml:space="preserve">Chile </w:t>
      </w:r>
      <w:r w:rsidR="00680272" w:rsidRPr="00B10C8F">
        <w:t xml:space="preserve">on </w:t>
      </w:r>
      <w:r w:rsidR="00680272">
        <w:t>19</w:t>
      </w:r>
      <w:r w:rsidR="00680272" w:rsidRPr="00B10C8F">
        <w:t xml:space="preserve"> </w:t>
      </w:r>
      <w:r w:rsidR="00680272">
        <w:t>February 2020.</w:t>
      </w:r>
    </w:p>
    <w:p w14:paraId="4E53C65E" w14:textId="77777777" w:rsidR="00680272" w:rsidRDefault="00680272" w:rsidP="00680272">
      <w:pPr>
        <w:pStyle w:val="Normal-em"/>
        <w:spacing w:after="0" w:line="240" w:lineRule="auto"/>
      </w:pPr>
    </w:p>
    <w:p w14:paraId="19D78F6C" w14:textId="1347EDA6" w:rsidR="00680272" w:rsidRPr="00680272" w:rsidRDefault="00680272" w:rsidP="00680272">
      <w:pPr>
        <w:pStyle w:val="Normal-em"/>
        <w:spacing w:after="0" w:line="240" w:lineRule="auto"/>
        <w:rPr>
          <w:iCs/>
          <w:color w:val="auto"/>
          <w:szCs w:val="24"/>
        </w:rPr>
      </w:pPr>
      <w:r>
        <w:t>The new country specific guideline for Chile provides guidance material for importers when gathering information to meet t</w:t>
      </w:r>
      <w:r w:rsidR="00203456">
        <w:t>heir due diligence requirements</w:t>
      </w:r>
      <w:r>
        <w:t xml:space="preserve"> in section 10 of the </w:t>
      </w:r>
      <w:r w:rsidR="001C227E">
        <w:t>P</w:t>
      </w:r>
      <w:r>
        <w:t>rincipal Regulation</w:t>
      </w:r>
      <w:r w:rsidR="002D1FDB">
        <w:t xml:space="preserve"> to reduce the risk that imported regulated timber products from Chile are, are made from, or include, illegally logged timber</w:t>
      </w:r>
      <w:r>
        <w:t>. Importers may elect to use the country specific guideline optional process under section 12 of the principal Regulation</w:t>
      </w:r>
      <w:r w:rsidR="002D1FDB">
        <w:t xml:space="preserve"> to conduct due diligence</w:t>
      </w:r>
      <w:r>
        <w:t>, if the country specific guideline for Chile applies to the timber in the product, or the area in which the timber is harvested.</w:t>
      </w:r>
    </w:p>
    <w:p w14:paraId="6692691E" w14:textId="77777777" w:rsidR="00680272" w:rsidRDefault="00680272" w:rsidP="005D1ABF">
      <w:pPr>
        <w:pStyle w:val="Normal-em"/>
        <w:spacing w:after="0" w:line="240" w:lineRule="auto"/>
        <w:rPr>
          <w:color w:val="auto"/>
          <w:szCs w:val="24"/>
          <w:highlight w:val="yellow"/>
        </w:rPr>
      </w:pPr>
    </w:p>
    <w:p w14:paraId="18E493B8" w14:textId="467ADA19" w:rsidR="00680272" w:rsidRPr="00680272" w:rsidRDefault="00680272" w:rsidP="00680272">
      <w:pPr>
        <w:pStyle w:val="Normal-em"/>
        <w:spacing w:after="0" w:line="240" w:lineRule="auto"/>
        <w:rPr>
          <w:iCs/>
          <w:color w:val="auto"/>
          <w:szCs w:val="24"/>
        </w:rPr>
      </w:pPr>
      <w:r w:rsidRPr="00680272">
        <w:rPr>
          <w:iCs/>
          <w:color w:val="auto"/>
          <w:szCs w:val="24"/>
        </w:rPr>
        <w:t>The</w:t>
      </w:r>
      <w:r w:rsidR="00BB0E52">
        <w:rPr>
          <w:iCs/>
          <w:color w:val="auto"/>
          <w:szCs w:val="24"/>
        </w:rPr>
        <w:t xml:space="preserve"> version of the</w:t>
      </w:r>
      <w:r w:rsidRPr="00680272">
        <w:rPr>
          <w:iCs/>
          <w:color w:val="auto"/>
          <w:szCs w:val="24"/>
        </w:rPr>
        <w:t xml:space="preserve"> country specific guideline for Chile</w:t>
      </w:r>
      <w:r w:rsidR="00BB0E52">
        <w:rPr>
          <w:iCs/>
          <w:color w:val="auto"/>
          <w:szCs w:val="24"/>
        </w:rPr>
        <w:t xml:space="preserve"> that</w:t>
      </w:r>
      <w:r>
        <w:rPr>
          <w:iCs/>
          <w:color w:val="auto"/>
          <w:szCs w:val="24"/>
        </w:rPr>
        <w:t xml:space="preserve"> </w:t>
      </w:r>
      <w:r w:rsidR="009D5C4E">
        <w:rPr>
          <w:iCs/>
          <w:color w:val="auto"/>
          <w:szCs w:val="24"/>
        </w:rPr>
        <w:t>is incorporated by reference</w:t>
      </w:r>
      <w:r w:rsidR="00BB0E52">
        <w:rPr>
          <w:iCs/>
          <w:color w:val="auto"/>
          <w:szCs w:val="24"/>
        </w:rPr>
        <w:t xml:space="preserve"> is</w:t>
      </w:r>
      <w:r w:rsidRPr="00680272">
        <w:rPr>
          <w:iCs/>
          <w:color w:val="auto"/>
          <w:szCs w:val="24"/>
        </w:rPr>
        <w:t xml:space="preserve"> the version o</w:t>
      </w:r>
      <w:r w:rsidR="009D5C4E">
        <w:rPr>
          <w:iCs/>
          <w:color w:val="auto"/>
          <w:szCs w:val="24"/>
        </w:rPr>
        <w:t>f that document as</w:t>
      </w:r>
      <w:r w:rsidR="00BB0E52">
        <w:rPr>
          <w:iCs/>
          <w:color w:val="auto"/>
          <w:szCs w:val="24"/>
        </w:rPr>
        <w:t xml:space="preserve"> at</w:t>
      </w:r>
      <w:r w:rsidR="00DB65DE">
        <w:rPr>
          <w:iCs/>
          <w:color w:val="auto"/>
          <w:szCs w:val="24"/>
        </w:rPr>
        <w:t xml:space="preserve"> </w:t>
      </w:r>
      <w:r w:rsidRPr="00680272">
        <w:rPr>
          <w:iCs/>
          <w:color w:val="auto"/>
          <w:szCs w:val="24"/>
        </w:rPr>
        <w:t>19 February 2020.</w:t>
      </w:r>
    </w:p>
    <w:p w14:paraId="1403BAA9" w14:textId="77777777" w:rsidR="00680272" w:rsidRPr="001A3865" w:rsidRDefault="00680272" w:rsidP="00680272">
      <w:pPr>
        <w:pStyle w:val="Normal-em"/>
        <w:spacing w:after="0" w:line="240" w:lineRule="auto"/>
        <w:rPr>
          <w:iCs/>
          <w:color w:val="auto"/>
          <w:szCs w:val="24"/>
          <w:highlight w:val="yellow"/>
        </w:rPr>
      </w:pPr>
    </w:p>
    <w:p w14:paraId="6E1C9D70" w14:textId="46A08678" w:rsidR="00680272" w:rsidRPr="00680272" w:rsidRDefault="00680272" w:rsidP="00680272">
      <w:pPr>
        <w:pStyle w:val="Normal-em"/>
        <w:spacing w:after="0" w:line="240" w:lineRule="auto"/>
        <w:rPr>
          <w:iCs/>
          <w:color w:val="auto"/>
          <w:szCs w:val="24"/>
        </w:rPr>
      </w:pPr>
      <w:r w:rsidRPr="00680272">
        <w:rPr>
          <w:iCs/>
          <w:color w:val="auto"/>
          <w:szCs w:val="24"/>
        </w:rPr>
        <w:t xml:space="preserve">The country specific guideline for Chile is freely available at: </w:t>
      </w:r>
      <w:hyperlink r:id="rId8" w:anchor="country-specific-guidelines" w:history="1">
        <w:r w:rsidR="002304D2" w:rsidRPr="00C97234">
          <w:rPr>
            <w:rStyle w:val="Hyperlink"/>
            <w:iCs/>
            <w:szCs w:val="24"/>
          </w:rPr>
          <w:t>https://www.agriculture.gov.au/forestry/policies/illegal-logging/importers/resources#country-specific-guidelines</w:t>
        </w:r>
      </w:hyperlink>
      <w:r w:rsidR="002304D2">
        <w:rPr>
          <w:iCs/>
          <w:color w:val="auto"/>
          <w:szCs w:val="24"/>
        </w:rPr>
        <w:t xml:space="preserve"> </w:t>
      </w:r>
    </w:p>
    <w:p w14:paraId="2D35A9C0" w14:textId="77777777" w:rsidR="002B1DB3" w:rsidRDefault="002B1DB3" w:rsidP="005D1ABF">
      <w:pPr>
        <w:spacing w:after="0" w:line="240" w:lineRule="auto"/>
        <w:rPr>
          <w:rFonts w:ascii="Times New Roman" w:hAnsi="Times New Roman" w:cs="Times New Roman"/>
          <w:sz w:val="24"/>
          <w:szCs w:val="24"/>
          <w:highlight w:val="yellow"/>
        </w:rPr>
      </w:pPr>
    </w:p>
    <w:p w14:paraId="319070F6" w14:textId="77777777" w:rsidR="00CE50EA" w:rsidRPr="00831DF3" w:rsidRDefault="00CE50EA" w:rsidP="005D1ABF">
      <w:pPr>
        <w:spacing w:after="0" w:line="240" w:lineRule="auto"/>
        <w:rPr>
          <w:rFonts w:ascii="Times New Roman" w:hAnsi="Times New Roman" w:cs="Times New Roman"/>
          <w:sz w:val="24"/>
          <w:szCs w:val="24"/>
          <w:highlight w:val="yellow"/>
        </w:rPr>
      </w:pPr>
    </w:p>
    <w:p w14:paraId="7D7E6049" w14:textId="4BE4D442" w:rsidR="006B7E05" w:rsidRDefault="002B1DB3" w:rsidP="005D1ABF">
      <w:pPr>
        <w:pStyle w:val="Normal-em"/>
        <w:spacing w:after="0" w:line="240" w:lineRule="auto"/>
        <w:rPr>
          <w:b/>
          <w:szCs w:val="24"/>
        </w:rPr>
      </w:pPr>
      <w:r w:rsidRPr="002304D2">
        <w:rPr>
          <w:b/>
          <w:szCs w:val="24"/>
        </w:rPr>
        <w:lastRenderedPageBreak/>
        <w:t xml:space="preserve">Item 2 </w:t>
      </w:r>
      <w:r w:rsidR="006B7E05">
        <w:rPr>
          <w:b/>
          <w:szCs w:val="24"/>
        </w:rPr>
        <w:t>– Clause 2</w:t>
      </w:r>
      <w:r w:rsidR="00972310">
        <w:rPr>
          <w:b/>
          <w:szCs w:val="24"/>
        </w:rPr>
        <w:t xml:space="preserve"> of Sch</w:t>
      </w:r>
      <w:r w:rsidR="001C227E">
        <w:rPr>
          <w:b/>
          <w:szCs w:val="24"/>
        </w:rPr>
        <w:t>e</w:t>
      </w:r>
      <w:r w:rsidR="00972310">
        <w:rPr>
          <w:b/>
          <w:szCs w:val="24"/>
        </w:rPr>
        <w:t>dule 2 (table item 2)</w:t>
      </w:r>
    </w:p>
    <w:p w14:paraId="737D7301" w14:textId="77777777" w:rsidR="006B7E05" w:rsidRDefault="006B7E05" w:rsidP="005D1ABF">
      <w:pPr>
        <w:pStyle w:val="Normal-em"/>
        <w:spacing w:after="0" w:line="240" w:lineRule="auto"/>
        <w:rPr>
          <w:b/>
          <w:szCs w:val="24"/>
        </w:rPr>
      </w:pPr>
    </w:p>
    <w:p w14:paraId="0DFDD59D" w14:textId="720DBD6E" w:rsidR="00680272" w:rsidRPr="002304D2" w:rsidRDefault="006B7E05" w:rsidP="005D1ABF">
      <w:pPr>
        <w:pStyle w:val="Normal-em"/>
        <w:spacing w:after="0" w:line="240" w:lineRule="auto"/>
        <w:rPr>
          <w:b/>
          <w:szCs w:val="24"/>
        </w:rPr>
      </w:pPr>
      <w:r>
        <w:rPr>
          <w:bCs/>
          <w:szCs w:val="24"/>
        </w:rPr>
        <w:t xml:space="preserve">This item </w:t>
      </w:r>
      <w:r w:rsidR="00680272" w:rsidRPr="002304D2">
        <w:rPr>
          <w:iCs/>
          <w:color w:val="auto"/>
          <w:szCs w:val="24"/>
        </w:rPr>
        <w:t>repeals the existing date of co-endorsement</w:t>
      </w:r>
      <w:r w:rsidR="00AC197B">
        <w:rPr>
          <w:iCs/>
          <w:color w:val="auto"/>
          <w:szCs w:val="24"/>
        </w:rPr>
        <w:t xml:space="preserve"> of the country specific guideline for Finland</w:t>
      </w:r>
      <w:r w:rsidR="00680272" w:rsidRPr="002304D2">
        <w:rPr>
          <w:iCs/>
          <w:color w:val="auto"/>
          <w:szCs w:val="24"/>
        </w:rPr>
        <w:t xml:space="preserve"> in table item 2 in clause 2 of Schedule 2 to the </w:t>
      </w:r>
      <w:r w:rsidR="00AC197B">
        <w:rPr>
          <w:iCs/>
          <w:color w:val="auto"/>
          <w:szCs w:val="24"/>
        </w:rPr>
        <w:t>P</w:t>
      </w:r>
      <w:r w:rsidR="00680272" w:rsidRPr="002304D2">
        <w:rPr>
          <w:iCs/>
          <w:color w:val="auto"/>
          <w:szCs w:val="24"/>
        </w:rPr>
        <w:t>rincipal Regulation</w:t>
      </w:r>
      <w:r w:rsidR="00680272">
        <w:rPr>
          <w:iCs/>
          <w:color w:val="auto"/>
          <w:szCs w:val="24"/>
        </w:rPr>
        <w:t xml:space="preserve"> </w:t>
      </w:r>
      <w:r w:rsidR="00AC197B">
        <w:rPr>
          <w:iCs/>
          <w:color w:val="auto"/>
          <w:szCs w:val="24"/>
        </w:rPr>
        <w:t xml:space="preserve">and </w:t>
      </w:r>
      <w:r w:rsidR="00680272">
        <w:rPr>
          <w:iCs/>
          <w:color w:val="auto"/>
          <w:szCs w:val="24"/>
        </w:rPr>
        <w:t xml:space="preserve">substitutes a new date of co-endorsement of </w:t>
      </w:r>
      <w:r w:rsidR="009D5C4E" w:rsidRPr="009D5C4E">
        <w:rPr>
          <w:iCs/>
          <w:color w:val="auto"/>
          <w:szCs w:val="24"/>
        </w:rPr>
        <w:t>16</w:t>
      </w:r>
      <w:r w:rsidR="00680272" w:rsidRPr="009D5C4E">
        <w:rPr>
          <w:iCs/>
          <w:color w:val="auto"/>
          <w:szCs w:val="24"/>
        </w:rPr>
        <w:t xml:space="preserve"> April 2020.</w:t>
      </w:r>
    </w:p>
    <w:p w14:paraId="24A0EBB4" w14:textId="77777777" w:rsidR="00680272" w:rsidRDefault="00680272" w:rsidP="005D1ABF">
      <w:pPr>
        <w:pStyle w:val="Normal-em"/>
        <w:spacing w:after="0" w:line="240" w:lineRule="auto"/>
      </w:pPr>
    </w:p>
    <w:p w14:paraId="1280E604" w14:textId="58E59F48" w:rsidR="002B1DB3" w:rsidRPr="005D1ABF" w:rsidRDefault="00680272" w:rsidP="005D1ABF">
      <w:pPr>
        <w:pStyle w:val="Normal-em"/>
        <w:spacing w:after="0" w:line="240" w:lineRule="auto"/>
        <w:rPr>
          <w:iCs/>
          <w:color w:val="auto"/>
          <w:szCs w:val="24"/>
        </w:rPr>
      </w:pPr>
      <w:r>
        <w:t>This</w:t>
      </w:r>
      <w:r w:rsidR="00AC197B">
        <w:t xml:space="preserve"> amendment</w:t>
      </w:r>
      <w:r>
        <w:t xml:space="preserve"> reflects the updating of this document by the Australian Government and the Government of Finland. Importers are required to use this revised and updated version of the country specific guideline for Finland</w:t>
      </w:r>
      <w:r w:rsidRPr="001833C4">
        <w:t xml:space="preserve"> </w:t>
      </w:r>
      <w:r>
        <w:t xml:space="preserve">when they elect to use the country specific guidelines optional process provided for in section 12 of the </w:t>
      </w:r>
      <w:r w:rsidR="00AC197B">
        <w:t>P</w:t>
      </w:r>
      <w:r>
        <w:t>rincipal Regulation</w:t>
      </w:r>
      <w:r w:rsidR="002D1FDB">
        <w:t xml:space="preserve"> to conduct due diligence</w:t>
      </w:r>
      <w:r>
        <w:t>.</w:t>
      </w:r>
    </w:p>
    <w:p w14:paraId="7604E125" w14:textId="77777777" w:rsidR="002B1DB3" w:rsidRPr="005D1ABF" w:rsidRDefault="002B1DB3" w:rsidP="005D1ABF">
      <w:pPr>
        <w:spacing w:after="0" w:line="240" w:lineRule="auto"/>
        <w:rPr>
          <w:rFonts w:ascii="Times New Roman" w:hAnsi="Times New Roman" w:cs="Times New Roman"/>
          <w:sz w:val="24"/>
          <w:szCs w:val="24"/>
        </w:rPr>
      </w:pPr>
    </w:p>
    <w:p w14:paraId="1B3A52F4" w14:textId="3E36CC7C" w:rsidR="001A3865" w:rsidRPr="002304D2" w:rsidRDefault="00680272" w:rsidP="001A3865">
      <w:pPr>
        <w:spacing w:after="0" w:line="240" w:lineRule="auto"/>
        <w:rPr>
          <w:rFonts w:ascii="Times New Roman" w:hAnsi="Times New Roman" w:cs="Times New Roman"/>
          <w:sz w:val="24"/>
          <w:szCs w:val="24"/>
        </w:rPr>
      </w:pPr>
      <w:r w:rsidRPr="002304D2">
        <w:rPr>
          <w:rFonts w:ascii="Times New Roman" w:hAnsi="Times New Roman" w:cs="Times New Roman"/>
          <w:sz w:val="24"/>
          <w:szCs w:val="24"/>
        </w:rPr>
        <w:t>The C</w:t>
      </w:r>
      <w:r w:rsidR="001A3865" w:rsidRPr="002304D2">
        <w:rPr>
          <w:rFonts w:ascii="Times New Roman" w:hAnsi="Times New Roman" w:cs="Times New Roman"/>
          <w:sz w:val="24"/>
          <w:szCs w:val="24"/>
        </w:rPr>
        <w:t>ountry s</w:t>
      </w:r>
      <w:r w:rsidRPr="002304D2">
        <w:rPr>
          <w:rFonts w:ascii="Times New Roman" w:hAnsi="Times New Roman" w:cs="Times New Roman"/>
          <w:sz w:val="24"/>
          <w:szCs w:val="24"/>
        </w:rPr>
        <w:t xml:space="preserve">pecific guideline for </w:t>
      </w:r>
      <w:r w:rsidR="002304D2" w:rsidRPr="002304D2">
        <w:rPr>
          <w:rFonts w:ascii="Times New Roman" w:hAnsi="Times New Roman" w:cs="Times New Roman"/>
          <w:sz w:val="24"/>
          <w:szCs w:val="24"/>
        </w:rPr>
        <w:t>Finland</w:t>
      </w:r>
      <w:r w:rsidR="00AC197B">
        <w:rPr>
          <w:rFonts w:ascii="Times New Roman" w:hAnsi="Times New Roman" w:cs="Times New Roman"/>
          <w:sz w:val="24"/>
          <w:szCs w:val="24"/>
        </w:rPr>
        <w:t xml:space="preserve"> that</w:t>
      </w:r>
      <w:r w:rsidRPr="002304D2">
        <w:rPr>
          <w:rFonts w:ascii="Times New Roman" w:hAnsi="Times New Roman" w:cs="Times New Roman"/>
          <w:sz w:val="24"/>
          <w:szCs w:val="24"/>
        </w:rPr>
        <w:t xml:space="preserve"> </w:t>
      </w:r>
      <w:r w:rsidR="001A3865" w:rsidRPr="002304D2">
        <w:rPr>
          <w:rFonts w:ascii="Times New Roman" w:hAnsi="Times New Roman" w:cs="Times New Roman"/>
          <w:sz w:val="24"/>
          <w:szCs w:val="24"/>
        </w:rPr>
        <w:t xml:space="preserve">is incorporated by reference </w:t>
      </w:r>
      <w:r w:rsidR="00AC197B">
        <w:rPr>
          <w:rFonts w:ascii="Times New Roman" w:hAnsi="Times New Roman" w:cs="Times New Roman"/>
          <w:sz w:val="24"/>
          <w:szCs w:val="24"/>
        </w:rPr>
        <w:t>is</w:t>
      </w:r>
      <w:r w:rsidR="001A3865" w:rsidRPr="002304D2">
        <w:rPr>
          <w:rFonts w:ascii="Times New Roman" w:hAnsi="Times New Roman" w:cs="Times New Roman"/>
          <w:sz w:val="24"/>
          <w:szCs w:val="24"/>
        </w:rPr>
        <w:t xml:space="preserve"> the version of that document as </w:t>
      </w:r>
      <w:r w:rsidR="00AC197B" w:rsidRPr="009D5C4E">
        <w:rPr>
          <w:rFonts w:ascii="Times New Roman" w:eastAsia="Times New Roman" w:hAnsi="Times New Roman" w:cs="Times New Roman"/>
          <w:iCs/>
          <w:sz w:val="24"/>
          <w:szCs w:val="24"/>
        </w:rPr>
        <w:t>at</w:t>
      </w:r>
      <w:r w:rsidR="001A3865" w:rsidRPr="009D5C4E">
        <w:rPr>
          <w:rFonts w:ascii="Times New Roman" w:eastAsia="Times New Roman" w:hAnsi="Times New Roman" w:cs="Times New Roman"/>
          <w:iCs/>
          <w:sz w:val="24"/>
          <w:szCs w:val="24"/>
        </w:rPr>
        <w:t xml:space="preserve"> </w:t>
      </w:r>
      <w:r w:rsidR="009D5C4E" w:rsidRPr="009D5C4E">
        <w:rPr>
          <w:rFonts w:ascii="Times New Roman" w:eastAsia="Times New Roman" w:hAnsi="Times New Roman" w:cs="Times New Roman"/>
          <w:iCs/>
          <w:sz w:val="24"/>
          <w:szCs w:val="24"/>
        </w:rPr>
        <w:t>16</w:t>
      </w:r>
      <w:r w:rsidR="002304D2" w:rsidRPr="009D5C4E">
        <w:rPr>
          <w:rFonts w:ascii="Times New Roman" w:eastAsia="Times New Roman" w:hAnsi="Times New Roman" w:cs="Times New Roman"/>
          <w:iCs/>
          <w:sz w:val="24"/>
          <w:szCs w:val="24"/>
        </w:rPr>
        <w:t xml:space="preserve"> April 2020</w:t>
      </w:r>
      <w:r w:rsidR="001A3865" w:rsidRPr="009D5C4E">
        <w:rPr>
          <w:rFonts w:ascii="Times New Roman" w:eastAsia="Times New Roman" w:hAnsi="Times New Roman" w:cs="Times New Roman"/>
          <w:iCs/>
          <w:sz w:val="24"/>
          <w:szCs w:val="24"/>
        </w:rPr>
        <w:t>.</w:t>
      </w:r>
    </w:p>
    <w:p w14:paraId="278D0A86" w14:textId="77777777" w:rsidR="001A3865" w:rsidRPr="002304D2" w:rsidRDefault="001A3865" w:rsidP="001A3865">
      <w:pPr>
        <w:spacing w:after="0" w:line="240" w:lineRule="auto"/>
        <w:rPr>
          <w:rFonts w:ascii="Times New Roman" w:hAnsi="Times New Roman" w:cs="Times New Roman"/>
          <w:sz w:val="24"/>
          <w:szCs w:val="24"/>
        </w:rPr>
      </w:pPr>
    </w:p>
    <w:p w14:paraId="68D96CC7" w14:textId="4F36E923" w:rsidR="002B1DB3" w:rsidRDefault="001A3865" w:rsidP="001A3865">
      <w:pPr>
        <w:spacing w:after="0" w:line="240" w:lineRule="auto"/>
        <w:rPr>
          <w:rFonts w:ascii="Times New Roman" w:hAnsi="Times New Roman" w:cs="Times New Roman"/>
          <w:sz w:val="24"/>
          <w:szCs w:val="24"/>
        </w:rPr>
      </w:pPr>
      <w:r w:rsidRPr="002304D2">
        <w:rPr>
          <w:rFonts w:ascii="Times New Roman" w:hAnsi="Times New Roman" w:cs="Times New Roman"/>
          <w:sz w:val="24"/>
          <w:szCs w:val="24"/>
        </w:rPr>
        <w:t xml:space="preserve">The country specific guideline for </w:t>
      </w:r>
      <w:r w:rsidR="002304D2" w:rsidRPr="002304D2">
        <w:rPr>
          <w:rFonts w:ascii="Times New Roman" w:hAnsi="Times New Roman" w:cs="Times New Roman"/>
          <w:sz w:val="24"/>
          <w:szCs w:val="24"/>
        </w:rPr>
        <w:t>Finland</w:t>
      </w:r>
      <w:r w:rsidRPr="002304D2">
        <w:rPr>
          <w:rFonts w:ascii="Times New Roman" w:hAnsi="Times New Roman" w:cs="Times New Roman"/>
          <w:sz w:val="24"/>
          <w:szCs w:val="24"/>
        </w:rPr>
        <w:t xml:space="preserve"> is freely available at: </w:t>
      </w:r>
      <w:hyperlink r:id="rId9" w:anchor="country-specific-guidelines" w:history="1">
        <w:r w:rsidRPr="002304D2">
          <w:rPr>
            <w:rStyle w:val="Hyperlink"/>
            <w:rFonts w:ascii="Times New Roman" w:hAnsi="Times New Roman" w:cs="Times New Roman"/>
            <w:sz w:val="24"/>
            <w:szCs w:val="24"/>
          </w:rPr>
          <w:t>https://www.agriculture.gov.au/forestry/policies/illegal-logging/importers/resources#country-specific-guidelines</w:t>
        </w:r>
      </w:hyperlink>
    </w:p>
    <w:p w14:paraId="782EEDAC" w14:textId="77777777" w:rsidR="001A3865" w:rsidRDefault="001A3865" w:rsidP="001A3865">
      <w:pPr>
        <w:spacing w:after="0" w:line="240" w:lineRule="auto"/>
        <w:rPr>
          <w:rFonts w:ascii="Times New Roman" w:hAnsi="Times New Roman" w:cs="Times New Roman"/>
          <w:sz w:val="24"/>
          <w:szCs w:val="24"/>
        </w:rPr>
      </w:pPr>
    </w:p>
    <w:p w14:paraId="4123E89D" w14:textId="7BB5CC73" w:rsidR="00972310" w:rsidRDefault="0071622C" w:rsidP="0071622C">
      <w:pPr>
        <w:pStyle w:val="Normal-em"/>
        <w:spacing w:after="0" w:line="240" w:lineRule="auto"/>
        <w:rPr>
          <w:b/>
          <w:szCs w:val="24"/>
        </w:rPr>
      </w:pPr>
      <w:r w:rsidRPr="002304D2">
        <w:rPr>
          <w:b/>
          <w:szCs w:val="24"/>
        </w:rPr>
        <w:t xml:space="preserve">Item 3 </w:t>
      </w:r>
      <w:r w:rsidR="00972310">
        <w:rPr>
          <w:b/>
          <w:szCs w:val="24"/>
        </w:rPr>
        <w:t>– Clause 2 of Schedule 2 (table item 4A)</w:t>
      </w:r>
    </w:p>
    <w:p w14:paraId="1ACE45B1" w14:textId="77777777" w:rsidR="00972310" w:rsidRDefault="00972310" w:rsidP="0071622C">
      <w:pPr>
        <w:pStyle w:val="Normal-em"/>
        <w:spacing w:after="0" w:line="240" w:lineRule="auto"/>
        <w:rPr>
          <w:b/>
          <w:szCs w:val="24"/>
        </w:rPr>
      </w:pPr>
    </w:p>
    <w:p w14:paraId="4C1E10BC" w14:textId="55DBED74" w:rsidR="002304D2" w:rsidRPr="002304D2" w:rsidRDefault="00972310" w:rsidP="0071622C">
      <w:pPr>
        <w:pStyle w:val="Normal-em"/>
        <w:spacing w:after="0" w:line="240" w:lineRule="auto"/>
        <w:rPr>
          <w:b/>
          <w:szCs w:val="24"/>
        </w:rPr>
      </w:pPr>
      <w:r>
        <w:rPr>
          <w:bCs/>
          <w:szCs w:val="24"/>
        </w:rPr>
        <w:t xml:space="preserve">This item </w:t>
      </w:r>
      <w:r w:rsidR="002304D2" w:rsidRPr="002304D2">
        <w:rPr>
          <w:iCs/>
          <w:color w:val="auto"/>
          <w:szCs w:val="24"/>
        </w:rPr>
        <w:t>repeals the</w:t>
      </w:r>
      <w:r w:rsidR="002304D2">
        <w:rPr>
          <w:iCs/>
          <w:color w:val="auto"/>
          <w:szCs w:val="24"/>
        </w:rPr>
        <w:t xml:space="preserve"> existing date of co-endorsement</w:t>
      </w:r>
      <w:r w:rsidR="00AC197B">
        <w:rPr>
          <w:iCs/>
          <w:color w:val="auto"/>
          <w:szCs w:val="24"/>
        </w:rPr>
        <w:t xml:space="preserve"> of the country specific guideline for Malaysia</w:t>
      </w:r>
      <w:r w:rsidR="002304D2">
        <w:rPr>
          <w:iCs/>
          <w:color w:val="auto"/>
          <w:szCs w:val="24"/>
        </w:rPr>
        <w:t xml:space="preserve"> in table item 4A in clause 2 of </w:t>
      </w:r>
      <w:r w:rsidR="002304D2" w:rsidRPr="005B0F09">
        <w:rPr>
          <w:iCs/>
          <w:color w:val="auto"/>
          <w:szCs w:val="24"/>
        </w:rPr>
        <w:t xml:space="preserve">Schedule 2 </w:t>
      </w:r>
      <w:r w:rsidR="002304D2">
        <w:rPr>
          <w:iCs/>
          <w:color w:val="auto"/>
          <w:szCs w:val="24"/>
        </w:rPr>
        <w:t>to</w:t>
      </w:r>
      <w:r w:rsidR="002304D2" w:rsidRPr="005B0F09">
        <w:rPr>
          <w:iCs/>
          <w:color w:val="auto"/>
          <w:szCs w:val="24"/>
        </w:rPr>
        <w:t xml:space="preserve"> the </w:t>
      </w:r>
      <w:r w:rsidR="00AC197B">
        <w:rPr>
          <w:iCs/>
          <w:color w:val="auto"/>
          <w:szCs w:val="24"/>
        </w:rPr>
        <w:t>P</w:t>
      </w:r>
      <w:r w:rsidR="002304D2">
        <w:rPr>
          <w:iCs/>
          <w:color w:val="auto"/>
          <w:szCs w:val="24"/>
        </w:rPr>
        <w:t xml:space="preserve">rincipal </w:t>
      </w:r>
      <w:r w:rsidR="002304D2" w:rsidRPr="005B0F09">
        <w:rPr>
          <w:iCs/>
          <w:color w:val="auto"/>
          <w:szCs w:val="24"/>
        </w:rPr>
        <w:t>Regulation</w:t>
      </w:r>
      <w:r w:rsidR="002304D2">
        <w:rPr>
          <w:iCs/>
          <w:color w:val="auto"/>
          <w:szCs w:val="24"/>
        </w:rPr>
        <w:t xml:space="preserve"> </w:t>
      </w:r>
      <w:r w:rsidR="00AC197B">
        <w:rPr>
          <w:iCs/>
          <w:color w:val="auto"/>
          <w:szCs w:val="24"/>
        </w:rPr>
        <w:t xml:space="preserve">and </w:t>
      </w:r>
      <w:r w:rsidR="002304D2">
        <w:rPr>
          <w:iCs/>
          <w:color w:val="auto"/>
          <w:szCs w:val="24"/>
        </w:rPr>
        <w:t xml:space="preserve">substitutes a new date of co-endorsement of </w:t>
      </w:r>
      <w:r w:rsidR="00DB65DE">
        <w:rPr>
          <w:color w:val="000000" w:themeColor="text1"/>
        </w:rPr>
        <w:t>12 May 2020</w:t>
      </w:r>
      <w:r w:rsidR="002304D2" w:rsidRPr="00A96C5F">
        <w:rPr>
          <w:color w:val="000000" w:themeColor="text1"/>
        </w:rPr>
        <w:t xml:space="preserve">. </w:t>
      </w:r>
    </w:p>
    <w:p w14:paraId="77F9AF58" w14:textId="77777777" w:rsidR="002304D2" w:rsidRDefault="002304D2" w:rsidP="0071622C">
      <w:pPr>
        <w:pStyle w:val="Normal-em"/>
        <w:spacing w:after="0" w:line="240" w:lineRule="auto"/>
        <w:rPr>
          <w:color w:val="000000" w:themeColor="text1"/>
        </w:rPr>
      </w:pPr>
    </w:p>
    <w:p w14:paraId="34878345" w14:textId="713152BB" w:rsidR="0071622C" w:rsidRPr="005D1ABF" w:rsidRDefault="002304D2" w:rsidP="0071622C">
      <w:pPr>
        <w:pStyle w:val="Normal-em"/>
        <w:spacing w:after="0" w:line="240" w:lineRule="auto"/>
        <w:rPr>
          <w:iCs/>
          <w:color w:val="auto"/>
          <w:szCs w:val="24"/>
        </w:rPr>
      </w:pPr>
      <w:r>
        <w:rPr>
          <w:color w:val="000000" w:themeColor="text1"/>
        </w:rPr>
        <w:t>This</w:t>
      </w:r>
      <w:r w:rsidR="00AC197B">
        <w:rPr>
          <w:color w:val="000000" w:themeColor="text1"/>
        </w:rPr>
        <w:t xml:space="preserve"> amendment</w:t>
      </w:r>
      <w:r>
        <w:rPr>
          <w:color w:val="000000" w:themeColor="text1"/>
        </w:rPr>
        <w:t xml:space="preserve"> reflects the updating of this document by the Australian Government and the Government of Malaysia. </w:t>
      </w:r>
      <w:r>
        <w:t xml:space="preserve">Importers </w:t>
      </w:r>
      <w:r w:rsidR="00AC197B">
        <w:t>are</w:t>
      </w:r>
      <w:r>
        <w:t xml:space="preserve"> required to use this revised and updated version of the country specific guideline for Malaysia</w:t>
      </w:r>
      <w:r w:rsidRPr="001833C4">
        <w:t xml:space="preserve"> </w:t>
      </w:r>
      <w:r>
        <w:t xml:space="preserve">when they elect to use the country specific guidelines optional process provided for in section 12 of the </w:t>
      </w:r>
      <w:r w:rsidR="00AC197B">
        <w:t>P</w:t>
      </w:r>
      <w:r>
        <w:t>rincipal Regulation</w:t>
      </w:r>
      <w:r w:rsidR="004557F1">
        <w:t xml:space="preserve"> to conduct due diligence</w:t>
      </w:r>
      <w:r>
        <w:t>.</w:t>
      </w:r>
    </w:p>
    <w:p w14:paraId="4DC3C1C3" w14:textId="77777777" w:rsidR="0071622C" w:rsidRDefault="0071622C" w:rsidP="0071622C">
      <w:pPr>
        <w:spacing w:after="0" w:line="240" w:lineRule="auto"/>
        <w:rPr>
          <w:rFonts w:ascii="Times New Roman" w:hAnsi="Times New Roman" w:cs="Times New Roman"/>
          <w:sz w:val="24"/>
          <w:szCs w:val="24"/>
        </w:rPr>
      </w:pPr>
    </w:p>
    <w:p w14:paraId="50351E05" w14:textId="0277966C" w:rsidR="002304D2" w:rsidRPr="002304D2" w:rsidRDefault="002304D2" w:rsidP="002304D2">
      <w:pPr>
        <w:spacing w:after="0" w:line="240" w:lineRule="auto"/>
        <w:rPr>
          <w:rFonts w:ascii="Times New Roman" w:hAnsi="Times New Roman" w:cs="Times New Roman"/>
          <w:sz w:val="24"/>
          <w:szCs w:val="24"/>
        </w:rPr>
      </w:pPr>
      <w:r w:rsidRPr="002304D2">
        <w:rPr>
          <w:rFonts w:ascii="Times New Roman" w:hAnsi="Times New Roman" w:cs="Times New Roman"/>
          <w:sz w:val="24"/>
          <w:szCs w:val="24"/>
        </w:rPr>
        <w:t xml:space="preserve">The Country specific guideline for </w:t>
      </w:r>
      <w:r>
        <w:rPr>
          <w:rFonts w:ascii="Times New Roman" w:hAnsi="Times New Roman" w:cs="Times New Roman"/>
          <w:sz w:val="24"/>
          <w:szCs w:val="24"/>
        </w:rPr>
        <w:t>Malaysia</w:t>
      </w:r>
      <w:r w:rsidR="00AC197B">
        <w:rPr>
          <w:rFonts w:ascii="Times New Roman" w:hAnsi="Times New Roman" w:cs="Times New Roman"/>
          <w:sz w:val="24"/>
          <w:szCs w:val="24"/>
        </w:rPr>
        <w:t xml:space="preserve"> that</w:t>
      </w:r>
      <w:r w:rsidRPr="002304D2">
        <w:rPr>
          <w:rFonts w:ascii="Times New Roman" w:hAnsi="Times New Roman" w:cs="Times New Roman"/>
          <w:sz w:val="24"/>
          <w:szCs w:val="24"/>
        </w:rPr>
        <w:t xml:space="preserve"> is incorporated by reference </w:t>
      </w:r>
      <w:r w:rsidR="00AC197B">
        <w:rPr>
          <w:rFonts w:ascii="Times New Roman" w:hAnsi="Times New Roman" w:cs="Times New Roman"/>
          <w:sz w:val="24"/>
          <w:szCs w:val="24"/>
        </w:rPr>
        <w:t>is</w:t>
      </w:r>
      <w:r w:rsidRPr="002304D2">
        <w:rPr>
          <w:rFonts w:ascii="Times New Roman" w:hAnsi="Times New Roman" w:cs="Times New Roman"/>
          <w:sz w:val="24"/>
          <w:szCs w:val="24"/>
        </w:rPr>
        <w:t xml:space="preserve"> the version of that document as </w:t>
      </w:r>
      <w:r w:rsidR="00AC197B">
        <w:rPr>
          <w:rFonts w:ascii="Times New Roman" w:hAnsi="Times New Roman" w:cs="Times New Roman"/>
          <w:sz w:val="24"/>
          <w:szCs w:val="24"/>
        </w:rPr>
        <w:t xml:space="preserve">at </w:t>
      </w:r>
      <w:r w:rsidR="00DB65DE">
        <w:rPr>
          <w:rFonts w:ascii="Times New Roman" w:hAnsi="Times New Roman" w:cs="Times New Roman"/>
          <w:sz w:val="24"/>
          <w:szCs w:val="24"/>
        </w:rPr>
        <w:t>12 May 2020</w:t>
      </w:r>
      <w:r w:rsidRPr="002304D2">
        <w:rPr>
          <w:rFonts w:ascii="Times New Roman" w:hAnsi="Times New Roman" w:cs="Times New Roman"/>
          <w:sz w:val="24"/>
          <w:szCs w:val="24"/>
        </w:rPr>
        <w:t>.</w:t>
      </w:r>
    </w:p>
    <w:p w14:paraId="20CD7697" w14:textId="77777777" w:rsidR="002304D2" w:rsidRPr="002304D2" w:rsidRDefault="002304D2" w:rsidP="002304D2">
      <w:pPr>
        <w:spacing w:after="0" w:line="240" w:lineRule="auto"/>
        <w:rPr>
          <w:rFonts w:ascii="Times New Roman" w:hAnsi="Times New Roman" w:cs="Times New Roman"/>
          <w:sz w:val="24"/>
          <w:szCs w:val="24"/>
        </w:rPr>
      </w:pPr>
    </w:p>
    <w:p w14:paraId="054B515B" w14:textId="4434E45E" w:rsidR="002304D2" w:rsidRDefault="002304D2" w:rsidP="002304D2">
      <w:pPr>
        <w:spacing w:after="0" w:line="240" w:lineRule="auto"/>
        <w:rPr>
          <w:rFonts w:ascii="Times New Roman" w:hAnsi="Times New Roman" w:cs="Times New Roman"/>
          <w:sz w:val="24"/>
          <w:szCs w:val="24"/>
        </w:rPr>
      </w:pPr>
      <w:r w:rsidRPr="002304D2">
        <w:rPr>
          <w:rFonts w:ascii="Times New Roman" w:hAnsi="Times New Roman" w:cs="Times New Roman"/>
          <w:sz w:val="24"/>
          <w:szCs w:val="24"/>
        </w:rPr>
        <w:t xml:space="preserve">The country specific guideline for </w:t>
      </w:r>
      <w:r>
        <w:rPr>
          <w:rFonts w:ascii="Times New Roman" w:hAnsi="Times New Roman" w:cs="Times New Roman"/>
          <w:sz w:val="24"/>
          <w:szCs w:val="24"/>
        </w:rPr>
        <w:t>Malaysia</w:t>
      </w:r>
      <w:r w:rsidRPr="002304D2">
        <w:rPr>
          <w:rFonts w:ascii="Times New Roman" w:hAnsi="Times New Roman" w:cs="Times New Roman"/>
          <w:sz w:val="24"/>
          <w:szCs w:val="24"/>
        </w:rPr>
        <w:t xml:space="preserve"> is freely available at: </w:t>
      </w:r>
      <w:hyperlink r:id="rId10" w:anchor="country-specific-guidelines" w:history="1">
        <w:r w:rsidRPr="002304D2">
          <w:rPr>
            <w:rStyle w:val="Hyperlink"/>
            <w:rFonts w:ascii="Times New Roman" w:hAnsi="Times New Roman" w:cs="Times New Roman"/>
            <w:sz w:val="24"/>
            <w:szCs w:val="24"/>
          </w:rPr>
          <w:t>https://www.agriculture.gov.au/forestry/policies/illegal-logging/importers/resources#country-specific-guidelines</w:t>
        </w:r>
      </w:hyperlink>
    </w:p>
    <w:p w14:paraId="1B6D8031" w14:textId="77777777" w:rsidR="002304D2" w:rsidRDefault="002304D2" w:rsidP="0071622C">
      <w:pPr>
        <w:spacing w:after="0" w:line="240" w:lineRule="auto"/>
        <w:rPr>
          <w:rFonts w:ascii="Times New Roman" w:hAnsi="Times New Roman" w:cs="Times New Roman"/>
          <w:sz w:val="24"/>
          <w:szCs w:val="24"/>
        </w:rPr>
      </w:pPr>
    </w:p>
    <w:p w14:paraId="7F742810" w14:textId="62FAE305" w:rsidR="00972310" w:rsidRDefault="001A3865" w:rsidP="002304D2">
      <w:pPr>
        <w:pStyle w:val="Normal-em"/>
        <w:spacing w:after="0" w:line="240" w:lineRule="auto"/>
        <w:rPr>
          <w:b/>
          <w:szCs w:val="24"/>
        </w:rPr>
      </w:pPr>
      <w:r w:rsidRPr="002304D2">
        <w:rPr>
          <w:b/>
          <w:szCs w:val="24"/>
        </w:rPr>
        <w:t xml:space="preserve">Item </w:t>
      </w:r>
      <w:r w:rsidR="0071622C" w:rsidRPr="002304D2">
        <w:rPr>
          <w:b/>
          <w:szCs w:val="24"/>
        </w:rPr>
        <w:t>4</w:t>
      </w:r>
      <w:r w:rsidRPr="002304D2">
        <w:rPr>
          <w:b/>
          <w:szCs w:val="24"/>
        </w:rPr>
        <w:t xml:space="preserve"> </w:t>
      </w:r>
      <w:r w:rsidR="00972310">
        <w:rPr>
          <w:b/>
          <w:szCs w:val="24"/>
        </w:rPr>
        <w:t>– Clause 2 of Schedule 2 (table item 5)</w:t>
      </w:r>
    </w:p>
    <w:p w14:paraId="63069279" w14:textId="77777777" w:rsidR="00972310" w:rsidRDefault="00972310" w:rsidP="002304D2">
      <w:pPr>
        <w:pStyle w:val="Normal-em"/>
        <w:spacing w:after="0" w:line="240" w:lineRule="auto"/>
        <w:rPr>
          <w:b/>
          <w:szCs w:val="24"/>
        </w:rPr>
      </w:pPr>
    </w:p>
    <w:p w14:paraId="6323E64D" w14:textId="640E352E" w:rsidR="002304D2" w:rsidRDefault="00972310" w:rsidP="002304D2">
      <w:pPr>
        <w:pStyle w:val="Normal-em"/>
        <w:spacing w:after="0" w:line="240" w:lineRule="auto"/>
        <w:rPr>
          <w:color w:val="000000" w:themeColor="text1"/>
        </w:rPr>
      </w:pPr>
      <w:r>
        <w:rPr>
          <w:bCs/>
          <w:szCs w:val="24"/>
        </w:rPr>
        <w:t xml:space="preserve">This item </w:t>
      </w:r>
      <w:r w:rsidR="002304D2">
        <w:rPr>
          <w:iCs/>
          <w:color w:val="auto"/>
          <w:szCs w:val="24"/>
        </w:rPr>
        <w:t>repeals the existing date of co-endorsement</w:t>
      </w:r>
      <w:r w:rsidR="00AC197B">
        <w:rPr>
          <w:iCs/>
          <w:color w:val="auto"/>
          <w:szCs w:val="24"/>
        </w:rPr>
        <w:t xml:space="preserve"> for the country specific guideline for New Zealand</w:t>
      </w:r>
      <w:r w:rsidR="00DB65DE">
        <w:rPr>
          <w:iCs/>
          <w:color w:val="auto"/>
          <w:szCs w:val="24"/>
        </w:rPr>
        <w:t xml:space="preserve"> in table item 5 </w:t>
      </w:r>
      <w:r w:rsidR="004557F1">
        <w:rPr>
          <w:iCs/>
          <w:color w:val="auto"/>
          <w:szCs w:val="24"/>
        </w:rPr>
        <w:t xml:space="preserve">of </w:t>
      </w:r>
      <w:r w:rsidR="002304D2">
        <w:rPr>
          <w:iCs/>
          <w:color w:val="auto"/>
          <w:szCs w:val="24"/>
        </w:rPr>
        <w:t xml:space="preserve">clause 2 of </w:t>
      </w:r>
      <w:r w:rsidR="002304D2" w:rsidRPr="005B0F09">
        <w:rPr>
          <w:iCs/>
          <w:color w:val="auto"/>
          <w:szCs w:val="24"/>
        </w:rPr>
        <w:t xml:space="preserve">Schedule 2 </w:t>
      </w:r>
      <w:r w:rsidR="002304D2">
        <w:rPr>
          <w:iCs/>
          <w:color w:val="auto"/>
          <w:szCs w:val="24"/>
        </w:rPr>
        <w:t>to</w:t>
      </w:r>
      <w:r w:rsidR="002304D2" w:rsidRPr="005B0F09">
        <w:rPr>
          <w:iCs/>
          <w:color w:val="auto"/>
          <w:szCs w:val="24"/>
        </w:rPr>
        <w:t xml:space="preserve"> the </w:t>
      </w:r>
      <w:r w:rsidR="00AC197B">
        <w:rPr>
          <w:iCs/>
          <w:color w:val="auto"/>
          <w:szCs w:val="24"/>
        </w:rPr>
        <w:t>P</w:t>
      </w:r>
      <w:r w:rsidR="002304D2">
        <w:rPr>
          <w:iCs/>
          <w:color w:val="auto"/>
          <w:szCs w:val="24"/>
        </w:rPr>
        <w:t xml:space="preserve">rincipal </w:t>
      </w:r>
      <w:r w:rsidR="002304D2" w:rsidRPr="005B0F09">
        <w:rPr>
          <w:iCs/>
          <w:color w:val="auto"/>
          <w:szCs w:val="24"/>
        </w:rPr>
        <w:t xml:space="preserve">Regulation </w:t>
      </w:r>
      <w:r w:rsidR="00AC197B">
        <w:rPr>
          <w:iCs/>
          <w:color w:val="auto"/>
          <w:szCs w:val="24"/>
        </w:rPr>
        <w:t xml:space="preserve">and </w:t>
      </w:r>
      <w:r w:rsidR="002304D2">
        <w:rPr>
          <w:iCs/>
          <w:color w:val="auto"/>
          <w:szCs w:val="24"/>
        </w:rPr>
        <w:t xml:space="preserve">substitutes a new date of co-endorsement of </w:t>
      </w:r>
      <w:r w:rsidR="002304D2">
        <w:rPr>
          <w:color w:val="000000" w:themeColor="text1"/>
        </w:rPr>
        <w:t>16 September </w:t>
      </w:r>
      <w:r w:rsidR="002304D2" w:rsidRPr="00A96C5F">
        <w:rPr>
          <w:color w:val="000000" w:themeColor="text1"/>
        </w:rPr>
        <w:t>2019</w:t>
      </w:r>
      <w:r w:rsidR="002304D2">
        <w:rPr>
          <w:color w:val="000000" w:themeColor="text1"/>
        </w:rPr>
        <w:t>.</w:t>
      </w:r>
    </w:p>
    <w:p w14:paraId="06FC049B" w14:textId="77777777" w:rsidR="002304D2" w:rsidRDefault="002304D2" w:rsidP="002304D2">
      <w:pPr>
        <w:pStyle w:val="Normal-em"/>
        <w:spacing w:after="0" w:line="240" w:lineRule="auto"/>
        <w:rPr>
          <w:color w:val="000000" w:themeColor="text1"/>
        </w:rPr>
      </w:pPr>
    </w:p>
    <w:p w14:paraId="2603CD62" w14:textId="59CACEE7" w:rsidR="001A3865" w:rsidRPr="00BA0462" w:rsidRDefault="002304D2" w:rsidP="002304D2">
      <w:pPr>
        <w:pStyle w:val="Normal-em"/>
        <w:spacing w:after="0" w:line="240" w:lineRule="auto"/>
        <w:rPr>
          <w:szCs w:val="24"/>
        </w:rPr>
      </w:pPr>
      <w:r>
        <w:rPr>
          <w:color w:val="000000" w:themeColor="text1"/>
        </w:rPr>
        <w:t>This</w:t>
      </w:r>
      <w:r w:rsidR="00AC197B">
        <w:rPr>
          <w:color w:val="000000" w:themeColor="text1"/>
        </w:rPr>
        <w:t xml:space="preserve"> amendment</w:t>
      </w:r>
      <w:r>
        <w:rPr>
          <w:color w:val="000000" w:themeColor="text1"/>
        </w:rPr>
        <w:t xml:space="preserve"> reflects the updating of this document by the Australian Government and the Government of </w:t>
      </w:r>
      <w:r w:rsidR="00DB65DE">
        <w:rPr>
          <w:color w:val="000000" w:themeColor="text1"/>
        </w:rPr>
        <w:t>New Zealand</w:t>
      </w:r>
      <w:r>
        <w:rPr>
          <w:color w:val="000000" w:themeColor="text1"/>
        </w:rPr>
        <w:t xml:space="preserve">. </w:t>
      </w:r>
      <w:r>
        <w:t xml:space="preserve">Importers </w:t>
      </w:r>
      <w:r w:rsidR="00AC197B">
        <w:t>are</w:t>
      </w:r>
      <w:r>
        <w:t xml:space="preserve"> required to use this revised and updated version of the country specific guideline for New Zealand</w:t>
      </w:r>
      <w:r w:rsidRPr="001833C4">
        <w:t xml:space="preserve"> </w:t>
      </w:r>
      <w:r>
        <w:t xml:space="preserve">when they elect to use the country specific guidelines optional process provided for in section 12 of the </w:t>
      </w:r>
      <w:r w:rsidR="00AC197B">
        <w:t>P</w:t>
      </w:r>
      <w:r>
        <w:t>rincipal Regulation</w:t>
      </w:r>
      <w:r w:rsidR="004557F1">
        <w:t xml:space="preserve"> to conduct due diligence</w:t>
      </w:r>
      <w:r>
        <w:t>.</w:t>
      </w:r>
    </w:p>
    <w:p w14:paraId="7AEAFD7E" w14:textId="77777777" w:rsidR="001A3865" w:rsidRDefault="001A3865" w:rsidP="001A3865">
      <w:pPr>
        <w:spacing w:after="0" w:line="240" w:lineRule="auto"/>
        <w:rPr>
          <w:rFonts w:ascii="Times New Roman" w:hAnsi="Times New Roman" w:cs="Times New Roman"/>
          <w:sz w:val="24"/>
          <w:szCs w:val="24"/>
        </w:rPr>
      </w:pPr>
    </w:p>
    <w:p w14:paraId="0BD5B52B" w14:textId="1252226D" w:rsidR="00860A82" w:rsidRDefault="00860A82" w:rsidP="002304D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At the request of the Government of New Zealand, the updated </w:t>
      </w:r>
      <w:r w:rsidR="00AC197B">
        <w:rPr>
          <w:rFonts w:ascii="Times New Roman" w:hAnsi="Times New Roman" w:cs="Times New Roman"/>
          <w:sz w:val="24"/>
          <w:szCs w:val="24"/>
        </w:rPr>
        <w:t>c</w:t>
      </w:r>
      <w:r>
        <w:rPr>
          <w:rFonts w:ascii="Times New Roman" w:hAnsi="Times New Roman" w:cs="Times New Roman"/>
          <w:sz w:val="24"/>
          <w:szCs w:val="24"/>
        </w:rPr>
        <w:t xml:space="preserve">ountry specific guideline for New Zealand notes </w:t>
      </w:r>
      <w:r w:rsidR="00560AC6">
        <w:rPr>
          <w:rFonts w:ascii="Times New Roman" w:hAnsi="Times New Roman" w:cs="Times New Roman"/>
          <w:sz w:val="24"/>
          <w:szCs w:val="24"/>
        </w:rPr>
        <w:t xml:space="preserve">that </w:t>
      </w:r>
      <w:r>
        <w:rPr>
          <w:rFonts w:ascii="Times New Roman" w:hAnsi="Times New Roman" w:cs="Times New Roman"/>
          <w:sz w:val="24"/>
          <w:szCs w:val="24"/>
        </w:rPr>
        <w:t xml:space="preserve">it was </w:t>
      </w:r>
      <w:r w:rsidRPr="00860A82">
        <w:rPr>
          <w:rFonts w:ascii="Times New Roman" w:hAnsi="Times New Roman" w:cs="Times New Roman"/>
          <w:sz w:val="24"/>
          <w:szCs w:val="24"/>
        </w:rPr>
        <w:t>prepared by the Australian Government and Ministry for Primary Industries of New Zealand.</w:t>
      </w:r>
      <w:r>
        <w:rPr>
          <w:rFonts w:ascii="Times New Roman" w:hAnsi="Times New Roman" w:cs="Times New Roman"/>
          <w:sz w:val="24"/>
          <w:szCs w:val="24"/>
        </w:rPr>
        <w:t xml:space="preserve"> However, in line with the letter of co-endorsement provided by the Governm</w:t>
      </w:r>
      <w:r w:rsidR="00560AC6">
        <w:rPr>
          <w:rFonts w:ascii="Times New Roman" w:hAnsi="Times New Roman" w:cs="Times New Roman"/>
          <w:sz w:val="24"/>
          <w:szCs w:val="24"/>
        </w:rPr>
        <w:t xml:space="preserve">ent of New Zealand, item 5 </w:t>
      </w:r>
      <w:r w:rsidR="00AC197B">
        <w:rPr>
          <w:rFonts w:ascii="Times New Roman" w:hAnsi="Times New Roman" w:cs="Times New Roman"/>
          <w:sz w:val="24"/>
          <w:szCs w:val="24"/>
        </w:rPr>
        <w:t>refers</w:t>
      </w:r>
      <w:r>
        <w:rPr>
          <w:rFonts w:ascii="Times New Roman" w:hAnsi="Times New Roman" w:cs="Times New Roman"/>
          <w:sz w:val="24"/>
          <w:szCs w:val="24"/>
        </w:rPr>
        <w:t xml:space="preserve"> to the guideline being co-endorsed by the Government of Australia and the Government of New Zealand.</w:t>
      </w:r>
    </w:p>
    <w:p w14:paraId="6F037F83" w14:textId="77777777" w:rsidR="00860A82" w:rsidRDefault="00860A82" w:rsidP="002304D2">
      <w:pPr>
        <w:spacing w:after="0" w:line="240" w:lineRule="auto"/>
        <w:rPr>
          <w:rFonts w:ascii="Times New Roman" w:hAnsi="Times New Roman" w:cs="Times New Roman"/>
          <w:sz w:val="24"/>
          <w:szCs w:val="24"/>
        </w:rPr>
      </w:pPr>
    </w:p>
    <w:p w14:paraId="677FFBBB" w14:textId="5470680E" w:rsidR="002304D2" w:rsidRPr="002304D2" w:rsidRDefault="002304D2" w:rsidP="002304D2">
      <w:pPr>
        <w:spacing w:after="0" w:line="240" w:lineRule="auto"/>
        <w:rPr>
          <w:rFonts w:ascii="Times New Roman" w:hAnsi="Times New Roman" w:cs="Times New Roman"/>
          <w:sz w:val="24"/>
          <w:szCs w:val="24"/>
        </w:rPr>
      </w:pPr>
      <w:r w:rsidRPr="002304D2">
        <w:rPr>
          <w:rFonts w:ascii="Times New Roman" w:hAnsi="Times New Roman" w:cs="Times New Roman"/>
          <w:sz w:val="24"/>
          <w:szCs w:val="24"/>
        </w:rPr>
        <w:t xml:space="preserve">The Country specific guideline for </w:t>
      </w:r>
      <w:r>
        <w:rPr>
          <w:rFonts w:ascii="Times New Roman" w:hAnsi="Times New Roman" w:cs="Times New Roman"/>
          <w:sz w:val="24"/>
          <w:szCs w:val="24"/>
        </w:rPr>
        <w:t>New Zealand</w:t>
      </w:r>
      <w:r w:rsidR="00AC197B">
        <w:rPr>
          <w:rFonts w:ascii="Times New Roman" w:hAnsi="Times New Roman" w:cs="Times New Roman"/>
          <w:sz w:val="24"/>
          <w:szCs w:val="24"/>
        </w:rPr>
        <w:t xml:space="preserve"> that</w:t>
      </w:r>
      <w:r w:rsidRPr="002304D2">
        <w:rPr>
          <w:rFonts w:ascii="Times New Roman" w:hAnsi="Times New Roman" w:cs="Times New Roman"/>
          <w:sz w:val="24"/>
          <w:szCs w:val="24"/>
        </w:rPr>
        <w:t xml:space="preserve"> is incorporated by reference </w:t>
      </w:r>
      <w:r w:rsidR="00AC197B">
        <w:rPr>
          <w:rFonts w:ascii="Times New Roman" w:hAnsi="Times New Roman" w:cs="Times New Roman"/>
          <w:sz w:val="24"/>
          <w:szCs w:val="24"/>
        </w:rPr>
        <w:t>is</w:t>
      </w:r>
      <w:r w:rsidRPr="002304D2">
        <w:rPr>
          <w:rFonts w:ascii="Times New Roman" w:hAnsi="Times New Roman" w:cs="Times New Roman"/>
          <w:sz w:val="24"/>
          <w:szCs w:val="24"/>
        </w:rPr>
        <w:t xml:space="preserve"> the version of that document as </w:t>
      </w:r>
      <w:r w:rsidR="00AC197B">
        <w:rPr>
          <w:rFonts w:ascii="Times New Roman" w:hAnsi="Times New Roman" w:cs="Times New Roman"/>
          <w:sz w:val="24"/>
          <w:szCs w:val="24"/>
        </w:rPr>
        <w:t xml:space="preserve">at </w:t>
      </w:r>
      <w:r>
        <w:rPr>
          <w:rFonts w:ascii="Times New Roman" w:hAnsi="Times New Roman" w:cs="Times New Roman"/>
          <w:sz w:val="24"/>
          <w:szCs w:val="24"/>
        </w:rPr>
        <w:t>16 September 2019</w:t>
      </w:r>
      <w:r w:rsidRPr="002304D2">
        <w:rPr>
          <w:rFonts w:ascii="Times New Roman" w:hAnsi="Times New Roman" w:cs="Times New Roman"/>
          <w:sz w:val="24"/>
          <w:szCs w:val="24"/>
        </w:rPr>
        <w:t>.</w:t>
      </w:r>
    </w:p>
    <w:p w14:paraId="33E93237" w14:textId="77777777" w:rsidR="002304D2" w:rsidRPr="002304D2" w:rsidRDefault="002304D2" w:rsidP="002304D2">
      <w:pPr>
        <w:spacing w:after="0" w:line="240" w:lineRule="auto"/>
        <w:rPr>
          <w:rFonts w:ascii="Times New Roman" w:hAnsi="Times New Roman" w:cs="Times New Roman"/>
          <w:sz w:val="24"/>
          <w:szCs w:val="24"/>
        </w:rPr>
      </w:pPr>
    </w:p>
    <w:p w14:paraId="1438366F" w14:textId="677B3BB7" w:rsidR="002304D2" w:rsidRDefault="002304D2" w:rsidP="002304D2">
      <w:pPr>
        <w:spacing w:after="0" w:line="240" w:lineRule="auto"/>
        <w:rPr>
          <w:rFonts w:ascii="Times New Roman" w:hAnsi="Times New Roman" w:cs="Times New Roman"/>
          <w:sz w:val="24"/>
          <w:szCs w:val="24"/>
        </w:rPr>
      </w:pPr>
      <w:r w:rsidRPr="002304D2">
        <w:rPr>
          <w:rFonts w:ascii="Times New Roman" w:hAnsi="Times New Roman" w:cs="Times New Roman"/>
          <w:sz w:val="24"/>
          <w:szCs w:val="24"/>
        </w:rPr>
        <w:t xml:space="preserve">The country specific guideline for </w:t>
      </w:r>
      <w:r>
        <w:rPr>
          <w:rFonts w:ascii="Times New Roman" w:hAnsi="Times New Roman" w:cs="Times New Roman"/>
          <w:sz w:val="24"/>
          <w:szCs w:val="24"/>
        </w:rPr>
        <w:t>New Zealand</w:t>
      </w:r>
      <w:r w:rsidRPr="002304D2">
        <w:rPr>
          <w:rFonts w:ascii="Times New Roman" w:hAnsi="Times New Roman" w:cs="Times New Roman"/>
          <w:sz w:val="24"/>
          <w:szCs w:val="24"/>
        </w:rPr>
        <w:t xml:space="preserve"> is freely available at: </w:t>
      </w:r>
      <w:hyperlink r:id="rId11" w:anchor="country-specific-guidelines" w:history="1">
        <w:r w:rsidRPr="002304D2">
          <w:rPr>
            <w:rStyle w:val="Hyperlink"/>
            <w:rFonts w:ascii="Times New Roman" w:hAnsi="Times New Roman" w:cs="Times New Roman"/>
            <w:sz w:val="24"/>
            <w:szCs w:val="24"/>
          </w:rPr>
          <w:t>https://www.agriculture.gov.au/forestry/policies/illegal-logging/importers/resources#country-specific-guidelines</w:t>
        </w:r>
      </w:hyperlink>
    </w:p>
    <w:p w14:paraId="240BC343" w14:textId="77777777" w:rsidR="001A3865" w:rsidRPr="00BA0462" w:rsidRDefault="001A3865" w:rsidP="001A3865">
      <w:pPr>
        <w:spacing w:after="0" w:line="240" w:lineRule="auto"/>
        <w:rPr>
          <w:rFonts w:ascii="Times New Roman" w:hAnsi="Times New Roman" w:cs="Times New Roman"/>
          <w:sz w:val="24"/>
          <w:szCs w:val="24"/>
        </w:rPr>
      </w:pPr>
    </w:p>
    <w:p w14:paraId="421D862B" w14:textId="1DCE2EEC" w:rsidR="00972310" w:rsidRDefault="002304D2" w:rsidP="001A3865">
      <w:pPr>
        <w:spacing w:after="0" w:line="240" w:lineRule="auto"/>
        <w:rPr>
          <w:rFonts w:ascii="Times New Roman" w:hAnsi="Times New Roman" w:cs="Times New Roman"/>
          <w:sz w:val="24"/>
          <w:szCs w:val="24"/>
        </w:rPr>
      </w:pPr>
      <w:r w:rsidRPr="002304D2">
        <w:rPr>
          <w:rFonts w:ascii="Times New Roman" w:hAnsi="Times New Roman" w:cs="Times New Roman"/>
          <w:b/>
          <w:sz w:val="24"/>
          <w:szCs w:val="24"/>
        </w:rPr>
        <w:t>Item 5</w:t>
      </w:r>
      <w:r w:rsidR="00972310">
        <w:rPr>
          <w:rFonts w:ascii="Times New Roman" w:hAnsi="Times New Roman" w:cs="Times New Roman"/>
          <w:b/>
          <w:sz w:val="24"/>
          <w:szCs w:val="24"/>
        </w:rPr>
        <w:t xml:space="preserve"> – Clause 2 of Schedule 2 (note)</w:t>
      </w:r>
      <w:r>
        <w:rPr>
          <w:rFonts w:ascii="Times New Roman" w:hAnsi="Times New Roman" w:cs="Times New Roman"/>
          <w:sz w:val="24"/>
          <w:szCs w:val="24"/>
        </w:rPr>
        <w:t xml:space="preserve"> </w:t>
      </w:r>
    </w:p>
    <w:p w14:paraId="7CC97C43" w14:textId="77777777" w:rsidR="00972310" w:rsidRDefault="00972310" w:rsidP="001A3865">
      <w:pPr>
        <w:spacing w:after="0" w:line="240" w:lineRule="auto"/>
        <w:rPr>
          <w:rFonts w:ascii="Times New Roman" w:hAnsi="Times New Roman" w:cs="Times New Roman"/>
          <w:sz w:val="24"/>
          <w:szCs w:val="24"/>
        </w:rPr>
      </w:pPr>
    </w:p>
    <w:p w14:paraId="724E97CF" w14:textId="32593583" w:rsidR="001A3865" w:rsidRPr="005D1ABF" w:rsidRDefault="00972310" w:rsidP="001A38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item </w:t>
      </w:r>
      <w:r w:rsidR="002304D2">
        <w:rPr>
          <w:rFonts w:ascii="Times New Roman" w:hAnsi="Times New Roman" w:cs="Times New Roman"/>
          <w:sz w:val="24"/>
          <w:szCs w:val="24"/>
        </w:rPr>
        <w:t>repeals</w:t>
      </w:r>
      <w:r w:rsidR="002304D2" w:rsidRPr="002304D2">
        <w:rPr>
          <w:rFonts w:ascii="Times New Roman" w:hAnsi="Times New Roman" w:cs="Times New Roman"/>
          <w:sz w:val="24"/>
          <w:szCs w:val="24"/>
        </w:rPr>
        <w:t xml:space="preserve"> the existing reference to the yea</w:t>
      </w:r>
      <w:r w:rsidR="00860A82">
        <w:rPr>
          <w:rFonts w:ascii="Times New Roman" w:hAnsi="Times New Roman" w:cs="Times New Roman"/>
          <w:sz w:val="24"/>
          <w:szCs w:val="24"/>
        </w:rPr>
        <w:t>r “2018” in the note in Clause</w:t>
      </w:r>
      <w:r w:rsidR="002304D2" w:rsidRPr="002304D2">
        <w:rPr>
          <w:rFonts w:ascii="Times New Roman" w:hAnsi="Times New Roman" w:cs="Times New Roman"/>
          <w:sz w:val="24"/>
          <w:szCs w:val="24"/>
        </w:rPr>
        <w:t xml:space="preserve"> 2 of Schedule 2 to the </w:t>
      </w:r>
      <w:r w:rsidR="00AC197B">
        <w:rPr>
          <w:rFonts w:ascii="Times New Roman" w:hAnsi="Times New Roman" w:cs="Times New Roman"/>
          <w:sz w:val="24"/>
          <w:szCs w:val="24"/>
        </w:rPr>
        <w:t>P</w:t>
      </w:r>
      <w:r w:rsidR="002304D2" w:rsidRPr="002304D2">
        <w:rPr>
          <w:rFonts w:ascii="Times New Roman" w:hAnsi="Times New Roman" w:cs="Times New Roman"/>
          <w:sz w:val="24"/>
          <w:szCs w:val="24"/>
        </w:rPr>
        <w:t xml:space="preserve">rincipal Regulation </w:t>
      </w:r>
      <w:r w:rsidR="002304D2">
        <w:rPr>
          <w:rFonts w:ascii="Times New Roman" w:hAnsi="Times New Roman" w:cs="Times New Roman"/>
          <w:sz w:val="24"/>
          <w:szCs w:val="24"/>
        </w:rPr>
        <w:t xml:space="preserve">and </w:t>
      </w:r>
      <w:r w:rsidR="002304D2" w:rsidRPr="002304D2">
        <w:rPr>
          <w:rFonts w:ascii="Times New Roman" w:hAnsi="Times New Roman" w:cs="Times New Roman"/>
          <w:sz w:val="24"/>
          <w:szCs w:val="24"/>
        </w:rPr>
        <w:t>substitute</w:t>
      </w:r>
      <w:r w:rsidR="002304D2">
        <w:rPr>
          <w:rFonts w:ascii="Times New Roman" w:hAnsi="Times New Roman" w:cs="Times New Roman"/>
          <w:sz w:val="24"/>
          <w:szCs w:val="24"/>
        </w:rPr>
        <w:t>s</w:t>
      </w:r>
      <w:r w:rsidR="004D27C9">
        <w:rPr>
          <w:rFonts w:ascii="Times New Roman" w:hAnsi="Times New Roman" w:cs="Times New Roman"/>
          <w:sz w:val="24"/>
          <w:szCs w:val="24"/>
        </w:rPr>
        <w:t xml:space="preserve"> </w:t>
      </w:r>
      <w:r w:rsidR="002304D2" w:rsidRPr="002304D2">
        <w:rPr>
          <w:rFonts w:ascii="Times New Roman" w:hAnsi="Times New Roman" w:cs="Times New Roman"/>
          <w:sz w:val="24"/>
          <w:szCs w:val="24"/>
        </w:rPr>
        <w:t>“2020”</w:t>
      </w:r>
      <w:r w:rsidR="002304D2">
        <w:rPr>
          <w:rFonts w:ascii="Times New Roman" w:hAnsi="Times New Roman" w:cs="Times New Roman"/>
          <w:sz w:val="24"/>
          <w:szCs w:val="24"/>
        </w:rPr>
        <w:t>. This</w:t>
      </w:r>
      <w:r w:rsidR="00AC197B">
        <w:rPr>
          <w:rFonts w:ascii="Times New Roman" w:hAnsi="Times New Roman" w:cs="Times New Roman"/>
          <w:sz w:val="24"/>
          <w:szCs w:val="24"/>
        </w:rPr>
        <w:t xml:space="preserve"> amendment</w:t>
      </w:r>
      <w:r w:rsidR="002304D2">
        <w:rPr>
          <w:rFonts w:ascii="Times New Roman" w:hAnsi="Times New Roman" w:cs="Times New Roman"/>
          <w:sz w:val="24"/>
          <w:szCs w:val="24"/>
        </w:rPr>
        <w:t xml:space="preserve"> reflects</w:t>
      </w:r>
      <w:r w:rsidR="002304D2" w:rsidRPr="002304D2">
        <w:rPr>
          <w:rFonts w:ascii="Times New Roman" w:hAnsi="Times New Roman" w:cs="Times New Roman"/>
          <w:sz w:val="24"/>
          <w:szCs w:val="24"/>
        </w:rPr>
        <w:t xml:space="preserve"> </w:t>
      </w:r>
      <w:r w:rsidR="002304D2">
        <w:rPr>
          <w:rFonts w:ascii="Times New Roman" w:hAnsi="Times New Roman" w:cs="Times New Roman"/>
          <w:sz w:val="24"/>
          <w:szCs w:val="24"/>
        </w:rPr>
        <w:t>that</w:t>
      </w:r>
      <w:r w:rsidR="002304D2" w:rsidRPr="002304D2">
        <w:rPr>
          <w:rFonts w:ascii="Times New Roman" w:hAnsi="Times New Roman" w:cs="Times New Roman"/>
          <w:sz w:val="24"/>
          <w:szCs w:val="24"/>
        </w:rPr>
        <w:t xml:space="preserve"> as at 2020, the country specific guidelines c</w:t>
      </w:r>
      <w:r w:rsidR="002304D2">
        <w:rPr>
          <w:rFonts w:ascii="Times New Roman" w:hAnsi="Times New Roman" w:cs="Times New Roman"/>
          <w:sz w:val="24"/>
          <w:szCs w:val="24"/>
        </w:rPr>
        <w:t>an</w:t>
      </w:r>
      <w:r w:rsidR="002304D2" w:rsidRPr="002304D2">
        <w:rPr>
          <w:rFonts w:ascii="Times New Roman" w:hAnsi="Times New Roman" w:cs="Times New Roman"/>
          <w:sz w:val="24"/>
          <w:szCs w:val="24"/>
        </w:rPr>
        <w:t xml:space="preserve"> be viewed on the website of the Department of Agriculture, Water and the Environment.</w:t>
      </w:r>
    </w:p>
    <w:p w14:paraId="4C22E26D" w14:textId="77777777"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br w:type="page"/>
      </w:r>
    </w:p>
    <w:p w14:paraId="71553DBF" w14:textId="77777777" w:rsidR="007C02FF" w:rsidRPr="005D1ABF" w:rsidRDefault="007C02FF" w:rsidP="007C02FF">
      <w:pPr>
        <w:pStyle w:val="Normal-em"/>
        <w:spacing w:after="0" w:line="240" w:lineRule="auto"/>
        <w:jc w:val="right"/>
        <w:rPr>
          <w:b/>
          <w:caps/>
          <w:szCs w:val="24"/>
          <w:u w:val="single"/>
        </w:rPr>
      </w:pPr>
      <w:r w:rsidRPr="005D1ABF">
        <w:rPr>
          <w:b/>
          <w:caps/>
          <w:szCs w:val="24"/>
          <w:u w:val="single"/>
        </w:rPr>
        <w:lastRenderedPageBreak/>
        <w:t>Attachment</w:t>
      </w:r>
      <w:r>
        <w:rPr>
          <w:b/>
          <w:caps/>
          <w:szCs w:val="24"/>
          <w:u w:val="single"/>
        </w:rPr>
        <w:t xml:space="preserve"> B</w:t>
      </w:r>
    </w:p>
    <w:p w14:paraId="6E2EB388" w14:textId="77777777" w:rsidR="007C02FF" w:rsidRDefault="007C02FF" w:rsidP="005D1ABF">
      <w:pPr>
        <w:spacing w:after="0" w:line="240" w:lineRule="auto"/>
        <w:jc w:val="center"/>
        <w:rPr>
          <w:rFonts w:ascii="Times New Roman" w:hAnsi="Times New Roman" w:cs="Times New Roman"/>
          <w:b/>
          <w:sz w:val="24"/>
          <w:szCs w:val="24"/>
        </w:rPr>
      </w:pPr>
    </w:p>
    <w:p w14:paraId="10AA5F05" w14:textId="77777777" w:rsidR="002B1DB3" w:rsidRDefault="002B1DB3" w:rsidP="005D1ABF">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14:paraId="730C0AF8" w14:textId="77777777" w:rsidR="002C177A" w:rsidRPr="005D1ABF" w:rsidRDefault="002C177A" w:rsidP="005D1ABF">
      <w:pPr>
        <w:spacing w:after="0" w:line="240" w:lineRule="auto"/>
        <w:jc w:val="center"/>
        <w:rPr>
          <w:rFonts w:ascii="Times New Roman" w:hAnsi="Times New Roman" w:cs="Times New Roman"/>
          <w:b/>
          <w:sz w:val="24"/>
          <w:szCs w:val="24"/>
        </w:rPr>
      </w:pPr>
    </w:p>
    <w:p w14:paraId="300DC93A" w14:textId="77777777"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 2011</w:t>
      </w:r>
    </w:p>
    <w:p w14:paraId="1BED76BC" w14:textId="77777777" w:rsidR="002B1DB3" w:rsidRPr="005D1ABF" w:rsidRDefault="002B1DB3" w:rsidP="005D1ABF">
      <w:pPr>
        <w:spacing w:after="0" w:line="240" w:lineRule="auto"/>
        <w:jc w:val="center"/>
        <w:rPr>
          <w:rFonts w:ascii="Times New Roman" w:hAnsi="Times New Roman" w:cs="Times New Roman"/>
          <w:sz w:val="24"/>
          <w:szCs w:val="24"/>
        </w:rPr>
      </w:pPr>
    </w:p>
    <w:p w14:paraId="7FF0DAC4" w14:textId="785C3CB6" w:rsidR="002B1DB3" w:rsidRDefault="00BE2404" w:rsidP="005D1ABF">
      <w:pPr>
        <w:spacing w:after="0" w:line="240" w:lineRule="auto"/>
        <w:jc w:val="center"/>
        <w:rPr>
          <w:rFonts w:ascii="Times New Roman" w:hAnsi="Times New Roman" w:cs="Times New Roman"/>
          <w:b/>
          <w:sz w:val="24"/>
          <w:szCs w:val="24"/>
        </w:rPr>
      </w:pPr>
      <w:r w:rsidRPr="00BE2404">
        <w:rPr>
          <w:rFonts w:ascii="Times New Roman" w:hAnsi="Times New Roman" w:cs="Times New Roman"/>
          <w:b/>
          <w:sz w:val="24"/>
          <w:szCs w:val="24"/>
        </w:rPr>
        <w:t>Illegal Logging Prohibition Amendment (Country Specific Guidelines) Regulations 2020</w:t>
      </w:r>
    </w:p>
    <w:p w14:paraId="5605948D" w14:textId="77777777" w:rsidR="007C02FF" w:rsidRPr="00A36027" w:rsidRDefault="007C02FF" w:rsidP="005D1ABF">
      <w:pPr>
        <w:spacing w:after="0" w:line="240" w:lineRule="auto"/>
        <w:jc w:val="center"/>
        <w:rPr>
          <w:rFonts w:ascii="Times New Roman" w:hAnsi="Times New Roman" w:cs="Times New Roman"/>
          <w:sz w:val="24"/>
          <w:szCs w:val="24"/>
        </w:rPr>
      </w:pPr>
    </w:p>
    <w:p w14:paraId="2F20CF19" w14:textId="77777777" w:rsidR="002B1DB3" w:rsidRPr="005D1ABF" w:rsidRDefault="002B1DB3" w:rsidP="002C177A">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14:paraId="18B5BED0" w14:textId="77777777" w:rsidR="002B1DB3" w:rsidRPr="005D1ABF" w:rsidRDefault="002B1DB3" w:rsidP="005D1ABF">
      <w:pPr>
        <w:spacing w:after="0" w:line="240" w:lineRule="auto"/>
        <w:rPr>
          <w:rFonts w:ascii="Times New Roman" w:hAnsi="Times New Roman" w:cs="Times New Roman"/>
          <w:sz w:val="24"/>
          <w:szCs w:val="24"/>
        </w:rPr>
      </w:pPr>
    </w:p>
    <w:p w14:paraId="0F65E50B"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Overview of the Legislative Instrument</w:t>
      </w:r>
    </w:p>
    <w:p w14:paraId="5310824E" w14:textId="77777777" w:rsidR="002B1DB3" w:rsidRPr="002304D2" w:rsidRDefault="002B1DB3" w:rsidP="005D1ABF">
      <w:pPr>
        <w:spacing w:after="0" w:line="240" w:lineRule="auto"/>
        <w:rPr>
          <w:rFonts w:ascii="Times New Roman" w:hAnsi="Times New Roman" w:cs="Times New Roman"/>
          <w:color w:val="000000" w:themeColor="text1"/>
          <w:sz w:val="24"/>
          <w:szCs w:val="24"/>
        </w:rPr>
      </w:pPr>
    </w:p>
    <w:p w14:paraId="3B63C3BA" w14:textId="1753792C" w:rsidR="002B1DB3" w:rsidRPr="002304D2" w:rsidRDefault="007C02FF" w:rsidP="005D1ABF">
      <w:pPr>
        <w:spacing w:after="0" w:line="240" w:lineRule="auto"/>
        <w:rPr>
          <w:rFonts w:ascii="Times New Roman" w:hAnsi="Times New Roman"/>
          <w:color w:val="000000" w:themeColor="text1"/>
          <w:sz w:val="24"/>
          <w:szCs w:val="24"/>
        </w:rPr>
      </w:pPr>
      <w:r w:rsidRPr="002304D2">
        <w:rPr>
          <w:rFonts w:ascii="Times New Roman" w:hAnsi="Times New Roman"/>
          <w:color w:val="000000" w:themeColor="text1"/>
          <w:sz w:val="24"/>
          <w:szCs w:val="24"/>
        </w:rPr>
        <w:t xml:space="preserve">The </w:t>
      </w:r>
      <w:r w:rsidR="00BE2404" w:rsidRPr="002304D2">
        <w:rPr>
          <w:rFonts w:ascii="Times New Roman" w:hAnsi="Times New Roman"/>
          <w:i/>
          <w:color w:val="000000" w:themeColor="text1"/>
          <w:sz w:val="24"/>
          <w:szCs w:val="24"/>
        </w:rPr>
        <w:t>Illegal Logging Prohibition Amendment (Country Specific Guidelines) Regulations 2020</w:t>
      </w:r>
      <w:r w:rsidRPr="002304D2">
        <w:rPr>
          <w:rFonts w:ascii="Times New Roman" w:hAnsi="Times New Roman"/>
          <w:color w:val="000000" w:themeColor="text1"/>
          <w:sz w:val="24"/>
          <w:szCs w:val="24"/>
        </w:rPr>
        <w:t xml:space="preserve"> amend the </w:t>
      </w:r>
      <w:r w:rsidRPr="002304D2">
        <w:rPr>
          <w:rFonts w:ascii="Times New Roman" w:hAnsi="Times New Roman"/>
          <w:i/>
          <w:color w:val="000000" w:themeColor="text1"/>
          <w:sz w:val="24"/>
          <w:szCs w:val="24"/>
        </w:rPr>
        <w:t>Illegal Logging Prohibition Regulation 2012</w:t>
      </w:r>
      <w:r w:rsidRPr="002304D2">
        <w:rPr>
          <w:rFonts w:ascii="Times New Roman" w:hAnsi="Times New Roman"/>
          <w:color w:val="000000" w:themeColor="text1"/>
          <w:sz w:val="24"/>
          <w:szCs w:val="24"/>
        </w:rPr>
        <w:t xml:space="preserve"> to add new and revised country specific guidelines to Schedule 2.</w:t>
      </w:r>
    </w:p>
    <w:p w14:paraId="7D5884CB" w14:textId="77777777" w:rsidR="007C02FF" w:rsidRPr="002304D2" w:rsidRDefault="007C02FF" w:rsidP="005D1ABF">
      <w:pPr>
        <w:spacing w:after="0" w:line="240" w:lineRule="auto"/>
        <w:rPr>
          <w:rFonts w:ascii="Times New Roman" w:hAnsi="Times New Roman" w:cs="Times New Roman"/>
          <w:color w:val="000000" w:themeColor="text1"/>
          <w:sz w:val="24"/>
          <w:szCs w:val="24"/>
        </w:rPr>
      </w:pPr>
    </w:p>
    <w:p w14:paraId="47EB51DD" w14:textId="77777777" w:rsidR="002B1DB3" w:rsidRPr="002304D2" w:rsidRDefault="002B1DB3" w:rsidP="005D1ABF">
      <w:pPr>
        <w:spacing w:after="0" w:line="240" w:lineRule="auto"/>
        <w:jc w:val="both"/>
        <w:rPr>
          <w:rFonts w:ascii="Times New Roman" w:hAnsi="Times New Roman" w:cs="Times New Roman"/>
          <w:b/>
          <w:color w:val="000000" w:themeColor="text1"/>
          <w:sz w:val="24"/>
          <w:szCs w:val="24"/>
        </w:rPr>
      </w:pPr>
      <w:r w:rsidRPr="002304D2">
        <w:rPr>
          <w:rFonts w:ascii="Times New Roman" w:hAnsi="Times New Roman" w:cs="Times New Roman"/>
          <w:b/>
          <w:color w:val="000000" w:themeColor="text1"/>
          <w:sz w:val="24"/>
          <w:szCs w:val="24"/>
        </w:rPr>
        <w:t>Human rights implications</w:t>
      </w:r>
    </w:p>
    <w:p w14:paraId="29B05757" w14:textId="77777777" w:rsidR="007B052D" w:rsidRPr="002304D2" w:rsidRDefault="007B052D" w:rsidP="005D1ABF">
      <w:pPr>
        <w:spacing w:after="0" w:line="240" w:lineRule="auto"/>
        <w:jc w:val="both"/>
        <w:rPr>
          <w:rFonts w:ascii="Times New Roman" w:hAnsi="Times New Roman" w:cs="Times New Roman"/>
          <w:b/>
          <w:color w:val="000000" w:themeColor="text1"/>
          <w:sz w:val="24"/>
          <w:szCs w:val="24"/>
        </w:rPr>
      </w:pPr>
    </w:p>
    <w:p w14:paraId="6D136617" w14:textId="77777777" w:rsidR="002B1DB3" w:rsidRPr="002304D2" w:rsidRDefault="002B1DB3" w:rsidP="005D1ABF">
      <w:pPr>
        <w:spacing w:after="0" w:line="240" w:lineRule="auto"/>
        <w:rPr>
          <w:rFonts w:ascii="Times New Roman" w:hAnsi="Times New Roman" w:cs="Times New Roman"/>
          <w:color w:val="000000" w:themeColor="text1"/>
          <w:sz w:val="24"/>
          <w:szCs w:val="24"/>
        </w:rPr>
      </w:pPr>
      <w:r w:rsidRPr="002304D2">
        <w:rPr>
          <w:rFonts w:ascii="Times New Roman" w:hAnsi="Times New Roman" w:cs="Times New Roman"/>
          <w:color w:val="000000" w:themeColor="text1"/>
          <w:sz w:val="24"/>
          <w:szCs w:val="24"/>
        </w:rPr>
        <w:t>This Legislative Instrument does not engage any of the applicable rights or freedoms.</w:t>
      </w:r>
    </w:p>
    <w:p w14:paraId="1C40771F" w14:textId="77777777" w:rsidR="00390CCA" w:rsidRPr="002304D2" w:rsidRDefault="00390CCA" w:rsidP="005D1ABF">
      <w:pPr>
        <w:spacing w:after="0" w:line="240" w:lineRule="auto"/>
        <w:rPr>
          <w:rFonts w:ascii="Times New Roman" w:hAnsi="Times New Roman" w:cs="Times New Roman"/>
          <w:color w:val="000000" w:themeColor="text1"/>
          <w:sz w:val="24"/>
          <w:szCs w:val="24"/>
        </w:rPr>
      </w:pPr>
    </w:p>
    <w:p w14:paraId="70268FFD" w14:textId="77777777" w:rsidR="002B1DB3" w:rsidRPr="002304D2" w:rsidRDefault="002B1DB3" w:rsidP="005D1ABF">
      <w:pPr>
        <w:spacing w:after="0" w:line="240" w:lineRule="auto"/>
        <w:jc w:val="both"/>
        <w:rPr>
          <w:rFonts w:ascii="Times New Roman" w:hAnsi="Times New Roman" w:cs="Times New Roman"/>
          <w:b/>
          <w:color w:val="000000" w:themeColor="text1"/>
          <w:sz w:val="24"/>
          <w:szCs w:val="24"/>
        </w:rPr>
      </w:pPr>
      <w:r w:rsidRPr="002304D2">
        <w:rPr>
          <w:rFonts w:ascii="Times New Roman" w:hAnsi="Times New Roman" w:cs="Times New Roman"/>
          <w:b/>
          <w:color w:val="000000" w:themeColor="text1"/>
          <w:sz w:val="24"/>
          <w:szCs w:val="24"/>
        </w:rPr>
        <w:t>Conclusion</w:t>
      </w:r>
    </w:p>
    <w:p w14:paraId="126ED1CD" w14:textId="77777777" w:rsidR="007B052D" w:rsidRPr="002304D2" w:rsidRDefault="007B052D" w:rsidP="005D1ABF">
      <w:pPr>
        <w:spacing w:after="0" w:line="240" w:lineRule="auto"/>
        <w:jc w:val="both"/>
        <w:rPr>
          <w:rFonts w:ascii="Times New Roman" w:hAnsi="Times New Roman" w:cs="Times New Roman"/>
          <w:b/>
          <w:color w:val="000000" w:themeColor="text1"/>
          <w:sz w:val="24"/>
          <w:szCs w:val="24"/>
        </w:rPr>
      </w:pPr>
    </w:p>
    <w:p w14:paraId="407366BC" w14:textId="77777777" w:rsidR="002B1DB3" w:rsidRPr="002304D2" w:rsidRDefault="002B1DB3" w:rsidP="005D1ABF">
      <w:pPr>
        <w:spacing w:after="0" w:line="240" w:lineRule="auto"/>
        <w:rPr>
          <w:rFonts w:ascii="Times New Roman" w:hAnsi="Times New Roman" w:cs="Times New Roman"/>
          <w:color w:val="000000" w:themeColor="text1"/>
          <w:sz w:val="24"/>
          <w:szCs w:val="24"/>
        </w:rPr>
      </w:pPr>
      <w:r w:rsidRPr="002304D2">
        <w:rPr>
          <w:rFonts w:ascii="Times New Roman" w:hAnsi="Times New Roman" w:cs="Times New Roman"/>
          <w:color w:val="000000" w:themeColor="text1"/>
          <w:sz w:val="24"/>
          <w:szCs w:val="24"/>
        </w:rPr>
        <w:t>This Legislative Instrument is compatible with human rights as it does not raise any human rights issues.</w:t>
      </w:r>
    </w:p>
    <w:p w14:paraId="26391C28" w14:textId="77777777" w:rsidR="00390CCA" w:rsidRPr="002304D2" w:rsidRDefault="00390CCA" w:rsidP="005D1ABF">
      <w:pPr>
        <w:spacing w:after="0" w:line="240" w:lineRule="auto"/>
        <w:rPr>
          <w:rFonts w:ascii="Times New Roman" w:hAnsi="Times New Roman" w:cs="Times New Roman"/>
          <w:color w:val="000000" w:themeColor="text1"/>
          <w:sz w:val="24"/>
          <w:szCs w:val="24"/>
        </w:rPr>
      </w:pPr>
    </w:p>
    <w:p w14:paraId="77F9E68C" w14:textId="77777777" w:rsidR="00A36027" w:rsidRPr="002304D2" w:rsidRDefault="00A36027" w:rsidP="005D1ABF">
      <w:pPr>
        <w:spacing w:after="0" w:line="240" w:lineRule="auto"/>
        <w:rPr>
          <w:rFonts w:ascii="Times New Roman" w:hAnsi="Times New Roman" w:cs="Times New Roman"/>
          <w:color w:val="000000" w:themeColor="text1"/>
          <w:sz w:val="24"/>
          <w:szCs w:val="24"/>
        </w:rPr>
      </w:pPr>
    </w:p>
    <w:p w14:paraId="490E75A8" w14:textId="77777777" w:rsidR="002B1DB3" w:rsidRPr="002304D2" w:rsidRDefault="002B1DB3" w:rsidP="005D1ABF">
      <w:pPr>
        <w:spacing w:after="0" w:line="240" w:lineRule="auto"/>
        <w:rPr>
          <w:rFonts w:ascii="Times New Roman" w:hAnsi="Times New Roman" w:cs="Times New Roman"/>
          <w:color w:val="000000" w:themeColor="text1"/>
          <w:sz w:val="24"/>
          <w:szCs w:val="24"/>
        </w:rPr>
      </w:pPr>
    </w:p>
    <w:p w14:paraId="4AC47DFB" w14:textId="77777777" w:rsidR="002B1DB3" w:rsidRPr="002304D2" w:rsidRDefault="002B1DB3" w:rsidP="005D1ABF">
      <w:pPr>
        <w:spacing w:after="0" w:line="240" w:lineRule="auto"/>
        <w:rPr>
          <w:rFonts w:ascii="Times New Roman" w:hAnsi="Times New Roman" w:cs="Times New Roman"/>
          <w:color w:val="000000" w:themeColor="text1"/>
          <w:sz w:val="24"/>
          <w:szCs w:val="24"/>
        </w:rPr>
      </w:pPr>
    </w:p>
    <w:p w14:paraId="6F21D8C1" w14:textId="77777777" w:rsidR="00BE6861" w:rsidRPr="002304D2" w:rsidRDefault="00BE6861" w:rsidP="005D1ABF">
      <w:pPr>
        <w:spacing w:after="0" w:line="240" w:lineRule="auto"/>
        <w:jc w:val="center"/>
        <w:rPr>
          <w:rFonts w:ascii="Times New Roman" w:hAnsi="Times New Roman" w:cs="Times New Roman"/>
          <w:b/>
          <w:bCs/>
          <w:color w:val="000000" w:themeColor="text1"/>
          <w:sz w:val="24"/>
          <w:szCs w:val="24"/>
        </w:rPr>
      </w:pPr>
    </w:p>
    <w:p w14:paraId="00854466" w14:textId="77777777" w:rsidR="00A36027" w:rsidRPr="002304D2" w:rsidRDefault="00A36027" w:rsidP="005D1ABF">
      <w:pPr>
        <w:spacing w:after="0" w:line="240" w:lineRule="auto"/>
        <w:jc w:val="center"/>
        <w:rPr>
          <w:rFonts w:ascii="Times New Roman" w:hAnsi="Times New Roman" w:cs="Times New Roman"/>
          <w:b/>
          <w:bCs/>
          <w:color w:val="000000" w:themeColor="text1"/>
          <w:sz w:val="24"/>
          <w:szCs w:val="24"/>
        </w:rPr>
      </w:pPr>
    </w:p>
    <w:p w14:paraId="139DC045" w14:textId="77777777" w:rsidR="003F2B62" w:rsidRPr="003F2B62" w:rsidRDefault="003F2B62" w:rsidP="003F2B62">
      <w:pPr>
        <w:spacing w:after="0" w:line="240" w:lineRule="auto"/>
        <w:jc w:val="center"/>
        <w:rPr>
          <w:rFonts w:ascii="Times New Roman" w:hAnsi="Times New Roman" w:cs="Times New Roman"/>
          <w:b/>
          <w:bCs/>
          <w:sz w:val="24"/>
          <w:szCs w:val="24"/>
        </w:rPr>
      </w:pPr>
      <w:r w:rsidRPr="002304D2">
        <w:rPr>
          <w:rFonts w:ascii="Times New Roman" w:hAnsi="Times New Roman" w:cs="Times New Roman"/>
          <w:b/>
          <w:bCs/>
          <w:color w:val="000000" w:themeColor="text1"/>
          <w:sz w:val="24"/>
          <w:szCs w:val="24"/>
        </w:rPr>
        <w:t xml:space="preserve">The Hon. David Littleproud </w:t>
      </w:r>
      <w:r w:rsidRPr="003F2B62">
        <w:rPr>
          <w:rFonts w:ascii="Times New Roman" w:hAnsi="Times New Roman" w:cs="Times New Roman"/>
          <w:b/>
          <w:bCs/>
          <w:sz w:val="24"/>
          <w:szCs w:val="24"/>
        </w:rPr>
        <w:t>MP</w:t>
      </w:r>
    </w:p>
    <w:p w14:paraId="25E5C7EC" w14:textId="32DCAD3C" w:rsidR="00B80A1E" w:rsidRDefault="00207ABA" w:rsidP="00B80A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Minister for Agriculture, </w:t>
      </w:r>
      <w:r w:rsidR="00173471">
        <w:rPr>
          <w:rFonts w:ascii="Times New Roman" w:hAnsi="Times New Roman" w:cs="Times New Roman"/>
          <w:b/>
          <w:bCs/>
          <w:sz w:val="24"/>
          <w:szCs w:val="24"/>
        </w:rPr>
        <w:t>Drought and Emergency Management</w:t>
      </w:r>
    </w:p>
    <w:p w14:paraId="7B337831" w14:textId="77777777" w:rsidR="00155159" w:rsidRDefault="00155159" w:rsidP="00B80A1E">
      <w:pPr>
        <w:spacing w:after="0" w:line="240" w:lineRule="auto"/>
        <w:jc w:val="center"/>
        <w:rPr>
          <w:rFonts w:ascii="Times New Roman" w:hAnsi="Times New Roman" w:cs="Times New Roman"/>
          <w:b/>
          <w:bCs/>
          <w:sz w:val="24"/>
          <w:szCs w:val="24"/>
        </w:rPr>
      </w:pPr>
    </w:p>
    <w:p w14:paraId="0096F4FD" w14:textId="77777777" w:rsidR="00543F39" w:rsidRDefault="00543F39" w:rsidP="00B80A1E">
      <w:pPr>
        <w:spacing w:after="0" w:line="240" w:lineRule="auto"/>
        <w:jc w:val="center"/>
        <w:rPr>
          <w:rFonts w:ascii="Times New Roman" w:hAnsi="Times New Roman" w:cs="Times New Roman"/>
          <w:b/>
          <w:bCs/>
          <w:sz w:val="24"/>
          <w:szCs w:val="24"/>
        </w:rPr>
      </w:pPr>
    </w:p>
    <w:sectPr w:rsidR="00543F39" w:rsidSect="001C09FB">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D4778" w14:textId="77777777" w:rsidR="009A2F1E" w:rsidRDefault="009A2F1E" w:rsidP="00151C54">
      <w:r>
        <w:separator/>
      </w:r>
    </w:p>
  </w:endnote>
  <w:endnote w:type="continuationSeparator" w:id="0">
    <w:p w14:paraId="34EAD433" w14:textId="77777777" w:rsidR="009A2F1E" w:rsidRDefault="009A2F1E"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C888F" w14:textId="77777777" w:rsidR="009A2F1E" w:rsidRDefault="009A2F1E" w:rsidP="00151C54">
      <w:r>
        <w:separator/>
      </w:r>
    </w:p>
  </w:footnote>
  <w:footnote w:type="continuationSeparator" w:id="0">
    <w:p w14:paraId="52A6606D" w14:textId="77777777" w:rsidR="009A2F1E" w:rsidRDefault="009A2F1E" w:rsidP="00151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053AF6"/>
    <w:multiLevelType w:val="hybridMultilevel"/>
    <w:tmpl w:val="5398782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0"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1"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17"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BBF3242"/>
    <w:multiLevelType w:val="hybridMultilevel"/>
    <w:tmpl w:val="7F3A7AB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9"/>
  </w:num>
  <w:num w:numId="2">
    <w:abstractNumId w:val="20"/>
  </w:num>
  <w:num w:numId="3">
    <w:abstractNumId w:val="12"/>
  </w:num>
  <w:num w:numId="4">
    <w:abstractNumId w:val="4"/>
  </w:num>
  <w:num w:numId="5">
    <w:abstractNumId w:val="1"/>
  </w:num>
  <w:num w:numId="6">
    <w:abstractNumId w:val="8"/>
  </w:num>
  <w:num w:numId="7">
    <w:abstractNumId w:val="2"/>
  </w:num>
  <w:num w:numId="8">
    <w:abstractNumId w:val="6"/>
  </w:num>
  <w:num w:numId="9">
    <w:abstractNumId w:val="7"/>
  </w:num>
  <w:num w:numId="10">
    <w:abstractNumId w:val="15"/>
  </w:num>
  <w:num w:numId="11">
    <w:abstractNumId w:val="17"/>
  </w:num>
  <w:num w:numId="12">
    <w:abstractNumId w:val="10"/>
  </w:num>
  <w:num w:numId="13">
    <w:abstractNumId w:val="10"/>
    <w:lvlOverride w:ilvl="0">
      <w:startOverride w:val="1"/>
    </w:lvlOverride>
  </w:num>
  <w:num w:numId="14">
    <w:abstractNumId w:val="0"/>
  </w:num>
  <w:num w:numId="15">
    <w:abstractNumId w:val="14"/>
  </w:num>
  <w:num w:numId="16">
    <w:abstractNumId w:val="19"/>
  </w:num>
  <w:num w:numId="17">
    <w:abstractNumId w:val="13"/>
  </w:num>
  <w:num w:numId="18">
    <w:abstractNumId w:val="11"/>
  </w:num>
  <w:num w:numId="19">
    <w:abstractNumId w:val="5"/>
  </w:num>
  <w:num w:numId="20">
    <w:abstractNumId w:val="3"/>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en-AU" w:vendorID="64" w:dllVersion="6" w:nlCheck="1" w:checkStyle="1"/>
  <w:activeWritingStyle w:appName="MSWord" w:lang="en-A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223C5"/>
    <w:rsid w:val="00035636"/>
    <w:rsid w:val="000503F4"/>
    <w:rsid w:val="000629B8"/>
    <w:rsid w:val="000645AB"/>
    <w:rsid w:val="00065269"/>
    <w:rsid w:val="00092F2C"/>
    <w:rsid w:val="000962BA"/>
    <w:rsid w:val="000976DB"/>
    <w:rsid w:val="000A52A2"/>
    <w:rsid w:val="000A65F6"/>
    <w:rsid w:val="000B06B1"/>
    <w:rsid w:val="000B129E"/>
    <w:rsid w:val="000C3693"/>
    <w:rsid w:val="000D07B5"/>
    <w:rsid w:val="000D78D6"/>
    <w:rsid w:val="000F08F2"/>
    <w:rsid w:val="00102163"/>
    <w:rsid w:val="001125D9"/>
    <w:rsid w:val="00113C4E"/>
    <w:rsid w:val="0012062A"/>
    <w:rsid w:val="00127498"/>
    <w:rsid w:val="0012775E"/>
    <w:rsid w:val="001372D1"/>
    <w:rsid w:val="00143F3A"/>
    <w:rsid w:val="00151C54"/>
    <w:rsid w:val="00153032"/>
    <w:rsid w:val="00155159"/>
    <w:rsid w:val="00161CE2"/>
    <w:rsid w:val="001669D6"/>
    <w:rsid w:val="00173471"/>
    <w:rsid w:val="001746B7"/>
    <w:rsid w:val="00175BD8"/>
    <w:rsid w:val="001763D6"/>
    <w:rsid w:val="00180DEF"/>
    <w:rsid w:val="001813AC"/>
    <w:rsid w:val="00181A30"/>
    <w:rsid w:val="0018228A"/>
    <w:rsid w:val="001A3865"/>
    <w:rsid w:val="001A5CE3"/>
    <w:rsid w:val="001C09FB"/>
    <w:rsid w:val="001C227E"/>
    <w:rsid w:val="001D006D"/>
    <w:rsid w:val="001E1A14"/>
    <w:rsid w:val="001E6727"/>
    <w:rsid w:val="001F47AF"/>
    <w:rsid w:val="001F5A48"/>
    <w:rsid w:val="00203456"/>
    <w:rsid w:val="00203AAB"/>
    <w:rsid w:val="00207ABA"/>
    <w:rsid w:val="00223CC7"/>
    <w:rsid w:val="00224D28"/>
    <w:rsid w:val="002304D2"/>
    <w:rsid w:val="00236F07"/>
    <w:rsid w:val="002675B0"/>
    <w:rsid w:val="00271C2E"/>
    <w:rsid w:val="002737B5"/>
    <w:rsid w:val="00273C11"/>
    <w:rsid w:val="0027637A"/>
    <w:rsid w:val="0029727D"/>
    <w:rsid w:val="002A500B"/>
    <w:rsid w:val="002B1DB3"/>
    <w:rsid w:val="002B2B54"/>
    <w:rsid w:val="002C177A"/>
    <w:rsid w:val="002D1FDB"/>
    <w:rsid w:val="002D2972"/>
    <w:rsid w:val="002D3CE5"/>
    <w:rsid w:val="002D41BA"/>
    <w:rsid w:val="002E3939"/>
    <w:rsid w:val="002F2F4C"/>
    <w:rsid w:val="003015AF"/>
    <w:rsid w:val="003064B1"/>
    <w:rsid w:val="003228F6"/>
    <w:rsid w:val="003376BA"/>
    <w:rsid w:val="0034613E"/>
    <w:rsid w:val="00355546"/>
    <w:rsid w:val="003710C0"/>
    <w:rsid w:val="003869BF"/>
    <w:rsid w:val="00387B76"/>
    <w:rsid w:val="00390CCA"/>
    <w:rsid w:val="0039127F"/>
    <w:rsid w:val="003931D0"/>
    <w:rsid w:val="003A2479"/>
    <w:rsid w:val="003A3A60"/>
    <w:rsid w:val="003B6311"/>
    <w:rsid w:val="003D6D6F"/>
    <w:rsid w:val="003E0906"/>
    <w:rsid w:val="003E1443"/>
    <w:rsid w:val="003E3F2E"/>
    <w:rsid w:val="003E3FC6"/>
    <w:rsid w:val="003E5CA0"/>
    <w:rsid w:val="003F2B62"/>
    <w:rsid w:val="00402F72"/>
    <w:rsid w:val="0040710F"/>
    <w:rsid w:val="00417598"/>
    <w:rsid w:val="004223EC"/>
    <w:rsid w:val="00442785"/>
    <w:rsid w:val="004557F1"/>
    <w:rsid w:val="004565E0"/>
    <w:rsid w:val="004607C8"/>
    <w:rsid w:val="00461420"/>
    <w:rsid w:val="00464DC9"/>
    <w:rsid w:val="00470AE8"/>
    <w:rsid w:val="00483CF0"/>
    <w:rsid w:val="00485C1E"/>
    <w:rsid w:val="004A3A20"/>
    <w:rsid w:val="004B0DD7"/>
    <w:rsid w:val="004B14D6"/>
    <w:rsid w:val="004C276E"/>
    <w:rsid w:val="004C5892"/>
    <w:rsid w:val="004D257B"/>
    <w:rsid w:val="004D27C9"/>
    <w:rsid w:val="004E5C3E"/>
    <w:rsid w:val="004E5E21"/>
    <w:rsid w:val="004E6468"/>
    <w:rsid w:val="004F09DE"/>
    <w:rsid w:val="0050279C"/>
    <w:rsid w:val="005170F1"/>
    <w:rsid w:val="00524522"/>
    <w:rsid w:val="00543544"/>
    <w:rsid w:val="00543F39"/>
    <w:rsid w:val="00547846"/>
    <w:rsid w:val="005505AB"/>
    <w:rsid w:val="00556205"/>
    <w:rsid w:val="00560AC6"/>
    <w:rsid w:val="005664BC"/>
    <w:rsid w:val="00572C90"/>
    <w:rsid w:val="00575C2F"/>
    <w:rsid w:val="00582E28"/>
    <w:rsid w:val="00587EB9"/>
    <w:rsid w:val="005902E8"/>
    <w:rsid w:val="00592216"/>
    <w:rsid w:val="005A0AB8"/>
    <w:rsid w:val="005A2B8C"/>
    <w:rsid w:val="005B0205"/>
    <w:rsid w:val="005B6B55"/>
    <w:rsid w:val="005B7015"/>
    <w:rsid w:val="005B759C"/>
    <w:rsid w:val="005C1AC3"/>
    <w:rsid w:val="005C7337"/>
    <w:rsid w:val="005D1ABF"/>
    <w:rsid w:val="005D4711"/>
    <w:rsid w:val="005D53EF"/>
    <w:rsid w:val="005E3D4B"/>
    <w:rsid w:val="005F66F2"/>
    <w:rsid w:val="006022C4"/>
    <w:rsid w:val="006168F9"/>
    <w:rsid w:val="006327D8"/>
    <w:rsid w:val="00633472"/>
    <w:rsid w:val="006400BC"/>
    <w:rsid w:val="0064772B"/>
    <w:rsid w:val="00650566"/>
    <w:rsid w:val="00652426"/>
    <w:rsid w:val="00653C86"/>
    <w:rsid w:val="006553D3"/>
    <w:rsid w:val="00661138"/>
    <w:rsid w:val="006624EA"/>
    <w:rsid w:val="0067702D"/>
    <w:rsid w:val="00680272"/>
    <w:rsid w:val="00681FEE"/>
    <w:rsid w:val="00690055"/>
    <w:rsid w:val="006A1181"/>
    <w:rsid w:val="006A253A"/>
    <w:rsid w:val="006A320D"/>
    <w:rsid w:val="006B7E05"/>
    <w:rsid w:val="006E6178"/>
    <w:rsid w:val="00700F91"/>
    <w:rsid w:val="00703D38"/>
    <w:rsid w:val="0071622C"/>
    <w:rsid w:val="00720AEC"/>
    <w:rsid w:val="00725DC1"/>
    <w:rsid w:val="00734BCB"/>
    <w:rsid w:val="00745BFD"/>
    <w:rsid w:val="00760D5F"/>
    <w:rsid w:val="00767639"/>
    <w:rsid w:val="00767D95"/>
    <w:rsid w:val="00784976"/>
    <w:rsid w:val="00794F9C"/>
    <w:rsid w:val="007B052D"/>
    <w:rsid w:val="007B3C0B"/>
    <w:rsid w:val="007B3C56"/>
    <w:rsid w:val="007B6243"/>
    <w:rsid w:val="007C02FF"/>
    <w:rsid w:val="007C45D8"/>
    <w:rsid w:val="007D19A8"/>
    <w:rsid w:val="007E3EC4"/>
    <w:rsid w:val="007E6B30"/>
    <w:rsid w:val="007F21BF"/>
    <w:rsid w:val="00813B12"/>
    <w:rsid w:val="008224BE"/>
    <w:rsid w:val="0082572E"/>
    <w:rsid w:val="008300B9"/>
    <w:rsid w:val="00831DF3"/>
    <w:rsid w:val="00841053"/>
    <w:rsid w:val="0085100D"/>
    <w:rsid w:val="008515F7"/>
    <w:rsid w:val="00860A82"/>
    <w:rsid w:val="00870516"/>
    <w:rsid w:val="00877C5B"/>
    <w:rsid w:val="00881025"/>
    <w:rsid w:val="0088771F"/>
    <w:rsid w:val="00896EBE"/>
    <w:rsid w:val="0089780D"/>
    <w:rsid w:val="008B370D"/>
    <w:rsid w:val="008B73F3"/>
    <w:rsid w:val="008C1C7B"/>
    <w:rsid w:val="008C3F1D"/>
    <w:rsid w:val="008C46C2"/>
    <w:rsid w:val="008D29F0"/>
    <w:rsid w:val="008D4378"/>
    <w:rsid w:val="008F6908"/>
    <w:rsid w:val="009152CA"/>
    <w:rsid w:val="00922C40"/>
    <w:rsid w:val="00961FB9"/>
    <w:rsid w:val="00972310"/>
    <w:rsid w:val="00973468"/>
    <w:rsid w:val="009855AF"/>
    <w:rsid w:val="009908D6"/>
    <w:rsid w:val="00992814"/>
    <w:rsid w:val="00995D93"/>
    <w:rsid w:val="00997A1B"/>
    <w:rsid w:val="009A11A2"/>
    <w:rsid w:val="009A2F1E"/>
    <w:rsid w:val="009A38F6"/>
    <w:rsid w:val="009B3BDE"/>
    <w:rsid w:val="009C2A38"/>
    <w:rsid w:val="009D5C4E"/>
    <w:rsid w:val="009E61C5"/>
    <w:rsid w:val="00A351C1"/>
    <w:rsid w:val="00A36027"/>
    <w:rsid w:val="00A37FDF"/>
    <w:rsid w:val="00A411AF"/>
    <w:rsid w:val="00A423CA"/>
    <w:rsid w:val="00A426C7"/>
    <w:rsid w:val="00A46209"/>
    <w:rsid w:val="00A629BA"/>
    <w:rsid w:val="00A806A9"/>
    <w:rsid w:val="00A92EDB"/>
    <w:rsid w:val="00AC197B"/>
    <w:rsid w:val="00AC1BE0"/>
    <w:rsid w:val="00AD1E11"/>
    <w:rsid w:val="00AD4432"/>
    <w:rsid w:val="00B030B7"/>
    <w:rsid w:val="00B20EBE"/>
    <w:rsid w:val="00B26C7F"/>
    <w:rsid w:val="00B37AB7"/>
    <w:rsid w:val="00B452D1"/>
    <w:rsid w:val="00B57443"/>
    <w:rsid w:val="00B65C14"/>
    <w:rsid w:val="00B66DFF"/>
    <w:rsid w:val="00B80A1E"/>
    <w:rsid w:val="00BA0B39"/>
    <w:rsid w:val="00BA6DBB"/>
    <w:rsid w:val="00BB0E52"/>
    <w:rsid w:val="00BB4AD3"/>
    <w:rsid w:val="00BB4CD3"/>
    <w:rsid w:val="00BB7041"/>
    <w:rsid w:val="00BC12A9"/>
    <w:rsid w:val="00BC6B2F"/>
    <w:rsid w:val="00BD34E3"/>
    <w:rsid w:val="00BD3594"/>
    <w:rsid w:val="00BE2404"/>
    <w:rsid w:val="00BE6861"/>
    <w:rsid w:val="00C06F49"/>
    <w:rsid w:val="00C142FA"/>
    <w:rsid w:val="00C154F5"/>
    <w:rsid w:val="00C23AAE"/>
    <w:rsid w:val="00C32367"/>
    <w:rsid w:val="00C36CC7"/>
    <w:rsid w:val="00C43E32"/>
    <w:rsid w:val="00C4623B"/>
    <w:rsid w:val="00C463C2"/>
    <w:rsid w:val="00C52CC5"/>
    <w:rsid w:val="00C55BA8"/>
    <w:rsid w:val="00C57334"/>
    <w:rsid w:val="00C81402"/>
    <w:rsid w:val="00C9474A"/>
    <w:rsid w:val="00CA121F"/>
    <w:rsid w:val="00CA6F6B"/>
    <w:rsid w:val="00CB1C30"/>
    <w:rsid w:val="00CB26E2"/>
    <w:rsid w:val="00CB5929"/>
    <w:rsid w:val="00CD7150"/>
    <w:rsid w:val="00CE50EA"/>
    <w:rsid w:val="00CE72E2"/>
    <w:rsid w:val="00CE73AE"/>
    <w:rsid w:val="00CF1E27"/>
    <w:rsid w:val="00CF2006"/>
    <w:rsid w:val="00CF7161"/>
    <w:rsid w:val="00D0550D"/>
    <w:rsid w:val="00D076DD"/>
    <w:rsid w:val="00D121A6"/>
    <w:rsid w:val="00D12E82"/>
    <w:rsid w:val="00D45E13"/>
    <w:rsid w:val="00D557BA"/>
    <w:rsid w:val="00D67088"/>
    <w:rsid w:val="00D70F10"/>
    <w:rsid w:val="00D80F37"/>
    <w:rsid w:val="00D93E42"/>
    <w:rsid w:val="00DA2671"/>
    <w:rsid w:val="00DA6802"/>
    <w:rsid w:val="00DB65DE"/>
    <w:rsid w:val="00DD2C31"/>
    <w:rsid w:val="00DE2764"/>
    <w:rsid w:val="00DE6B9D"/>
    <w:rsid w:val="00DF3F6E"/>
    <w:rsid w:val="00E14B41"/>
    <w:rsid w:val="00E17A7C"/>
    <w:rsid w:val="00E34976"/>
    <w:rsid w:val="00E510A0"/>
    <w:rsid w:val="00E552D3"/>
    <w:rsid w:val="00E555F7"/>
    <w:rsid w:val="00E57D7B"/>
    <w:rsid w:val="00E70274"/>
    <w:rsid w:val="00E76AB5"/>
    <w:rsid w:val="00E922D3"/>
    <w:rsid w:val="00E9571B"/>
    <w:rsid w:val="00EA7474"/>
    <w:rsid w:val="00EC4AD6"/>
    <w:rsid w:val="00EE0A3F"/>
    <w:rsid w:val="00F11BB3"/>
    <w:rsid w:val="00F12365"/>
    <w:rsid w:val="00F55FED"/>
    <w:rsid w:val="00F95723"/>
    <w:rsid w:val="00F97B6B"/>
    <w:rsid w:val="00FA26FF"/>
    <w:rsid w:val="00FA65D3"/>
    <w:rsid w:val="00FB4B41"/>
    <w:rsid w:val="00FD3A27"/>
    <w:rsid w:val="00FE3DFD"/>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shapelayout v:ext="edit">
      <o:idmap v:ext="edit" data="1"/>
    </o:shapelayout>
  </w:shapeDefaults>
  <w:decimalSymbol w:val="."/>
  <w:listSeparator w:val=","/>
  <w14:docId w14:val="1E684D7F"/>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riculture.gov.au/forestry/policies/illegal-logging/importers/resourc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griculture.gov.au/forestry/policies/illegal-logging/importers/resources" TargetMode="External"/><Relationship Id="rId5" Type="http://schemas.openxmlformats.org/officeDocument/2006/relationships/webSettings" Target="webSettings.xml"/><Relationship Id="rId10" Type="http://schemas.openxmlformats.org/officeDocument/2006/relationships/hyperlink" Target="https://www.agriculture.gov.au/forestry/policies/illegal-logging/importers/resources" TargetMode="External"/><Relationship Id="rId4" Type="http://schemas.openxmlformats.org/officeDocument/2006/relationships/settings" Target="settings.xml"/><Relationship Id="rId9" Type="http://schemas.openxmlformats.org/officeDocument/2006/relationships/hyperlink" Target="https://www.agriculture.gov.au/forestry/policies/illegal-logging/importers/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63E73-DF2A-4D34-A23E-3A2527A9D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2184</Words>
  <Characters>12454</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Meritt Nassif</dc:creator>
  <cp:lastModifiedBy>Dernelley, Jane</cp:lastModifiedBy>
  <cp:revision>2</cp:revision>
  <cp:lastPrinted>2020-02-13T23:53:00Z</cp:lastPrinted>
  <dcterms:created xsi:type="dcterms:W3CDTF">2020-05-26T23:01:00Z</dcterms:created>
  <dcterms:modified xsi:type="dcterms:W3CDTF">2020-05-26T23:01:00Z</dcterms:modified>
</cp:coreProperties>
</file>