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89B81" w14:textId="3B0569BF" w:rsidR="002B1DB3" w:rsidRPr="00A15849" w:rsidRDefault="001813AC" w:rsidP="005D1ABF">
      <w:pPr>
        <w:spacing w:after="0" w:line="240" w:lineRule="auto"/>
        <w:jc w:val="center"/>
        <w:rPr>
          <w:rFonts w:ascii="Times New Roman" w:hAnsi="Times New Roman" w:cs="Times New Roman"/>
          <w:b/>
          <w:caps/>
          <w:sz w:val="24"/>
          <w:szCs w:val="24"/>
          <w:u w:val="single"/>
        </w:rPr>
      </w:pPr>
      <w:r w:rsidRPr="00A15849">
        <w:rPr>
          <w:rFonts w:ascii="Times New Roman" w:hAnsi="Times New Roman" w:cs="Times New Roman"/>
          <w:b/>
          <w:caps/>
          <w:sz w:val="24"/>
          <w:szCs w:val="24"/>
          <w:u w:val="single"/>
        </w:rPr>
        <w:t>Explanatory Statement</w:t>
      </w:r>
    </w:p>
    <w:p w14:paraId="63826786" w14:textId="77777777" w:rsidR="005D1ABF" w:rsidRPr="00A15849" w:rsidRDefault="005D1ABF" w:rsidP="005D1ABF">
      <w:pPr>
        <w:spacing w:after="0" w:line="240" w:lineRule="auto"/>
        <w:jc w:val="center"/>
        <w:rPr>
          <w:rFonts w:ascii="Times New Roman" w:hAnsi="Times New Roman" w:cs="Times New Roman"/>
          <w:b/>
          <w:caps/>
          <w:sz w:val="24"/>
          <w:szCs w:val="24"/>
          <w:u w:val="single"/>
        </w:rPr>
      </w:pPr>
    </w:p>
    <w:p w14:paraId="020B17E1" w14:textId="1DCAD966" w:rsidR="007E14C1" w:rsidRPr="00A15849" w:rsidRDefault="002B1DB3" w:rsidP="007E14C1">
      <w:pPr>
        <w:spacing w:after="0" w:line="240" w:lineRule="auto"/>
        <w:rPr>
          <w:rFonts w:ascii="Times New Roman" w:hAnsi="Times New Roman" w:cs="Times New Roman"/>
          <w:sz w:val="24"/>
          <w:u w:val="single"/>
        </w:rPr>
      </w:pPr>
      <w:r w:rsidRPr="00A15849">
        <w:rPr>
          <w:rFonts w:ascii="Times New Roman" w:hAnsi="Times New Roman" w:cs="Times New Roman"/>
          <w:sz w:val="24"/>
          <w:szCs w:val="24"/>
          <w:u w:val="single"/>
        </w:rPr>
        <w:t xml:space="preserve">Issued by Authority of the </w:t>
      </w:r>
      <w:r w:rsidR="00097611" w:rsidRPr="00A15849">
        <w:rPr>
          <w:rFonts w:ascii="Times New Roman" w:hAnsi="Times New Roman" w:cs="Times New Roman"/>
          <w:color w:val="000000" w:themeColor="text1"/>
          <w:sz w:val="24"/>
          <w:szCs w:val="24"/>
          <w:u w:val="single"/>
        </w:rPr>
        <w:t xml:space="preserve">Minister for </w:t>
      </w:r>
      <w:r w:rsidR="007E14C1" w:rsidRPr="00A15849">
        <w:rPr>
          <w:rFonts w:ascii="Times New Roman" w:hAnsi="Times New Roman" w:cs="Times New Roman"/>
          <w:color w:val="000000" w:themeColor="text1"/>
          <w:sz w:val="24"/>
          <w:u w:val="single"/>
        </w:rPr>
        <w:t>Agriculture</w:t>
      </w:r>
      <w:r w:rsidR="007E14C1" w:rsidRPr="00A15849">
        <w:rPr>
          <w:rFonts w:ascii="Times New Roman" w:hAnsi="Times New Roman" w:cs="Times New Roman"/>
          <w:sz w:val="24"/>
          <w:u w:val="single"/>
        </w:rPr>
        <w:t>, Drought and Emergency Management</w:t>
      </w:r>
    </w:p>
    <w:p w14:paraId="7E9FD426" w14:textId="77777777" w:rsidR="007E14C1" w:rsidRPr="00A15849" w:rsidRDefault="007E14C1" w:rsidP="007E14C1">
      <w:pPr>
        <w:spacing w:after="0" w:line="240" w:lineRule="auto"/>
        <w:rPr>
          <w:rFonts w:ascii="Times New Roman" w:hAnsi="Times New Roman" w:cs="Times New Roman"/>
        </w:rPr>
      </w:pPr>
    </w:p>
    <w:p w14:paraId="750D9418" w14:textId="7C739002" w:rsidR="00097611" w:rsidRPr="00A15849" w:rsidRDefault="00097611" w:rsidP="00097611">
      <w:pPr>
        <w:spacing w:after="0" w:line="240" w:lineRule="auto"/>
        <w:jc w:val="center"/>
        <w:rPr>
          <w:rFonts w:ascii="Times New Roman" w:eastAsia="Calibri" w:hAnsi="Times New Roman" w:cs="Times New Roman"/>
          <w:i/>
          <w:sz w:val="24"/>
          <w:szCs w:val="24"/>
          <w:lang w:eastAsia="ja-JP"/>
        </w:rPr>
      </w:pPr>
      <w:r w:rsidRPr="00A15849">
        <w:rPr>
          <w:rFonts w:ascii="Times New Roman" w:eastAsia="Calibri" w:hAnsi="Times New Roman" w:cs="Times New Roman"/>
          <w:i/>
          <w:sz w:val="24"/>
          <w:szCs w:val="24"/>
          <w:lang w:eastAsia="ja-JP"/>
        </w:rPr>
        <w:t>Agricultural and Veterinary Chemicals (Administration) Act</w:t>
      </w:r>
      <w:r w:rsidR="00B37AE3" w:rsidRPr="00A15849">
        <w:rPr>
          <w:rFonts w:ascii="Times New Roman" w:eastAsia="Calibri" w:hAnsi="Times New Roman" w:cs="Times New Roman"/>
          <w:i/>
          <w:sz w:val="24"/>
          <w:szCs w:val="24"/>
          <w:lang w:eastAsia="ja-JP"/>
        </w:rPr>
        <w:t> </w:t>
      </w:r>
      <w:r w:rsidRPr="00A15849">
        <w:rPr>
          <w:rFonts w:ascii="Times New Roman" w:eastAsia="Calibri" w:hAnsi="Times New Roman" w:cs="Times New Roman"/>
          <w:i/>
          <w:sz w:val="24"/>
          <w:szCs w:val="24"/>
          <w:lang w:eastAsia="ja-JP"/>
        </w:rPr>
        <w:t xml:space="preserve">1992 </w:t>
      </w:r>
    </w:p>
    <w:p w14:paraId="24F7556E" w14:textId="77777777" w:rsidR="00097611" w:rsidRPr="00A15849" w:rsidRDefault="00097611" w:rsidP="00097611">
      <w:pPr>
        <w:spacing w:after="0" w:line="240" w:lineRule="auto"/>
        <w:jc w:val="center"/>
        <w:rPr>
          <w:rFonts w:ascii="Times New Roman" w:eastAsia="Calibri" w:hAnsi="Times New Roman" w:cs="Times New Roman"/>
          <w:i/>
          <w:sz w:val="24"/>
          <w:szCs w:val="24"/>
          <w:lang w:eastAsia="ja-JP"/>
        </w:rPr>
      </w:pPr>
    </w:p>
    <w:p w14:paraId="3F95286A" w14:textId="625031A6" w:rsidR="00097611" w:rsidRPr="00A15849" w:rsidRDefault="00097611" w:rsidP="00097611">
      <w:pPr>
        <w:spacing w:after="0" w:line="240" w:lineRule="auto"/>
        <w:jc w:val="center"/>
        <w:rPr>
          <w:rFonts w:ascii="Times New Roman" w:eastAsia="Calibri" w:hAnsi="Times New Roman" w:cs="Times New Roman"/>
          <w:sz w:val="24"/>
          <w:szCs w:val="24"/>
          <w:lang w:eastAsia="ja-JP"/>
        </w:rPr>
      </w:pPr>
      <w:r w:rsidRPr="00A15849">
        <w:rPr>
          <w:rFonts w:ascii="Times New Roman" w:eastAsia="Calibri" w:hAnsi="Times New Roman" w:cs="Times New Roman"/>
          <w:i/>
          <w:sz w:val="24"/>
          <w:szCs w:val="24"/>
          <w:lang w:eastAsia="ja-JP"/>
        </w:rPr>
        <w:t>Agricultural and Veterinary Chemicals (Administration) Amendment (Phorate) Regulations</w:t>
      </w:r>
      <w:r w:rsidR="004E3A41" w:rsidRPr="00A15849">
        <w:rPr>
          <w:rFonts w:ascii="Times New Roman" w:eastAsia="Calibri" w:hAnsi="Times New Roman" w:cs="Times New Roman"/>
          <w:i/>
          <w:sz w:val="24"/>
          <w:szCs w:val="24"/>
          <w:lang w:eastAsia="ja-JP"/>
        </w:rPr>
        <w:t> </w:t>
      </w:r>
      <w:r w:rsidRPr="00A15849">
        <w:rPr>
          <w:rFonts w:ascii="Times New Roman" w:eastAsia="Calibri" w:hAnsi="Times New Roman" w:cs="Times New Roman"/>
          <w:i/>
          <w:sz w:val="24"/>
          <w:szCs w:val="24"/>
          <w:lang w:eastAsia="ja-JP"/>
        </w:rPr>
        <w:t>2020</w:t>
      </w:r>
    </w:p>
    <w:p w14:paraId="22DFB47B" w14:textId="77777777" w:rsidR="002B1DB3" w:rsidRPr="00A15849" w:rsidRDefault="002B1DB3" w:rsidP="005D1ABF">
      <w:pPr>
        <w:spacing w:after="0" w:line="240" w:lineRule="auto"/>
        <w:contextualSpacing/>
        <w:rPr>
          <w:rFonts w:ascii="Times New Roman" w:hAnsi="Times New Roman" w:cs="Times New Roman"/>
          <w:sz w:val="24"/>
          <w:szCs w:val="24"/>
        </w:rPr>
      </w:pPr>
    </w:p>
    <w:p w14:paraId="5B2EC43F" w14:textId="77777777" w:rsidR="007A7BBE" w:rsidRPr="00A15849" w:rsidRDefault="007A7BBE" w:rsidP="007A7BBE">
      <w:pPr>
        <w:tabs>
          <w:tab w:val="left" w:pos="1701"/>
          <w:tab w:val="right" w:pos="9072"/>
        </w:tabs>
        <w:spacing w:after="0" w:line="240" w:lineRule="auto"/>
        <w:rPr>
          <w:rFonts w:ascii="Times New Roman" w:hAnsi="Times New Roman" w:cs="Times New Roman"/>
          <w:sz w:val="24"/>
          <w:szCs w:val="24"/>
        </w:rPr>
      </w:pPr>
      <w:r w:rsidRPr="00A15849">
        <w:rPr>
          <w:rFonts w:ascii="Times New Roman" w:hAnsi="Times New Roman" w:cs="Times New Roman"/>
          <w:b/>
          <w:sz w:val="24"/>
          <w:szCs w:val="24"/>
        </w:rPr>
        <w:t>Legislative Authority</w:t>
      </w:r>
    </w:p>
    <w:p w14:paraId="3795A81C" w14:textId="77777777" w:rsidR="00BF6F4A" w:rsidRPr="00A15849" w:rsidRDefault="00BF6F4A" w:rsidP="000A55AB">
      <w:pPr>
        <w:tabs>
          <w:tab w:val="right" w:pos="9072"/>
        </w:tabs>
        <w:spacing w:after="0" w:line="240" w:lineRule="auto"/>
        <w:rPr>
          <w:rFonts w:ascii="Times New Roman" w:hAnsi="Times New Roman" w:cs="Times New Roman"/>
          <w:i/>
          <w:sz w:val="24"/>
        </w:rPr>
      </w:pPr>
    </w:p>
    <w:p w14:paraId="7156C8D6" w14:textId="27F7D613" w:rsidR="007C0BD2" w:rsidRPr="009E0B6E" w:rsidRDefault="007C0BD2" w:rsidP="007C0BD2">
      <w:pPr>
        <w:tabs>
          <w:tab w:val="right" w:pos="9072"/>
        </w:tabs>
        <w:spacing w:after="0" w:line="240" w:lineRule="auto"/>
        <w:rPr>
          <w:rFonts w:ascii="Times New Roman" w:hAnsi="Times New Roman" w:cs="Times New Roman"/>
          <w:sz w:val="24"/>
        </w:rPr>
      </w:pPr>
      <w:r w:rsidRPr="005F6335">
        <w:rPr>
          <w:rFonts w:ascii="Times New Roman" w:hAnsi="Times New Roman" w:cs="Times New Roman"/>
          <w:sz w:val="24"/>
        </w:rPr>
        <w:t>This instrument implement</w:t>
      </w:r>
      <w:r w:rsidR="00320761" w:rsidRPr="005F6335">
        <w:rPr>
          <w:rFonts w:ascii="Times New Roman" w:hAnsi="Times New Roman" w:cs="Times New Roman"/>
          <w:sz w:val="24"/>
        </w:rPr>
        <w:t>s</w:t>
      </w:r>
      <w:r w:rsidRPr="005F6335">
        <w:rPr>
          <w:rFonts w:ascii="Times New Roman" w:hAnsi="Times New Roman" w:cs="Times New Roman"/>
          <w:sz w:val="24"/>
        </w:rPr>
        <w:t xml:space="preserve"> an obligation under an international Convention.</w:t>
      </w:r>
    </w:p>
    <w:p w14:paraId="2963B6B9" w14:textId="77777777" w:rsidR="007C0BD2" w:rsidRPr="009E0B6E" w:rsidRDefault="007C0BD2" w:rsidP="007C0BD2">
      <w:pPr>
        <w:tabs>
          <w:tab w:val="right" w:pos="9072"/>
        </w:tabs>
        <w:spacing w:after="0" w:line="240" w:lineRule="auto"/>
        <w:rPr>
          <w:rFonts w:ascii="Times New Roman" w:hAnsi="Times New Roman" w:cs="Times New Roman"/>
          <w:sz w:val="24"/>
        </w:rPr>
      </w:pPr>
    </w:p>
    <w:p w14:paraId="06871CCF" w14:textId="6BA18596" w:rsidR="006F2E00" w:rsidRPr="009E0B6E" w:rsidRDefault="000A55AB" w:rsidP="000A55AB">
      <w:pPr>
        <w:tabs>
          <w:tab w:val="right" w:pos="9072"/>
        </w:tabs>
        <w:spacing w:after="0" w:line="240" w:lineRule="auto"/>
        <w:rPr>
          <w:rFonts w:ascii="Times New Roman" w:hAnsi="Times New Roman" w:cs="Times New Roman"/>
          <w:sz w:val="24"/>
          <w:szCs w:val="24"/>
        </w:rPr>
      </w:pPr>
      <w:r w:rsidRPr="009E0B6E">
        <w:rPr>
          <w:rFonts w:ascii="Times New Roman" w:hAnsi="Times New Roman" w:cs="Times New Roman"/>
          <w:sz w:val="24"/>
        </w:rPr>
        <w:t xml:space="preserve">The </w:t>
      </w:r>
      <w:r w:rsidRPr="009E0B6E">
        <w:rPr>
          <w:rFonts w:ascii="Times New Roman" w:hAnsi="Times New Roman" w:cs="Times New Roman"/>
          <w:i/>
          <w:sz w:val="24"/>
        </w:rPr>
        <w:t>Agricultural and Veterinary Chemicals (Administration) Act 1992</w:t>
      </w:r>
      <w:r w:rsidRPr="009E0B6E">
        <w:rPr>
          <w:rFonts w:ascii="Times New Roman" w:hAnsi="Times New Roman" w:cs="Times New Roman"/>
          <w:sz w:val="24"/>
        </w:rPr>
        <w:t xml:space="preserve"> (the Act) establishes the Australian Pesticides and Veterinary Medicines Authority (APVMA) as the national registration authority to administer such laws of the Commonwealth or of the states and territories that relate to agricultural and veterinary (agvet) chemical</w:t>
      </w:r>
      <w:r w:rsidR="00A06266" w:rsidRPr="009E0B6E">
        <w:rPr>
          <w:rFonts w:ascii="Times New Roman" w:hAnsi="Times New Roman" w:cs="Times New Roman"/>
          <w:sz w:val="24"/>
        </w:rPr>
        <w:t xml:space="preserve"> product</w:t>
      </w:r>
      <w:r w:rsidRPr="009E0B6E">
        <w:rPr>
          <w:rFonts w:ascii="Times New Roman" w:hAnsi="Times New Roman" w:cs="Times New Roman"/>
          <w:sz w:val="24"/>
        </w:rPr>
        <w:t>s</w:t>
      </w:r>
      <w:r w:rsidR="004E3A41" w:rsidRPr="009E0B6E">
        <w:rPr>
          <w:rFonts w:ascii="Times New Roman" w:hAnsi="Times New Roman" w:cs="Times New Roman"/>
          <w:sz w:val="24"/>
        </w:rPr>
        <w:t xml:space="preserve"> and active constituents</w:t>
      </w:r>
      <w:r w:rsidRPr="009E0B6E">
        <w:rPr>
          <w:rFonts w:ascii="Times New Roman" w:hAnsi="Times New Roman" w:cs="Times New Roman"/>
          <w:sz w:val="24"/>
        </w:rPr>
        <w:t xml:space="preserve">. The APVMA </w:t>
      </w:r>
      <w:r w:rsidRPr="009E0B6E">
        <w:rPr>
          <w:rFonts w:ascii="Times New Roman" w:hAnsi="Times New Roman" w:cs="Times New Roman"/>
          <w:sz w:val="24"/>
          <w:szCs w:val="24"/>
        </w:rPr>
        <w:t>is responsible for regulating these chemicals up to and including the point of supply</w:t>
      </w:r>
      <w:r w:rsidR="005E722A" w:rsidRPr="009E0B6E">
        <w:rPr>
          <w:rFonts w:ascii="Times New Roman" w:hAnsi="Times New Roman" w:cs="Times New Roman"/>
          <w:sz w:val="24"/>
          <w:szCs w:val="24"/>
        </w:rPr>
        <w:t xml:space="preserve">. This regulatory responsibility </w:t>
      </w:r>
      <w:r w:rsidRPr="009E0B6E">
        <w:rPr>
          <w:rFonts w:ascii="Times New Roman" w:hAnsi="Times New Roman" w:cs="Times New Roman"/>
          <w:sz w:val="24"/>
          <w:szCs w:val="24"/>
        </w:rPr>
        <w:t>includ</w:t>
      </w:r>
      <w:r w:rsidR="005E722A" w:rsidRPr="009E0B6E">
        <w:rPr>
          <w:rFonts w:ascii="Times New Roman" w:hAnsi="Times New Roman" w:cs="Times New Roman"/>
          <w:sz w:val="24"/>
          <w:szCs w:val="24"/>
        </w:rPr>
        <w:t xml:space="preserve">es </w:t>
      </w:r>
      <w:r w:rsidRPr="009E0B6E">
        <w:rPr>
          <w:rFonts w:ascii="Times New Roman" w:hAnsi="Times New Roman" w:cs="Times New Roman"/>
          <w:sz w:val="24"/>
          <w:szCs w:val="24"/>
        </w:rPr>
        <w:t>import, export and manufacture</w:t>
      </w:r>
      <w:r w:rsidR="005E722A" w:rsidRPr="009E0B6E">
        <w:rPr>
          <w:rFonts w:ascii="Times New Roman" w:hAnsi="Times New Roman" w:cs="Times New Roman"/>
          <w:sz w:val="24"/>
          <w:szCs w:val="24"/>
        </w:rPr>
        <w:t xml:space="preserve"> of </w:t>
      </w:r>
      <w:r w:rsidR="004F0C42" w:rsidRPr="009E0B6E">
        <w:rPr>
          <w:rFonts w:ascii="Times New Roman" w:hAnsi="Times New Roman" w:cs="Times New Roman"/>
          <w:sz w:val="24"/>
          <w:szCs w:val="24"/>
        </w:rPr>
        <w:t xml:space="preserve">agvet </w:t>
      </w:r>
      <w:r w:rsidR="005E722A" w:rsidRPr="009E0B6E">
        <w:rPr>
          <w:rFonts w:ascii="Times New Roman" w:hAnsi="Times New Roman" w:cs="Times New Roman"/>
          <w:sz w:val="24"/>
          <w:szCs w:val="24"/>
        </w:rPr>
        <w:t>chemicals</w:t>
      </w:r>
      <w:r w:rsidRPr="009E0B6E">
        <w:rPr>
          <w:rFonts w:ascii="Times New Roman" w:hAnsi="Times New Roman" w:cs="Times New Roman"/>
          <w:sz w:val="24"/>
          <w:szCs w:val="24"/>
        </w:rPr>
        <w:t>. The control of use of agvet chemicals after supply is the responsibility of individual states and territories.</w:t>
      </w:r>
    </w:p>
    <w:p w14:paraId="2F568185" w14:textId="77777777" w:rsidR="000A55AB" w:rsidRPr="009E0B6E" w:rsidRDefault="000A55AB" w:rsidP="000A55AB">
      <w:pPr>
        <w:tabs>
          <w:tab w:val="right" w:pos="9072"/>
        </w:tabs>
        <w:spacing w:after="0" w:line="240" w:lineRule="auto"/>
        <w:rPr>
          <w:rFonts w:ascii="Times New Roman" w:hAnsi="Times New Roman" w:cs="Times New Roman"/>
          <w:sz w:val="24"/>
        </w:rPr>
      </w:pPr>
    </w:p>
    <w:p w14:paraId="24B3A1EF" w14:textId="7F820DA3" w:rsidR="000A55AB" w:rsidRPr="009E0B6E" w:rsidRDefault="000A55AB" w:rsidP="000A55AB">
      <w:pPr>
        <w:tabs>
          <w:tab w:val="right" w:pos="9072"/>
        </w:tabs>
        <w:spacing w:after="0" w:line="240" w:lineRule="auto"/>
        <w:rPr>
          <w:rFonts w:ascii="Times New Roman" w:hAnsi="Times New Roman" w:cs="Times New Roman"/>
          <w:sz w:val="24"/>
        </w:rPr>
      </w:pPr>
      <w:r w:rsidRPr="009E0B6E">
        <w:rPr>
          <w:rFonts w:ascii="Times New Roman" w:hAnsi="Times New Roman" w:cs="Times New Roman"/>
          <w:sz w:val="24"/>
        </w:rPr>
        <w:t>Section 73 of the Act provides that the Governor</w:t>
      </w:r>
      <w:r w:rsidRPr="009E0B6E">
        <w:rPr>
          <w:rFonts w:ascii="Times New Roman" w:hAnsi="Times New Roman" w:cs="Times New Roman"/>
          <w:sz w:val="24"/>
        </w:rPr>
        <w:noBreakHyphen/>
        <w:t>General may make regulations prescribing all matters required or permitted to be prescribed by the Act, or necessary or convenient to be prescribed for carrying out or giving effect to the Act.</w:t>
      </w:r>
    </w:p>
    <w:p w14:paraId="7CC4C8B6" w14:textId="77777777" w:rsidR="00314E7E" w:rsidRPr="009E0B6E" w:rsidRDefault="00314E7E" w:rsidP="000A55AB">
      <w:pPr>
        <w:tabs>
          <w:tab w:val="right" w:pos="9072"/>
        </w:tabs>
        <w:spacing w:after="0" w:line="240" w:lineRule="auto"/>
        <w:rPr>
          <w:rFonts w:ascii="Times New Roman" w:hAnsi="Times New Roman" w:cs="Times New Roman"/>
          <w:sz w:val="24"/>
        </w:rPr>
      </w:pPr>
    </w:p>
    <w:p w14:paraId="0424849B" w14:textId="3E9C5F31" w:rsidR="00A06266" w:rsidRPr="009E0B6E" w:rsidRDefault="000A55AB" w:rsidP="000A55AB">
      <w:pPr>
        <w:tabs>
          <w:tab w:val="right" w:pos="9072"/>
        </w:tabs>
        <w:spacing w:after="0" w:line="240" w:lineRule="auto"/>
        <w:rPr>
          <w:rFonts w:ascii="Times New Roman" w:hAnsi="Times New Roman" w:cs="Times New Roman"/>
          <w:sz w:val="24"/>
        </w:rPr>
      </w:pPr>
      <w:r w:rsidRPr="009E0B6E">
        <w:rPr>
          <w:rFonts w:ascii="Times New Roman" w:hAnsi="Times New Roman" w:cs="Times New Roman"/>
          <w:sz w:val="24"/>
        </w:rPr>
        <w:t>Subsection 69C(1) of the Act provides that if a chemical product, or an active constituent for a proposed or existing chemical product, is the subject of a prescribed international agreement or arrangement, the regulations may prohibit its import, manufacture, use or other dealings, or export. The prohibition may be absolute or subject to prescribed conditions or restrictions.</w:t>
      </w:r>
    </w:p>
    <w:p w14:paraId="0FFCB88A" w14:textId="77777777" w:rsidR="00AA480D" w:rsidRPr="009E0B6E" w:rsidRDefault="00AA480D" w:rsidP="000A55AB">
      <w:pPr>
        <w:tabs>
          <w:tab w:val="right" w:pos="9072"/>
        </w:tabs>
        <w:spacing w:after="0" w:line="240" w:lineRule="auto"/>
        <w:rPr>
          <w:rFonts w:ascii="Times New Roman" w:hAnsi="Times New Roman" w:cs="Times New Roman"/>
          <w:sz w:val="24"/>
        </w:rPr>
      </w:pPr>
    </w:p>
    <w:p w14:paraId="4EFCD8C5" w14:textId="37E01431" w:rsidR="001556B3" w:rsidRPr="009E0B6E" w:rsidRDefault="000A55AB" w:rsidP="000A55AB">
      <w:pPr>
        <w:tabs>
          <w:tab w:val="right" w:pos="9072"/>
        </w:tabs>
        <w:spacing w:after="0" w:line="240" w:lineRule="auto"/>
        <w:rPr>
          <w:rFonts w:ascii="Times New Roman" w:hAnsi="Times New Roman" w:cs="Times New Roman"/>
          <w:sz w:val="24"/>
        </w:rPr>
      </w:pPr>
      <w:r w:rsidRPr="009E0B6E">
        <w:rPr>
          <w:rFonts w:ascii="Times New Roman" w:hAnsi="Times New Roman" w:cs="Times New Roman"/>
          <w:sz w:val="24"/>
        </w:rPr>
        <w:t>Subsection 69C(2) of the Act provides that a regulation prescribing such conditions or restrictions must not be made unless a relevant agency</w:t>
      </w:r>
      <w:r w:rsidR="00A06266" w:rsidRPr="009E0B6E">
        <w:rPr>
          <w:rFonts w:ascii="Times New Roman" w:hAnsi="Times New Roman" w:cs="Times New Roman"/>
          <w:sz w:val="24"/>
        </w:rPr>
        <w:t>—</w:t>
      </w:r>
      <w:r w:rsidR="002A36D3" w:rsidRPr="009E0B6E">
        <w:rPr>
          <w:rFonts w:ascii="Times New Roman" w:hAnsi="Times New Roman" w:cs="Times New Roman"/>
          <w:sz w:val="24"/>
        </w:rPr>
        <w:t>the Department of Agriculture, Water and the Environment (</w:t>
      </w:r>
      <w:r w:rsidR="00A06266" w:rsidRPr="009E0B6E">
        <w:rPr>
          <w:rFonts w:ascii="Times New Roman" w:hAnsi="Times New Roman" w:cs="Times New Roman"/>
          <w:sz w:val="24"/>
        </w:rPr>
        <w:t>the department</w:t>
      </w:r>
      <w:r w:rsidR="002A36D3" w:rsidRPr="009E0B6E">
        <w:rPr>
          <w:rFonts w:ascii="Times New Roman" w:hAnsi="Times New Roman" w:cs="Times New Roman"/>
          <w:sz w:val="24"/>
        </w:rPr>
        <w:t>)</w:t>
      </w:r>
      <w:r w:rsidR="00A06266" w:rsidRPr="009E0B6E">
        <w:rPr>
          <w:rFonts w:ascii="Times New Roman" w:hAnsi="Times New Roman" w:cs="Times New Roman"/>
          <w:sz w:val="24"/>
        </w:rPr>
        <w:t xml:space="preserve"> or the APVMA (</w:t>
      </w:r>
      <w:r w:rsidR="00E44B35" w:rsidRPr="009E0B6E">
        <w:rPr>
          <w:rFonts w:ascii="Times New Roman" w:hAnsi="Times New Roman" w:cs="Times New Roman"/>
          <w:sz w:val="24"/>
        </w:rPr>
        <w:t xml:space="preserve">as per </w:t>
      </w:r>
      <w:r w:rsidR="00A06266" w:rsidRPr="009E0B6E">
        <w:rPr>
          <w:rFonts w:ascii="Times New Roman" w:hAnsi="Times New Roman" w:cs="Times New Roman"/>
          <w:sz w:val="24"/>
        </w:rPr>
        <w:t xml:space="preserve">section 69EAA of the </w:t>
      </w:r>
      <w:r w:rsidRPr="009E0B6E">
        <w:rPr>
          <w:rFonts w:ascii="Times New Roman" w:hAnsi="Times New Roman" w:cs="Times New Roman"/>
          <w:sz w:val="24"/>
        </w:rPr>
        <w:t>Act)</w:t>
      </w:r>
      <w:r w:rsidR="00A06266" w:rsidRPr="009E0B6E">
        <w:rPr>
          <w:rFonts w:ascii="Times New Roman" w:hAnsi="Times New Roman" w:cs="Times New Roman"/>
          <w:sz w:val="24"/>
        </w:rPr>
        <w:t>—</w:t>
      </w:r>
      <w:r w:rsidRPr="009E0B6E">
        <w:rPr>
          <w:rFonts w:ascii="Times New Roman" w:hAnsi="Times New Roman" w:cs="Times New Roman"/>
          <w:sz w:val="24"/>
        </w:rPr>
        <w:t>has published a notice in the Gazette and any other manner it thinks appropriate</w:t>
      </w:r>
      <w:r w:rsidR="0029093D" w:rsidRPr="009E0B6E">
        <w:rPr>
          <w:rFonts w:ascii="Times New Roman" w:hAnsi="Times New Roman" w:cs="Times New Roman"/>
          <w:sz w:val="24"/>
        </w:rPr>
        <w:t xml:space="preserve"> at least 30 days before the regulation is made. The notice must</w:t>
      </w:r>
      <w:r w:rsidRPr="009E0B6E">
        <w:rPr>
          <w:rFonts w:ascii="Times New Roman" w:hAnsi="Times New Roman" w:cs="Times New Roman"/>
          <w:sz w:val="24"/>
        </w:rPr>
        <w:t xml:space="preserve"> identify the agreement or arrangement and list the name of the constituent or product</w:t>
      </w:r>
      <w:r w:rsidR="0091435B" w:rsidRPr="009E0B6E">
        <w:rPr>
          <w:rFonts w:ascii="Times New Roman" w:hAnsi="Times New Roman" w:cs="Times New Roman"/>
          <w:sz w:val="24"/>
        </w:rPr>
        <w:t xml:space="preserve"> as known to the public</w:t>
      </w:r>
      <w:r w:rsidRPr="009E0B6E">
        <w:rPr>
          <w:rFonts w:ascii="Times New Roman" w:hAnsi="Times New Roman" w:cs="Times New Roman"/>
          <w:sz w:val="24"/>
        </w:rPr>
        <w:t xml:space="preserve">. This notice was published </w:t>
      </w:r>
      <w:r w:rsidR="00E44B35" w:rsidRPr="009E0B6E">
        <w:rPr>
          <w:rFonts w:ascii="Times New Roman" w:hAnsi="Times New Roman" w:cs="Times New Roman"/>
          <w:sz w:val="24"/>
        </w:rPr>
        <w:t xml:space="preserve">in respect to phorate </w:t>
      </w:r>
      <w:r w:rsidRPr="009E0B6E">
        <w:rPr>
          <w:rFonts w:ascii="Times New Roman" w:hAnsi="Times New Roman" w:cs="Times New Roman"/>
          <w:sz w:val="24"/>
        </w:rPr>
        <w:t xml:space="preserve">in </w:t>
      </w:r>
      <w:r w:rsidR="00A06266" w:rsidRPr="009E0B6E">
        <w:rPr>
          <w:rFonts w:ascii="Times New Roman" w:hAnsi="Times New Roman" w:cs="Times New Roman"/>
          <w:sz w:val="24"/>
        </w:rPr>
        <w:t xml:space="preserve">the APVMA </w:t>
      </w:r>
      <w:r w:rsidRPr="009E0B6E">
        <w:rPr>
          <w:rFonts w:ascii="Times New Roman" w:hAnsi="Times New Roman" w:cs="Times New Roman"/>
          <w:sz w:val="24"/>
        </w:rPr>
        <w:t>Gazette No.</w:t>
      </w:r>
      <w:r w:rsidR="00E44B35" w:rsidRPr="009E0B6E">
        <w:rPr>
          <w:rFonts w:ascii="Times New Roman" w:hAnsi="Times New Roman" w:cs="Times New Roman"/>
          <w:sz w:val="24"/>
        </w:rPr>
        <w:t> </w:t>
      </w:r>
      <w:r w:rsidR="00731636" w:rsidRPr="009E0B6E">
        <w:rPr>
          <w:rFonts w:ascii="Times New Roman" w:hAnsi="Times New Roman" w:cs="Times New Roman"/>
          <w:sz w:val="24"/>
        </w:rPr>
        <w:t>9</w:t>
      </w:r>
      <w:r w:rsidRPr="009E0B6E">
        <w:rPr>
          <w:rFonts w:ascii="Times New Roman" w:hAnsi="Times New Roman" w:cs="Times New Roman"/>
          <w:sz w:val="24"/>
        </w:rPr>
        <w:t xml:space="preserve">, </w:t>
      </w:r>
      <w:r w:rsidR="00731636" w:rsidRPr="009E0B6E">
        <w:rPr>
          <w:rFonts w:ascii="Times New Roman" w:hAnsi="Times New Roman" w:cs="Times New Roman"/>
          <w:sz w:val="24"/>
        </w:rPr>
        <w:t>5</w:t>
      </w:r>
      <w:r w:rsidR="00E44B35" w:rsidRPr="009E0B6E">
        <w:rPr>
          <w:rFonts w:ascii="Times New Roman" w:hAnsi="Times New Roman" w:cs="Times New Roman"/>
          <w:sz w:val="24"/>
        </w:rPr>
        <w:t> </w:t>
      </w:r>
      <w:r w:rsidR="00731636" w:rsidRPr="009E0B6E">
        <w:rPr>
          <w:rFonts w:ascii="Times New Roman" w:hAnsi="Times New Roman" w:cs="Times New Roman"/>
          <w:sz w:val="24"/>
        </w:rPr>
        <w:t>May</w:t>
      </w:r>
      <w:r w:rsidR="00E44B35" w:rsidRPr="009E0B6E">
        <w:rPr>
          <w:rFonts w:ascii="Times New Roman" w:hAnsi="Times New Roman" w:cs="Times New Roman"/>
          <w:sz w:val="24"/>
        </w:rPr>
        <w:t> </w:t>
      </w:r>
      <w:r w:rsidRPr="009E0B6E">
        <w:rPr>
          <w:rFonts w:ascii="Times New Roman" w:hAnsi="Times New Roman" w:cs="Times New Roman"/>
          <w:sz w:val="24"/>
        </w:rPr>
        <w:t>2020.</w:t>
      </w:r>
      <w:r w:rsidR="00A06266" w:rsidRPr="009E0B6E">
        <w:rPr>
          <w:rFonts w:ascii="Times New Roman" w:hAnsi="Times New Roman" w:cs="Times New Roman"/>
          <w:sz w:val="24"/>
        </w:rPr>
        <w:t xml:space="preserve"> </w:t>
      </w:r>
      <w:r w:rsidR="00E44B35" w:rsidRPr="009E0B6E">
        <w:rPr>
          <w:rFonts w:ascii="Times New Roman" w:hAnsi="Times New Roman" w:cs="Times New Roman"/>
          <w:sz w:val="24"/>
        </w:rPr>
        <w:t>The notice</w:t>
      </w:r>
      <w:r w:rsidR="00A06266" w:rsidRPr="009E0B6E">
        <w:rPr>
          <w:rFonts w:ascii="Times New Roman" w:hAnsi="Times New Roman" w:cs="Times New Roman"/>
          <w:sz w:val="24"/>
        </w:rPr>
        <w:t xml:space="preserve"> is available at </w:t>
      </w:r>
      <w:r w:rsidR="001556B3" w:rsidRPr="009E0B6E">
        <w:rPr>
          <w:rFonts w:ascii="Times New Roman" w:hAnsi="Times New Roman" w:cs="Times New Roman"/>
          <w:sz w:val="24"/>
        </w:rPr>
        <w:t>www.apvma.gov.au/node/67076</w:t>
      </w:r>
      <w:r w:rsidR="00A06266" w:rsidRPr="009E0B6E">
        <w:rPr>
          <w:rFonts w:ascii="Times New Roman" w:hAnsi="Times New Roman" w:cs="Times New Roman"/>
          <w:sz w:val="24"/>
        </w:rPr>
        <w:t>.</w:t>
      </w:r>
    </w:p>
    <w:p w14:paraId="1AFD4493" w14:textId="77777777" w:rsidR="00AA480D" w:rsidRPr="009E0B6E" w:rsidRDefault="00AA480D" w:rsidP="000A55AB">
      <w:pPr>
        <w:tabs>
          <w:tab w:val="right" w:pos="9072"/>
        </w:tabs>
        <w:spacing w:after="0" w:line="240" w:lineRule="auto"/>
        <w:rPr>
          <w:rFonts w:ascii="Times New Roman" w:hAnsi="Times New Roman" w:cs="Times New Roman"/>
          <w:sz w:val="24"/>
        </w:rPr>
      </w:pPr>
    </w:p>
    <w:p w14:paraId="734C3A04" w14:textId="67833D61" w:rsidR="006F2E00" w:rsidRPr="005F6335" w:rsidRDefault="005E4503" w:rsidP="000A55AB">
      <w:pPr>
        <w:tabs>
          <w:tab w:val="right" w:pos="9072"/>
        </w:tabs>
        <w:spacing w:after="0" w:line="240" w:lineRule="auto"/>
        <w:rPr>
          <w:rFonts w:ascii="Times New Roman" w:hAnsi="Times New Roman" w:cs="Times New Roman"/>
          <w:sz w:val="24"/>
        </w:rPr>
      </w:pPr>
      <w:r w:rsidRPr="005F6335">
        <w:rPr>
          <w:rFonts w:ascii="Times New Roman" w:hAnsi="Times New Roman" w:cs="Times New Roman"/>
          <w:sz w:val="24"/>
          <w:szCs w:val="24"/>
          <w:lang w:eastAsia="ja-JP"/>
        </w:rPr>
        <w:t xml:space="preserve">Regulation 1.3A of </w:t>
      </w:r>
      <w:r w:rsidR="00276114" w:rsidRPr="005F6335">
        <w:rPr>
          <w:rFonts w:ascii="Times New Roman" w:hAnsi="Times New Roman" w:cs="Times New Roman"/>
          <w:sz w:val="24"/>
        </w:rPr>
        <w:t xml:space="preserve">the </w:t>
      </w:r>
      <w:r w:rsidR="00276114" w:rsidRPr="005F6335">
        <w:rPr>
          <w:rFonts w:ascii="Times New Roman" w:hAnsi="Times New Roman" w:cs="Times New Roman"/>
          <w:i/>
          <w:iCs/>
          <w:sz w:val="24"/>
        </w:rPr>
        <w:t>Agricultural and Veterinary Chemicals (Administration) Regulations 1995</w:t>
      </w:r>
      <w:r w:rsidR="00276114" w:rsidRPr="005F6335">
        <w:rPr>
          <w:rFonts w:ascii="Times New Roman" w:hAnsi="Times New Roman" w:cs="Times New Roman"/>
          <w:sz w:val="24"/>
        </w:rPr>
        <w:t xml:space="preserve"> (</w:t>
      </w:r>
      <w:r w:rsidRPr="005F6335">
        <w:rPr>
          <w:rFonts w:ascii="Times New Roman" w:hAnsi="Times New Roman" w:cs="Times New Roman"/>
          <w:sz w:val="24"/>
          <w:szCs w:val="24"/>
          <w:lang w:eastAsia="ja-JP"/>
        </w:rPr>
        <w:t>the Administration Regulations</w:t>
      </w:r>
      <w:r w:rsidR="00276114" w:rsidRPr="005F6335">
        <w:rPr>
          <w:rFonts w:ascii="Times New Roman" w:hAnsi="Times New Roman" w:cs="Times New Roman"/>
          <w:sz w:val="24"/>
          <w:szCs w:val="24"/>
          <w:lang w:eastAsia="ja-JP"/>
        </w:rPr>
        <w:t>)</w:t>
      </w:r>
      <w:r w:rsidRPr="005F6335" w:rsidDel="00B55AC9">
        <w:rPr>
          <w:rFonts w:ascii="Times New Roman" w:hAnsi="Times New Roman" w:cs="Times New Roman"/>
          <w:sz w:val="24"/>
        </w:rPr>
        <w:t xml:space="preserve"> </w:t>
      </w:r>
      <w:r w:rsidR="00276114" w:rsidRPr="005F6335">
        <w:rPr>
          <w:rFonts w:ascii="Times New Roman" w:hAnsi="Times New Roman" w:cs="Times New Roman"/>
          <w:sz w:val="24"/>
        </w:rPr>
        <w:t xml:space="preserve">prescribes a controlled chemical as, </w:t>
      </w:r>
      <w:r w:rsidR="00276114" w:rsidRPr="005F6335">
        <w:rPr>
          <w:rFonts w:ascii="Times New Roman" w:hAnsi="Times New Roman" w:cs="Times New Roman"/>
          <w:i/>
          <w:sz w:val="24"/>
        </w:rPr>
        <w:t>inter alia</w:t>
      </w:r>
      <w:r w:rsidR="00276114" w:rsidRPr="005F6335">
        <w:rPr>
          <w:rFonts w:ascii="Times New Roman" w:hAnsi="Times New Roman" w:cs="Times New Roman"/>
          <w:sz w:val="24"/>
        </w:rPr>
        <w:t>, an active constituent, chemical product or chemical product containing an active constituent listed in Part 2 of Schedule 1 to the Administration Regulations.</w:t>
      </w:r>
    </w:p>
    <w:p w14:paraId="44287FA1" w14:textId="77777777" w:rsidR="00276114" w:rsidRPr="005F6335" w:rsidRDefault="00276114" w:rsidP="000A55AB">
      <w:pPr>
        <w:tabs>
          <w:tab w:val="right" w:pos="9072"/>
        </w:tabs>
        <w:spacing w:after="0" w:line="240" w:lineRule="auto"/>
        <w:rPr>
          <w:rFonts w:ascii="Times New Roman" w:hAnsi="Times New Roman" w:cs="Times New Roman"/>
          <w:sz w:val="24"/>
        </w:rPr>
      </w:pPr>
    </w:p>
    <w:p w14:paraId="47965E83" w14:textId="5CA39C2A" w:rsidR="006F2E00" w:rsidRPr="005F6335" w:rsidRDefault="00B50E19" w:rsidP="000A55AB">
      <w:pPr>
        <w:tabs>
          <w:tab w:val="right" w:pos="9072"/>
        </w:tabs>
        <w:spacing w:after="0" w:line="240" w:lineRule="auto"/>
        <w:rPr>
          <w:rFonts w:ascii="Times New Roman" w:hAnsi="Times New Roman" w:cs="Times New Roman"/>
          <w:sz w:val="24"/>
        </w:rPr>
      </w:pPr>
      <w:r w:rsidRPr="005F6335">
        <w:rPr>
          <w:rFonts w:ascii="Times New Roman" w:hAnsi="Times New Roman" w:cs="Times New Roman"/>
          <w:sz w:val="24"/>
        </w:rPr>
        <w:t>Paragraph </w:t>
      </w:r>
      <w:r w:rsidR="008D158A" w:rsidRPr="005F6335">
        <w:rPr>
          <w:rFonts w:ascii="Times New Roman" w:hAnsi="Times New Roman" w:cs="Times New Roman"/>
          <w:sz w:val="24"/>
        </w:rPr>
        <w:t>3.05</w:t>
      </w:r>
      <w:r w:rsidRPr="005F6335">
        <w:rPr>
          <w:rFonts w:ascii="Times New Roman" w:hAnsi="Times New Roman" w:cs="Times New Roman"/>
          <w:sz w:val="24"/>
        </w:rPr>
        <w:t>(a)</w:t>
      </w:r>
      <w:r w:rsidR="008D158A" w:rsidRPr="005F6335">
        <w:rPr>
          <w:rFonts w:ascii="Times New Roman" w:hAnsi="Times New Roman" w:cs="Times New Roman"/>
          <w:sz w:val="24"/>
        </w:rPr>
        <w:t xml:space="preserve"> of the Administration Regulations prescribes </w:t>
      </w:r>
      <w:r w:rsidR="005E4503" w:rsidRPr="005F6335">
        <w:rPr>
          <w:rFonts w:ascii="Times New Roman" w:hAnsi="Times New Roman" w:cs="Times New Roman"/>
          <w:sz w:val="24"/>
          <w:szCs w:val="24"/>
          <w:lang w:eastAsia="ja-JP"/>
        </w:rPr>
        <w:t xml:space="preserve">the </w:t>
      </w:r>
      <w:r w:rsidR="005E4503" w:rsidRPr="005F6335">
        <w:rPr>
          <w:rFonts w:ascii="Times New Roman" w:hAnsi="Times New Roman" w:cs="Times New Roman"/>
          <w:i/>
          <w:sz w:val="24"/>
          <w:szCs w:val="24"/>
          <w:lang w:eastAsia="ja-JP"/>
        </w:rPr>
        <w:t>Rotterdam Convention on the Prior Informed Consent Procedure for Certain Hazardous Chemicals and Pesticides in International Trade</w:t>
      </w:r>
      <w:r w:rsidR="005E4503" w:rsidRPr="005F6335">
        <w:rPr>
          <w:rFonts w:ascii="Times New Roman" w:hAnsi="Times New Roman" w:cs="Times New Roman"/>
          <w:sz w:val="24"/>
          <w:szCs w:val="24"/>
          <w:lang w:eastAsia="ja-JP"/>
        </w:rPr>
        <w:t xml:space="preserve"> (</w:t>
      </w:r>
      <w:r w:rsidR="008D158A" w:rsidRPr="005F6335">
        <w:rPr>
          <w:rFonts w:ascii="Times New Roman" w:hAnsi="Times New Roman" w:cs="Times New Roman"/>
          <w:sz w:val="24"/>
        </w:rPr>
        <w:t>the Rotterdam Convention</w:t>
      </w:r>
      <w:r w:rsidR="005E4503" w:rsidRPr="005F6335">
        <w:rPr>
          <w:rFonts w:ascii="Times New Roman" w:hAnsi="Times New Roman" w:cs="Times New Roman"/>
          <w:sz w:val="24"/>
        </w:rPr>
        <w:t>)</w:t>
      </w:r>
      <w:r w:rsidR="008D158A" w:rsidRPr="005F6335">
        <w:rPr>
          <w:rFonts w:ascii="Times New Roman" w:hAnsi="Times New Roman" w:cs="Times New Roman"/>
          <w:sz w:val="24"/>
        </w:rPr>
        <w:t xml:space="preserve"> as an international agreement for the purposes of section</w:t>
      </w:r>
      <w:r w:rsidR="00B55AC9" w:rsidRPr="005F6335">
        <w:rPr>
          <w:rFonts w:ascii="Times New Roman" w:hAnsi="Times New Roman" w:cs="Times New Roman"/>
          <w:sz w:val="24"/>
        </w:rPr>
        <w:t> </w:t>
      </w:r>
      <w:r w:rsidR="008D158A" w:rsidRPr="005F6335">
        <w:rPr>
          <w:rFonts w:ascii="Times New Roman" w:hAnsi="Times New Roman" w:cs="Times New Roman"/>
          <w:sz w:val="24"/>
        </w:rPr>
        <w:t>69C of the Act.</w:t>
      </w:r>
    </w:p>
    <w:p w14:paraId="2B064BC2" w14:textId="77777777" w:rsidR="00660B08" w:rsidRPr="005F6335" w:rsidRDefault="00660B08" w:rsidP="000A55AB">
      <w:pPr>
        <w:tabs>
          <w:tab w:val="right" w:pos="9072"/>
        </w:tabs>
        <w:spacing w:after="0" w:line="240" w:lineRule="auto"/>
        <w:rPr>
          <w:rFonts w:ascii="Times New Roman" w:hAnsi="Times New Roman" w:cs="Times New Roman"/>
          <w:sz w:val="24"/>
        </w:rPr>
      </w:pPr>
    </w:p>
    <w:p w14:paraId="4EE84236" w14:textId="2AC03A7E" w:rsidR="005C4F37" w:rsidRPr="005F6335" w:rsidRDefault="00F600D9" w:rsidP="000A55AB">
      <w:pPr>
        <w:tabs>
          <w:tab w:val="right" w:pos="9072"/>
        </w:tabs>
        <w:spacing w:after="0" w:line="240" w:lineRule="auto"/>
        <w:rPr>
          <w:rFonts w:ascii="Times New Roman" w:hAnsi="Times New Roman" w:cs="Times New Roman"/>
          <w:sz w:val="24"/>
        </w:rPr>
      </w:pPr>
      <w:r w:rsidRPr="005F6335">
        <w:rPr>
          <w:rFonts w:ascii="Times New Roman" w:hAnsi="Times New Roman" w:cs="Times New Roman"/>
          <w:sz w:val="24"/>
        </w:rPr>
        <w:lastRenderedPageBreak/>
        <w:t>R</w:t>
      </w:r>
      <w:r w:rsidR="004E7AF8" w:rsidRPr="005F6335">
        <w:rPr>
          <w:rFonts w:ascii="Times New Roman" w:hAnsi="Times New Roman" w:cs="Times New Roman"/>
          <w:sz w:val="24"/>
        </w:rPr>
        <w:t>egulation</w:t>
      </w:r>
      <w:r w:rsidR="00B55AC9" w:rsidRPr="005F6335">
        <w:rPr>
          <w:rFonts w:ascii="Times New Roman" w:hAnsi="Times New Roman" w:cs="Times New Roman"/>
          <w:sz w:val="24"/>
        </w:rPr>
        <w:t> </w:t>
      </w:r>
      <w:r w:rsidR="008D158A" w:rsidRPr="005F6335">
        <w:rPr>
          <w:rFonts w:ascii="Times New Roman" w:hAnsi="Times New Roman" w:cs="Times New Roman"/>
          <w:sz w:val="24"/>
        </w:rPr>
        <w:t xml:space="preserve">3.205 </w:t>
      </w:r>
      <w:r w:rsidR="005C4F37" w:rsidRPr="005F6335">
        <w:rPr>
          <w:rFonts w:ascii="Times New Roman" w:hAnsi="Times New Roman" w:cs="Times New Roman"/>
          <w:sz w:val="24"/>
        </w:rPr>
        <w:t>of the Administration Regulations</w:t>
      </w:r>
      <w:r w:rsidR="00A22695" w:rsidRPr="005F6335">
        <w:rPr>
          <w:rFonts w:ascii="Times New Roman" w:hAnsi="Times New Roman" w:cs="Times New Roman"/>
          <w:sz w:val="24"/>
        </w:rPr>
        <w:t xml:space="preserve"> prescribes that subdivision 3.6.2 of the Administration Regulations (‘prohibition subject to conditions’)</w:t>
      </w:r>
      <w:r w:rsidR="005C4F37" w:rsidRPr="005F6335">
        <w:rPr>
          <w:rFonts w:ascii="Times New Roman" w:hAnsi="Times New Roman" w:cs="Times New Roman"/>
          <w:sz w:val="24"/>
        </w:rPr>
        <w:t xml:space="preserve"> </w:t>
      </w:r>
      <w:r w:rsidR="008D158A" w:rsidRPr="005F6335">
        <w:rPr>
          <w:rFonts w:ascii="Times New Roman" w:hAnsi="Times New Roman" w:cs="Times New Roman"/>
          <w:sz w:val="24"/>
        </w:rPr>
        <w:t xml:space="preserve">applies to a controlled chemical </w:t>
      </w:r>
      <w:r w:rsidR="001271DB" w:rsidRPr="005F6335">
        <w:rPr>
          <w:rFonts w:ascii="Times New Roman" w:hAnsi="Times New Roman" w:cs="Times New Roman"/>
          <w:sz w:val="24"/>
        </w:rPr>
        <w:t>if the relevant item in Schedule</w:t>
      </w:r>
      <w:r w:rsidR="00B55AC9" w:rsidRPr="005F6335">
        <w:rPr>
          <w:rFonts w:ascii="Times New Roman" w:hAnsi="Times New Roman" w:cs="Times New Roman"/>
          <w:sz w:val="24"/>
        </w:rPr>
        <w:t> </w:t>
      </w:r>
      <w:r w:rsidR="001271DB" w:rsidRPr="005F6335">
        <w:rPr>
          <w:rFonts w:ascii="Times New Roman" w:hAnsi="Times New Roman" w:cs="Times New Roman"/>
          <w:sz w:val="24"/>
        </w:rPr>
        <w:t>1</w:t>
      </w:r>
      <w:r w:rsidR="0062498E" w:rsidRPr="005F6335">
        <w:rPr>
          <w:rFonts w:ascii="Times New Roman" w:hAnsi="Times New Roman" w:cs="Times New Roman"/>
          <w:sz w:val="24"/>
        </w:rPr>
        <w:t xml:space="preserve"> to </w:t>
      </w:r>
      <w:r w:rsidR="00660B08" w:rsidRPr="005F6335">
        <w:rPr>
          <w:rFonts w:ascii="Times New Roman" w:hAnsi="Times New Roman" w:cs="Times New Roman"/>
          <w:sz w:val="24"/>
        </w:rPr>
        <w:t xml:space="preserve">the Administration Regulations </w:t>
      </w:r>
      <w:r w:rsidR="001271DB" w:rsidRPr="005F6335">
        <w:rPr>
          <w:rFonts w:ascii="Times New Roman" w:hAnsi="Times New Roman" w:cs="Times New Roman"/>
          <w:sz w:val="24"/>
        </w:rPr>
        <w:t xml:space="preserve">states that its export is prohibited except with written permission. </w:t>
      </w:r>
      <w:r w:rsidRPr="005F6335">
        <w:rPr>
          <w:rFonts w:ascii="Times New Roman" w:hAnsi="Times New Roman" w:cs="Times New Roman"/>
          <w:sz w:val="24"/>
        </w:rPr>
        <w:t>It defines a</w:t>
      </w:r>
      <w:r w:rsidR="00A86B49" w:rsidRPr="005F6335">
        <w:rPr>
          <w:rFonts w:ascii="Times New Roman" w:hAnsi="Times New Roman" w:cs="Times New Roman"/>
          <w:sz w:val="24"/>
        </w:rPr>
        <w:t xml:space="preserve"> controlled chemical to which the subdivision applies as an </w:t>
      </w:r>
      <w:r w:rsidRPr="005F6335">
        <w:rPr>
          <w:rFonts w:ascii="Times New Roman" w:hAnsi="Times New Roman" w:cs="Times New Roman"/>
          <w:sz w:val="24"/>
        </w:rPr>
        <w:t>‘</w:t>
      </w:r>
      <w:r w:rsidR="00A86B49" w:rsidRPr="005F6335">
        <w:rPr>
          <w:rFonts w:ascii="Times New Roman" w:hAnsi="Times New Roman" w:cs="Times New Roman"/>
          <w:sz w:val="24"/>
        </w:rPr>
        <w:t>export</w:t>
      </w:r>
      <w:r w:rsidRPr="005F6335">
        <w:rPr>
          <w:rFonts w:ascii="Times New Roman" w:hAnsi="Times New Roman" w:cs="Times New Roman"/>
          <w:sz w:val="24"/>
        </w:rPr>
        <w:t>-</w:t>
      </w:r>
      <w:r w:rsidR="00A86B49" w:rsidRPr="005F6335">
        <w:rPr>
          <w:rFonts w:ascii="Times New Roman" w:hAnsi="Times New Roman" w:cs="Times New Roman"/>
          <w:sz w:val="24"/>
        </w:rPr>
        <w:t>prohibited chemical</w:t>
      </w:r>
      <w:r w:rsidRPr="005F6335">
        <w:rPr>
          <w:rFonts w:ascii="Times New Roman" w:hAnsi="Times New Roman" w:cs="Times New Roman"/>
          <w:sz w:val="24"/>
        </w:rPr>
        <w:t>’</w:t>
      </w:r>
      <w:r w:rsidR="00A86B49" w:rsidRPr="005F6335">
        <w:rPr>
          <w:rFonts w:ascii="Times New Roman" w:hAnsi="Times New Roman" w:cs="Times New Roman"/>
          <w:sz w:val="24"/>
        </w:rPr>
        <w:t>.</w:t>
      </w:r>
    </w:p>
    <w:p w14:paraId="3773663D" w14:textId="77777777" w:rsidR="005C4F37" w:rsidRPr="005F6335" w:rsidRDefault="005C4F37" w:rsidP="000A55AB">
      <w:pPr>
        <w:tabs>
          <w:tab w:val="right" w:pos="9072"/>
        </w:tabs>
        <w:spacing w:after="0" w:line="240" w:lineRule="auto"/>
        <w:rPr>
          <w:rFonts w:ascii="Times New Roman" w:hAnsi="Times New Roman" w:cs="Times New Roman"/>
          <w:sz w:val="24"/>
        </w:rPr>
      </w:pPr>
    </w:p>
    <w:p w14:paraId="7A34559E" w14:textId="104643F5" w:rsidR="008D158A" w:rsidRPr="005F6335" w:rsidRDefault="001271DB" w:rsidP="000A55AB">
      <w:pPr>
        <w:tabs>
          <w:tab w:val="right" w:pos="9072"/>
        </w:tabs>
        <w:spacing w:after="0" w:line="240" w:lineRule="auto"/>
        <w:rPr>
          <w:rFonts w:ascii="Times New Roman" w:hAnsi="Times New Roman" w:cs="Times New Roman"/>
          <w:sz w:val="24"/>
        </w:rPr>
      </w:pPr>
      <w:r w:rsidRPr="005F6335">
        <w:rPr>
          <w:rFonts w:ascii="Times New Roman" w:hAnsi="Times New Roman" w:cs="Times New Roman"/>
          <w:sz w:val="24"/>
        </w:rPr>
        <w:t xml:space="preserve">Under </w:t>
      </w:r>
      <w:r w:rsidR="00660B08" w:rsidRPr="005F6335">
        <w:rPr>
          <w:rFonts w:ascii="Times New Roman" w:hAnsi="Times New Roman" w:cs="Times New Roman"/>
          <w:sz w:val="24"/>
        </w:rPr>
        <w:t>regulation </w:t>
      </w:r>
      <w:r w:rsidRPr="005F6335">
        <w:rPr>
          <w:rFonts w:ascii="Times New Roman" w:hAnsi="Times New Roman" w:cs="Times New Roman"/>
          <w:sz w:val="24"/>
        </w:rPr>
        <w:t>3.210</w:t>
      </w:r>
      <w:r w:rsidR="005C4F37" w:rsidRPr="005F6335">
        <w:rPr>
          <w:rFonts w:ascii="Times New Roman" w:hAnsi="Times New Roman" w:cs="Times New Roman"/>
          <w:sz w:val="24"/>
        </w:rPr>
        <w:t xml:space="preserve"> of the Administration Regulations</w:t>
      </w:r>
      <w:r w:rsidR="00A22695" w:rsidRPr="005F6335">
        <w:rPr>
          <w:rFonts w:ascii="Times New Roman" w:hAnsi="Times New Roman" w:cs="Times New Roman"/>
          <w:sz w:val="24"/>
        </w:rPr>
        <w:t xml:space="preserve"> (which is in subdivision 3.6.2 of the Administration Regulations)</w:t>
      </w:r>
      <w:r w:rsidRPr="005F6335">
        <w:rPr>
          <w:rFonts w:ascii="Times New Roman" w:hAnsi="Times New Roman" w:cs="Times New Roman"/>
          <w:sz w:val="24"/>
        </w:rPr>
        <w:t>, the export from Australia of an export-prohibited chemical is prohibited unless</w:t>
      </w:r>
      <w:r w:rsidR="005C4F37" w:rsidRPr="005F6335">
        <w:rPr>
          <w:rFonts w:ascii="Times New Roman" w:hAnsi="Times New Roman" w:cs="Times New Roman"/>
          <w:sz w:val="24"/>
        </w:rPr>
        <w:t>, relevantly, an authorised officer or the Minister has given written permission to export the chemical and any condition or restriction specified in the relevant item in Schedule</w:t>
      </w:r>
      <w:r w:rsidR="00660B08" w:rsidRPr="005F6335">
        <w:rPr>
          <w:rFonts w:ascii="Times New Roman" w:hAnsi="Times New Roman" w:cs="Times New Roman"/>
          <w:sz w:val="24"/>
        </w:rPr>
        <w:t> </w:t>
      </w:r>
      <w:r w:rsidR="001E02E2" w:rsidRPr="005F6335">
        <w:rPr>
          <w:rFonts w:ascii="Times New Roman" w:hAnsi="Times New Roman" w:cs="Times New Roman"/>
          <w:sz w:val="24"/>
        </w:rPr>
        <w:t>1</w:t>
      </w:r>
      <w:r w:rsidR="00660B08" w:rsidRPr="005F6335">
        <w:rPr>
          <w:rFonts w:ascii="Times New Roman" w:hAnsi="Times New Roman" w:cs="Times New Roman"/>
          <w:sz w:val="24"/>
        </w:rPr>
        <w:t xml:space="preserve"> </w:t>
      </w:r>
      <w:r w:rsidR="00F600D9" w:rsidRPr="005F6335">
        <w:rPr>
          <w:rFonts w:ascii="Times New Roman" w:hAnsi="Times New Roman" w:cs="Times New Roman"/>
          <w:sz w:val="24"/>
        </w:rPr>
        <w:t>to</w:t>
      </w:r>
      <w:r w:rsidR="00660B08" w:rsidRPr="005F6335">
        <w:rPr>
          <w:rFonts w:ascii="Times New Roman" w:hAnsi="Times New Roman" w:cs="Times New Roman"/>
          <w:sz w:val="24"/>
        </w:rPr>
        <w:t xml:space="preserve"> the Administration Regulations</w:t>
      </w:r>
      <w:r w:rsidR="005C4F37" w:rsidRPr="005F6335">
        <w:rPr>
          <w:rFonts w:ascii="Times New Roman" w:hAnsi="Times New Roman" w:cs="Times New Roman"/>
          <w:sz w:val="24"/>
        </w:rPr>
        <w:t xml:space="preserve"> is satisfied. Sub</w:t>
      </w:r>
      <w:r w:rsidR="00A22695" w:rsidRPr="005F6335">
        <w:rPr>
          <w:rFonts w:ascii="Times New Roman" w:hAnsi="Times New Roman" w:cs="Times New Roman"/>
          <w:sz w:val="24"/>
        </w:rPr>
        <w:t>regula</w:t>
      </w:r>
      <w:r w:rsidR="005C4F37" w:rsidRPr="005F6335">
        <w:rPr>
          <w:rFonts w:ascii="Times New Roman" w:hAnsi="Times New Roman" w:cs="Times New Roman"/>
          <w:sz w:val="24"/>
        </w:rPr>
        <w:t>tion</w:t>
      </w:r>
      <w:r w:rsidR="00A22695" w:rsidRPr="005F6335">
        <w:rPr>
          <w:rFonts w:ascii="Times New Roman" w:hAnsi="Times New Roman" w:cs="Times New Roman"/>
          <w:sz w:val="24"/>
        </w:rPr>
        <w:t> </w:t>
      </w:r>
      <w:r w:rsidR="005C4F37" w:rsidRPr="005F6335">
        <w:rPr>
          <w:rFonts w:ascii="Times New Roman" w:hAnsi="Times New Roman" w:cs="Times New Roman"/>
          <w:sz w:val="24"/>
        </w:rPr>
        <w:t>3.210(2) prescribes several conditions or restrictions for each chemical for the purposes of subsection</w:t>
      </w:r>
      <w:r w:rsidR="00A22695" w:rsidRPr="005F6335">
        <w:rPr>
          <w:rFonts w:ascii="Times New Roman" w:hAnsi="Times New Roman" w:cs="Times New Roman"/>
          <w:sz w:val="24"/>
        </w:rPr>
        <w:t> </w:t>
      </w:r>
      <w:r w:rsidR="005C4F37" w:rsidRPr="005F6335">
        <w:rPr>
          <w:rFonts w:ascii="Times New Roman" w:hAnsi="Times New Roman" w:cs="Times New Roman"/>
          <w:sz w:val="24"/>
        </w:rPr>
        <w:t>69C(1) of the Act, including that a person must not export the chemical without the written permission of an authorised officer or the Minister</w:t>
      </w:r>
      <w:r w:rsidR="00A22695" w:rsidRPr="005F6335">
        <w:rPr>
          <w:rFonts w:ascii="Times New Roman" w:hAnsi="Times New Roman" w:cs="Times New Roman"/>
          <w:sz w:val="24"/>
        </w:rPr>
        <w:t>, or</w:t>
      </w:r>
      <w:r w:rsidR="005C4F37" w:rsidRPr="005F6335">
        <w:rPr>
          <w:rFonts w:ascii="Times New Roman" w:hAnsi="Times New Roman" w:cs="Times New Roman"/>
          <w:sz w:val="24"/>
        </w:rPr>
        <w:t xml:space="preserve"> contrary to a condition or restriction specified in the permission.</w:t>
      </w:r>
    </w:p>
    <w:p w14:paraId="5ED86A81" w14:textId="77777777" w:rsidR="001556B3" w:rsidRPr="005F6335" w:rsidRDefault="001556B3" w:rsidP="000A55AB">
      <w:pPr>
        <w:tabs>
          <w:tab w:val="right" w:pos="9072"/>
        </w:tabs>
        <w:spacing w:after="0" w:line="240" w:lineRule="auto"/>
        <w:rPr>
          <w:rFonts w:ascii="Times New Roman" w:hAnsi="Times New Roman" w:cs="Times New Roman"/>
          <w:sz w:val="24"/>
        </w:rPr>
      </w:pPr>
    </w:p>
    <w:p w14:paraId="11409AF3" w14:textId="77777777" w:rsidR="00F071EC" w:rsidRPr="005F6335" w:rsidRDefault="00F071EC" w:rsidP="004F4734">
      <w:pPr>
        <w:keepNext/>
        <w:tabs>
          <w:tab w:val="left" w:pos="1701"/>
          <w:tab w:val="right" w:pos="9072"/>
        </w:tabs>
        <w:spacing w:after="0" w:line="240" w:lineRule="auto"/>
        <w:rPr>
          <w:rFonts w:ascii="Times New Roman" w:hAnsi="Times New Roman" w:cs="Times New Roman"/>
          <w:b/>
          <w:sz w:val="24"/>
          <w:szCs w:val="24"/>
        </w:rPr>
      </w:pPr>
      <w:r w:rsidRPr="005F6335">
        <w:rPr>
          <w:rFonts w:ascii="Times New Roman" w:hAnsi="Times New Roman" w:cs="Times New Roman"/>
          <w:b/>
          <w:sz w:val="24"/>
          <w:szCs w:val="24"/>
        </w:rPr>
        <w:t>Purpose</w:t>
      </w:r>
    </w:p>
    <w:p w14:paraId="55EA0A31" w14:textId="77777777" w:rsidR="00F071EC" w:rsidRPr="005F6335" w:rsidRDefault="00F071EC" w:rsidP="004F4734">
      <w:pPr>
        <w:keepNext/>
        <w:tabs>
          <w:tab w:val="left" w:pos="1701"/>
          <w:tab w:val="right" w:pos="9072"/>
        </w:tabs>
        <w:spacing w:after="0" w:line="240" w:lineRule="auto"/>
        <w:rPr>
          <w:rFonts w:ascii="Times New Roman" w:hAnsi="Times New Roman" w:cs="Times New Roman"/>
          <w:color w:val="000000" w:themeColor="text1"/>
          <w:sz w:val="24"/>
          <w:szCs w:val="24"/>
        </w:rPr>
      </w:pPr>
    </w:p>
    <w:p w14:paraId="6C242F42" w14:textId="7C0A4A5C" w:rsidR="00AD4709" w:rsidRPr="005F6335" w:rsidRDefault="00E56CDD" w:rsidP="00E56CDD">
      <w:pPr>
        <w:spacing w:after="0" w:line="240" w:lineRule="auto"/>
        <w:rPr>
          <w:rFonts w:ascii="Times New Roman" w:hAnsi="Times New Roman" w:cs="Times New Roman"/>
          <w:sz w:val="24"/>
          <w:szCs w:val="24"/>
          <w:lang w:eastAsia="ja-JP"/>
        </w:rPr>
      </w:pPr>
      <w:r w:rsidRPr="005F6335">
        <w:rPr>
          <w:rFonts w:ascii="Times New Roman" w:hAnsi="Times New Roman" w:cs="Times New Roman"/>
          <w:color w:val="000000" w:themeColor="text1"/>
          <w:sz w:val="24"/>
          <w:szCs w:val="24"/>
          <w:lang w:eastAsia="ja-JP"/>
        </w:rPr>
        <w:t>The purpose of the</w:t>
      </w:r>
      <w:r w:rsidRPr="005F6335">
        <w:rPr>
          <w:rFonts w:ascii="Times New Roman" w:hAnsi="Times New Roman" w:cs="Times New Roman"/>
          <w:i/>
          <w:color w:val="000000" w:themeColor="text1"/>
          <w:sz w:val="24"/>
          <w:szCs w:val="24"/>
          <w:lang w:eastAsia="ja-JP"/>
        </w:rPr>
        <w:t xml:space="preserve"> Agricultural and Veterinary Chemicals (Administration) Amendment (Phorate) Regulations 2020 </w:t>
      </w:r>
      <w:r w:rsidRPr="005F6335">
        <w:rPr>
          <w:rFonts w:ascii="Times New Roman" w:hAnsi="Times New Roman" w:cs="Times New Roman"/>
          <w:color w:val="000000" w:themeColor="text1"/>
          <w:sz w:val="24"/>
          <w:szCs w:val="24"/>
          <w:lang w:eastAsia="ja-JP"/>
        </w:rPr>
        <w:t>(the</w:t>
      </w:r>
      <w:r w:rsidR="00ED6B38" w:rsidRPr="005F6335">
        <w:rPr>
          <w:rFonts w:ascii="Times New Roman" w:eastAsia="Calibri" w:hAnsi="Times New Roman" w:cs="Times New Roman"/>
          <w:color w:val="000000" w:themeColor="text1"/>
          <w:sz w:val="24"/>
          <w:szCs w:val="24"/>
          <w:lang w:eastAsia="ja-JP"/>
        </w:rPr>
        <w:t xml:space="preserve"> Regulations</w:t>
      </w:r>
      <w:r w:rsidRPr="005F6335">
        <w:rPr>
          <w:rFonts w:ascii="Times New Roman" w:hAnsi="Times New Roman" w:cs="Times New Roman"/>
          <w:color w:val="000000" w:themeColor="text1"/>
          <w:sz w:val="24"/>
          <w:szCs w:val="24"/>
          <w:lang w:eastAsia="ja-JP"/>
        </w:rPr>
        <w:t xml:space="preserve">) </w:t>
      </w:r>
      <w:r w:rsidR="0065648A" w:rsidRPr="005F6335">
        <w:rPr>
          <w:rFonts w:ascii="Times New Roman" w:hAnsi="Times New Roman" w:cs="Times New Roman"/>
          <w:color w:val="000000" w:themeColor="text1"/>
          <w:sz w:val="24"/>
          <w:szCs w:val="24"/>
          <w:lang w:eastAsia="ja-JP"/>
        </w:rPr>
        <w:t xml:space="preserve">is to amend the Administration Regulations to list the active constituent phorate as a ‘controlled chemical’ for the purpose of regulation 1.3A and prescribe a condition of its export. </w:t>
      </w:r>
      <w:r w:rsidR="001178BB" w:rsidRPr="005F6335">
        <w:rPr>
          <w:rFonts w:ascii="Times New Roman" w:hAnsi="Times New Roman" w:cs="Times New Roman"/>
          <w:sz w:val="24"/>
        </w:rPr>
        <w:t>Phorate is an active ingredient in agricultural chemical products used to manage insects such as aphids, thrips and worms in cotton and vegetables in Australia</w:t>
      </w:r>
      <w:r w:rsidR="00956A01" w:rsidRPr="005F6335">
        <w:rPr>
          <w:rFonts w:ascii="Times New Roman" w:hAnsi="Times New Roman" w:cs="Times New Roman"/>
          <w:sz w:val="24"/>
        </w:rPr>
        <w:t xml:space="preserve">. </w:t>
      </w:r>
      <w:r w:rsidR="00007D27" w:rsidRPr="005F6335">
        <w:rPr>
          <w:rFonts w:ascii="Times New Roman" w:hAnsi="Times New Roman" w:cs="Times New Roman"/>
          <w:sz w:val="24"/>
          <w:szCs w:val="24"/>
          <w:lang w:eastAsia="ja-JP"/>
        </w:rPr>
        <w:t xml:space="preserve">This amendment lists the active constituent phorate as a ‘controlled chemical’ for the purpose of regulation 1.3A </w:t>
      </w:r>
      <w:r w:rsidR="005E4503" w:rsidRPr="005F6335">
        <w:rPr>
          <w:rFonts w:ascii="Times New Roman" w:hAnsi="Times New Roman" w:cs="Times New Roman"/>
          <w:sz w:val="24"/>
          <w:szCs w:val="24"/>
          <w:lang w:eastAsia="ja-JP"/>
        </w:rPr>
        <w:t xml:space="preserve">of the Administration Regulations </w:t>
      </w:r>
      <w:r w:rsidR="00007D27" w:rsidRPr="005F6335">
        <w:rPr>
          <w:rFonts w:ascii="Times New Roman" w:hAnsi="Times New Roman" w:cs="Times New Roman"/>
          <w:sz w:val="24"/>
          <w:szCs w:val="24"/>
          <w:lang w:eastAsia="ja-JP"/>
        </w:rPr>
        <w:t>and prescribes a condition of its export</w:t>
      </w:r>
      <w:r w:rsidR="00352EAE" w:rsidRPr="005F6335">
        <w:rPr>
          <w:rFonts w:ascii="Times New Roman" w:hAnsi="Times New Roman" w:cs="Times New Roman"/>
          <w:sz w:val="24"/>
          <w:szCs w:val="24"/>
          <w:lang w:eastAsia="ja-JP"/>
        </w:rPr>
        <w:t xml:space="preserve"> or chemical products containing phorate</w:t>
      </w:r>
      <w:r w:rsidR="00007D27" w:rsidRPr="005F6335">
        <w:rPr>
          <w:rFonts w:ascii="Times New Roman" w:hAnsi="Times New Roman" w:cs="Times New Roman"/>
          <w:sz w:val="24"/>
          <w:szCs w:val="24"/>
          <w:lang w:eastAsia="ja-JP"/>
        </w:rPr>
        <w:t>.</w:t>
      </w:r>
      <w:r w:rsidR="009A7256" w:rsidRPr="005F6335">
        <w:rPr>
          <w:rFonts w:ascii="Times New Roman" w:hAnsi="Times New Roman" w:cs="Times New Roman"/>
          <w:sz w:val="24"/>
          <w:szCs w:val="24"/>
          <w:lang w:eastAsia="ja-JP"/>
        </w:rPr>
        <w:t xml:space="preserve"> </w:t>
      </w:r>
      <w:r w:rsidRPr="005F6335">
        <w:rPr>
          <w:rFonts w:ascii="Times New Roman" w:hAnsi="Times New Roman" w:cs="Times New Roman"/>
          <w:sz w:val="24"/>
          <w:szCs w:val="24"/>
          <w:lang w:eastAsia="ja-JP"/>
        </w:rPr>
        <w:t xml:space="preserve">Specifically, as a result of the Regulations, the export of phorate </w:t>
      </w:r>
      <w:r w:rsidRPr="005F6335">
        <w:rPr>
          <w:rFonts w:ascii="Times New Roman" w:hAnsi="Times New Roman"/>
          <w:sz w:val="24"/>
          <w:szCs w:val="24"/>
          <w:lang w:eastAsia="ja-JP"/>
        </w:rPr>
        <w:t xml:space="preserve">as </w:t>
      </w:r>
      <w:r w:rsidRPr="005F6335">
        <w:rPr>
          <w:rFonts w:ascii="Times New Roman" w:hAnsi="Times New Roman" w:cs="Times New Roman"/>
          <w:sz w:val="24"/>
          <w:szCs w:val="24"/>
          <w:lang w:eastAsia="ja-JP"/>
        </w:rPr>
        <w:t xml:space="preserve">an active constituent for a proposed or existing chemical product, or </w:t>
      </w:r>
      <w:r w:rsidRPr="005F6335">
        <w:rPr>
          <w:rFonts w:ascii="Times New Roman" w:hAnsi="Times New Roman"/>
          <w:sz w:val="24"/>
          <w:szCs w:val="24"/>
          <w:lang w:eastAsia="ja-JP"/>
        </w:rPr>
        <w:t xml:space="preserve">agvet </w:t>
      </w:r>
      <w:r w:rsidRPr="005F6335">
        <w:rPr>
          <w:rFonts w:ascii="Times New Roman" w:hAnsi="Times New Roman" w:cs="Times New Roman"/>
          <w:sz w:val="24"/>
          <w:szCs w:val="24"/>
          <w:lang w:eastAsia="ja-JP"/>
        </w:rPr>
        <w:t>chemical product</w:t>
      </w:r>
      <w:r w:rsidR="00925203" w:rsidRPr="005F6335">
        <w:rPr>
          <w:rFonts w:ascii="Times New Roman" w:hAnsi="Times New Roman" w:cs="Times New Roman"/>
          <w:sz w:val="24"/>
          <w:szCs w:val="24"/>
          <w:lang w:eastAsia="ja-JP"/>
        </w:rPr>
        <w:t>s</w:t>
      </w:r>
      <w:r w:rsidRPr="005F6335">
        <w:rPr>
          <w:rFonts w:ascii="Times New Roman" w:hAnsi="Times New Roman" w:cs="Times New Roman"/>
          <w:sz w:val="24"/>
          <w:szCs w:val="24"/>
          <w:lang w:eastAsia="ja-JP"/>
        </w:rPr>
        <w:t xml:space="preserve"> containing p</w:t>
      </w:r>
      <w:r w:rsidRPr="005F6335">
        <w:rPr>
          <w:rFonts w:ascii="Times New Roman" w:hAnsi="Times New Roman"/>
          <w:sz w:val="24"/>
          <w:szCs w:val="24"/>
          <w:lang w:eastAsia="ja-JP"/>
        </w:rPr>
        <w:t>horate</w:t>
      </w:r>
      <w:r w:rsidRPr="005F6335">
        <w:rPr>
          <w:rFonts w:ascii="Times New Roman" w:hAnsi="Times New Roman" w:cs="Times New Roman"/>
          <w:sz w:val="24"/>
          <w:szCs w:val="24"/>
          <w:lang w:eastAsia="ja-JP"/>
        </w:rPr>
        <w:t xml:space="preserve">, </w:t>
      </w:r>
      <w:r w:rsidR="00863009" w:rsidRPr="005F6335">
        <w:rPr>
          <w:rFonts w:ascii="Times New Roman" w:hAnsi="Times New Roman" w:cs="Times New Roman"/>
          <w:sz w:val="24"/>
          <w:szCs w:val="24"/>
          <w:lang w:eastAsia="ja-JP"/>
        </w:rPr>
        <w:t>is</w:t>
      </w:r>
      <w:r w:rsidRPr="005F6335">
        <w:rPr>
          <w:rFonts w:ascii="Times New Roman" w:hAnsi="Times New Roman" w:cs="Times New Roman"/>
          <w:sz w:val="24"/>
          <w:szCs w:val="24"/>
          <w:lang w:eastAsia="ja-JP"/>
        </w:rPr>
        <w:t xml:space="preserve"> prohibited except with written permission</w:t>
      </w:r>
      <w:r w:rsidRPr="005F6335">
        <w:t xml:space="preserve"> </w:t>
      </w:r>
      <w:r w:rsidRPr="005F6335">
        <w:rPr>
          <w:rFonts w:ascii="Times New Roman" w:hAnsi="Times New Roman" w:cs="Times New Roman"/>
          <w:sz w:val="24"/>
          <w:szCs w:val="24"/>
          <w:lang w:eastAsia="ja-JP"/>
        </w:rPr>
        <w:t>from the Minister or an authorised officer</w:t>
      </w:r>
      <w:r w:rsidR="00925203" w:rsidRPr="005F6335">
        <w:rPr>
          <w:rFonts w:ascii="Times New Roman" w:hAnsi="Times New Roman" w:cs="Times New Roman"/>
          <w:sz w:val="24"/>
          <w:szCs w:val="24"/>
          <w:lang w:eastAsia="ja-JP"/>
        </w:rPr>
        <w:t>. This</w:t>
      </w:r>
      <w:r w:rsidR="00051FF9" w:rsidRPr="005F6335">
        <w:rPr>
          <w:rFonts w:ascii="Times New Roman" w:hAnsi="Times New Roman" w:cs="Times New Roman"/>
          <w:sz w:val="24"/>
          <w:szCs w:val="24"/>
          <w:lang w:eastAsia="ja-JP"/>
        </w:rPr>
        <w:t xml:space="preserve"> enables</w:t>
      </w:r>
      <w:r w:rsidR="00925203" w:rsidRPr="005F6335">
        <w:rPr>
          <w:rFonts w:ascii="Times New Roman" w:hAnsi="Times New Roman" w:cs="Times New Roman"/>
          <w:sz w:val="24"/>
          <w:szCs w:val="24"/>
          <w:lang w:eastAsia="ja-JP"/>
        </w:rPr>
        <w:t xml:space="preserve"> Australia</w:t>
      </w:r>
      <w:r w:rsidR="00051FF9" w:rsidRPr="005F6335">
        <w:rPr>
          <w:rFonts w:ascii="Times New Roman" w:hAnsi="Times New Roman" w:cs="Times New Roman"/>
          <w:sz w:val="24"/>
          <w:szCs w:val="24"/>
          <w:lang w:eastAsia="ja-JP"/>
        </w:rPr>
        <w:t xml:space="preserve"> to</w:t>
      </w:r>
      <w:r w:rsidR="00925203" w:rsidRPr="005F6335">
        <w:rPr>
          <w:rFonts w:ascii="Times New Roman" w:hAnsi="Times New Roman" w:cs="Times New Roman"/>
          <w:sz w:val="24"/>
          <w:szCs w:val="24"/>
          <w:lang w:eastAsia="ja-JP"/>
        </w:rPr>
        <w:t xml:space="preserve"> meet its obligations under the Rotterdam Convention</w:t>
      </w:r>
      <w:r w:rsidR="00051FF9" w:rsidRPr="005F6335">
        <w:rPr>
          <w:rFonts w:ascii="Times New Roman" w:hAnsi="Times New Roman" w:cs="Times New Roman"/>
          <w:sz w:val="24"/>
          <w:szCs w:val="24"/>
          <w:lang w:eastAsia="ja-JP"/>
        </w:rPr>
        <w:t xml:space="preserve"> to ensure that phorate is not exported to countries that have not provided consent to receive it</w:t>
      </w:r>
      <w:r w:rsidR="00925203" w:rsidRPr="005F6335">
        <w:rPr>
          <w:rFonts w:ascii="Times New Roman" w:hAnsi="Times New Roman" w:cs="Times New Roman"/>
          <w:sz w:val="24"/>
          <w:szCs w:val="24"/>
          <w:lang w:eastAsia="ja-JP"/>
        </w:rPr>
        <w:t>.</w:t>
      </w:r>
    </w:p>
    <w:p w14:paraId="6B03F414" w14:textId="77777777" w:rsidR="00314E7E" w:rsidRPr="005F6335" w:rsidRDefault="00314E7E" w:rsidP="00E56CDD">
      <w:pPr>
        <w:spacing w:after="0" w:line="240" w:lineRule="auto"/>
        <w:rPr>
          <w:rFonts w:ascii="Times New Roman" w:hAnsi="Times New Roman" w:cs="Times New Roman"/>
          <w:sz w:val="24"/>
          <w:szCs w:val="24"/>
          <w:lang w:eastAsia="ja-JP"/>
        </w:rPr>
      </w:pPr>
    </w:p>
    <w:p w14:paraId="07AA47BF" w14:textId="684363EF" w:rsidR="006203E4" w:rsidRPr="005F6335" w:rsidRDefault="006203E4" w:rsidP="004F4734">
      <w:pPr>
        <w:keepNext/>
        <w:tabs>
          <w:tab w:val="left" w:pos="1701"/>
          <w:tab w:val="right" w:pos="9072"/>
        </w:tabs>
        <w:spacing w:after="0" w:line="240" w:lineRule="auto"/>
        <w:rPr>
          <w:rFonts w:ascii="Times New Roman" w:hAnsi="Times New Roman" w:cs="Times New Roman"/>
          <w:b/>
          <w:sz w:val="24"/>
          <w:szCs w:val="24"/>
        </w:rPr>
      </w:pPr>
      <w:r w:rsidRPr="005F6335">
        <w:rPr>
          <w:rFonts w:ascii="Times New Roman" w:hAnsi="Times New Roman" w:cs="Times New Roman"/>
          <w:b/>
          <w:sz w:val="24"/>
          <w:szCs w:val="24"/>
        </w:rPr>
        <w:t>Background</w:t>
      </w:r>
    </w:p>
    <w:p w14:paraId="631CA9A9" w14:textId="77777777" w:rsidR="00FB197A" w:rsidRPr="005F6335" w:rsidRDefault="00FB197A" w:rsidP="004F4734">
      <w:pPr>
        <w:keepNext/>
        <w:tabs>
          <w:tab w:val="left" w:pos="1701"/>
          <w:tab w:val="right" w:pos="9072"/>
        </w:tabs>
        <w:spacing w:after="0" w:line="240" w:lineRule="auto"/>
        <w:rPr>
          <w:rFonts w:ascii="Times New Roman" w:eastAsia="Calibri" w:hAnsi="Times New Roman" w:cs="Times New Roman"/>
          <w:sz w:val="24"/>
          <w:szCs w:val="24"/>
          <w:lang w:eastAsia="ja-JP"/>
        </w:rPr>
      </w:pPr>
    </w:p>
    <w:p w14:paraId="6381C5DD" w14:textId="7A0C63BC" w:rsidR="00526B9C" w:rsidRPr="005F6335" w:rsidRDefault="00766361" w:rsidP="00097611">
      <w:pPr>
        <w:spacing w:after="0" w:line="240" w:lineRule="auto"/>
        <w:rPr>
          <w:rFonts w:ascii="Times New Roman" w:eastAsia="Calibri" w:hAnsi="Times New Roman" w:cs="Times New Roman"/>
          <w:sz w:val="24"/>
          <w:szCs w:val="24"/>
          <w:lang w:eastAsia="ja-JP"/>
        </w:rPr>
      </w:pPr>
      <w:r w:rsidRPr="005F6335">
        <w:rPr>
          <w:rFonts w:ascii="Times New Roman" w:eastAsia="Calibri" w:hAnsi="Times New Roman" w:cs="Times New Roman"/>
          <w:sz w:val="24"/>
          <w:szCs w:val="24"/>
          <w:lang w:eastAsia="ja-JP"/>
        </w:rPr>
        <w:t>In 2019</w:t>
      </w:r>
      <w:r w:rsidR="00097611" w:rsidRPr="005F6335">
        <w:rPr>
          <w:rFonts w:ascii="Times New Roman" w:eastAsia="Calibri" w:hAnsi="Times New Roman" w:cs="Times New Roman"/>
          <w:sz w:val="24"/>
          <w:szCs w:val="24"/>
          <w:lang w:eastAsia="ja-JP"/>
        </w:rPr>
        <w:t xml:space="preserve">, </w:t>
      </w:r>
      <w:r w:rsidRPr="005F6335">
        <w:rPr>
          <w:rFonts w:ascii="Times New Roman" w:eastAsia="Calibri" w:hAnsi="Times New Roman" w:cs="Times New Roman"/>
          <w:sz w:val="24"/>
          <w:szCs w:val="24"/>
          <w:lang w:eastAsia="ja-JP"/>
        </w:rPr>
        <w:t>phorate was</w:t>
      </w:r>
      <w:r w:rsidR="00097611" w:rsidRPr="005F6335">
        <w:rPr>
          <w:rFonts w:ascii="Times New Roman" w:eastAsia="Calibri" w:hAnsi="Times New Roman" w:cs="Times New Roman"/>
          <w:sz w:val="24"/>
          <w:szCs w:val="24"/>
          <w:lang w:eastAsia="ja-JP"/>
        </w:rPr>
        <w:t xml:space="preserve"> added to Annex III of the Rotterdam Convention</w:t>
      </w:r>
      <w:r w:rsidR="00516ECC" w:rsidRPr="005F6335">
        <w:rPr>
          <w:rFonts w:ascii="Times New Roman" w:hAnsi="Times New Roman" w:cs="Times New Roman"/>
          <w:sz w:val="24"/>
          <w:szCs w:val="24"/>
          <w:lang w:eastAsia="ja-JP"/>
        </w:rPr>
        <w:t xml:space="preserve"> (accessible</w:t>
      </w:r>
      <w:r w:rsidR="00A22695" w:rsidRPr="005F6335">
        <w:rPr>
          <w:rFonts w:ascii="Times New Roman" w:hAnsi="Times New Roman" w:cs="Times New Roman"/>
          <w:sz w:val="24"/>
          <w:szCs w:val="24"/>
          <w:lang w:eastAsia="ja-JP"/>
        </w:rPr>
        <w:t xml:space="preserve"> free of charge</w:t>
      </w:r>
      <w:r w:rsidR="00516ECC" w:rsidRPr="005F6335">
        <w:rPr>
          <w:rFonts w:ascii="Times New Roman" w:hAnsi="Times New Roman" w:cs="Times New Roman"/>
          <w:sz w:val="24"/>
          <w:szCs w:val="24"/>
          <w:lang w:eastAsia="ja-JP"/>
        </w:rPr>
        <w:t xml:space="preserve"> at </w:t>
      </w:r>
      <w:r w:rsidR="00D9661D" w:rsidRPr="005F6335">
        <w:rPr>
          <w:rFonts w:ascii="Times New Roman" w:hAnsi="Times New Roman" w:cs="Times New Roman"/>
          <w:sz w:val="24"/>
          <w:szCs w:val="24"/>
          <w:lang w:eastAsia="ja-JP"/>
        </w:rPr>
        <w:t>www.</w:t>
      </w:r>
      <w:r w:rsidR="00516ECC" w:rsidRPr="005F6335">
        <w:rPr>
          <w:rFonts w:ascii="Times New Roman" w:hAnsi="Times New Roman" w:cs="Times New Roman"/>
          <w:sz w:val="24"/>
          <w:szCs w:val="24"/>
          <w:lang w:eastAsia="ja-JP"/>
        </w:rPr>
        <w:t>pic.int</w:t>
      </w:r>
      <w:r w:rsidR="00035825" w:rsidRPr="005F6335">
        <w:rPr>
          <w:rFonts w:ascii="Times New Roman" w:hAnsi="Times New Roman" w:cs="Times New Roman"/>
          <w:sz w:val="24"/>
          <w:szCs w:val="24"/>
          <w:lang w:eastAsia="ja-JP"/>
        </w:rPr>
        <w:t>/</w:t>
      </w:r>
      <w:r w:rsidR="00516ECC" w:rsidRPr="005F6335">
        <w:rPr>
          <w:rFonts w:ascii="Times New Roman" w:hAnsi="Times New Roman" w:cs="Times New Roman"/>
          <w:sz w:val="24"/>
          <w:szCs w:val="24"/>
          <w:lang w:eastAsia="ja-JP"/>
        </w:rPr>
        <w:t>)</w:t>
      </w:r>
      <w:r w:rsidR="00097611" w:rsidRPr="005F6335">
        <w:rPr>
          <w:rFonts w:ascii="Times New Roman" w:eastAsia="Calibri" w:hAnsi="Times New Roman" w:cs="Times New Roman"/>
          <w:sz w:val="24"/>
          <w:szCs w:val="24"/>
          <w:lang w:eastAsia="ja-JP"/>
        </w:rPr>
        <w:t>. The Rotterdam Convention is an international treaty promoting shared responsibilities and cooperative efforts in the international trade of certain hazardous chemicals</w:t>
      </w:r>
      <w:r w:rsidR="00592841" w:rsidRPr="005F6335">
        <w:rPr>
          <w:rFonts w:ascii="Times New Roman" w:eastAsia="Calibri" w:hAnsi="Times New Roman" w:cs="Times New Roman"/>
          <w:sz w:val="24"/>
          <w:szCs w:val="24"/>
          <w:lang w:eastAsia="ja-JP"/>
        </w:rPr>
        <w:t>. It</w:t>
      </w:r>
      <w:r w:rsidR="00097611" w:rsidRPr="005F6335">
        <w:rPr>
          <w:rFonts w:ascii="Times New Roman" w:eastAsia="Calibri" w:hAnsi="Times New Roman" w:cs="Times New Roman"/>
          <w:sz w:val="24"/>
          <w:szCs w:val="24"/>
          <w:lang w:eastAsia="ja-JP"/>
        </w:rPr>
        <w:t xml:space="preserve"> creates legally</w:t>
      </w:r>
      <w:r w:rsidR="00592841" w:rsidRPr="005F6335">
        <w:rPr>
          <w:rFonts w:ascii="Times New Roman" w:eastAsia="Calibri" w:hAnsi="Times New Roman" w:cs="Times New Roman"/>
          <w:sz w:val="24"/>
          <w:szCs w:val="24"/>
          <w:lang w:eastAsia="ja-JP"/>
        </w:rPr>
        <w:t>-</w:t>
      </w:r>
      <w:r w:rsidR="00097611" w:rsidRPr="005F6335">
        <w:rPr>
          <w:rFonts w:ascii="Times New Roman" w:eastAsia="Calibri" w:hAnsi="Times New Roman" w:cs="Times New Roman"/>
          <w:sz w:val="24"/>
          <w:szCs w:val="24"/>
          <w:lang w:eastAsia="ja-JP"/>
        </w:rPr>
        <w:t>binding obligations for implementing the Prior Informed Consent (PIC) procedure. Annex</w:t>
      </w:r>
      <w:r w:rsidR="00DC2BBF" w:rsidRPr="005F6335">
        <w:rPr>
          <w:rFonts w:ascii="Times New Roman" w:eastAsia="Calibri" w:hAnsi="Times New Roman" w:cs="Times New Roman"/>
          <w:sz w:val="24"/>
          <w:szCs w:val="24"/>
          <w:lang w:eastAsia="ja-JP"/>
        </w:rPr>
        <w:t> </w:t>
      </w:r>
      <w:r w:rsidR="00097611" w:rsidRPr="005F6335">
        <w:rPr>
          <w:rFonts w:ascii="Times New Roman" w:eastAsia="Calibri" w:hAnsi="Times New Roman" w:cs="Times New Roman"/>
          <w:sz w:val="24"/>
          <w:szCs w:val="24"/>
          <w:lang w:eastAsia="ja-JP"/>
        </w:rPr>
        <w:t>III of the Rotterdam Convention contains a list of chemicals that are subject to the PIC procedure.</w:t>
      </w:r>
    </w:p>
    <w:p w14:paraId="50E97264" w14:textId="77777777" w:rsidR="00C6096E" w:rsidRPr="005F6335" w:rsidRDefault="00C6096E" w:rsidP="00097611">
      <w:pPr>
        <w:spacing w:after="0" w:line="240" w:lineRule="auto"/>
        <w:rPr>
          <w:rFonts w:ascii="Times New Roman" w:eastAsia="Calibri" w:hAnsi="Times New Roman" w:cs="Times New Roman"/>
          <w:sz w:val="24"/>
          <w:szCs w:val="24"/>
          <w:lang w:eastAsia="ja-JP"/>
        </w:rPr>
      </w:pPr>
    </w:p>
    <w:p w14:paraId="65A55A44" w14:textId="205C7625" w:rsidR="00526B9C" w:rsidRPr="005F6335" w:rsidRDefault="00097611" w:rsidP="00097611">
      <w:pPr>
        <w:spacing w:after="0" w:line="240" w:lineRule="auto"/>
        <w:rPr>
          <w:rFonts w:ascii="Times New Roman" w:eastAsia="Calibri" w:hAnsi="Times New Roman" w:cs="Times New Roman"/>
          <w:sz w:val="24"/>
          <w:szCs w:val="24"/>
          <w:lang w:eastAsia="ja-JP"/>
        </w:rPr>
      </w:pPr>
      <w:r w:rsidRPr="005F6335">
        <w:rPr>
          <w:rFonts w:ascii="Times New Roman" w:eastAsia="Calibri" w:hAnsi="Times New Roman" w:cs="Times New Roman"/>
          <w:sz w:val="24"/>
          <w:szCs w:val="24"/>
          <w:lang w:eastAsia="ja-JP"/>
        </w:rPr>
        <w:t xml:space="preserve">The PIC procedure aims to ensure that countries do not export listed chemicals to other countries that have not provided consent to receive them. It does not require chemicals to be banned or phased out and does not alter domestic regulatory decisions on the chemicals. Australia fulfils the </w:t>
      </w:r>
      <w:r w:rsidR="00C6096E" w:rsidRPr="005F6335">
        <w:rPr>
          <w:rFonts w:ascii="Times New Roman" w:eastAsia="Calibri" w:hAnsi="Times New Roman" w:cs="Times New Roman"/>
          <w:sz w:val="24"/>
          <w:szCs w:val="24"/>
          <w:lang w:eastAsia="ja-JP"/>
        </w:rPr>
        <w:t xml:space="preserve">Rotterdam </w:t>
      </w:r>
      <w:r w:rsidRPr="005F6335">
        <w:rPr>
          <w:rFonts w:ascii="Times New Roman" w:eastAsia="Calibri" w:hAnsi="Times New Roman" w:cs="Times New Roman"/>
          <w:sz w:val="24"/>
          <w:szCs w:val="24"/>
          <w:lang w:eastAsia="ja-JP"/>
        </w:rPr>
        <w:t xml:space="preserve">Convention’s pesticide export obligations via </w:t>
      </w:r>
      <w:r w:rsidR="00C6096E" w:rsidRPr="005F6335">
        <w:rPr>
          <w:rFonts w:ascii="Times New Roman" w:eastAsia="Calibri" w:hAnsi="Times New Roman" w:cs="Times New Roman"/>
          <w:sz w:val="24"/>
          <w:szCs w:val="24"/>
          <w:lang w:eastAsia="ja-JP"/>
        </w:rPr>
        <w:t xml:space="preserve">permission </w:t>
      </w:r>
      <w:r w:rsidR="00FB197A" w:rsidRPr="005F6335">
        <w:rPr>
          <w:rFonts w:ascii="Times New Roman" w:eastAsia="Calibri" w:hAnsi="Times New Roman" w:cs="Times New Roman"/>
          <w:sz w:val="24"/>
          <w:szCs w:val="24"/>
          <w:lang w:eastAsia="ja-JP"/>
        </w:rPr>
        <w:t xml:space="preserve">arrangements </w:t>
      </w:r>
      <w:r w:rsidRPr="005F6335">
        <w:rPr>
          <w:rFonts w:ascii="Times New Roman" w:eastAsia="Calibri" w:hAnsi="Times New Roman" w:cs="Times New Roman"/>
          <w:sz w:val="24"/>
          <w:szCs w:val="24"/>
          <w:lang w:eastAsia="ja-JP"/>
        </w:rPr>
        <w:t>administered by the</w:t>
      </w:r>
      <w:r w:rsidR="002877A0" w:rsidRPr="005F6335">
        <w:rPr>
          <w:rFonts w:ascii="Times New Roman" w:eastAsia="Calibri" w:hAnsi="Times New Roman" w:cs="Times New Roman"/>
          <w:sz w:val="24"/>
          <w:szCs w:val="24"/>
          <w:lang w:eastAsia="ja-JP"/>
        </w:rPr>
        <w:t xml:space="preserve"> department.</w:t>
      </w:r>
    </w:p>
    <w:p w14:paraId="292C5CC9" w14:textId="63ACD266" w:rsidR="00097611" w:rsidRPr="005F6335" w:rsidRDefault="00097611" w:rsidP="00097611">
      <w:pPr>
        <w:spacing w:after="0" w:line="240" w:lineRule="auto"/>
        <w:rPr>
          <w:rFonts w:ascii="Times New Roman" w:eastAsia="Calibri" w:hAnsi="Times New Roman" w:cs="Times New Roman"/>
          <w:sz w:val="24"/>
          <w:szCs w:val="24"/>
          <w:lang w:eastAsia="ja-JP"/>
        </w:rPr>
      </w:pPr>
    </w:p>
    <w:p w14:paraId="6985075A" w14:textId="78537802" w:rsidR="00873709" w:rsidRDefault="00425BC8" w:rsidP="00425BC8">
      <w:pPr>
        <w:tabs>
          <w:tab w:val="right" w:pos="9072"/>
        </w:tabs>
        <w:spacing w:after="0" w:line="240" w:lineRule="auto"/>
        <w:rPr>
          <w:rFonts w:ascii="Times New Roman" w:hAnsi="Times New Roman" w:cs="Times New Roman"/>
          <w:sz w:val="24"/>
          <w:szCs w:val="24"/>
          <w:lang w:eastAsia="ja-JP"/>
        </w:rPr>
      </w:pPr>
      <w:r w:rsidRPr="005F6335">
        <w:rPr>
          <w:rFonts w:ascii="Times New Roman" w:hAnsi="Times New Roman" w:cs="Times New Roman"/>
          <w:sz w:val="24"/>
          <w:szCs w:val="24"/>
          <w:lang w:eastAsia="ja-JP"/>
        </w:rPr>
        <w:t>The amendment of the Rotterdam Convention required a minor treaty action under Australia’s domestic treaty-making process, whic</w:t>
      </w:r>
      <w:r w:rsidRPr="00A15849">
        <w:rPr>
          <w:rFonts w:ascii="Times New Roman" w:hAnsi="Times New Roman" w:cs="Times New Roman"/>
          <w:sz w:val="24"/>
          <w:szCs w:val="24"/>
          <w:lang w:eastAsia="ja-JP"/>
        </w:rPr>
        <w:t xml:space="preserve">h was managed by the then Department of </w:t>
      </w:r>
      <w:r w:rsidR="004B0A35" w:rsidRPr="00A15849">
        <w:rPr>
          <w:rFonts w:ascii="Times New Roman" w:hAnsi="Times New Roman" w:cs="Times New Roman"/>
          <w:sz w:val="24"/>
          <w:szCs w:val="24"/>
          <w:lang w:eastAsia="ja-JP"/>
        </w:rPr>
        <w:t xml:space="preserve">the Environment and </w:t>
      </w:r>
      <w:r w:rsidRPr="00A15849">
        <w:rPr>
          <w:rFonts w:ascii="Times New Roman" w:hAnsi="Times New Roman" w:cs="Times New Roman"/>
          <w:sz w:val="24"/>
          <w:szCs w:val="24"/>
          <w:lang w:eastAsia="ja-JP"/>
        </w:rPr>
        <w:t xml:space="preserve">Energy (as the Official Contact Point for the Rotterdam Convention, now </w:t>
      </w:r>
      <w:r w:rsidRPr="00A15849">
        <w:rPr>
          <w:rFonts w:ascii="Times New Roman" w:hAnsi="Times New Roman" w:cs="Times New Roman"/>
          <w:sz w:val="24"/>
          <w:szCs w:val="24"/>
          <w:lang w:eastAsia="ja-JP"/>
        </w:rPr>
        <w:lastRenderedPageBreak/>
        <w:t xml:space="preserve">the </w:t>
      </w:r>
      <w:r w:rsidR="00A03D9E" w:rsidRPr="00A15849">
        <w:rPr>
          <w:rFonts w:ascii="Times New Roman" w:hAnsi="Times New Roman" w:cs="Times New Roman"/>
          <w:sz w:val="24"/>
          <w:szCs w:val="24"/>
          <w:lang w:eastAsia="ja-JP"/>
        </w:rPr>
        <w:t>department</w:t>
      </w:r>
      <w:r w:rsidRPr="00A15849">
        <w:rPr>
          <w:rFonts w:ascii="Times New Roman" w:hAnsi="Times New Roman" w:cs="Times New Roman"/>
          <w:sz w:val="24"/>
          <w:szCs w:val="24"/>
          <w:lang w:eastAsia="ja-JP"/>
        </w:rPr>
        <w:t>). The Joint Standing Committee on Treaties endorsed the treaty action on 2 December 2019.</w:t>
      </w:r>
    </w:p>
    <w:p w14:paraId="4B54CBB8" w14:textId="77777777" w:rsidR="00873709" w:rsidRPr="00DF77D4" w:rsidRDefault="00873709" w:rsidP="00873709">
      <w:pPr>
        <w:tabs>
          <w:tab w:val="right" w:pos="9072"/>
        </w:tabs>
        <w:spacing w:after="0" w:line="240" w:lineRule="auto"/>
        <w:rPr>
          <w:rFonts w:ascii="Times New Roman" w:hAnsi="Times New Roman" w:cs="Times New Roman"/>
          <w:sz w:val="24"/>
          <w:szCs w:val="24"/>
          <w:lang w:eastAsia="ja-JP"/>
        </w:rPr>
      </w:pPr>
    </w:p>
    <w:p w14:paraId="0F182997" w14:textId="77777777" w:rsidR="00873709" w:rsidRPr="00DF77D4" w:rsidRDefault="00873709" w:rsidP="00873709">
      <w:pPr>
        <w:spacing w:after="0" w:line="240" w:lineRule="auto"/>
        <w:rPr>
          <w:rFonts w:ascii="Times New Roman" w:eastAsia="Calibri" w:hAnsi="Times New Roman" w:cs="Times New Roman"/>
          <w:sz w:val="24"/>
          <w:szCs w:val="24"/>
          <w:lang w:eastAsia="ja-JP"/>
        </w:rPr>
      </w:pPr>
      <w:r w:rsidRPr="00DF77D4">
        <w:rPr>
          <w:rFonts w:ascii="Times New Roman" w:eastAsia="Calibri" w:hAnsi="Times New Roman" w:cs="Times New Roman"/>
          <w:sz w:val="24"/>
          <w:szCs w:val="24"/>
          <w:lang w:eastAsia="ja-JP"/>
        </w:rPr>
        <w:t xml:space="preserve">The proposed Regulations would update the conditions for export of phorate, </w:t>
      </w:r>
      <w:r w:rsidRPr="00DF77D4">
        <w:rPr>
          <w:rFonts w:ascii="Times New Roman" w:hAnsi="Times New Roman"/>
          <w:sz w:val="24"/>
          <w:szCs w:val="24"/>
          <w:lang w:eastAsia="ja-JP"/>
        </w:rPr>
        <w:t xml:space="preserve">as </w:t>
      </w:r>
      <w:r w:rsidRPr="00DF77D4">
        <w:rPr>
          <w:rFonts w:ascii="Times New Roman" w:hAnsi="Times New Roman" w:cs="Times New Roman"/>
          <w:sz w:val="24"/>
          <w:szCs w:val="24"/>
          <w:lang w:eastAsia="ja-JP"/>
        </w:rPr>
        <w:t xml:space="preserve">an active constituent for a proposed or existing chemical product, or </w:t>
      </w:r>
      <w:r w:rsidRPr="00DF77D4">
        <w:rPr>
          <w:rFonts w:ascii="Times New Roman" w:hAnsi="Times New Roman"/>
          <w:sz w:val="24"/>
          <w:szCs w:val="24"/>
          <w:lang w:eastAsia="ja-JP"/>
        </w:rPr>
        <w:t xml:space="preserve">agvet </w:t>
      </w:r>
      <w:r w:rsidRPr="00DF77D4">
        <w:rPr>
          <w:rFonts w:ascii="Times New Roman" w:hAnsi="Times New Roman" w:cs="Times New Roman"/>
          <w:sz w:val="24"/>
          <w:szCs w:val="24"/>
          <w:lang w:eastAsia="ja-JP"/>
        </w:rPr>
        <w:t>chemical products containing p</w:t>
      </w:r>
      <w:r w:rsidRPr="00DF77D4">
        <w:rPr>
          <w:rFonts w:ascii="Times New Roman" w:hAnsi="Times New Roman"/>
          <w:sz w:val="24"/>
          <w:szCs w:val="24"/>
          <w:lang w:eastAsia="ja-JP"/>
        </w:rPr>
        <w:t>horate,</w:t>
      </w:r>
      <w:r w:rsidRPr="00DF77D4">
        <w:rPr>
          <w:rFonts w:ascii="Times New Roman" w:eastAsia="Calibri" w:hAnsi="Times New Roman" w:cs="Times New Roman"/>
          <w:sz w:val="24"/>
          <w:szCs w:val="24"/>
          <w:lang w:eastAsia="ja-JP"/>
        </w:rPr>
        <w:t xml:space="preserve"> to enable Australia to meet its obligations as a party to the Rotterdam Convention.</w:t>
      </w:r>
    </w:p>
    <w:p w14:paraId="1D235387" w14:textId="77777777" w:rsidR="00425BC8" w:rsidRPr="00A15849" w:rsidRDefault="00425BC8" w:rsidP="00097611">
      <w:pPr>
        <w:spacing w:after="0" w:line="240" w:lineRule="auto"/>
        <w:rPr>
          <w:rFonts w:ascii="Times New Roman" w:eastAsia="Calibri" w:hAnsi="Times New Roman" w:cs="Times New Roman"/>
          <w:sz w:val="24"/>
          <w:szCs w:val="24"/>
          <w:lang w:eastAsia="ja-JP"/>
        </w:rPr>
      </w:pPr>
    </w:p>
    <w:p w14:paraId="4EB26215" w14:textId="77777777" w:rsidR="0041591C" w:rsidRPr="00A15849" w:rsidRDefault="0041591C" w:rsidP="004F4734">
      <w:pPr>
        <w:keepNext/>
        <w:tabs>
          <w:tab w:val="left" w:pos="1701"/>
          <w:tab w:val="right" w:pos="9072"/>
        </w:tabs>
        <w:spacing w:after="0" w:line="240" w:lineRule="auto"/>
        <w:rPr>
          <w:rFonts w:ascii="Times New Roman" w:hAnsi="Times New Roman" w:cs="Times New Roman"/>
          <w:b/>
          <w:sz w:val="24"/>
          <w:szCs w:val="24"/>
        </w:rPr>
      </w:pPr>
      <w:r w:rsidRPr="00A15849">
        <w:rPr>
          <w:rFonts w:ascii="Times New Roman" w:hAnsi="Times New Roman" w:cs="Times New Roman"/>
          <w:b/>
          <w:sz w:val="24"/>
          <w:szCs w:val="24"/>
        </w:rPr>
        <w:t>Impact and Effect</w:t>
      </w:r>
    </w:p>
    <w:p w14:paraId="2C699FD7" w14:textId="77777777" w:rsidR="0041591C" w:rsidRPr="00A15849" w:rsidRDefault="0041591C" w:rsidP="004F4734">
      <w:pPr>
        <w:keepNext/>
        <w:tabs>
          <w:tab w:val="left" w:pos="1701"/>
          <w:tab w:val="right" w:pos="9072"/>
        </w:tabs>
        <w:spacing w:after="0" w:line="240" w:lineRule="auto"/>
        <w:rPr>
          <w:rFonts w:ascii="Times New Roman" w:eastAsia="Calibri" w:hAnsi="Times New Roman" w:cs="Times New Roman"/>
          <w:sz w:val="24"/>
          <w:szCs w:val="24"/>
          <w:lang w:eastAsia="ja-JP"/>
        </w:rPr>
      </w:pPr>
    </w:p>
    <w:p w14:paraId="7BF4810B" w14:textId="19E6DFBC" w:rsidR="000A55AB" w:rsidRPr="00A15849" w:rsidRDefault="000A55AB" w:rsidP="00097611">
      <w:pPr>
        <w:spacing w:after="0" w:line="240" w:lineRule="auto"/>
        <w:jc w:val="both"/>
        <w:rPr>
          <w:rFonts w:ascii="Times New Roman" w:eastAsia="Calibri" w:hAnsi="Times New Roman" w:cs="Times New Roman"/>
          <w:sz w:val="24"/>
          <w:szCs w:val="24"/>
          <w:lang w:eastAsia="ja-JP"/>
        </w:rPr>
      </w:pPr>
      <w:r w:rsidRPr="00A15849">
        <w:rPr>
          <w:rFonts w:ascii="Times New Roman" w:eastAsia="Calibri" w:hAnsi="Times New Roman" w:cs="Times New Roman"/>
          <w:sz w:val="24"/>
          <w:szCs w:val="24"/>
          <w:lang w:eastAsia="ja-JP"/>
        </w:rPr>
        <w:t xml:space="preserve">It is not anticipated that there </w:t>
      </w:r>
      <w:r w:rsidR="00863009" w:rsidRPr="00A15849">
        <w:rPr>
          <w:rFonts w:ascii="Times New Roman" w:eastAsia="Calibri" w:hAnsi="Times New Roman" w:cs="Times New Roman"/>
          <w:sz w:val="24"/>
          <w:szCs w:val="24"/>
          <w:lang w:eastAsia="ja-JP"/>
        </w:rPr>
        <w:t>will</w:t>
      </w:r>
      <w:r w:rsidRPr="00A15849">
        <w:rPr>
          <w:rFonts w:ascii="Times New Roman" w:eastAsia="Calibri" w:hAnsi="Times New Roman" w:cs="Times New Roman"/>
          <w:sz w:val="24"/>
          <w:szCs w:val="24"/>
          <w:lang w:eastAsia="ja-JP"/>
        </w:rPr>
        <w:t xml:space="preserve"> be any adverse impact or eff</w:t>
      </w:r>
      <w:r w:rsidR="00863009" w:rsidRPr="00A15849">
        <w:rPr>
          <w:rFonts w:ascii="Times New Roman" w:eastAsia="Calibri" w:hAnsi="Times New Roman" w:cs="Times New Roman"/>
          <w:sz w:val="24"/>
          <w:szCs w:val="24"/>
          <w:lang w:eastAsia="ja-JP"/>
        </w:rPr>
        <w:t>ect from adding phorate to Part </w:t>
      </w:r>
      <w:r w:rsidRPr="00A15849">
        <w:rPr>
          <w:rFonts w:ascii="Times New Roman" w:eastAsia="Calibri" w:hAnsi="Times New Roman" w:cs="Times New Roman"/>
          <w:sz w:val="24"/>
          <w:szCs w:val="24"/>
          <w:lang w:eastAsia="ja-JP"/>
        </w:rPr>
        <w:t>2 of Schedule</w:t>
      </w:r>
      <w:r w:rsidR="00BF714A" w:rsidRPr="00A15849">
        <w:rPr>
          <w:rFonts w:ascii="Times New Roman" w:eastAsia="Calibri" w:hAnsi="Times New Roman" w:cs="Times New Roman"/>
          <w:sz w:val="24"/>
          <w:szCs w:val="24"/>
          <w:lang w:eastAsia="ja-JP"/>
        </w:rPr>
        <w:t> </w:t>
      </w:r>
      <w:r w:rsidRPr="00A15849">
        <w:rPr>
          <w:rFonts w:ascii="Times New Roman" w:eastAsia="Calibri" w:hAnsi="Times New Roman" w:cs="Times New Roman"/>
          <w:sz w:val="24"/>
          <w:szCs w:val="24"/>
          <w:lang w:eastAsia="ja-JP"/>
        </w:rPr>
        <w:t>1 to the Administration Regulations.</w:t>
      </w:r>
    </w:p>
    <w:p w14:paraId="55C227D1" w14:textId="77777777" w:rsidR="00097611" w:rsidRPr="00A15849" w:rsidRDefault="00097611" w:rsidP="00097611">
      <w:pPr>
        <w:spacing w:after="0" w:line="240" w:lineRule="auto"/>
        <w:jc w:val="both"/>
        <w:rPr>
          <w:rFonts w:ascii="Times New Roman" w:eastAsia="Calibri" w:hAnsi="Times New Roman" w:cs="Times New Roman"/>
          <w:sz w:val="24"/>
          <w:szCs w:val="24"/>
        </w:rPr>
      </w:pPr>
    </w:p>
    <w:p w14:paraId="20F4CCCD" w14:textId="77777777" w:rsidR="0041591C" w:rsidRPr="00A15849" w:rsidRDefault="0041591C" w:rsidP="004F4734">
      <w:pPr>
        <w:keepNext/>
        <w:tabs>
          <w:tab w:val="left" w:pos="1701"/>
          <w:tab w:val="right" w:pos="9072"/>
        </w:tabs>
        <w:spacing w:after="0" w:line="240" w:lineRule="auto"/>
        <w:rPr>
          <w:rFonts w:ascii="Times New Roman" w:hAnsi="Times New Roman" w:cs="Times New Roman"/>
          <w:sz w:val="24"/>
          <w:szCs w:val="24"/>
        </w:rPr>
      </w:pPr>
      <w:r w:rsidRPr="00A15849">
        <w:rPr>
          <w:rFonts w:ascii="Times New Roman" w:hAnsi="Times New Roman" w:cs="Times New Roman"/>
          <w:b/>
          <w:sz w:val="24"/>
          <w:szCs w:val="24"/>
        </w:rPr>
        <w:t>Consultation</w:t>
      </w:r>
    </w:p>
    <w:p w14:paraId="6A619C54" w14:textId="77777777" w:rsidR="0041591C" w:rsidRPr="00A15849" w:rsidRDefault="0041591C" w:rsidP="004F4734">
      <w:pPr>
        <w:keepNext/>
        <w:spacing w:after="0" w:line="240" w:lineRule="auto"/>
        <w:jc w:val="both"/>
        <w:rPr>
          <w:rFonts w:ascii="Times New Roman" w:eastAsia="Calibri" w:hAnsi="Times New Roman" w:cs="Times New Roman"/>
          <w:sz w:val="24"/>
          <w:szCs w:val="24"/>
        </w:rPr>
      </w:pPr>
    </w:p>
    <w:p w14:paraId="43CA969F" w14:textId="6E897094" w:rsidR="00F3307F" w:rsidRPr="005F6335" w:rsidRDefault="00862CA9" w:rsidP="00865CFF">
      <w:pPr>
        <w:tabs>
          <w:tab w:val="left" w:pos="1701"/>
          <w:tab w:val="right" w:pos="9072"/>
        </w:tabs>
        <w:spacing w:after="0" w:line="240" w:lineRule="auto"/>
        <w:rPr>
          <w:rFonts w:ascii="Times New Roman" w:hAnsi="Times New Roman" w:cs="Times New Roman"/>
          <w:sz w:val="24"/>
          <w:szCs w:val="24"/>
          <w:lang w:eastAsia="ja-JP"/>
        </w:rPr>
      </w:pPr>
      <w:r w:rsidRPr="00A15849">
        <w:rPr>
          <w:rFonts w:ascii="Times New Roman" w:hAnsi="Times New Roman" w:cs="Times New Roman"/>
          <w:sz w:val="24"/>
          <w:szCs w:val="24"/>
          <w:lang w:eastAsia="ja-JP"/>
        </w:rPr>
        <w:t>Prior</w:t>
      </w:r>
      <w:r w:rsidR="000A55AB" w:rsidRPr="00A15849">
        <w:rPr>
          <w:rFonts w:ascii="Times New Roman" w:hAnsi="Times New Roman" w:cs="Times New Roman"/>
          <w:sz w:val="24"/>
          <w:szCs w:val="24"/>
          <w:lang w:eastAsia="ja-JP"/>
        </w:rPr>
        <w:t xml:space="preserve"> to the listing of phorate under Annex</w:t>
      </w:r>
      <w:r w:rsidR="00A22695" w:rsidRPr="00A15849">
        <w:rPr>
          <w:rFonts w:ascii="Times New Roman" w:hAnsi="Times New Roman" w:cs="Times New Roman"/>
          <w:sz w:val="24"/>
          <w:szCs w:val="24"/>
          <w:lang w:eastAsia="ja-JP"/>
        </w:rPr>
        <w:t> </w:t>
      </w:r>
      <w:r w:rsidR="000A55AB" w:rsidRPr="00A15849">
        <w:rPr>
          <w:rFonts w:ascii="Times New Roman" w:hAnsi="Times New Roman" w:cs="Times New Roman"/>
          <w:sz w:val="24"/>
          <w:szCs w:val="24"/>
          <w:lang w:eastAsia="ja-JP"/>
        </w:rPr>
        <w:t xml:space="preserve">III to the Rotterdam Convention, </w:t>
      </w:r>
      <w:r w:rsidR="009327D8" w:rsidRPr="00A15849">
        <w:rPr>
          <w:rFonts w:ascii="Times New Roman" w:hAnsi="Times New Roman" w:cs="Times New Roman"/>
          <w:sz w:val="24"/>
          <w:szCs w:val="24"/>
          <w:lang w:eastAsia="ja-JP"/>
        </w:rPr>
        <w:t xml:space="preserve">the then Department of the Environment and Energy and the then Department of Agriculture and Water Resources </w:t>
      </w:r>
      <w:r w:rsidR="00F3307F" w:rsidRPr="00A15849">
        <w:rPr>
          <w:rFonts w:ascii="Times New Roman" w:hAnsi="Times New Roman" w:cs="Times New Roman"/>
          <w:sz w:val="24"/>
          <w:szCs w:val="24"/>
          <w:lang w:eastAsia="ja-JP"/>
        </w:rPr>
        <w:t xml:space="preserve">undertook targeted written consultation from </w:t>
      </w:r>
      <w:r w:rsidR="00F3307F" w:rsidRPr="009E0B6E">
        <w:rPr>
          <w:rFonts w:ascii="Times New Roman" w:hAnsi="Times New Roman" w:cs="Times New Roman"/>
          <w:sz w:val="24"/>
          <w:szCs w:val="24"/>
          <w:lang w:eastAsia="ja-JP"/>
        </w:rPr>
        <w:t>November</w:t>
      </w:r>
      <w:r w:rsidR="00F47AF8" w:rsidRPr="009E0B6E">
        <w:rPr>
          <w:rFonts w:ascii="Times New Roman" w:hAnsi="Times New Roman" w:cs="Times New Roman"/>
          <w:sz w:val="24"/>
          <w:szCs w:val="24"/>
          <w:lang w:eastAsia="ja-JP"/>
        </w:rPr>
        <w:t> </w:t>
      </w:r>
      <w:r w:rsidR="00F3307F" w:rsidRPr="009E0B6E">
        <w:rPr>
          <w:rFonts w:ascii="Times New Roman" w:hAnsi="Times New Roman" w:cs="Times New Roman"/>
          <w:sz w:val="24"/>
          <w:szCs w:val="24"/>
          <w:lang w:eastAsia="ja-JP"/>
        </w:rPr>
        <w:t xml:space="preserve">2018 to </w:t>
      </w:r>
      <w:r w:rsidR="00F3307F" w:rsidRPr="005F6335">
        <w:rPr>
          <w:rFonts w:ascii="Times New Roman" w:hAnsi="Times New Roman" w:cs="Times New Roman"/>
          <w:sz w:val="24"/>
          <w:szCs w:val="24"/>
          <w:lang w:eastAsia="ja-JP"/>
        </w:rPr>
        <w:t>February</w:t>
      </w:r>
      <w:r w:rsidR="00F47AF8" w:rsidRPr="005F6335">
        <w:rPr>
          <w:rFonts w:ascii="Times New Roman" w:hAnsi="Times New Roman" w:cs="Times New Roman"/>
          <w:sz w:val="24"/>
          <w:szCs w:val="24"/>
          <w:lang w:eastAsia="ja-JP"/>
        </w:rPr>
        <w:t> </w:t>
      </w:r>
      <w:r w:rsidR="00F3307F" w:rsidRPr="005F6335">
        <w:rPr>
          <w:rFonts w:ascii="Times New Roman" w:hAnsi="Times New Roman" w:cs="Times New Roman"/>
          <w:sz w:val="24"/>
          <w:szCs w:val="24"/>
          <w:lang w:eastAsia="ja-JP"/>
        </w:rPr>
        <w:t xml:space="preserve">2019 with the stakeholders listed in </w:t>
      </w:r>
      <w:r w:rsidR="00F3307F" w:rsidRPr="005F6335">
        <w:rPr>
          <w:rFonts w:ascii="Times New Roman" w:hAnsi="Times New Roman" w:cs="Times New Roman"/>
          <w:sz w:val="24"/>
          <w:szCs w:val="24"/>
          <w:u w:val="single"/>
          <w:lang w:eastAsia="ja-JP"/>
        </w:rPr>
        <w:t>Attachment</w:t>
      </w:r>
      <w:r w:rsidR="00F47AF8" w:rsidRPr="005F6335">
        <w:rPr>
          <w:rFonts w:ascii="Times New Roman" w:hAnsi="Times New Roman" w:cs="Times New Roman"/>
          <w:sz w:val="24"/>
          <w:szCs w:val="24"/>
          <w:u w:val="single"/>
          <w:lang w:eastAsia="ja-JP"/>
        </w:rPr>
        <w:t> </w:t>
      </w:r>
      <w:r w:rsidR="00F3307F" w:rsidRPr="005F6335">
        <w:rPr>
          <w:rFonts w:ascii="Times New Roman" w:hAnsi="Times New Roman" w:cs="Times New Roman"/>
          <w:sz w:val="24"/>
          <w:szCs w:val="24"/>
          <w:u w:val="single"/>
          <w:lang w:eastAsia="ja-JP"/>
        </w:rPr>
        <w:t>A</w:t>
      </w:r>
      <w:r w:rsidR="000A55AB" w:rsidRPr="005F6335">
        <w:rPr>
          <w:rFonts w:ascii="Times New Roman" w:hAnsi="Times New Roman" w:cs="Times New Roman"/>
          <w:sz w:val="24"/>
          <w:szCs w:val="24"/>
          <w:lang w:eastAsia="ja-JP"/>
        </w:rPr>
        <w:t>.</w:t>
      </w:r>
    </w:p>
    <w:p w14:paraId="1CBC1296" w14:textId="77777777" w:rsidR="00F3307F" w:rsidRPr="005F6335" w:rsidRDefault="00F3307F" w:rsidP="00865CFF">
      <w:pPr>
        <w:tabs>
          <w:tab w:val="left" w:pos="1701"/>
          <w:tab w:val="right" w:pos="9072"/>
        </w:tabs>
        <w:spacing w:after="0" w:line="240" w:lineRule="auto"/>
        <w:rPr>
          <w:rFonts w:ascii="Times New Roman" w:hAnsi="Times New Roman" w:cs="Times New Roman"/>
          <w:sz w:val="24"/>
          <w:szCs w:val="24"/>
          <w:lang w:eastAsia="ja-JP"/>
        </w:rPr>
      </w:pPr>
    </w:p>
    <w:p w14:paraId="1885E59E" w14:textId="089BDA03" w:rsidR="00526B9C" w:rsidRPr="00A15849" w:rsidRDefault="00865CFF" w:rsidP="00865CFF">
      <w:pPr>
        <w:tabs>
          <w:tab w:val="left" w:pos="1701"/>
          <w:tab w:val="right" w:pos="9072"/>
        </w:tabs>
        <w:spacing w:after="0" w:line="240" w:lineRule="auto"/>
        <w:rPr>
          <w:rFonts w:ascii="Times New Roman" w:hAnsi="Times New Roman" w:cs="Times New Roman"/>
          <w:sz w:val="24"/>
          <w:szCs w:val="24"/>
          <w:lang w:eastAsia="ja-JP"/>
        </w:rPr>
      </w:pPr>
      <w:r w:rsidRPr="005F6335">
        <w:rPr>
          <w:rFonts w:ascii="Times New Roman" w:hAnsi="Times New Roman" w:cs="Times New Roman"/>
          <w:sz w:val="24"/>
          <w:szCs w:val="24"/>
          <w:lang w:eastAsia="ja-JP"/>
        </w:rPr>
        <w:t xml:space="preserve">The consultation advised that phorate was being considered for listing </w:t>
      </w:r>
      <w:r w:rsidR="0008137E" w:rsidRPr="005F6335">
        <w:rPr>
          <w:rFonts w:ascii="Times New Roman" w:hAnsi="Times New Roman" w:cs="Times New Roman"/>
          <w:sz w:val="24"/>
          <w:szCs w:val="24"/>
          <w:lang w:eastAsia="ja-JP"/>
        </w:rPr>
        <w:t xml:space="preserve">under the Rotterdam Convention </w:t>
      </w:r>
      <w:r w:rsidRPr="005F6335">
        <w:rPr>
          <w:rFonts w:ascii="Times New Roman" w:hAnsi="Times New Roman" w:cs="Times New Roman"/>
          <w:sz w:val="24"/>
          <w:szCs w:val="24"/>
          <w:lang w:eastAsia="ja-JP"/>
        </w:rPr>
        <w:t xml:space="preserve">and of the associated condition of export. </w:t>
      </w:r>
      <w:r w:rsidR="00F3307F" w:rsidRPr="005F6335">
        <w:rPr>
          <w:rFonts w:ascii="Times New Roman" w:hAnsi="Times New Roman" w:cs="Times New Roman"/>
          <w:sz w:val="24"/>
          <w:szCs w:val="24"/>
          <w:lang w:eastAsia="ja-JP"/>
        </w:rPr>
        <w:t xml:space="preserve">Stakeholders highlighted phorate as an important agricultural chemical </w:t>
      </w:r>
      <w:r w:rsidR="00F3307F" w:rsidRPr="005F6335">
        <w:rPr>
          <w:rFonts w:ascii="Times New Roman" w:hAnsi="Times New Roman" w:cs="Times New Roman"/>
          <w:sz w:val="24"/>
        </w:rPr>
        <w:t>to manage insects such as aphids, thrips and worms particularly in cotton and vegetables crops</w:t>
      </w:r>
      <w:r w:rsidR="00526B9C" w:rsidRPr="005F6335">
        <w:rPr>
          <w:rFonts w:ascii="Times New Roman" w:hAnsi="Times New Roman" w:cs="Times New Roman"/>
          <w:sz w:val="24"/>
        </w:rPr>
        <w:t xml:space="preserve">. Stakeholders </w:t>
      </w:r>
      <w:r w:rsidRPr="005F6335">
        <w:rPr>
          <w:rFonts w:ascii="Times New Roman" w:hAnsi="Times New Roman" w:cs="Times New Roman"/>
          <w:sz w:val="24"/>
          <w:szCs w:val="24"/>
          <w:lang w:eastAsia="ja-JP"/>
        </w:rPr>
        <w:t>did not object to the listing (noting that access to the chemical was not being restricted).</w:t>
      </w:r>
      <w:r w:rsidRPr="00A15849">
        <w:rPr>
          <w:rFonts w:ascii="Times New Roman" w:hAnsi="Times New Roman" w:cs="Times New Roman"/>
          <w:sz w:val="24"/>
          <w:szCs w:val="24"/>
          <w:lang w:eastAsia="ja-JP"/>
        </w:rPr>
        <w:t xml:space="preserve">  </w:t>
      </w:r>
    </w:p>
    <w:p w14:paraId="0C65C9E8" w14:textId="77777777" w:rsidR="0066171A" w:rsidRPr="00A15849" w:rsidRDefault="0066171A">
      <w:pPr>
        <w:tabs>
          <w:tab w:val="left" w:pos="1701"/>
          <w:tab w:val="right" w:pos="9072"/>
        </w:tabs>
        <w:spacing w:after="0" w:line="240" w:lineRule="auto"/>
        <w:rPr>
          <w:rFonts w:ascii="Times New Roman" w:hAnsi="Times New Roman" w:cs="Times New Roman"/>
          <w:sz w:val="24"/>
          <w:szCs w:val="24"/>
          <w:lang w:eastAsia="ja-JP"/>
        </w:rPr>
      </w:pPr>
    </w:p>
    <w:p w14:paraId="315B5A3E" w14:textId="77777777" w:rsidR="00E76AB5" w:rsidRPr="00A15849" w:rsidRDefault="00E76AB5" w:rsidP="004F4734">
      <w:pPr>
        <w:keepNext/>
        <w:tabs>
          <w:tab w:val="left" w:pos="1701"/>
          <w:tab w:val="right" w:pos="9072"/>
        </w:tabs>
        <w:spacing w:after="0" w:line="240" w:lineRule="auto"/>
        <w:rPr>
          <w:rFonts w:ascii="Times New Roman" w:hAnsi="Times New Roman" w:cs="Times New Roman"/>
          <w:b/>
          <w:sz w:val="24"/>
        </w:rPr>
      </w:pPr>
      <w:r w:rsidRPr="00A15849">
        <w:rPr>
          <w:rFonts w:ascii="Times New Roman" w:hAnsi="Times New Roman" w:cs="Times New Roman"/>
          <w:b/>
          <w:sz w:val="24"/>
        </w:rPr>
        <w:t>Details/ Operation</w:t>
      </w:r>
    </w:p>
    <w:p w14:paraId="18A1BE50" w14:textId="77777777" w:rsidR="00E76AB5" w:rsidRPr="00A15849" w:rsidRDefault="00E76AB5" w:rsidP="004F4734">
      <w:pPr>
        <w:keepNext/>
        <w:tabs>
          <w:tab w:val="left" w:pos="1701"/>
          <w:tab w:val="right" w:pos="9072"/>
        </w:tabs>
        <w:spacing w:after="0" w:line="240" w:lineRule="auto"/>
        <w:rPr>
          <w:rFonts w:ascii="Times New Roman" w:hAnsi="Times New Roman" w:cs="Times New Roman"/>
          <w:sz w:val="24"/>
        </w:rPr>
      </w:pPr>
    </w:p>
    <w:p w14:paraId="28C58255" w14:textId="23E0825B" w:rsidR="00E76AB5" w:rsidRPr="00A15849" w:rsidRDefault="00E76AB5">
      <w:pPr>
        <w:tabs>
          <w:tab w:val="left" w:pos="1701"/>
          <w:tab w:val="right" w:pos="9072"/>
        </w:tabs>
        <w:spacing w:after="0" w:line="240" w:lineRule="auto"/>
        <w:rPr>
          <w:rFonts w:ascii="Times New Roman" w:hAnsi="Times New Roman" w:cs="Times New Roman"/>
          <w:sz w:val="24"/>
        </w:rPr>
      </w:pPr>
      <w:r w:rsidRPr="00A15849">
        <w:rPr>
          <w:rFonts w:ascii="Times New Roman" w:hAnsi="Times New Roman" w:cs="Times New Roman"/>
          <w:sz w:val="24"/>
        </w:rPr>
        <w:t>Details of the</w:t>
      </w:r>
      <w:r w:rsidR="00E62BCA" w:rsidRPr="00A15849">
        <w:rPr>
          <w:rFonts w:ascii="Times New Roman" w:hAnsi="Times New Roman" w:cs="Times New Roman"/>
          <w:sz w:val="24"/>
        </w:rPr>
        <w:t xml:space="preserve"> Regulations </w:t>
      </w:r>
      <w:r w:rsidR="003931D0" w:rsidRPr="00A15849">
        <w:rPr>
          <w:rFonts w:ascii="Times New Roman" w:hAnsi="Times New Roman" w:cs="Times New Roman"/>
          <w:sz w:val="24"/>
        </w:rPr>
        <w:t xml:space="preserve">are set out </w:t>
      </w:r>
      <w:r w:rsidR="0066775F" w:rsidRPr="00A15849">
        <w:rPr>
          <w:rFonts w:ascii="Times New Roman" w:hAnsi="Times New Roman" w:cs="Times New Roman"/>
          <w:sz w:val="24"/>
        </w:rPr>
        <w:t xml:space="preserve">at </w:t>
      </w:r>
      <w:r w:rsidRPr="00A15849">
        <w:rPr>
          <w:rFonts w:ascii="Times New Roman" w:hAnsi="Times New Roman" w:cs="Times New Roman"/>
          <w:sz w:val="24"/>
          <w:u w:val="single"/>
        </w:rPr>
        <w:t>Attachment</w:t>
      </w:r>
      <w:r w:rsidR="0066775F" w:rsidRPr="00A15849">
        <w:rPr>
          <w:rFonts w:ascii="Times New Roman" w:hAnsi="Times New Roman" w:cs="Times New Roman"/>
          <w:sz w:val="24"/>
          <w:u w:val="single"/>
        </w:rPr>
        <w:t> </w:t>
      </w:r>
      <w:r w:rsidR="00981715" w:rsidRPr="00A15849">
        <w:rPr>
          <w:rFonts w:ascii="Times New Roman" w:hAnsi="Times New Roman" w:cs="Times New Roman"/>
          <w:sz w:val="24"/>
          <w:u w:val="single"/>
        </w:rPr>
        <w:t>B</w:t>
      </w:r>
      <w:r w:rsidR="00A8026B" w:rsidRPr="00A15849">
        <w:rPr>
          <w:rFonts w:ascii="Times New Roman" w:hAnsi="Times New Roman" w:cs="Times New Roman"/>
          <w:sz w:val="24"/>
        </w:rPr>
        <w:t>.</w:t>
      </w:r>
    </w:p>
    <w:p w14:paraId="3C25AE2D" w14:textId="77777777" w:rsidR="00B66DFF" w:rsidRPr="00A15849" w:rsidRDefault="00B66DFF">
      <w:pPr>
        <w:tabs>
          <w:tab w:val="left" w:pos="1701"/>
          <w:tab w:val="right" w:pos="9072"/>
        </w:tabs>
        <w:spacing w:after="0" w:line="240" w:lineRule="auto"/>
        <w:rPr>
          <w:rFonts w:ascii="Times New Roman" w:hAnsi="Times New Roman" w:cs="Times New Roman"/>
          <w:sz w:val="24"/>
          <w:szCs w:val="24"/>
        </w:rPr>
      </w:pPr>
    </w:p>
    <w:p w14:paraId="6D5149A9" w14:textId="45E1C780" w:rsidR="000A55AB" w:rsidRPr="00A15849" w:rsidRDefault="00E76AB5" w:rsidP="004F4734">
      <w:pPr>
        <w:keepNext/>
        <w:tabs>
          <w:tab w:val="left" w:pos="1701"/>
          <w:tab w:val="right" w:pos="9072"/>
        </w:tabs>
        <w:spacing w:after="0" w:line="240" w:lineRule="auto"/>
        <w:rPr>
          <w:rFonts w:ascii="Times New Roman" w:hAnsi="Times New Roman" w:cs="Times New Roman"/>
          <w:b/>
          <w:sz w:val="24"/>
          <w:szCs w:val="24"/>
        </w:rPr>
      </w:pPr>
      <w:r w:rsidRPr="00A15849">
        <w:rPr>
          <w:rFonts w:ascii="Times New Roman" w:hAnsi="Times New Roman" w:cs="Times New Roman"/>
          <w:b/>
          <w:sz w:val="24"/>
          <w:szCs w:val="24"/>
        </w:rPr>
        <w:t>Other</w:t>
      </w:r>
    </w:p>
    <w:p w14:paraId="2F9BF32E" w14:textId="77777777" w:rsidR="004F4734" w:rsidRPr="00A15849" w:rsidRDefault="004F4734" w:rsidP="004F4734">
      <w:pPr>
        <w:keepNext/>
        <w:tabs>
          <w:tab w:val="left" w:pos="1701"/>
          <w:tab w:val="right" w:pos="9072"/>
        </w:tabs>
        <w:spacing w:after="0" w:line="240" w:lineRule="auto"/>
        <w:rPr>
          <w:rFonts w:ascii="Times New Roman" w:hAnsi="Times New Roman" w:cs="Times New Roman"/>
          <w:sz w:val="24"/>
        </w:rPr>
      </w:pPr>
    </w:p>
    <w:p w14:paraId="322AF862" w14:textId="2419A7F5" w:rsidR="00C12090" w:rsidRPr="00A15849" w:rsidRDefault="00C12090" w:rsidP="00C12090">
      <w:pPr>
        <w:tabs>
          <w:tab w:val="left" w:pos="1701"/>
          <w:tab w:val="right" w:pos="9072"/>
        </w:tabs>
        <w:spacing w:after="0" w:line="240" w:lineRule="auto"/>
        <w:rPr>
          <w:rFonts w:ascii="Times New Roman" w:hAnsi="Times New Roman" w:cs="Times New Roman"/>
          <w:sz w:val="24"/>
          <w:szCs w:val="24"/>
        </w:rPr>
      </w:pPr>
      <w:r w:rsidRPr="00A15849">
        <w:rPr>
          <w:rFonts w:ascii="Times New Roman" w:hAnsi="Times New Roman" w:cs="Times New Roman"/>
          <w:sz w:val="24"/>
          <w:szCs w:val="24"/>
        </w:rPr>
        <w:t xml:space="preserve">The Regulations are </w:t>
      </w:r>
      <w:r w:rsidRPr="00A15849">
        <w:rPr>
          <w:rFonts w:ascii="Times New Roman" w:hAnsi="Times New Roman" w:cs="Times New Roman"/>
          <w:color w:val="000000" w:themeColor="text1"/>
          <w:sz w:val="24"/>
          <w:szCs w:val="24"/>
        </w:rPr>
        <w:t>compatible with the human rights and freedoms recognised or declared under section</w:t>
      </w:r>
      <w:r w:rsidR="00516ECC" w:rsidRPr="00A15849">
        <w:rPr>
          <w:rFonts w:ascii="Times New Roman" w:hAnsi="Times New Roman" w:cs="Times New Roman"/>
          <w:color w:val="000000" w:themeColor="text1"/>
          <w:sz w:val="24"/>
          <w:szCs w:val="24"/>
        </w:rPr>
        <w:t> </w:t>
      </w:r>
      <w:r w:rsidRPr="00A15849">
        <w:rPr>
          <w:rFonts w:ascii="Times New Roman" w:hAnsi="Times New Roman" w:cs="Times New Roman"/>
          <w:color w:val="000000" w:themeColor="text1"/>
          <w:sz w:val="24"/>
          <w:szCs w:val="24"/>
        </w:rPr>
        <w:t xml:space="preserve">3 of the </w:t>
      </w:r>
      <w:r w:rsidRPr="00A15849">
        <w:rPr>
          <w:rFonts w:ascii="Times New Roman" w:hAnsi="Times New Roman" w:cs="Times New Roman"/>
          <w:i/>
          <w:color w:val="000000" w:themeColor="text1"/>
          <w:sz w:val="24"/>
          <w:szCs w:val="24"/>
        </w:rPr>
        <w:t>Human Rights (Parliamentary Scrutiny) Act</w:t>
      </w:r>
      <w:r w:rsidR="00BF714A" w:rsidRPr="00A15849">
        <w:rPr>
          <w:rFonts w:ascii="Times New Roman" w:hAnsi="Times New Roman" w:cs="Times New Roman"/>
          <w:b/>
          <w:i/>
          <w:color w:val="000000" w:themeColor="text1"/>
          <w:sz w:val="24"/>
          <w:szCs w:val="24"/>
        </w:rPr>
        <w:t> </w:t>
      </w:r>
      <w:r w:rsidRPr="00A15849">
        <w:rPr>
          <w:rFonts w:ascii="Times New Roman" w:hAnsi="Times New Roman" w:cs="Times New Roman"/>
          <w:i/>
          <w:color w:val="000000" w:themeColor="text1"/>
          <w:sz w:val="24"/>
          <w:szCs w:val="24"/>
        </w:rPr>
        <w:t>2011.</w:t>
      </w:r>
      <w:r w:rsidRPr="00A15849">
        <w:rPr>
          <w:rFonts w:ascii="Times New Roman" w:hAnsi="Times New Roman" w:cs="Times New Roman"/>
          <w:color w:val="000000" w:themeColor="text1"/>
          <w:sz w:val="24"/>
          <w:szCs w:val="24"/>
        </w:rPr>
        <w:t xml:space="preserve"> A </w:t>
      </w:r>
      <w:r w:rsidRPr="00A15849">
        <w:rPr>
          <w:rFonts w:ascii="Times New Roman" w:hAnsi="Times New Roman" w:cs="Times New Roman"/>
          <w:sz w:val="24"/>
          <w:szCs w:val="24"/>
        </w:rPr>
        <w:t xml:space="preserve">full statement of compatibility is set out </w:t>
      </w:r>
      <w:r w:rsidR="0066775F" w:rsidRPr="00A15849">
        <w:rPr>
          <w:rFonts w:ascii="Times New Roman" w:hAnsi="Times New Roman" w:cs="Times New Roman"/>
          <w:sz w:val="24"/>
          <w:szCs w:val="24"/>
        </w:rPr>
        <w:t xml:space="preserve">at </w:t>
      </w:r>
      <w:r w:rsidRPr="00A15849">
        <w:rPr>
          <w:rFonts w:ascii="Times New Roman" w:hAnsi="Times New Roman" w:cs="Times New Roman"/>
          <w:sz w:val="24"/>
          <w:szCs w:val="24"/>
          <w:u w:val="single"/>
        </w:rPr>
        <w:t>Attachment</w:t>
      </w:r>
      <w:r w:rsidR="00BF714A" w:rsidRPr="00A15849">
        <w:rPr>
          <w:rFonts w:ascii="Times New Roman" w:hAnsi="Times New Roman" w:cs="Times New Roman"/>
          <w:sz w:val="24"/>
          <w:szCs w:val="24"/>
          <w:u w:val="single"/>
        </w:rPr>
        <w:t> </w:t>
      </w:r>
      <w:r w:rsidR="00981715" w:rsidRPr="00A15849">
        <w:rPr>
          <w:rFonts w:ascii="Times New Roman" w:hAnsi="Times New Roman" w:cs="Times New Roman"/>
          <w:sz w:val="24"/>
          <w:szCs w:val="24"/>
          <w:u w:val="single"/>
        </w:rPr>
        <w:t>C</w:t>
      </w:r>
      <w:r w:rsidRPr="00A15849">
        <w:rPr>
          <w:rFonts w:ascii="Times New Roman" w:hAnsi="Times New Roman" w:cs="Times New Roman"/>
          <w:sz w:val="24"/>
          <w:szCs w:val="24"/>
        </w:rPr>
        <w:t>.</w:t>
      </w:r>
    </w:p>
    <w:p w14:paraId="358784F8" w14:textId="77777777" w:rsidR="00C12090" w:rsidRPr="00A15849" w:rsidRDefault="00C12090" w:rsidP="00C12090">
      <w:pPr>
        <w:tabs>
          <w:tab w:val="left" w:pos="1701"/>
          <w:tab w:val="right" w:pos="9072"/>
        </w:tabs>
        <w:spacing w:after="0" w:line="240" w:lineRule="auto"/>
        <w:rPr>
          <w:rFonts w:ascii="Times New Roman" w:hAnsi="Times New Roman" w:cs="Times New Roman"/>
          <w:sz w:val="24"/>
          <w:szCs w:val="24"/>
        </w:rPr>
      </w:pPr>
    </w:p>
    <w:p w14:paraId="2B04EEDE" w14:textId="074D2DE9" w:rsidR="00C12090" w:rsidRPr="00A15849" w:rsidRDefault="00C12090" w:rsidP="00C12090">
      <w:pPr>
        <w:tabs>
          <w:tab w:val="left" w:pos="1701"/>
          <w:tab w:val="right" w:pos="9072"/>
        </w:tabs>
        <w:spacing w:after="0" w:line="240" w:lineRule="auto"/>
        <w:rPr>
          <w:rFonts w:ascii="Times New Roman" w:hAnsi="Times New Roman" w:cs="Times New Roman"/>
          <w:sz w:val="24"/>
          <w:szCs w:val="24"/>
        </w:rPr>
      </w:pPr>
      <w:r w:rsidRPr="00A15849">
        <w:rPr>
          <w:rFonts w:ascii="Times New Roman" w:hAnsi="Times New Roman" w:cs="Times New Roman"/>
          <w:sz w:val="24"/>
          <w:szCs w:val="24"/>
        </w:rPr>
        <w:t xml:space="preserve">The Regulations are a legislative instrument for the purposes of the </w:t>
      </w:r>
      <w:r w:rsidRPr="00A15849">
        <w:rPr>
          <w:rFonts w:ascii="Times New Roman" w:hAnsi="Times New Roman" w:cs="Times New Roman"/>
          <w:i/>
          <w:sz w:val="24"/>
          <w:szCs w:val="24"/>
        </w:rPr>
        <w:t>Legislation Act 2003</w:t>
      </w:r>
      <w:r w:rsidRPr="00A15849">
        <w:rPr>
          <w:rFonts w:ascii="Times New Roman" w:hAnsi="Times New Roman" w:cs="Times New Roman"/>
          <w:sz w:val="24"/>
          <w:szCs w:val="24"/>
        </w:rPr>
        <w:t>.</w:t>
      </w:r>
    </w:p>
    <w:p w14:paraId="1D38AEF4" w14:textId="77777777" w:rsidR="00E76AB5" w:rsidRPr="00A15849" w:rsidRDefault="00E76AB5" w:rsidP="00AB099F">
      <w:pPr>
        <w:tabs>
          <w:tab w:val="left" w:pos="1701"/>
          <w:tab w:val="right" w:pos="9072"/>
        </w:tabs>
        <w:spacing w:after="0" w:line="240" w:lineRule="auto"/>
        <w:rPr>
          <w:b/>
          <w:caps/>
          <w:szCs w:val="24"/>
          <w:u w:val="single"/>
        </w:rPr>
      </w:pPr>
      <w:r w:rsidRPr="00A15849">
        <w:rPr>
          <w:b/>
          <w:caps/>
          <w:szCs w:val="24"/>
          <w:u w:val="single"/>
        </w:rPr>
        <w:br w:type="page"/>
      </w:r>
    </w:p>
    <w:p w14:paraId="5D9914BE" w14:textId="36E6F732" w:rsidR="000A55AB" w:rsidRPr="00A15849" w:rsidRDefault="000A55AB">
      <w:pPr>
        <w:spacing w:after="0" w:line="240" w:lineRule="auto"/>
        <w:jc w:val="right"/>
        <w:rPr>
          <w:rFonts w:ascii="Times" w:eastAsia="Times New Roman" w:hAnsi="Times" w:cs="Times New Roman"/>
          <w:b/>
          <w:caps/>
          <w:color w:val="000000"/>
          <w:sz w:val="24"/>
          <w:u w:val="single"/>
        </w:rPr>
      </w:pPr>
      <w:r w:rsidRPr="00A15849">
        <w:rPr>
          <w:rFonts w:ascii="Times" w:eastAsia="Times New Roman" w:hAnsi="Times" w:cs="Times New Roman"/>
          <w:b/>
          <w:caps/>
          <w:color w:val="000000"/>
          <w:sz w:val="24"/>
          <w:u w:val="single"/>
        </w:rPr>
        <w:lastRenderedPageBreak/>
        <w:t>Attachment A</w:t>
      </w:r>
    </w:p>
    <w:p w14:paraId="640432AA" w14:textId="77777777" w:rsidR="000A55AB" w:rsidRPr="00A15849" w:rsidRDefault="000A55AB" w:rsidP="00FC6597">
      <w:pPr>
        <w:spacing w:after="0" w:line="240" w:lineRule="auto"/>
        <w:rPr>
          <w:rFonts w:ascii="Times" w:eastAsia="Times New Roman" w:hAnsi="Times" w:cs="Times New Roman"/>
          <w:b/>
          <w:caps/>
          <w:color w:val="000000"/>
          <w:sz w:val="24"/>
          <w:u w:val="single"/>
        </w:rPr>
      </w:pPr>
    </w:p>
    <w:p w14:paraId="5FCAB032" w14:textId="77777777" w:rsidR="00F83D65" w:rsidRPr="00A15849" w:rsidRDefault="00F83D65" w:rsidP="00F83D65">
      <w:pPr>
        <w:spacing w:after="0" w:line="240" w:lineRule="auto"/>
        <w:rPr>
          <w:rFonts w:ascii="Times New Roman" w:hAnsi="Times New Roman" w:cs="Times New Roman"/>
          <w:b/>
          <w:sz w:val="24"/>
        </w:rPr>
      </w:pPr>
      <w:r w:rsidRPr="00A15849">
        <w:rPr>
          <w:rFonts w:ascii="Times New Roman" w:hAnsi="Times New Roman" w:cs="Times New Roman"/>
          <w:b/>
          <w:sz w:val="24"/>
          <w:lang w:val="en-GB"/>
        </w:rPr>
        <w:t>Stakeholder consultation prior to the listing of</w:t>
      </w:r>
      <w:r w:rsidRPr="00A15849">
        <w:rPr>
          <w:rFonts w:ascii="Times New Roman" w:hAnsi="Times New Roman" w:cs="Times New Roman"/>
          <w:b/>
          <w:sz w:val="24"/>
        </w:rPr>
        <w:t xml:space="preserve"> phorate under Annex III to the Rotterdam Convention </w:t>
      </w:r>
    </w:p>
    <w:p w14:paraId="6DA7E58E" w14:textId="77777777" w:rsidR="0030283B" w:rsidRPr="00A15849" w:rsidRDefault="0030283B" w:rsidP="000A55AB">
      <w:pPr>
        <w:rPr>
          <w:rFonts w:ascii="Times New Roman" w:hAnsi="Times New Roman" w:cs="Times New Roman"/>
          <w:i/>
          <w:sz w:val="24"/>
          <w:szCs w:val="24"/>
        </w:rPr>
      </w:pPr>
    </w:p>
    <w:p w14:paraId="43DD043D" w14:textId="049D19A7" w:rsidR="000A55AB" w:rsidRPr="00A15849" w:rsidRDefault="000A55AB" w:rsidP="000A55AB">
      <w:pPr>
        <w:rPr>
          <w:rFonts w:ascii="Times New Roman" w:hAnsi="Times New Roman" w:cs="Times New Roman"/>
          <w:i/>
          <w:sz w:val="24"/>
          <w:szCs w:val="24"/>
        </w:rPr>
      </w:pPr>
      <w:r w:rsidRPr="00A15849">
        <w:rPr>
          <w:rFonts w:ascii="Times New Roman" w:hAnsi="Times New Roman" w:cs="Times New Roman"/>
          <w:i/>
          <w:sz w:val="24"/>
          <w:szCs w:val="24"/>
        </w:rPr>
        <w:t xml:space="preserve">Australian Government </w:t>
      </w:r>
      <w:r w:rsidR="00903FA3" w:rsidRPr="00A15849">
        <w:rPr>
          <w:rFonts w:ascii="Times New Roman" w:hAnsi="Times New Roman" w:cs="Times New Roman"/>
          <w:i/>
          <w:sz w:val="24"/>
          <w:szCs w:val="24"/>
        </w:rPr>
        <w:t>Entities</w:t>
      </w:r>
    </w:p>
    <w:p w14:paraId="10F86903"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Australian Grape and Wine Authority</w:t>
      </w:r>
    </w:p>
    <w:p w14:paraId="24E14B31" w14:textId="19EDBBAB"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Australian Pesticides and Veterinary Medicines Authority</w:t>
      </w:r>
    </w:p>
    <w:p w14:paraId="720E6BFE" w14:textId="49126F1B"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Agriculture</w:t>
      </w:r>
      <w:r w:rsidR="003F60C1" w:rsidRPr="00A15849">
        <w:rPr>
          <w:rFonts w:ascii="Times New Roman" w:hAnsi="Times New Roman" w:cs="Times New Roman"/>
          <w:sz w:val="24"/>
          <w:szCs w:val="24"/>
        </w:rPr>
        <w:t xml:space="preserve"> and</w:t>
      </w:r>
      <w:r w:rsidRPr="00A15849">
        <w:rPr>
          <w:rFonts w:ascii="Times New Roman" w:hAnsi="Times New Roman" w:cs="Times New Roman"/>
          <w:sz w:val="24"/>
          <w:szCs w:val="24"/>
        </w:rPr>
        <w:t xml:space="preserve"> Water Resources</w:t>
      </w:r>
    </w:p>
    <w:p w14:paraId="2E51DD45"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Defence</w:t>
      </w:r>
    </w:p>
    <w:p w14:paraId="15A26C6C"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Education, Skills and Employment</w:t>
      </w:r>
    </w:p>
    <w:p w14:paraId="7A7E6917" w14:textId="633D3D11" w:rsidR="00B87257" w:rsidRPr="00A15849" w:rsidRDefault="00B87257"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the Environment and Energy</w:t>
      </w:r>
    </w:p>
    <w:p w14:paraId="1326223C"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Foreign Affairs and Trade</w:t>
      </w:r>
    </w:p>
    <w:p w14:paraId="38FC17B6"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Health</w:t>
      </w:r>
    </w:p>
    <w:p w14:paraId="70EEBEAF"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Home Affairs</w:t>
      </w:r>
    </w:p>
    <w:p w14:paraId="121625A1"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Industry, Innovation and Science</w:t>
      </w:r>
    </w:p>
    <w:p w14:paraId="1C781DCD" w14:textId="3F5CA259" w:rsidR="00D11480"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Department of the Prime Minister and Cabinet (PMC)</w:t>
      </w:r>
    </w:p>
    <w:p w14:paraId="76AE543F" w14:textId="471C0150" w:rsidR="000A55AB" w:rsidRPr="00A15849" w:rsidRDefault="00D11480"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National Industrial Chemicals Notification and Assessment Scheme</w:t>
      </w:r>
    </w:p>
    <w:p w14:paraId="18E2EF06" w14:textId="5192C182"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PMC Office of Best Practice Regulation</w:t>
      </w:r>
    </w:p>
    <w:p w14:paraId="54F86FA7" w14:textId="77777777" w:rsidR="000A55AB" w:rsidRPr="00A15849" w:rsidRDefault="000A55AB" w:rsidP="000A55AB">
      <w:pPr>
        <w:ind w:left="720"/>
        <w:contextualSpacing/>
        <w:rPr>
          <w:rFonts w:ascii="Times New Roman" w:hAnsi="Times New Roman" w:cs="Times New Roman"/>
          <w:sz w:val="24"/>
          <w:szCs w:val="24"/>
        </w:rPr>
      </w:pPr>
    </w:p>
    <w:p w14:paraId="126DE403" w14:textId="77777777" w:rsidR="00B51F3F" w:rsidRPr="005F6335" w:rsidRDefault="00B51F3F" w:rsidP="00B51F3F">
      <w:pPr>
        <w:rPr>
          <w:rFonts w:ascii="Times New Roman" w:hAnsi="Times New Roman" w:cs="Times New Roman"/>
          <w:i/>
          <w:sz w:val="24"/>
          <w:szCs w:val="24"/>
        </w:rPr>
      </w:pPr>
      <w:r w:rsidRPr="005F6335">
        <w:rPr>
          <w:rFonts w:ascii="Times New Roman" w:hAnsi="Times New Roman" w:cs="Times New Roman"/>
          <w:i/>
          <w:sz w:val="24"/>
          <w:szCs w:val="24"/>
        </w:rPr>
        <w:t>State and Territory Government Agencies</w:t>
      </w:r>
    </w:p>
    <w:p w14:paraId="1CD10CC7"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 xml:space="preserve">The Australian Capital Territory Environment, Planning and Sustainable Development Directorate – Environment </w:t>
      </w:r>
    </w:p>
    <w:p w14:paraId="1AE3DEED"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 xml:space="preserve">The New South Wales Environment Protection Authority </w:t>
      </w:r>
    </w:p>
    <w:p w14:paraId="32EBD927"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 xml:space="preserve">The Northern Territory Department of Environment and Natural Resources </w:t>
      </w:r>
    </w:p>
    <w:p w14:paraId="1CF689B5"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The Queensland Department of Environment and Science</w:t>
      </w:r>
    </w:p>
    <w:p w14:paraId="390DA4BE"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 xml:space="preserve">The South Australian Department for Environment and Water </w:t>
      </w:r>
    </w:p>
    <w:p w14:paraId="5B75EB82" w14:textId="77777777" w:rsidR="00B51F3F" w:rsidRPr="005F6335" w:rsidRDefault="00B51F3F" w:rsidP="00B51F3F">
      <w:pPr>
        <w:spacing w:after="0" w:line="240" w:lineRule="auto"/>
        <w:ind w:left="360"/>
        <w:contextualSpacing/>
        <w:rPr>
          <w:szCs w:val="24"/>
        </w:rPr>
      </w:pPr>
      <w:r w:rsidRPr="005F6335">
        <w:rPr>
          <w:rFonts w:ascii="Times New Roman" w:hAnsi="Times New Roman" w:cs="Times New Roman"/>
          <w:sz w:val="24"/>
          <w:szCs w:val="24"/>
        </w:rPr>
        <w:t>The Tasmanian Department of Primary Industries, Parks, Water and Environment</w:t>
      </w:r>
    </w:p>
    <w:p w14:paraId="55D8B5F0" w14:textId="77777777" w:rsidR="00B51F3F" w:rsidRPr="005F6335"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 xml:space="preserve">The Victorian Department of Environment, Land, Water and Planning </w:t>
      </w:r>
    </w:p>
    <w:p w14:paraId="75C89E9D" w14:textId="77777777" w:rsidR="00B51F3F" w:rsidRPr="00A15849" w:rsidRDefault="00B51F3F" w:rsidP="00B51F3F">
      <w:pPr>
        <w:spacing w:after="0" w:line="240" w:lineRule="auto"/>
        <w:ind w:left="360"/>
        <w:contextualSpacing/>
        <w:rPr>
          <w:rFonts w:ascii="Times New Roman" w:hAnsi="Times New Roman" w:cs="Times New Roman"/>
          <w:sz w:val="24"/>
          <w:szCs w:val="24"/>
        </w:rPr>
      </w:pPr>
      <w:r w:rsidRPr="005F6335">
        <w:rPr>
          <w:rFonts w:ascii="Times New Roman" w:hAnsi="Times New Roman" w:cs="Times New Roman"/>
          <w:sz w:val="24"/>
          <w:szCs w:val="24"/>
        </w:rPr>
        <w:t>The Western Australian Department of Water and Environmental Regulation</w:t>
      </w:r>
    </w:p>
    <w:p w14:paraId="064F22FF" w14:textId="77777777" w:rsidR="000A55AB" w:rsidRPr="00A15849" w:rsidRDefault="000A55AB" w:rsidP="000A55AB">
      <w:pPr>
        <w:ind w:left="720"/>
        <w:contextualSpacing/>
        <w:rPr>
          <w:rFonts w:ascii="Times New Roman" w:hAnsi="Times New Roman" w:cs="Times New Roman"/>
          <w:sz w:val="24"/>
          <w:szCs w:val="24"/>
        </w:rPr>
      </w:pPr>
    </w:p>
    <w:p w14:paraId="24FE429E" w14:textId="77777777" w:rsidR="000A55AB" w:rsidRPr="00A15849" w:rsidRDefault="000A55AB" w:rsidP="000A55AB">
      <w:pPr>
        <w:rPr>
          <w:rFonts w:ascii="Times New Roman" w:hAnsi="Times New Roman" w:cs="Times New Roman"/>
          <w:i/>
          <w:sz w:val="24"/>
          <w:szCs w:val="24"/>
        </w:rPr>
      </w:pPr>
      <w:r w:rsidRPr="00A15849">
        <w:rPr>
          <w:rFonts w:ascii="Times New Roman" w:hAnsi="Times New Roman" w:cs="Times New Roman"/>
          <w:i/>
          <w:sz w:val="24"/>
          <w:szCs w:val="24"/>
        </w:rPr>
        <w:t>Industry Bodies</w:t>
      </w:r>
    </w:p>
    <w:p w14:paraId="494E60CB"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Accensi Pty Ltd</w:t>
      </w:r>
    </w:p>
    <w:p w14:paraId="5EE42AD4"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Accord Australasia</w:t>
      </w:r>
    </w:p>
    <w:p w14:paraId="724BF41C"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Apple and Pear Australia</w:t>
      </w:r>
    </w:p>
    <w:p w14:paraId="66E0C1FE" w14:textId="5FCCFCC2"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Australian Groundsprayers Association</w:t>
      </w:r>
    </w:p>
    <w:p w14:paraId="577F15CC" w14:textId="357F95B0"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Australian Environment Business Network</w:t>
      </w:r>
      <w:r w:rsidR="003F1433" w:rsidRPr="00A15849">
        <w:rPr>
          <w:rFonts w:ascii="Times New Roman" w:hAnsi="Times New Roman" w:cs="Times New Roman"/>
          <w:sz w:val="24"/>
          <w:szCs w:val="24"/>
        </w:rPr>
        <w:t xml:space="preserve"> Pty Ltd</w:t>
      </w:r>
    </w:p>
    <w:p w14:paraId="41741BDC" w14:textId="223E3D6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Australian Environmental Pest Managers Association</w:t>
      </w:r>
      <w:r w:rsidR="00FC6597" w:rsidRPr="00A15849">
        <w:rPr>
          <w:rFonts w:ascii="Times New Roman" w:hAnsi="Times New Roman" w:cs="Times New Roman"/>
          <w:sz w:val="24"/>
          <w:szCs w:val="24"/>
        </w:rPr>
        <w:t xml:space="preserve"> Ltd</w:t>
      </w:r>
    </w:p>
    <w:p w14:paraId="1E5D9E37" w14:textId="7E47629F"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Australian Lot Feeders</w:t>
      </w:r>
      <w:r w:rsidR="006412E7" w:rsidRPr="00A15849">
        <w:rPr>
          <w:rFonts w:ascii="Times New Roman" w:hAnsi="Times New Roman" w:cs="Times New Roman"/>
          <w:sz w:val="24"/>
          <w:szCs w:val="24"/>
        </w:rPr>
        <w:t>’</w:t>
      </w:r>
      <w:r w:rsidRPr="00A15849">
        <w:rPr>
          <w:rFonts w:ascii="Times New Roman" w:hAnsi="Times New Roman" w:cs="Times New Roman"/>
          <w:sz w:val="24"/>
          <w:szCs w:val="24"/>
        </w:rPr>
        <w:t xml:space="preserve"> Association</w:t>
      </w:r>
    </w:p>
    <w:p w14:paraId="088B6EEA"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Australian Nut Industry Council Ltd</w:t>
      </w:r>
    </w:p>
    <w:p w14:paraId="682AACB2"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AusVeg Ltd</w:t>
      </w:r>
    </w:p>
    <w:p w14:paraId="48301084"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Citrus Australia Ltd</w:t>
      </w:r>
    </w:p>
    <w:p w14:paraId="76F66859" w14:textId="560982CE"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CropLife Australia</w:t>
      </w:r>
      <w:r w:rsidR="00272212" w:rsidRPr="00A15849">
        <w:rPr>
          <w:rFonts w:ascii="Times New Roman" w:hAnsi="Times New Roman" w:cs="Times New Roman"/>
          <w:sz w:val="24"/>
          <w:szCs w:val="24"/>
        </w:rPr>
        <w:t xml:space="preserve"> Ltd</w:t>
      </w:r>
    </w:p>
    <w:p w14:paraId="660E1AB6"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Dried Fruits Australia Inc.</w:t>
      </w:r>
    </w:p>
    <w:p w14:paraId="4623A609"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Freshmark Australia Pty Ltd</w:t>
      </w:r>
    </w:p>
    <w:p w14:paraId="60A59304"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Fruit Growers Victoria Ltd</w:t>
      </w:r>
    </w:p>
    <w:p w14:paraId="4B05E1EF"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Growcom Australia</w:t>
      </w:r>
    </w:p>
    <w:p w14:paraId="3BB973BA"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GrainCorp Ltd</w:t>
      </w:r>
    </w:p>
    <w:p w14:paraId="5499819B"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lastRenderedPageBreak/>
        <w:t>Grains Industry Association of Victoria Inc.</w:t>
      </w:r>
    </w:p>
    <w:p w14:paraId="200E0BC0"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Grain Producers Australia Ltd</w:t>
      </w:r>
    </w:p>
    <w:p w14:paraId="55E58291"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Grains Research and Development Corporation</w:t>
      </w:r>
    </w:p>
    <w:p w14:paraId="60CEC8E5"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Hazelnut Growers of Australia Inc.</w:t>
      </w:r>
    </w:p>
    <w:p w14:paraId="77FDD952"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Hort Innovation</w:t>
      </w:r>
    </w:p>
    <w:p w14:paraId="608720B7" w14:textId="03D8BFDA"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 xml:space="preserve">National Farmers’ Federation </w:t>
      </w:r>
      <w:r w:rsidR="00070C91" w:rsidRPr="00A15849">
        <w:rPr>
          <w:rFonts w:ascii="Times New Roman" w:hAnsi="Times New Roman" w:cs="Times New Roman"/>
          <w:sz w:val="24"/>
          <w:szCs w:val="24"/>
        </w:rPr>
        <w:t xml:space="preserve">Ltd </w:t>
      </w:r>
    </w:p>
    <w:p w14:paraId="3AFEE51F" w14:textId="45EBFAFE"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NSW Farmers Pty Ltd</w:t>
      </w:r>
    </w:p>
    <w:p w14:paraId="5FA8AB87"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NT Farmers Association Inc.</w:t>
      </w:r>
    </w:p>
    <w:p w14:paraId="64C94F01"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Nufarm Australia Ltd</w:t>
      </w:r>
    </w:p>
    <w:p w14:paraId="19E8C7F6"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Queensland Farmers’ Federation Ltd</w:t>
      </w:r>
    </w:p>
    <w:p w14:paraId="124BDFBE"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Primary Producers South Australia Inc.</w:t>
      </w:r>
    </w:p>
    <w:p w14:paraId="03D3386B" w14:textId="47BD3429"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Raspberries and Blackberries Australia</w:t>
      </w:r>
      <w:r w:rsidR="00070C91" w:rsidRPr="00A15849">
        <w:rPr>
          <w:rFonts w:ascii="Times New Roman" w:hAnsi="Times New Roman" w:cs="Times New Roman"/>
          <w:sz w:val="24"/>
          <w:szCs w:val="24"/>
        </w:rPr>
        <w:t xml:space="preserve"> Inc.</w:t>
      </w:r>
    </w:p>
    <w:p w14:paraId="592823C8"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Sports Turf Association Victoria Inc.</w:t>
      </w:r>
    </w:p>
    <w:p w14:paraId="73F1915C"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Strawberries Australia Inc.</w:t>
      </w:r>
    </w:p>
    <w:p w14:paraId="1562713B" w14:textId="282A63FE" w:rsidR="000A55AB" w:rsidRPr="00A15849" w:rsidRDefault="00070C91"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The Australian Tables Grape</w:t>
      </w:r>
      <w:r w:rsidR="000A55AB" w:rsidRPr="00A15849">
        <w:rPr>
          <w:rFonts w:ascii="Times New Roman" w:hAnsi="Times New Roman" w:cs="Times New Roman"/>
          <w:sz w:val="24"/>
          <w:szCs w:val="24"/>
        </w:rPr>
        <w:t xml:space="preserve"> Association</w:t>
      </w:r>
    </w:p>
    <w:p w14:paraId="7C9EB32E" w14:textId="0908BA2B"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Voice of Horticulture Ltd</w:t>
      </w:r>
    </w:p>
    <w:p w14:paraId="6F4CE83D" w14:textId="77777777" w:rsidR="000A55AB" w:rsidRPr="00A15849" w:rsidRDefault="000A55AB"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Victorian Farmers Federation</w:t>
      </w:r>
    </w:p>
    <w:p w14:paraId="7476682A" w14:textId="6328BD15" w:rsidR="000A55AB" w:rsidRPr="00A15849" w:rsidRDefault="00070C91" w:rsidP="000A55AB">
      <w:pPr>
        <w:spacing w:after="0" w:line="240" w:lineRule="auto"/>
        <w:ind w:left="360"/>
        <w:rPr>
          <w:rFonts w:ascii="Times New Roman" w:hAnsi="Times New Roman" w:cs="Times New Roman"/>
          <w:sz w:val="24"/>
          <w:szCs w:val="24"/>
        </w:rPr>
      </w:pPr>
      <w:r w:rsidRPr="00A15849">
        <w:rPr>
          <w:rFonts w:ascii="Times New Roman" w:hAnsi="Times New Roman" w:cs="Times New Roman"/>
          <w:sz w:val="24"/>
          <w:szCs w:val="24"/>
        </w:rPr>
        <w:t>WA</w:t>
      </w:r>
      <w:r w:rsidR="000A55AB" w:rsidRPr="00A15849">
        <w:rPr>
          <w:rFonts w:ascii="Times New Roman" w:hAnsi="Times New Roman" w:cs="Times New Roman"/>
          <w:sz w:val="24"/>
          <w:szCs w:val="24"/>
        </w:rPr>
        <w:t>Farmers</w:t>
      </w:r>
    </w:p>
    <w:p w14:paraId="7D8704C5" w14:textId="77777777" w:rsidR="000A55AB" w:rsidRPr="00A15849" w:rsidRDefault="000A55AB" w:rsidP="000A55AB">
      <w:pPr>
        <w:ind w:left="720"/>
        <w:contextualSpacing/>
        <w:rPr>
          <w:rFonts w:ascii="Times New Roman" w:hAnsi="Times New Roman" w:cs="Times New Roman"/>
          <w:sz w:val="24"/>
          <w:szCs w:val="24"/>
        </w:rPr>
      </w:pPr>
    </w:p>
    <w:p w14:paraId="3FCF00F6" w14:textId="77777777" w:rsidR="000A55AB" w:rsidRPr="00A15849" w:rsidRDefault="000A55AB" w:rsidP="000A55AB">
      <w:pPr>
        <w:rPr>
          <w:rFonts w:ascii="Times New Roman" w:hAnsi="Times New Roman" w:cs="Times New Roman"/>
          <w:i/>
          <w:sz w:val="24"/>
          <w:szCs w:val="24"/>
        </w:rPr>
      </w:pPr>
      <w:r w:rsidRPr="00A15849">
        <w:rPr>
          <w:rFonts w:ascii="Times New Roman" w:hAnsi="Times New Roman" w:cs="Times New Roman"/>
          <w:i/>
          <w:sz w:val="24"/>
          <w:szCs w:val="24"/>
        </w:rPr>
        <w:t>Non-government organisations</w:t>
      </w:r>
    </w:p>
    <w:p w14:paraId="0364BFE7"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Australian Conservation Foundation Inc.</w:t>
      </w:r>
    </w:p>
    <w:p w14:paraId="4B22AEEC"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National Toxics Network Inc.</w:t>
      </w:r>
    </w:p>
    <w:p w14:paraId="0C9D81CF"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Public Health Association of Australia Inc.</w:t>
      </w:r>
    </w:p>
    <w:p w14:paraId="11898F29" w14:textId="77777777" w:rsidR="000A55AB" w:rsidRPr="00A15849" w:rsidRDefault="000A55AB" w:rsidP="000A55AB">
      <w:pPr>
        <w:spacing w:after="0" w:line="240" w:lineRule="auto"/>
        <w:ind w:left="360"/>
        <w:contextualSpacing/>
        <w:rPr>
          <w:rFonts w:ascii="Times New Roman" w:hAnsi="Times New Roman" w:cs="Times New Roman"/>
          <w:sz w:val="24"/>
          <w:szCs w:val="24"/>
        </w:rPr>
      </w:pPr>
      <w:r w:rsidRPr="00A15849">
        <w:rPr>
          <w:rFonts w:ascii="Times New Roman" w:hAnsi="Times New Roman" w:cs="Times New Roman"/>
          <w:sz w:val="24"/>
          <w:szCs w:val="24"/>
        </w:rPr>
        <w:t>Total Environment Centre Inc.</w:t>
      </w:r>
    </w:p>
    <w:p w14:paraId="6545CAC5" w14:textId="77777777" w:rsidR="000A55AB" w:rsidRPr="00A15849" w:rsidRDefault="000A55AB" w:rsidP="000A55AB">
      <w:pPr>
        <w:spacing w:after="0" w:line="240" w:lineRule="auto"/>
        <w:rPr>
          <w:rFonts w:ascii="Times New Roman" w:hAnsi="Times New Roman" w:cs="Times New Roman"/>
          <w:sz w:val="28"/>
          <w:szCs w:val="28"/>
          <w:lang w:val="en-GB"/>
        </w:rPr>
      </w:pPr>
    </w:p>
    <w:p w14:paraId="4180CE38" w14:textId="77777777" w:rsidR="000A55AB" w:rsidRPr="00A15849" w:rsidRDefault="000A55AB" w:rsidP="000A55AB">
      <w:pPr>
        <w:rPr>
          <w:rFonts w:ascii="Times" w:eastAsia="Times New Roman" w:hAnsi="Times" w:cs="Times New Roman"/>
          <w:b/>
          <w:caps/>
          <w:color w:val="000000"/>
          <w:sz w:val="24"/>
          <w:u w:val="single"/>
        </w:rPr>
      </w:pPr>
      <w:r w:rsidRPr="00A15849">
        <w:rPr>
          <w:rFonts w:ascii="Times" w:hAnsi="Times"/>
          <w:b/>
          <w:caps/>
          <w:u w:val="single"/>
        </w:rPr>
        <w:br w:type="page"/>
      </w:r>
    </w:p>
    <w:p w14:paraId="05740E58" w14:textId="2EDAB992" w:rsidR="000A55AB" w:rsidRPr="00A15849" w:rsidRDefault="000A55AB" w:rsidP="000A55AB">
      <w:pPr>
        <w:spacing w:after="0" w:line="240" w:lineRule="auto"/>
        <w:jc w:val="right"/>
        <w:rPr>
          <w:rFonts w:ascii="Times" w:eastAsia="Times New Roman" w:hAnsi="Times" w:cs="Times New Roman"/>
          <w:b/>
          <w:caps/>
          <w:color w:val="000000"/>
          <w:sz w:val="24"/>
          <w:u w:val="single"/>
        </w:rPr>
      </w:pPr>
      <w:r w:rsidRPr="00A15849">
        <w:rPr>
          <w:rFonts w:ascii="Times" w:eastAsia="Times New Roman" w:hAnsi="Times" w:cs="Times New Roman"/>
          <w:b/>
          <w:caps/>
          <w:color w:val="000000"/>
          <w:sz w:val="24"/>
          <w:u w:val="single"/>
        </w:rPr>
        <w:lastRenderedPageBreak/>
        <w:t xml:space="preserve">Attachment </w:t>
      </w:r>
      <w:r w:rsidR="00981715" w:rsidRPr="00A15849">
        <w:rPr>
          <w:rFonts w:ascii="Times" w:eastAsia="Times New Roman" w:hAnsi="Times" w:cs="Times New Roman"/>
          <w:b/>
          <w:caps/>
          <w:color w:val="000000"/>
          <w:sz w:val="24"/>
          <w:u w:val="single"/>
        </w:rPr>
        <w:t>B</w:t>
      </w:r>
    </w:p>
    <w:p w14:paraId="5056EAD5"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317BD54E" w14:textId="77777777" w:rsidR="000A55AB" w:rsidRPr="005F5B82" w:rsidRDefault="000A55AB" w:rsidP="000A55AB">
      <w:pPr>
        <w:spacing w:after="0" w:line="240" w:lineRule="auto"/>
        <w:rPr>
          <w:rFonts w:ascii="Times New Roman" w:eastAsia="Times New Roman" w:hAnsi="Times New Roman" w:cs="Times New Roman"/>
          <w:b/>
          <w:i/>
          <w:sz w:val="24"/>
          <w:u w:val="single"/>
        </w:rPr>
      </w:pPr>
      <w:r w:rsidRPr="005F5B82">
        <w:rPr>
          <w:rFonts w:ascii="Times New Roman" w:eastAsia="Times New Roman" w:hAnsi="Times New Roman" w:cs="Times New Roman"/>
          <w:b/>
          <w:iCs/>
          <w:sz w:val="24"/>
          <w:szCs w:val="24"/>
          <w:u w:val="single"/>
        </w:rPr>
        <w:t xml:space="preserve">Details of the </w:t>
      </w:r>
      <w:r w:rsidRPr="005F5B82">
        <w:rPr>
          <w:rFonts w:ascii="Times New Roman" w:eastAsia="Times New Roman" w:hAnsi="Times New Roman" w:cs="Times New Roman"/>
          <w:b/>
          <w:i/>
          <w:color w:val="000000" w:themeColor="text1"/>
          <w:sz w:val="24"/>
          <w:u w:val="single"/>
        </w:rPr>
        <w:t xml:space="preserve">Agricultural and Veterinary Chemicals (Administration) Amendment (Phorate) Regulations 2020 </w:t>
      </w:r>
    </w:p>
    <w:p w14:paraId="76B2E8B3"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48961349" w14:textId="77777777" w:rsidR="000A55AB" w:rsidRPr="00A15849" w:rsidRDefault="000A55AB" w:rsidP="000A55AB">
      <w:pPr>
        <w:spacing w:after="0" w:line="240" w:lineRule="auto"/>
        <w:ind w:left="1440" w:hanging="1440"/>
        <w:rPr>
          <w:rFonts w:ascii="Times New Roman" w:eastAsia="Times New Roman" w:hAnsi="Times New Roman" w:cs="Times New Roman"/>
          <w:sz w:val="24"/>
          <w:szCs w:val="24"/>
          <w:u w:val="single"/>
        </w:rPr>
      </w:pPr>
      <w:r w:rsidRPr="00A15849">
        <w:rPr>
          <w:rFonts w:ascii="Times New Roman" w:eastAsia="Times New Roman" w:hAnsi="Times New Roman" w:cs="Times New Roman"/>
          <w:sz w:val="24"/>
          <w:szCs w:val="24"/>
          <w:u w:val="single"/>
        </w:rPr>
        <w:t>Section 1 – Name</w:t>
      </w:r>
    </w:p>
    <w:p w14:paraId="406EC5E4" w14:textId="77777777" w:rsidR="000A55AB" w:rsidRPr="00A15849" w:rsidRDefault="000A55AB" w:rsidP="00430434">
      <w:pPr>
        <w:spacing w:after="0" w:line="240" w:lineRule="auto"/>
        <w:rPr>
          <w:rFonts w:ascii="Times New Roman" w:eastAsia="Times New Roman" w:hAnsi="Times New Roman" w:cs="Times New Roman"/>
          <w:sz w:val="24"/>
          <w:szCs w:val="24"/>
        </w:rPr>
      </w:pPr>
    </w:p>
    <w:p w14:paraId="038D8B65" w14:textId="14C383A6" w:rsidR="00334D31" w:rsidRPr="00A15849" w:rsidRDefault="000A55AB" w:rsidP="000A55AB">
      <w:pPr>
        <w:spacing w:after="0" w:line="240" w:lineRule="auto"/>
        <w:rPr>
          <w:rFonts w:ascii="Times New Roman" w:eastAsia="Times New Roman" w:hAnsi="Times New Roman" w:cs="Times New Roman"/>
          <w:sz w:val="24"/>
          <w:szCs w:val="24"/>
        </w:rPr>
      </w:pPr>
      <w:r w:rsidRPr="00A15849">
        <w:rPr>
          <w:rFonts w:ascii="Times New Roman" w:eastAsia="Times New Roman" w:hAnsi="Times New Roman" w:cs="Times New Roman"/>
          <w:sz w:val="24"/>
          <w:szCs w:val="24"/>
        </w:rPr>
        <w:t>This section provide</w:t>
      </w:r>
      <w:r w:rsidR="00692914" w:rsidRPr="00A15849">
        <w:rPr>
          <w:rFonts w:ascii="Times New Roman" w:eastAsia="Times New Roman" w:hAnsi="Times New Roman" w:cs="Times New Roman"/>
          <w:sz w:val="24"/>
          <w:szCs w:val="24"/>
        </w:rPr>
        <w:t>s</w:t>
      </w:r>
      <w:r w:rsidRPr="00A15849">
        <w:rPr>
          <w:rFonts w:ascii="Times New Roman" w:eastAsia="Times New Roman" w:hAnsi="Times New Roman" w:cs="Times New Roman"/>
          <w:sz w:val="24"/>
          <w:szCs w:val="24"/>
        </w:rPr>
        <w:t xml:space="preserve"> that the name of the Regulations is the </w:t>
      </w:r>
      <w:r w:rsidRPr="00A15849">
        <w:rPr>
          <w:rFonts w:ascii="Times New Roman" w:eastAsia="Times New Roman" w:hAnsi="Times New Roman" w:cs="Times New Roman"/>
          <w:i/>
          <w:sz w:val="24"/>
          <w:szCs w:val="24"/>
        </w:rPr>
        <w:t>Agricultural and Veterinary Chemicals (Administration) Amendment (Phorate) Regulations 2020</w:t>
      </w:r>
      <w:r w:rsidRPr="00A15849">
        <w:rPr>
          <w:rFonts w:ascii="Times New Roman" w:eastAsia="Times New Roman" w:hAnsi="Times New Roman" w:cs="Times New Roman"/>
          <w:sz w:val="24"/>
          <w:szCs w:val="24"/>
        </w:rPr>
        <w:t>.</w:t>
      </w:r>
    </w:p>
    <w:p w14:paraId="4CB01026"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19686A08" w14:textId="77777777" w:rsidR="000A55AB" w:rsidRPr="00A15849" w:rsidRDefault="000A55AB" w:rsidP="000A55AB">
      <w:pPr>
        <w:spacing w:after="0" w:line="240" w:lineRule="auto"/>
        <w:rPr>
          <w:rFonts w:ascii="Times New Roman" w:eastAsia="Times New Roman" w:hAnsi="Times New Roman" w:cs="Times New Roman"/>
          <w:sz w:val="24"/>
          <w:szCs w:val="24"/>
          <w:u w:val="single"/>
        </w:rPr>
      </w:pPr>
      <w:r w:rsidRPr="00A15849">
        <w:rPr>
          <w:rFonts w:ascii="Times New Roman" w:eastAsia="Times New Roman" w:hAnsi="Times New Roman" w:cs="Times New Roman"/>
          <w:sz w:val="24"/>
          <w:szCs w:val="24"/>
          <w:u w:val="single"/>
        </w:rPr>
        <w:t>Section 2 – Commencement</w:t>
      </w:r>
    </w:p>
    <w:p w14:paraId="55B881C8"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2257BD6F" w14:textId="2FBC6B0B" w:rsidR="000A55AB" w:rsidRPr="00A15849" w:rsidRDefault="000A55AB" w:rsidP="000A55AB">
      <w:pPr>
        <w:spacing w:after="0" w:line="240" w:lineRule="auto"/>
        <w:rPr>
          <w:rFonts w:ascii="Times New Roman" w:eastAsia="Times New Roman" w:hAnsi="Times New Roman" w:cs="Times New Roman"/>
          <w:sz w:val="24"/>
          <w:szCs w:val="24"/>
        </w:rPr>
      </w:pPr>
      <w:r w:rsidRPr="00A15849">
        <w:rPr>
          <w:rFonts w:ascii="Times New Roman" w:eastAsia="Times New Roman" w:hAnsi="Times New Roman" w:cs="Times New Roman"/>
          <w:sz w:val="24"/>
          <w:szCs w:val="24"/>
        </w:rPr>
        <w:t>This section provide</w:t>
      </w:r>
      <w:r w:rsidR="00692914" w:rsidRPr="00A15849">
        <w:rPr>
          <w:rFonts w:ascii="Times New Roman" w:eastAsia="Times New Roman" w:hAnsi="Times New Roman" w:cs="Times New Roman"/>
          <w:sz w:val="24"/>
          <w:szCs w:val="24"/>
        </w:rPr>
        <w:t>s</w:t>
      </w:r>
      <w:r w:rsidRPr="00A15849">
        <w:rPr>
          <w:rFonts w:ascii="Times New Roman" w:eastAsia="Times New Roman" w:hAnsi="Times New Roman" w:cs="Times New Roman"/>
          <w:sz w:val="24"/>
          <w:szCs w:val="24"/>
        </w:rPr>
        <w:t xml:space="preserve"> for the Regulations to commence on the day after the instrument is registered.</w:t>
      </w:r>
    </w:p>
    <w:p w14:paraId="1B0B14C2"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13280A41" w14:textId="77777777" w:rsidR="000A55AB" w:rsidRPr="00A15849" w:rsidRDefault="000A55AB" w:rsidP="000A55AB">
      <w:pPr>
        <w:spacing w:after="0" w:line="240" w:lineRule="auto"/>
        <w:ind w:left="1440" w:hanging="1440"/>
        <w:rPr>
          <w:rFonts w:ascii="Times New Roman" w:eastAsia="Times New Roman" w:hAnsi="Times New Roman" w:cs="Times New Roman"/>
          <w:sz w:val="24"/>
          <w:szCs w:val="24"/>
          <w:u w:val="single"/>
        </w:rPr>
      </w:pPr>
      <w:r w:rsidRPr="00A15849">
        <w:rPr>
          <w:rFonts w:ascii="Times New Roman" w:eastAsia="Times New Roman" w:hAnsi="Times New Roman" w:cs="Times New Roman"/>
          <w:sz w:val="24"/>
          <w:szCs w:val="24"/>
          <w:u w:val="single"/>
        </w:rPr>
        <w:t xml:space="preserve">Section 3 – Authority </w:t>
      </w:r>
    </w:p>
    <w:p w14:paraId="021E26CD"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188E2847" w14:textId="6D6EAADD" w:rsidR="00A95F8E" w:rsidRPr="00A15849" w:rsidRDefault="00A95F8E" w:rsidP="00A95F8E">
      <w:pPr>
        <w:pStyle w:val="Normal-em"/>
        <w:spacing w:after="0" w:line="240" w:lineRule="auto"/>
        <w:rPr>
          <w:iCs/>
          <w:color w:val="auto"/>
          <w:szCs w:val="24"/>
        </w:rPr>
      </w:pPr>
      <w:r w:rsidRPr="00A15849">
        <w:rPr>
          <w:color w:val="auto"/>
          <w:szCs w:val="24"/>
        </w:rPr>
        <w:t>This section provide</w:t>
      </w:r>
      <w:r w:rsidR="00AE2CC8" w:rsidRPr="00A15849">
        <w:rPr>
          <w:color w:val="auto"/>
          <w:szCs w:val="24"/>
        </w:rPr>
        <w:t>s</w:t>
      </w:r>
      <w:r w:rsidRPr="00A15849">
        <w:rPr>
          <w:color w:val="auto"/>
          <w:szCs w:val="24"/>
        </w:rPr>
        <w:t xml:space="preserve"> that the Regulations are made under the </w:t>
      </w:r>
      <w:r w:rsidRPr="00A15849">
        <w:rPr>
          <w:i/>
          <w:color w:val="auto"/>
          <w:szCs w:val="24"/>
        </w:rPr>
        <w:t>Agricultural and Veterinary Chemicals (Administration) Act 1992</w:t>
      </w:r>
      <w:r w:rsidRPr="00A15849">
        <w:rPr>
          <w:color w:val="auto"/>
          <w:szCs w:val="24"/>
        </w:rPr>
        <w:t>.</w:t>
      </w:r>
    </w:p>
    <w:p w14:paraId="2F094E2E" w14:textId="77777777" w:rsidR="000A55AB" w:rsidRPr="00A15849" w:rsidRDefault="000A55AB" w:rsidP="000A55AB">
      <w:pPr>
        <w:spacing w:after="0" w:line="240" w:lineRule="auto"/>
        <w:rPr>
          <w:rFonts w:ascii="Times New Roman" w:eastAsia="Times New Roman" w:hAnsi="Times New Roman" w:cs="Times New Roman"/>
          <w:iCs/>
          <w:sz w:val="24"/>
          <w:szCs w:val="24"/>
        </w:rPr>
      </w:pPr>
    </w:p>
    <w:p w14:paraId="13090F62" w14:textId="77777777" w:rsidR="000A55AB" w:rsidRPr="00A15849" w:rsidRDefault="000A55AB" w:rsidP="000A55AB">
      <w:pPr>
        <w:spacing w:after="0" w:line="240" w:lineRule="auto"/>
        <w:rPr>
          <w:rFonts w:ascii="Times New Roman" w:eastAsia="Times New Roman" w:hAnsi="Times New Roman" w:cs="Times New Roman"/>
          <w:sz w:val="24"/>
          <w:szCs w:val="24"/>
          <w:u w:val="single"/>
        </w:rPr>
      </w:pPr>
      <w:r w:rsidRPr="00A15849">
        <w:rPr>
          <w:rFonts w:ascii="Times New Roman" w:eastAsia="Times New Roman" w:hAnsi="Times New Roman" w:cs="Times New Roman"/>
          <w:sz w:val="24"/>
          <w:szCs w:val="24"/>
          <w:u w:val="single"/>
        </w:rPr>
        <w:t>Section 4 – Schedules</w:t>
      </w:r>
    </w:p>
    <w:p w14:paraId="5D9FDFD1" w14:textId="77777777" w:rsidR="000A55AB" w:rsidRPr="00A15849" w:rsidRDefault="000A55AB" w:rsidP="000A55AB">
      <w:pPr>
        <w:spacing w:after="0" w:line="240" w:lineRule="auto"/>
        <w:rPr>
          <w:rFonts w:ascii="Times New Roman" w:eastAsia="Times New Roman" w:hAnsi="Times New Roman" w:cs="Times New Roman"/>
          <w:sz w:val="24"/>
          <w:szCs w:val="24"/>
        </w:rPr>
      </w:pPr>
    </w:p>
    <w:p w14:paraId="63F7C781" w14:textId="7CF370A7" w:rsidR="00334D31" w:rsidRPr="00A15849" w:rsidRDefault="000A55AB" w:rsidP="000A55AB">
      <w:pPr>
        <w:spacing w:after="0" w:line="240" w:lineRule="auto"/>
        <w:rPr>
          <w:rFonts w:ascii="Times New Roman" w:eastAsia="Times New Roman" w:hAnsi="Times New Roman" w:cs="Times New Roman"/>
          <w:sz w:val="24"/>
          <w:szCs w:val="24"/>
        </w:rPr>
      </w:pPr>
      <w:r w:rsidRPr="00A15849">
        <w:rPr>
          <w:rFonts w:ascii="Times New Roman" w:eastAsia="Times New Roman" w:hAnsi="Times New Roman" w:cs="Times New Roman"/>
          <w:sz w:val="24"/>
          <w:szCs w:val="24"/>
        </w:rPr>
        <w:t>This section provide</w:t>
      </w:r>
      <w:r w:rsidR="00692914" w:rsidRPr="00A15849">
        <w:rPr>
          <w:rFonts w:ascii="Times New Roman" w:eastAsia="Times New Roman" w:hAnsi="Times New Roman" w:cs="Times New Roman"/>
          <w:sz w:val="24"/>
          <w:szCs w:val="24"/>
        </w:rPr>
        <w:t>s</w:t>
      </w:r>
      <w:r w:rsidRPr="00A15849">
        <w:rPr>
          <w:rFonts w:ascii="Times New Roman" w:eastAsia="Times New Roman" w:hAnsi="Times New Roman" w:cs="Times New Roman"/>
          <w:sz w:val="24"/>
          <w:szCs w:val="24"/>
        </w:rPr>
        <w:t xml:space="preserve"> that the Regulations are amended </w:t>
      </w:r>
      <w:r w:rsidR="00311E37" w:rsidRPr="00A15849">
        <w:rPr>
          <w:rFonts w:ascii="Times New Roman" w:eastAsia="Times New Roman" w:hAnsi="Times New Roman" w:cs="Times New Roman"/>
          <w:sz w:val="24"/>
          <w:szCs w:val="24"/>
        </w:rPr>
        <w:t xml:space="preserve">or repealed </w:t>
      </w:r>
      <w:r w:rsidRPr="00A15849">
        <w:rPr>
          <w:rFonts w:ascii="Times New Roman" w:eastAsia="Times New Roman" w:hAnsi="Times New Roman" w:cs="Times New Roman"/>
          <w:sz w:val="24"/>
          <w:szCs w:val="24"/>
        </w:rPr>
        <w:t>as set out in the applicable items in the Schedule</w:t>
      </w:r>
      <w:r w:rsidRPr="00A15849">
        <w:rPr>
          <w:rFonts w:ascii="Times New Roman" w:eastAsia="Times New Roman" w:hAnsi="Times New Roman" w:cs="Times New Roman"/>
          <w:color w:val="000000"/>
          <w:sz w:val="24"/>
          <w:szCs w:val="24"/>
        </w:rPr>
        <w:t>,</w:t>
      </w:r>
      <w:r w:rsidRPr="00A15849">
        <w:rPr>
          <w:rFonts w:ascii="Times New Roman" w:eastAsia="Times New Roman" w:hAnsi="Times New Roman" w:cs="Times New Roman"/>
          <w:color w:val="000000"/>
          <w:spacing w:val="-5"/>
          <w:sz w:val="24"/>
          <w:szCs w:val="24"/>
        </w:rPr>
        <w:t xml:space="preserve"> </w:t>
      </w:r>
      <w:r w:rsidRPr="00A15849">
        <w:rPr>
          <w:rFonts w:ascii="Times New Roman" w:eastAsia="Times New Roman" w:hAnsi="Times New Roman" w:cs="Times New Roman"/>
          <w:color w:val="000000"/>
          <w:sz w:val="24"/>
          <w:szCs w:val="24"/>
        </w:rPr>
        <w:t>and that any other ite</w:t>
      </w:r>
      <w:r w:rsidRPr="00A15849">
        <w:rPr>
          <w:rFonts w:ascii="Times New Roman" w:eastAsia="Times New Roman" w:hAnsi="Times New Roman" w:cs="Times New Roman"/>
          <w:color w:val="000000"/>
          <w:spacing w:val="-6"/>
          <w:sz w:val="24"/>
          <w:szCs w:val="24"/>
        </w:rPr>
        <w:t>m</w:t>
      </w:r>
      <w:r w:rsidRPr="00A15849">
        <w:rPr>
          <w:rFonts w:ascii="Times New Roman" w:eastAsia="Times New Roman" w:hAnsi="Times New Roman" w:cs="Times New Roman"/>
          <w:color w:val="000000"/>
          <w:sz w:val="24"/>
          <w:szCs w:val="24"/>
        </w:rPr>
        <w:t xml:space="preserve"> in</w:t>
      </w:r>
      <w:r w:rsidRPr="00A15849">
        <w:rPr>
          <w:rFonts w:ascii="Times New Roman" w:eastAsia="Times New Roman" w:hAnsi="Times New Roman" w:cs="Times New Roman"/>
          <w:color w:val="000000"/>
          <w:spacing w:val="-5"/>
          <w:sz w:val="24"/>
          <w:szCs w:val="24"/>
        </w:rPr>
        <w:t xml:space="preserve"> </w:t>
      </w:r>
      <w:r w:rsidRPr="00A15849">
        <w:rPr>
          <w:rFonts w:ascii="Times New Roman" w:eastAsia="Times New Roman" w:hAnsi="Times New Roman" w:cs="Times New Roman"/>
          <w:color w:val="000000"/>
          <w:sz w:val="24"/>
          <w:szCs w:val="24"/>
        </w:rPr>
        <w:t xml:space="preserve">a </w:t>
      </w:r>
      <w:r w:rsidRPr="00A15849">
        <w:rPr>
          <w:rFonts w:ascii="Times New Roman" w:eastAsia="Times New Roman" w:hAnsi="Times New Roman" w:cs="Times New Roman"/>
          <w:color w:val="000000"/>
          <w:spacing w:val="-7"/>
          <w:sz w:val="24"/>
          <w:szCs w:val="24"/>
        </w:rPr>
        <w:t>S</w:t>
      </w:r>
      <w:r w:rsidRPr="00A15849">
        <w:rPr>
          <w:rFonts w:ascii="Times New Roman" w:eastAsia="Times New Roman" w:hAnsi="Times New Roman" w:cs="Times New Roman"/>
          <w:color w:val="000000"/>
          <w:sz w:val="24"/>
          <w:szCs w:val="24"/>
        </w:rPr>
        <w:t>che</w:t>
      </w:r>
      <w:r w:rsidRPr="00A15849">
        <w:rPr>
          <w:rFonts w:ascii="Times New Roman" w:eastAsia="Times New Roman" w:hAnsi="Times New Roman" w:cs="Times New Roman"/>
          <w:color w:val="000000"/>
          <w:spacing w:val="5"/>
          <w:sz w:val="24"/>
          <w:szCs w:val="24"/>
        </w:rPr>
        <w:t>d</w:t>
      </w:r>
      <w:r w:rsidRPr="00A15849">
        <w:rPr>
          <w:rFonts w:ascii="Times New Roman" w:eastAsia="Times New Roman" w:hAnsi="Times New Roman" w:cs="Times New Roman"/>
          <w:color w:val="000000"/>
          <w:spacing w:val="-9"/>
          <w:sz w:val="24"/>
          <w:szCs w:val="24"/>
        </w:rPr>
        <w:t>u</w:t>
      </w:r>
      <w:r w:rsidRPr="00A15849">
        <w:rPr>
          <w:rFonts w:ascii="Times New Roman" w:eastAsia="Times New Roman" w:hAnsi="Times New Roman" w:cs="Times New Roman"/>
          <w:color w:val="000000"/>
          <w:sz w:val="24"/>
          <w:szCs w:val="24"/>
        </w:rPr>
        <w:t>le</w:t>
      </w:r>
      <w:r w:rsidRPr="00A15849">
        <w:rPr>
          <w:rFonts w:ascii="Times New Roman" w:eastAsia="Times New Roman" w:hAnsi="Times New Roman" w:cs="Times New Roman"/>
          <w:color w:val="000000"/>
          <w:spacing w:val="-5"/>
          <w:sz w:val="24"/>
          <w:szCs w:val="24"/>
        </w:rPr>
        <w:t xml:space="preserve"> </w:t>
      </w:r>
      <w:r w:rsidRPr="00A15849">
        <w:rPr>
          <w:rFonts w:ascii="Times New Roman" w:eastAsia="Times New Roman" w:hAnsi="Times New Roman" w:cs="Times New Roman"/>
          <w:color w:val="000000"/>
          <w:sz w:val="24"/>
          <w:szCs w:val="24"/>
        </w:rPr>
        <w:t>to thi</w:t>
      </w:r>
      <w:r w:rsidRPr="00A15849">
        <w:rPr>
          <w:rFonts w:ascii="Times New Roman" w:eastAsia="Times New Roman" w:hAnsi="Times New Roman" w:cs="Times New Roman"/>
          <w:color w:val="000000"/>
          <w:spacing w:val="-6"/>
          <w:sz w:val="24"/>
          <w:szCs w:val="24"/>
        </w:rPr>
        <w:t>s</w:t>
      </w:r>
      <w:r w:rsidRPr="00A15849">
        <w:rPr>
          <w:rFonts w:ascii="Times New Roman" w:eastAsia="Times New Roman" w:hAnsi="Times New Roman" w:cs="Times New Roman"/>
          <w:color w:val="000000"/>
          <w:sz w:val="24"/>
          <w:szCs w:val="24"/>
        </w:rPr>
        <w:t xml:space="preserve"> in</w:t>
      </w:r>
      <w:r w:rsidRPr="00A15849">
        <w:rPr>
          <w:rFonts w:ascii="Times New Roman" w:eastAsia="Times New Roman" w:hAnsi="Times New Roman" w:cs="Times New Roman"/>
          <w:color w:val="000000"/>
          <w:spacing w:val="-6"/>
          <w:sz w:val="24"/>
          <w:szCs w:val="24"/>
        </w:rPr>
        <w:t>s</w:t>
      </w:r>
      <w:r w:rsidRPr="00A15849">
        <w:rPr>
          <w:rFonts w:ascii="Times New Roman" w:eastAsia="Times New Roman" w:hAnsi="Times New Roman" w:cs="Times New Roman"/>
          <w:color w:val="000000"/>
          <w:sz w:val="24"/>
          <w:szCs w:val="24"/>
        </w:rPr>
        <w:t>tru</w:t>
      </w:r>
      <w:r w:rsidRPr="00A15849">
        <w:rPr>
          <w:rFonts w:ascii="Times New Roman" w:eastAsia="Times New Roman" w:hAnsi="Times New Roman" w:cs="Times New Roman"/>
          <w:color w:val="000000"/>
          <w:spacing w:val="-6"/>
          <w:sz w:val="24"/>
          <w:szCs w:val="24"/>
        </w:rPr>
        <w:t>m</w:t>
      </w:r>
      <w:r w:rsidRPr="00A15849">
        <w:rPr>
          <w:rFonts w:ascii="Times New Roman" w:eastAsia="Times New Roman" w:hAnsi="Times New Roman" w:cs="Times New Roman"/>
          <w:color w:val="000000"/>
          <w:sz w:val="24"/>
          <w:szCs w:val="24"/>
        </w:rPr>
        <w:t>en</w:t>
      </w:r>
      <w:r w:rsidRPr="00A15849">
        <w:rPr>
          <w:rFonts w:ascii="Times New Roman" w:eastAsia="Times New Roman" w:hAnsi="Times New Roman" w:cs="Times New Roman"/>
          <w:color w:val="000000"/>
          <w:spacing w:val="5"/>
          <w:sz w:val="24"/>
          <w:szCs w:val="24"/>
        </w:rPr>
        <w:t>t</w:t>
      </w:r>
      <w:r w:rsidRPr="00A15849">
        <w:rPr>
          <w:rFonts w:ascii="Times New Roman" w:eastAsia="Times New Roman" w:hAnsi="Times New Roman" w:cs="Times New Roman"/>
          <w:color w:val="000000"/>
          <w:sz w:val="24"/>
          <w:szCs w:val="24"/>
        </w:rPr>
        <w:t xml:space="preserve"> </w:t>
      </w:r>
      <w:r w:rsidR="004B0A35" w:rsidRPr="00A15849">
        <w:rPr>
          <w:rFonts w:ascii="Times New Roman" w:eastAsia="Times New Roman" w:hAnsi="Times New Roman" w:cs="Times New Roman"/>
          <w:color w:val="000000"/>
          <w:sz w:val="24"/>
          <w:szCs w:val="24"/>
        </w:rPr>
        <w:t>has</w:t>
      </w:r>
      <w:r w:rsidRPr="00A15849">
        <w:rPr>
          <w:rFonts w:ascii="Times New Roman" w:eastAsia="Times New Roman" w:hAnsi="Times New Roman" w:cs="Times New Roman"/>
          <w:color w:val="000000"/>
          <w:sz w:val="24"/>
          <w:szCs w:val="24"/>
        </w:rPr>
        <w:t xml:space="preserve"> effect</w:t>
      </w:r>
      <w:r w:rsidRPr="00A15849">
        <w:rPr>
          <w:rFonts w:ascii="Times New Roman" w:eastAsia="Times New Roman" w:hAnsi="Times New Roman" w:cs="Times New Roman"/>
          <w:color w:val="000000"/>
          <w:spacing w:val="-5"/>
          <w:sz w:val="24"/>
          <w:szCs w:val="24"/>
        </w:rPr>
        <w:t xml:space="preserve"> </w:t>
      </w:r>
      <w:r w:rsidRPr="00A15849">
        <w:rPr>
          <w:rFonts w:ascii="Times New Roman" w:eastAsia="Times New Roman" w:hAnsi="Times New Roman" w:cs="Times New Roman"/>
          <w:color w:val="000000"/>
          <w:sz w:val="24"/>
          <w:szCs w:val="24"/>
        </w:rPr>
        <w:t>according to it</w:t>
      </w:r>
      <w:r w:rsidRPr="00A15849">
        <w:rPr>
          <w:rFonts w:ascii="Times New Roman" w:eastAsia="Times New Roman" w:hAnsi="Times New Roman" w:cs="Times New Roman"/>
          <w:color w:val="000000"/>
          <w:spacing w:val="-6"/>
          <w:sz w:val="24"/>
          <w:szCs w:val="24"/>
        </w:rPr>
        <w:t>s</w:t>
      </w:r>
      <w:r w:rsidRPr="00A15849">
        <w:rPr>
          <w:rFonts w:ascii="Times New Roman" w:eastAsia="Times New Roman" w:hAnsi="Times New Roman" w:cs="Times New Roman"/>
          <w:color w:val="000000"/>
          <w:sz w:val="24"/>
          <w:szCs w:val="24"/>
        </w:rPr>
        <w:t xml:space="preserve"> ter</w:t>
      </w:r>
      <w:r w:rsidRPr="00A15849">
        <w:rPr>
          <w:rFonts w:ascii="Times New Roman" w:eastAsia="Times New Roman" w:hAnsi="Times New Roman" w:cs="Times New Roman"/>
          <w:color w:val="000000"/>
          <w:spacing w:val="-6"/>
          <w:sz w:val="24"/>
          <w:szCs w:val="24"/>
        </w:rPr>
        <w:t>ms</w:t>
      </w:r>
      <w:r w:rsidRPr="00A15849">
        <w:rPr>
          <w:rFonts w:ascii="Times New Roman" w:eastAsia="Times New Roman" w:hAnsi="Times New Roman" w:cs="Times New Roman"/>
          <w:sz w:val="24"/>
          <w:szCs w:val="24"/>
        </w:rPr>
        <w:t>.</w:t>
      </w:r>
    </w:p>
    <w:p w14:paraId="760E2C5C" w14:textId="77777777" w:rsidR="000A55AB" w:rsidRPr="00A15849" w:rsidRDefault="000A55AB" w:rsidP="000A55AB">
      <w:pPr>
        <w:spacing w:after="0" w:line="240" w:lineRule="auto"/>
        <w:rPr>
          <w:rFonts w:ascii="Times New Roman" w:eastAsia="Times New Roman" w:hAnsi="Times New Roman" w:cs="Times New Roman"/>
          <w:sz w:val="24"/>
          <w:szCs w:val="24"/>
          <w:u w:val="single"/>
        </w:rPr>
      </w:pPr>
    </w:p>
    <w:p w14:paraId="18C8C45A" w14:textId="77777777" w:rsidR="000A55AB" w:rsidRPr="00A15849" w:rsidRDefault="000A55AB" w:rsidP="000A55AB">
      <w:pPr>
        <w:spacing w:after="0" w:line="240" w:lineRule="auto"/>
        <w:rPr>
          <w:rFonts w:ascii="Times New Roman" w:eastAsia="Times New Roman" w:hAnsi="Times New Roman" w:cs="Times New Roman"/>
          <w:sz w:val="24"/>
          <w:szCs w:val="24"/>
        </w:rPr>
      </w:pPr>
      <w:r w:rsidRPr="00A15849">
        <w:rPr>
          <w:rFonts w:ascii="Times New Roman" w:eastAsia="Times New Roman" w:hAnsi="Times New Roman" w:cs="Times New Roman"/>
          <w:sz w:val="24"/>
          <w:szCs w:val="24"/>
          <w:u w:val="single"/>
        </w:rPr>
        <w:t>Schedule 1 – Amendments</w:t>
      </w:r>
    </w:p>
    <w:p w14:paraId="69217F25" w14:textId="77777777" w:rsidR="000A55AB" w:rsidRPr="00A15849" w:rsidRDefault="000A55AB" w:rsidP="000A55AB">
      <w:pPr>
        <w:spacing w:after="0" w:line="240" w:lineRule="auto"/>
        <w:rPr>
          <w:rFonts w:ascii="Times New Roman" w:eastAsia="Times New Roman" w:hAnsi="Times New Roman" w:cs="Times New Roman"/>
          <w:iCs/>
          <w:sz w:val="24"/>
          <w:szCs w:val="24"/>
        </w:rPr>
      </w:pPr>
    </w:p>
    <w:p w14:paraId="45178F19" w14:textId="77777777" w:rsidR="000A55AB" w:rsidRPr="00A15849" w:rsidRDefault="000A55AB" w:rsidP="000A55AB">
      <w:pPr>
        <w:keepNext/>
        <w:spacing w:after="0" w:line="240" w:lineRule="auto"/>
        <w:rPr>
          <w:rFonts w:ascii="Times New Roman" w:eastAsia="Times New Roman" w:hAnsi="Times New Roman" w:cs="Times New Roman"/>
          <w:b/>
          <w:i/>
          <w:iCs/>
          <w:sz w:val="24"/>
          <w:szCs w:val="24"/>
        </w:rPr>
      </w:pPr>
      <w:r w:rsidRPr="00A15849">
        <w:rPr>
          <w:rFonts w:ascii="Times New Roman" w:eastAsia="Times New Roman" w:hAnsi="Times New Roman" w:cs="Times New Roman"/>
          <w:b/>
          <w:i/>
          <w:iCs/>
          <w:sz w:val="24"/>
          <w:szCs w:val="24"/>
        </w:rPr>
        <w:t>Agricultural and Veterinary Chemicals (Administration) Regulations 1995</w:t>
      </w:r>
    </w:p>
    <w:p w14:paraId="33D9980F" w14:textId="77777777" w:rsidR="000A55AB" w:rsidRPr="00A15849" w:rsidRDefault="000A55AB" w:rsidP="000A55AB">
      <w:pPr>
        <w:spacing w:after="0" w:line="240" w:lineRule="auto"/>
        <w:rPr>
          <w:rFonts w:ascii="Times New Roman" w:eastAsia="Times New Roman" w:hAnsi="Times New Roman" w:cs="Times New Roman"/>
          <w:iCs/>
          <w:sz w:val="24"/>
          <w:szCs w:val="24"/>
        </w:rPr>
      </w:pPr>
    </w:p>
    <w:p w14:paraId="3DAB5975" w14:textId="77777777" w:rsidR="000A55AB" w:rsidRPr="00A15849" w:rsidRDefault="000A55AB" w:rsidP="000A55AB">
      <w:pPr>
        <w:spacing w:after="0" w:line="240" w:lineRule="auto"/>
        <w:rPr>
          <w:rFonts w:ascii="Times New Roman" w:eastAsia="Times New Roman" w:hAnsi="Times New Roman" w:cs="Times New Roman"/>
          <w:b/>
          <w:color w:val="000000"/>
          <w:sz w:val="24"/>
          <w:szCs w:val="24"/>
        </w:rPr>
      </w:pPr>
      <w:r w:rsidRPr="00A15849">
        <w:rPr>
          <w:rFonts w:ascii="Times New Roman" w:eastAsia="Times New Roman" w:hAnsi="Times New Roman" w:cs="Times New Roman"/>
          <w:b/>
          <w:color w:val="000000"/>
          <w:sz w:val="24"/>
          <w:szCs w:val="24"/>
        </w:rPr>
        <w:t>Item 1</w:t>
      </w:r>
      <w:r w:rsidRPr="00A15849">
        <w:rPr>
          <w:rFonts w:ascii="Times New Roman" w:eastAsia="Times New Roman" w:hAnsi="Times New Roman" w:cs="Times New Roman"/>
          <w:color w:val="000000"/>
          <w:sz w:val="24"/>
          <w:szCs w:val="24"/>
        </w:rPr>
        <w:t xml:space="preserve"> </w:t>
      </w:r>
      <w:r w:rsidRPr="00A15849">
        <w:rPr>
          <w:rFonts w:ascii="Times New Roman" w:eastAsia="Times New Roman" w:hAnsi="Times New Roman" w:cs="Times New Roman"/>
          <w:b/>
          <w:color w:val="000000"/>
          <w:sz w:val="24"/>
          <w:szCs w:val="24"/>
        </w:rPr>
        <w:t>– After item 67 of Part 2 of Schedule 1</w:t>
      </w:r>
    </w:p>
    <w:p w14:paraId="7193A775" w14:textId="77777777" w:rsidR="000A55AB" w:rsidRPr="00A15849" w:rsidRDefault="000A55AB" w:rsidP="000A55AB">
      <w:pPr>
        <w:spacing w:after="0" w:line="240" w:lineRule="auto"/>
        <w:rPr>
          <w:rFonts w:ascii="Times New Roman" w:eastAsia="Times New Roman" w:hAnsi="Times New Roman" w:cs="Times New Roman"/>
          <w:iCs/>
          <w:sz w:val="24"/>
          <w:szCs w:val="24"/>
        </w:rPr>
      </w:pPr>
    </w:p>
    <w:p w14:paraId="7A7322B8" w14:textId="200A321B" w:rsidR="00B27635" w:rsidRPr="00A15849" w:rsidRDefault="000A55AB" w:rsidP="000A55AB">
      <w:pPr>
        <w:spacing w:after="0" w:line="240" w:lineRule="auto"/>
        <w:rPr>
          <w:rFonts w:ascii="Times New Roman" w:eastAsia="Times New Roman" w:hAnsi="Times New Roman" w:cs="Times New Roman"/>
          <w:color w:val="000000"/>
          <w:sz w:val="24"/>
          <w:szCs w:val="24"/>
        </w:rPr>
      </w:pPr>
      <w:r w:rsidRPr="00A15849">
        <w:rPr>
          <w:rFonts w:ascii="Times New Roman" w:eastAsia="Times New Roman" w:hAnsi="Times New Roman" w:cs="Times New Roman"/>
          <w:color w:val="000000"/>
          <w:sz w:val="24"/>
          <w:szCs w:val="24"/>
        </w:rPr>
        <w:t>This item insert</w:t>
      </w:r>
      <w:r w:rsidR="00692914" w:rsidRPr="00A15849">
        <w:rPr>
          <w:rFonts w:ascii="Times New Roman" w:eastAsia="Times New Roman" w:hAnsi="Times New Roman" w:cs="Times New Roman"/>
          <w:color w:val="000000"/>
          <w:sz w:val="24"/>
          <w:szCs w:val="24"/>
        </w:rPr>
        <w:t>s</w:t>
      </w:r>
      <w:r w:rsidRPr="00A15849">
        <w:rPr>
          <w:rFonts w:ascii="Times New Roman" w:eastAsia="Times New Roman" w:hAnsi="Times New Roman" w:cs="Times New Roman"/>
          <w:color w:val="000000"/>
          <w:sz w:val="24"/>
          <w:szCs w:val="24"/>
        </w:rPr>
        <w:t xml:space="preserve"> </w:t>
      </w:r>
      <w:r w:rsidR="006F2EF5" w:rsidRPr="00A15849">
        <w:rPr>
          <w:rFonts w:ascii="Times New Roman" w:eastAsia="Times New Roman" w:hAnsi="Times New Roman" w:cs="Times New Roman"/>
          <w:color w:val="000000"/>
          <w:sz w:val="24"/>
          <w:szCs w:val="24"/>
        </w:rPr>
        <w:t xml:space="preserve">new </w:t>
      </w:r>
      <w:r w:rsidRPr="00A15849">
        <w:rPr>
          <w:rFonts w:ascii="Times New Roman" w:eastAsia="Times New Roman" w:hAnsi="Times New Roman" w:cs="Times New Roman"/>
          <w:color w:val="000000"/>
          <w:sz w:val="24"/>
          <w:szCs w:val="24"/>
        </w:rPr>
        <w:t>item</w:t>
      </w:r>
      <w:r w:rsidR="006F2EF5" w:rsidRPr="00A15849">
        <w:rPr>
          <w:rFonts w:ascii="Times New Roman" w:eastAsia="Times New Roman" w:hAnsi="Times New Roman" w:cs="Times New Roman"/>
          <w:color w:val="000000"/>
          <w:sz w:val="24"/>
          <w:szCs w:val="24"/>
        </w:rPr>
        <w:t> 67A</w:t>
      </w:r>
      <w:r w:rsidRPr="00A15849">
        <w:rPr>
          <w:rFonts w:ascii="Times New Roman" w:eastAsia="Times New Roman" w:hAnsi="Times New Roman" w:cs="Times New Roman"/>
          <w:color w:val="000000"/>
          <w:sz w:val="24"/>
          <w:szCs w:val="24"/>
        </w:rPr>
        <w:t xml:space="preserve"> after item 67 </w:t>
      </w:r>
      <w:r w:rsidR="00CA5564" w:rsidRPr="00A15849">
        <w:rPr>
          <w:rFonts w:ascii="Times New Roman" w:eastAsia="Times New Roman" w:hAnsi="Times New Roman" w:cs="Times New Roman"/>
          <w:color w:val="000000"/>
          <w:sz w:val="24"/>
          <w:szCs w:val="24"/>
        </w:rPr>
        <w:t>in</w:t>
      </w:r>
      <w:r w:rsidRPr="00A15849">
        <w:rPr>
          <w:rFonts w:ascii="Times New Roman" w:eastAsia="Times New Roman" w:hAnsi="Times New Roman" w:cs="Times New Roman"/>
          <w:color w:val="000000"/>
          <w:sz w:val="24"/>
          <w:szCs w:val="24"/>
        </w:rPr>
        <w:t xml:space="preserve"> Part 2 of Schedule 1 </w:t>
      </w:r>
      <w:r w:rsidR="009F181B" w:rsidRPr="00A15849">
        <w:rPr>
          <w:rFonts w:ascii="Times New Roman" w:eastAsia="Times New Roman" w:hAnsi="Times New Roman" w:cs="Times New Roman"/>
          <w:color w:val="000000"/>
          <w:sz w:val="24"/>
          <w:szCs w:val="24"/>
        </w:rPr>
        <w:t>to</w:t>
      </w:r>
      <w:r w:rsidRPr="00A15849">
        <w:rPr>
          <w:rFonts w:ascii="Times New Roman" w:eastAsia="Times New Roman" w:hAnsi="Times New Roman" w:cs="Times New Roman"/>
          <w:color w:val="000000"/>
          <w:sz w:val="24"/>
          <w:szCs w:val="24"/>
        </w:rPr>
        <w:t xml:space="preserve"> the </w:t>
      </w:r>
      <w:r w:rsidR="00FD54F3" w:rsidRPr="00A15849">
        <w:rPr>
          <w:rFonts w:ascii="Times New Roman" w:eastAsia="Times New Roman" w:hAnsi="Times New Roman" w:cs="Times New Roman"/>
          <w:color w:val="000000"/>
          <w:sz w:val="24"/>
          <w:szCs w:val="24"/>
        </w:rPr>
        <w:t>Administration Regulations</w:t>
      </w:r>
      <w:r w:rsidR="008270EF" w:rsidRPr="00A15849">
        <w:rPr>
          <w:rFonts w:ascii="Times New Roman" w:eastAsia="Times New Roman" w:hAnsi="Times New Roman" w:cs="Times New Roman"/>
          <w:color w:val="000000"/>
          <w:sz w:val="24"/>
          <w:szCs w:val="24"/>
        </w:rPr>
        <w:t xml:space="preserve">. </w:t>
      </w:r>
      <w:r w:rsidR="00AE2CC8" w:rsidRPr="00A15849">
        <w:rPr>
          <w:rFonts w:ascii="Times New Roman" w:eastAsia="Times New Roman" w:hAnsi="Times New Roman" w:cs="Times New Roman"/>
          <w:color w:val="000000"/>
          <w:sz w:val="24"/>
          <w:szCs w:val="24"/>
        </w:rPr>
        <w:t>N</w:t>
      </w:r>
      <w:r w:rsidRPr="00A15849">
        <w:rPr>
          <w:rFonts w:ascii="Times New Roman" w:eastAsia="Times New Roman" w:hAnsi="Times New Roman" w:cs="Times New Roman"/>
          <w:color w:val="000000"/>
          <w:sz w:val="24"/>
          <w:szCs w:val="24"/>
        </w:rPr>
        <w:t>ew item 67A list</w:t>
      </w:r>
      <w:r w:rsidR="00692914" w:rsidRPr="00A15849">
        <w:rPr>
          <w:rFonts w:ascii="Times New Roman" w:eastAsia="Times New Roman" w:hAnsi="Times New Roman" w:cs="Times New Roman"/>
          <w:color w:val="000000"/>
          <w:sz w:val="24"/>
          <w:szCs w:val="24"/>
        </w:rPr>
        <w:t>s</w:t>
      </w:r>
      <w:r w:rsidRPr="00A15849">
        <w:rPr>
          <w:rFonts w:ascii="Times New Roman" w:eastAsia="Times New Roman" w:hAnsi="Times New Roman" w:cs="Times New Roman"/>
          <w:color w:val="000000"/>
          <w:sz w:val="24"/>
          <w:szCs w:val="24"/>
        </w:rPr>
        <w:t xml:space="preserve"> the chemical phorate, its </w:t>
      </w:r>
      <w:r w:rsidR="00C20175" w:rsidRPr="00A15849">
        <w:rPr>
          <w:rFonts w:ascii="Times New Roman" w:eastAsia="Times New Roman" w:hAnsi="Times New Roman" w:cs="Times New Roman"/>
          <w:color w:val="000000"/>
          <w:sz w:val="24"/>
          <w:szCs w:val="24"/>
        </w:rPr>
        <w:t>Chemical Abstract Service</w:t>
      </w:r>
      <w:r w:rsidRPr="00A15849">
        <w:rPr>
          <w:rFonts w:ascii="Times New Roman" w:eastAsia="Times New Roman" w:hAnsi="Times New Roman" w:cs="Times New Roman"/>
          <w:color w:val="000000"/>
          <w:sz w:val="24"/>
          <w:szCs w:val="24"/>
        </w:rPr>
        <w:t xml:space="preserve"> (CAS) number (298</w:t>
      </w:r>
      <w:r w:rsidRPr="00A15849">
        <w:rPr>
          <w:rFonts w:ascii="Times New Roman" w:eastAsia="Times New Roman" w:hAnsi="Times New Roman" w:cs="Times New Roman"/>
          <w:color w:val="000000"/>
          <w:sz w:val="24"/>
          <w:szCs w:val="24"/>
        </w:rPr>
        <w:noBreakHyphen/>
        <w:t>09</w:t>
      </w:r>
      <w:r w:rsidRPr="00A15849">
        <w:rPr>
          <w:rFonts w:ascii="Times New Roman" w:eastAsia="Times New Roman" w:hAnsi="Times New Roman" w:cs="Times New Roman"/>
          <w:color w:val="000000"/>
          <w:sz w:val="24"/>
          <w:szCs w:val="24"/>
        </w:rPr>
        <w:noBreakHyphen/>
        <w:t>2) and International Union of Pure and Applied Chemistry (IUPAC) name diethoxy</w:t>
      </w:r>
      <w:r w:rsidRPr="00A15849">
        <w:rPr>
          <w:rFonts w:ascii="Times New Roman" w:eastAsia="Times New Roman" w:hAnsi="Times New Roman" w:cs="Times New Roman"/>
          <w:color w:val="000000"/>
          <w:sz w:val="24"/>
          <w:szCs w:val="24"/>
        </w:rPr>
        <w:noBreakHyphen/>
        <w:t>(ethylsulfanylmethylsulfanyl)</w:t>
      </w:r>
      <w:r w:rsidRPr="00A15849">
        <w:rPr>
          <w:rFonts w:ascii="Times New Roman" w:eastAsia="Times New Roman" w:hAnsi="Times New Roman" w:cs="Times New Roman"/>
          <w:color w:val="000000"/>
          <w:sz w:val="24"/>
          <w:szCs w:val="24"/>
        </w:rPr>
        <w:noBreakHyphen/>
        <w:t>sulfanylidene</w:t>
      </w:r>
      <w:r w:rsidRPr="00A15849">
        <w:rPr>
          <w:rFonts w:ascii="Times New Roman" w:eastAsia="Times New Roman" w:hAnsi="Times New Roman" w:cs="Times New Roman"/>
          <w:color w:val="000000"/>
          <w:sz w:val="24"/>
          <w:szCs w:val="24"/>
        </w:rPr>
        <w:noBreakHyphen/>
        <w:t>λ</w:t>
      </w:r>
      <w:r w:rsidRPr="00A15849">
        <w:rPr>
          <w:rFonts w:ascii="Times New Roman" w:eastAsia="Times New Roman" w:hAnsi="Times New Roman" w:cs="Times New Roman"/>
          <w:color w:val="000000"/>
          <w:sz w:val="24"/>
          <w:szCs w:val="24"/>
          <w:vertAlign w:val="superscript"/>
        </w:rPr>
        <w:t>5</w:t>
      </w:r>
      <w:r w:rsidRPr="00A15849">
        <w:rPr>
          <w:rFonts w:ascii="Times New Roman" w:eastAsia="Times New Roman" w:hAnsi="Times New Roman" w:cs="Times New Roman"/>
          <w:color w:val="000000"/>
          <w:sz w:val="24"/>
          <w:szCs w:val="24"/>
        </w:rPr>
        <w:noBreakHyphen/>
        <w:t>phosphane. The CAS number and IUPAC name are</w:t>
      </w:r>
      <w:r w:rsidR="00153DCE" w:rsidRPr="00A15849">
        <w:rPr>
          <w:rFonts w:ascii="Times New Roman" w:eastAsia="Times New Roman" w:hAnsi="Times New Roman" w:cs="Times New Roman"/>
          <w:color w:val="000000"/>
          <w:sz w:val="24"/>
          <w:szCs w:val="24"/>
        </w:rPr>
        <w:t xml:space="preserve"> </w:t>
      </w:r>
      <w:r w:rsidR="00BE6E40" w:rsidRPr="00A15849">
        <w:rPr>
          <w:rFonts w:ascii="Times New Roman" w:eastAsia="Times New Roman" w:hAnsi="Times New Roman" w:cs="Times New Roman"/>
          <w:color w:val="000000"/>
          <w:sz w:val="24"/>
          <w:szCs w:val="24"/>
        </w:rPr>
        <w:t>internationally-recognised identifiers</w:t>
      </w:r>
      <w:r w:rsidR="00A76A2A" w:rsidRPr="00A15849">
        <w:rPr>
          <w:rFonts w:ascii="Times New Roman" w:eastAsia="Times New Roman" w:hAnsi="Times New Roman" w:cs="Times New Roman"/>
          <w:color w:val="000000"/>
          <w:sz w:val="24"/>
          <w:szCs w:val="24"/>
        </w:rPr>
        <w:t xml:space="preserve"> </w:t>
      </w:r>
      <w:r w:rsidRPr="00A15849">
        <w:rPr>
          <w:rFonts w:ascii="Times New Roman" w:eastAsia="Times New Roman" w:hAnsi="Times New Roman" w:cs="Times New Roman"/>
          <w:color w:val="000000"/>
          <w:sz w:val="24"/>
          <w:szCs w:val="24"/>
        </w:rPr>
        <w:t>for chemical</w:t>
      </w:r>
      <w:r w:rsidR="00932A99" w:rsidRPr="00A15849">
        <w:rPr>
          <w:rFonts w:ascii="Times New Roman" w:eastAsia="Times New Roman" w:hAnsi="Times New Roman" w:cs="Times New Roman"/>
          <w:color w:val="000000"/>
          <w:sz w:val="24"/>
          <w:szCs w:val="24"/>
        </w:rPr>
        <w:t>s</w:t>
      </w:r>
      <w:r w:rsidRPr="00A15849">
        <w:rPr>
          <w:rFonts w:ascii="Times New Roman" w:eastAsia="Times New Roman" w:hAnsi="Times New Roman" w:cs="Times New Roman"/>
          <w:color w:val="000000"/>
          <w:sz w:val="24"/>
          <w:szCs w:val="24"/>
        </w:rPr>
        <w:t>.</w:t>
      </w:r>
    </w:p>
    <w:p w14:paraId="4183C84C" w14:textId="77777777" w:rsidR="000A55AB" w:rsidRPr="00A15849" w:rsidRDefault="000A55AB" w:rsidP="000A55AB">
      <w:pPr>
        <w:spacing w:after="0" w:line="240" w:lineRule="auto"/>
        <w:rPr>
          <w:rFonts w:ascii="Times New Roman" w:eastAsia="Times New Roman" w:hAnsi="Times New Roman" w:cs="Times New Roman"/>
          <w:color w:val="000000"/>
          <w:sz w:val="24"/>
          <w:szCs w:val="24"/>
        </w:rPr>
      </w:pPr>
    </w:p>
    <w:p w14:paraId="25134DC3" w14:textId="77777777" w:rsidR="00345907" w:rsidRPr="00A15849" w:rsidRDefault="000A55AB" w:rsidP="000A55AB">
      <w:pPr>
        <w:tabs>
          <w:tab w:val="right" w:pos="9072"/>
        </w:tabs>
        <w:spacing w:after="0" w:line="240" w:lineRule="auto"/>
        <w:rPr>
          <w:rFonts w:ascii="Times New Roman" w:hAnsi="Times New Roman" w:cs="Times New Roman"/>
          <w:sz w:val="24"/>
        </w:rPr>
      </w:pPr>
      <w:r w:rsidRPr="00A15849">
        <w:rPr>
          <w:rFonts w:ascii="Times New Roman" w:hAnsi="Times New Roman" w:cs="Times New Roman"/>
          <w:sz w:val="24"/>
        </w:rPr>
        <w:t xml:space="preserve">Subsection 69C(1) of the Act provides that if a chemical product, or an active constituent for a proposed or existing chemical product, is the subject of an international agreement or arrangement prescribed for the purposes of section 69C, the regulations may prohibit </w:t>
      </w:r>
      <w:r w:rsidR="006F2EF5" w:rsidRPr="00A15849">
        <w:rPr>
          <w:rFonts w:ascii="Times New Roman" w:hAnsi="Times New Roman" w:cs="Times New Roman"/>
          <w:sz w:val="24"/>
        </w:rPr>
        <w:t>its</w:t>
      </w:r>
      <w:r w:rsidRPr="00A15849">
        <w:rPr>
          <w:rFonts w:ascii="Times New Roman" w:hAnsi="Times New Roman" w:cs="Times New Roman"/>
          <w:sz w:val="24"/>
        </w:rPr>
        <w:t xml:space="preserve"> import, export, manufacture, use or other dealings. The prohibition may be absolute or subject to prescribed conditions or restrictions.</w:t>
      </w:r>
    </w:p>
    <w:p w14:paraId="7F0BDF18" w14:textId="77777777" w:rsidR="000A55AB" w:rsidRPr="00A15849" w:rsidRDefault="000A55AB" w:rsidP="000A55AB">
      <w:pPr>
        <w:spacing w:after="0" w:line="240" w:lineRule="auto"/>
        <w:rPr>
          <w:rFonts w:ascii="Times New Roman" w:eastAsia="Times New Roman" w:hAnsi="Times New Roman" w:cs="Times New Roman"/>
          <w:color w:val="000000"/>
          <w:sz w:val="24"/>
          <w:szCs w:val="24"/>
        </w:rPr>
      </w:pPr>
    </w:p>
    <w:p w14:paraId="5E1D5C26" w14:textId="4230F593" w:rsidR="00345907" w:rsidRPr="00A15849" w:rsidRDefault="002C75F0" w:rsidP="00AE2CC8">
      <w:pPr>
        <w:tabs>
          <w:tab w:val="right" w:pos="9072"/>
        </w:tabs>
        <w:spacing w:after="0" w:line="240" w:lineRule="auto"/>
        <w:rPr>
          <w:rFonts w:ascii="Times New Roman" w:hAnsi="Times New Roman" w:cs="Times New Roman"/>
          <w:sz w:val="24"/>
        </w:rPr>
      </w:pPr>
      <w:r w:rsidRPr="00A15849">
        <w:rPr>
          <w:rFonts w:ascii="Times New Roman" w:hAnsi="Times New Roman" w:cs="Times New Roman"/>
          <w:sz w:val="24"/>
        </w:rPr>
        <w:t>S</w:t>
      </w:r>
      <w:r w:rsidR="000A55AB" w:rsidRPr="00A15849">
        <w:rPr>
          <w:rFonts w:ascii="Times New Roman" w:hAnsi="Times New Roman" w:cs="Times New Roman"/>
          <w:sz w:val="24"/>
        </w:rPr>
        <w:t>ubregulation 3.210(2) of the Administration Regulations includes, as a condition for</w:t>
      </w:r>
      <w:r w:rsidRPr="00A15849">
        <w:rPr>
          <w:rFonts w:ascii="Times New Roman" w:hAnsi="Times New Roman" w:cs="Times New Roman"/>
          <w:sz w:val="24"/>
        </w:rPr>
        <w:t xml:space="preserve"> the export of</w:t>
      </w:r>
      <w:r w:rsidR="000A55AB" w:rsidRPr="00A15849">
        <w:rPr>
          <w:rFonts w:ascii="Times New Roman" w:hAnsi="Times New Roman" w:cs="Times New Roman"/>
          <w:sz w:val="24"/>
        </w:rPr>
        <w:t xml:space="preserve"> controlled chemicals for the purposes of subsection 69C(1) of the Act, that persons must not export such chemicals without the written permission of the Minister or an authorised officer (nor contrary to a condition or restriction specified in the permission). Subregulation 3.210(2) applies to a chemical if the relevant item in Schedule</w:t>
      </w:r>
      <w:r w:rsidR="00BF714A" w:rsidRPr="00A15849">
        <w:rPr>
          <w:rFonts w:ascii="Times New Roman" w:hAnsi="Times New Roman" w:cs="Times New Roman"/>
          <w:sz w:val="24"/>
        </w:rPr>
        <w:t> </w:t>
      </w:r>
      <w:r w:rsidR="000A55AB" w:rsidRPr="00A15849">
        <w:rPr>
          <w:rFonts w:ascii="Times New Roman" w:hAnsi="Times New Roman" w:cs="Times New Roman"/>
          <w:sz w:val="24"/>
        </w:rPr>
        <w:t>1</w:t>
      </w:r>
      <w:r w:rsidR="00930481" w:rsidRPr="00A15849">
        <w:rPr>
          <w:rFonts w:ascii="Times New Roman" w:hAnsi="Times New Roman" w:cs="Times New Roman"/>
          <w:sz w:val="24"/>
        </w:rPr>
        <w:t xml:space="preserve"> </w:t>
      </w:r>
      <w:r w:rsidR="00BF7D67" w:rsidRPr="00A15849">
        <w:rPr>
          <w:rFonts w:ascii="Times New Roman" w:hAnsi="Times New Roman" w:cs="Times New Roman"/>
          <w:sz w:val="24"/>
        </w:rPr>
        <w:t>to</w:t>
      </w:r>
      <w:r w:rsidR="00246CB5" w:rsidRPr="00A15849">
        <w:rPr>
          <w:rFonts w:ascii="Times New Roman" w:hAnsi="Times New Roman" w:cs="Times New Roman"/>
          <w:sz w:val="24"/>
        </w:rPr>
        <w:t xml:space="preserve"> the Administration Regulations</w:t>
      </w:r>
      <w:r w:rsidR="000A55AB" w:rsidRPr="00A15849">
        <w:rPr>
          <w:rFonts w:ascii="Times New Roman" w:hAnsi="Times New Roman" w:cs="Times New Roman"/>
          <w:sz w:val="24"/>
        </w:rPr>
        <w:t xml:space="preserve"> states that its export is prohibited except with written permission.</w:t>
      </w:r>
    </w:p>
    <w:p w14:paraId="057A89CB" w14:textId="27650595" w:rsidR="000A55AB" w:rsidRPr="00A15849" w:rsidRDefault="000A55AB" w:rsidP="00AE2CC8">
      <w:pPr>
        <w:tabs>
          <w:tab w:val="right" w:pos="9072"/>
        </w:tabs>
        <w:spacing w:after="0" w:line="240" w:lineRule="auto"/>
        <w:rPr>
          <w:rFonts w:ascii="Times New Roman" w:hAnsi="Times New Roman" w:cs="Times New Roman"/>
          <w:sz w:val="24"/>
        </w:rPr>
      </w:pPr>
      <w:r w:rsidRPr="00A15849">
        <w:rPr>
          <w:rFonts w:ascii="Times New Roman" w:hAnsi="Times New Roman" w:cs="Times New Roman"/>
          <w:sz w:val="24"/>
        </w:rPr>
        <w:lastRenderedPageBreak/>
        <w:t xml:space="preserve">Regulation 1.4 </w:t>
      </w:r>
      <w:r w:rsidR="00246CB5" w:rsidRPr="00A15849">
        <w:rPr>
          <w:rFonts w:ascii="Times New Roman" w:hAnsi="Times New Roman" w:cs="Times New Roman"/>
          <w:sz w:val="24"/>
        </w:rPr>
        <w:t xml:space="preserve">of the Administration Regulations </w:t>
      </w:r>
      <w:r w:rsidRPr="00A15849">
        <w:rPr>
          <w:rFonts w:ascii="Times New Roman" w:hAnsi="Times New Roman" w:cs="Times New Roman"/>
          <w:sz w:val="24"/>
        </w:rPr>
        <w:t xml:space="preserve">defines an authorised officer as an officer of the </w:t>
      </w:r>
      <w:r w:rsidR="008A0BA4" w:rsidRPr="00A15849">
        <w:rPr>
          <w:rFonts w:ascii="Times New Roman" w:hAnsi="Times New Roman" w:cs="Times New Roman"/>
          <w:sz w:val="24"/>
        </w:rPr>
        <w:t>d</w:t>
      </w:r>
      <w:r w:rsidRPr="00A15849">
        <w:rPr>
          <w:rFonts w:ascii="Times New Roman" w:hAnsi="Times New Roman" w:cs="Times New Roman"/>
          <w:sz w:val="24"/>
        </w:rPr>
        <w:t>epartment authorised in writing by the Secretary in relation to the provision</w:t>
      </w:r>
      <w:r w:rsidR="002C75F0" w:rsidRPr="00A15849">
        <w:rPr>
          <w:rFonts w:ascii="Times New Roman" w:hAnsi="Times New Roman" w:cs="Times New Roman"/>
          <w:sz w:val="24"/>
        </w:rPr>
        <w:t xml:space="preserve"> of the Administration Regulations</w:t>
      </w:r>
      <w:r w:rsidR="00CD11D5" w:rsidRPr="00A15849">
        <w:rPr>
          <w:rFonts w:ascii="Times New Roman" w:hAnsi="Times New Roman" w:cs="Times New Roman"/>
          <w:sz w:val="24"/>
        </w:rPr>
        <w:t xml:space="preserve"> in which the expression occurs</w:t>
      </w:r>
      <w:r w:rsidRPr="00A15849">
        <w:rPr>
          <w:rFonts w:ascii="Times New Roman" w:hAnsi="Times New Roman" w:cs="Times New Roman"/>
          <w:sz w:val="24"/>
        </w:rPr>
        <w:t>.</w:t>
      </w:r>
    </w:p>
    <w:p w14:paraId="1F83B744" w14:textId="1B1A7FDA" w:rsidR="00A53DE5" w:rsidRPr="00A15849" w:rsidRDefault="00A53DE5" w:rsidP="000A55AB">
      <w:pPr>
        <w:spacing w:after="0" w:line="240" w:lineRule="auto"/>
        <w:rPr>
          <w:rFonts w:ascii="Times New Roman" w:eastAsia="Times New Roman" w:hAnsi="Times New Roman" w:cs="Times New Roman"/>
          <w:color w:val="000000"/>
          <w:sz w:val="24"/>
          <w:szCs w:val="24"/>
        </w:rPr>
      </w:pPr>
    </w:p>
    <w:p w14:paraId="6CE9C1F4" w14:textId="5DCDAE16" w:rsidR="009D73DF" w:rsidRPr="00A15849" w:rsidRDefault="009D73DF" w:rsidP="000A55AB">
      <w:pPr>
        <w:spacing w:after="0" w:line="240" w:lineRule="auto"/>
        <w:rPr>
          <w:rFonts w:ascii="Times New Roman" w:eastAsia="Times New Roman" w:hAnsi="Times New Roman" w:cs="Times New Roman"/>
          <w:color w:val="000000"/>
          <w:sz w:val="24"/>
          <w:szCs w:val="24"/>
        </w:rPr>
      </w:pPr>
      <w:r w:rsidRPr="005F6335">
        <w:rPr>
          <w:rFonts w:ascii="Times New Roman" w:eastAsia="Times New Roman" w:hAnsi="Times New Roman" w:cs="Times New Roman"/>
          <w:color w:val="000000"/>
          <w:sz w:val="24"/>
          <w:szCs w:val="24"/>
        </w:rPr>
        <w:t xml:space="preserve">The insertion of new item 67A in Part 2 of Schedule 1 to the Administration Regulations lists the active constituent phorate as a ‘controlled chemical’ for the purpose of regulation 1.3A and prescribes a condition of export on phorate or chemical products containing phorate. </w:t>
      </w:r>
      <w:r w:rsidR="00A53DE5" w:rsidRPr="005F6335">
        <w:rPr>
          <w:rFonts w:ascii="Times New Roman" w:eastAsia="Times New Roman" w:hAnsi="Times New Roman" w:cs="Times New Roman"/>
          <w:color w:val="000000"/>
          <w:sz w:val="24"/>
          <w:szCs w:val="24"/>
        </w:rPr>
        <w:t>This ensures that the chemical cannot be exported except with written permission and that Australia meets its obligations under the Rotterdam Convention to ensure that phorate is not exported to countries that have not provided consent to receive it.</w:t>
      </w:r>
    </w:p>
    <w:p w14:paraId="4904DDC7" w14:textId="77777777" w:rsidR="000A55AB" w:rsidRPr="00A15849" w:rsidRDefault="000A55AB" w:rsidP="000A55AB">
      <w:pPr>
        <w:spacing w:after="0" w:line="240" w:lineRule="auto"/>
        <w:rPr>
          <w:rFonts w:ascii="Times New Roman" w:eastAsia="Times New Roman" w:hAnsi="Times New Roman" w:cs="Times New Roman"/>
          <w:color w:val="000000"/>
          <w:sz w:val="24"/>
          <w:szCs w:val="24"/>
        </w:rPr>
      </w:pPr>
    </w:p>
    <w:p w14:paraId="5ABCFB80" w14:textId="7E734D87" w:rsidR="000A55AB" w:rsidRDefault="000A55AB" w:rsidP="000A55AB">
      <w:pPr>
        <w:spacing w:after="0" w:line="240" w:lineRule="auto"/>
        <w:rPr>
          <w:rFonts w:ascii="Times New Roman" w:eastAsia="Times New Roman" w:hAnsi="Times New Roman" w:cs="Times New Roman"/>
          <w:color w:val="000000"/>
          <w:sz w:val="24"/>
          <w:szCs w:val="24"/>
        </w:rPr>
      </w:pPr>
      <w:r w:rsidRPr="00A15849">
        <w:rPr>
          <w:rFonts w:ascii="Times New Roman" w:eastAsia="Times New Roman" w:hAnsi="Times New Roman" w:cs="Times New Roman"/>
          <w:color w:val="000000"/>
          <w:sz w:val="24"/>
          <w:szCs w:val="24"/>
        </w:rPr>
        <w:t>The new item 67A</w:t>
      </w:r>
      <w:r w:rsidR="00A53DE5" w:rsidRPr="00A15849">
        <w:rPr>
          <w:rFonts w:ascii="Times New Roman" w:eastAsia="Times New Roman" w:hAnsi="Times New Roman" w:cs="Times New Roman"/>
          <w:color w:val="000000"/>
          <w:sz w:val="24"/>
          <w:szCs w:val="24"/>
        </w:rPr>
        <w:t xml:space="preserve"> also</w:t>
      </w:r>
      <w:r w:rsidR="009A7BEF" w:rsidRPr="00A15849">
        <w:rPr>
          <w:rFonts w:ascii="Times New Roman" w:eastAsia="Times New Roman" w:hAnsi="Times New Roman" w:cs="Times New Roman"/>
          <w:color w:val="000000"/>
          <w:sz w:val="24"/>
          <w:szCs w:val="24"/>
        </w:rPr>
        <w:t xml:space="preserve"> </w:t>
      </w:r>
      <w:r w:rsidRPr="00A15849">
        <w:rPr>
          <w:rFonts w:ascii="Times New Roman" w:eastAsia="Times New Roman" w:hAnsi="Times New Roman" w:cs="Times New Roman"/>
          <w:color w:val="000000"/>
          <w:sz w:val="24"/>
          <w:szCs w:val="24"/>
        </w:rPr>
        <w:t>identif</w:t>
      </w:r>
      <w:r w:rsidR="009A7BEF" w:rsidRPr="00A15849">
        <w:rPr>
          <w:rFonts w:ascii="Times New Roman" w:eastAsia="Times New Roman" w:hAnsi="Times New Roman" w:cs="Times New Roman"/>
          <w:color w:val="000000"/>
          <w:sz w:val="24"/>
          <w:szCs w:val="24"/>
        </w:rPr>
        <w:t>ies</w:t>
      </w:r>
      <w:r w:rsidRPr="00A15849">
        <w:rPr>
          <w:rFonts w:ascii="Times New Roman" w:eastAsia="Times New Roman" w:hAnsi="Times New Roman" w:cs="Times New Roman"/>
          <w:color w:val="000000"/>
          <w:sz w:val="24"/>
          <w:szCs w:val="24"/>
        </w:rPr>
        <w:t xml:space="preserve"> that phorate is not a prescribed active constituent or chemical product for the purposes of subsection 69CA(2) of the Act (prescribed information about import, manufacture, other dealings or export of certain chemicals). </w:t>
      </w:r>
      <w:r w:rsidR="00C560E0" w:rsidRPr="00A15849">
        <w:rPr>
          <w:rFonts w:ascii="Times New Roman" w:eastAsia="Times New Roman" w:hAnsi="Times New Roman" w:cs="Times New Roman"/>
          <w:color w:val="000000"/>
          <w:sz w:val="24"/>
          <w:szCs w:val="24"/>
        </w:rPr>
        <w:t>New i</w:t>
      </w:r>
      <w:r w:rsidRPr="00A15849">
        <w:rPr>
          <w:rFonts w:ascii="Times New Roman" w:eastAsia="Times New Roman" w:hAnsi="Times New Roman" w:cs="Times New Roman"/>
          <w:color w:val="000000"/>
          <w:sz w:val="24"/>
          <w:szCs w:val="24"/>
        </w:rPr>
        <w:t>tem 67A</w:t>
      </w:r>
      <w:r w:rsidR="009A7BEF" w:rsidRPr="00A15849">
        <w:rPr>
          <w:rFonts w:ascii="Times New Roman" w:eastAsia="Times New Roman" w:hAnsi="Times New Roman" w:cs="Times New Roman"/>
          <w:color w:val="000000"/>
          <w:sz w:val="24"/>
          <w:szCs w:val="24"/>
        </w:rPr>
        <w:t xml:space="preserve"> </w:t>
      </w:r>
      <w:r w:rsidR="000D5ECE" w:rsidRPr="00A15849">
        <w:rPr>
          <w:rFonts w:ascii="Times New Roman" w:eastAsia="Times New Roman" w:hAnsi="Times New Roman" w:cs="Times New Roman"/>
          <w:color w:val="000000"/>
          <w:sz w:val="24"/>
          <w:szCs w:val="24"/>
        </w:rPr>
        <w:t xml:space="preserve">additionally </w:t>
      </w:r>
      <w:r w:rsidRPr="00A15849">
        <w:rPr>
          <w:rFonts w:ascii="Times New Roman" w:eastAsia="Times New Roman" w:hAnsi="Times New Roman" w:cs="Times New Roman"/>
          <w:color w:val="000000"/>
          <w:sz w:val="24"/>
          <w:szCs w:val="24"/>
        </w:rPr>
        <w:t>identif</w:t>
      </w:r>
      <w:r w:rsidR="009A7BEF" w:rsidRPr="00A15849">
        <w:rPr>
          <w:rFonts w:ascii="Times New Roman" w:eastAsia="Times New Roman" w:hAnsi="Times New Roman" w:cs="Times New Roman"/>
          <w:color w:val="000000"/>
          <w:sz w:val="24"/>
          <w:szCs w:val="24"/>
        </w:rPr>
        <w:t>ies</w:t>
      </w:r>
      <w:r w:rsidRPr="00A15849">
        <w:rPr>
          <w:rFonts w:ascii="Times New Roman" w:eastAsia="Times New Roman" w:hAnsi="Times New Roman" w:cs="Times New Roman"/>
          <w:color w:val="000000"/>
          <w:sz w:val="24"/>
          <w:szCs w:val="24"/>
        </w:rPr>
        <w:t xml:space="preserve"> the Rotterdam Convention as the relevant international agreement or arrangement.</w:t>
      </w:r>
    </w:p>
    <w:p w14:paraId="3965435C" w14:textId="77777777" w:rsidR="0069345C" w:rsidRDefault="0069345C" w:rsidP="000A55AB">
      <w:pPr>
        <w:spacing w:after="0" w:line="240" w:lineRule="auto"/>
        <w:rPr>
          <w:rFonts w:ascii="Times New Roman" w:eastAsia="Times New Roman" w:hAnsi="Times New Roman" w:cs="Times New Roman"/>
          <w:color w:val="000000"/>
          <w:sz w:val="24"/>
          <w:szCs w:val="24"/>
        </w:rPr>
      </w:pPr>
    </w:p>
    <w:p w14:paraId="7CD5E115" w14:textId="77777777" w:rsidR="0069345C" w:rsidRPr="00AC5A74" w:rsidRDefault="0069345C" w:rsidP="000A55AB">
      <w:pPr>
        <w:spacing w:after="0" w:line="240" w:lineRule="auto"/>
        <w:rPr>
          <w:rFonts w:ascii="Times New Roman" w:eastAsia="Times New Roman" w:hAnsi="Times New Roman" w:cs="Times New Roman"/>
          <w:color w:val="000000"/>
          <w:sz w:val="24"/>
          <w:szCs w:val="24"/>
        </w:rPr>
      </w:pPr>
    </w:p>
    <w:p w14:paraId="34CAE851" w14:textId="245CB579" w:rsidR="0062424D" w:rsidRPr="00AC5A74" w:rsidRDefault="002B1DB3" w:rsidP="00AB099F">
      <w:pPr>
        <w:spacing w:after="0" w:line="240" w:lineRule="auto"/>
        <w:jc w:val="right"/>
        <w:rPr>
          <w:rFonts w:ascii="Times New Roman" w:hAnsi="Times New Roman" w:cs="Times New Roman"/>
          <w:sz w:val="24"/>
          <w:szCs w:val="24"/>
        </w:rPr>
      </w:pPr>
      <w:r w:rsidRPr="00AC5A74">
        <w:rPr>
          <w:rFonts w:ascii="Times New Roman" w:hAnsi="Times New Roman" w:cs="Times New Roman"/>
          <w:b/>
          <w:sz w:val="24"/>
          <w:szCs w:val="24"/>
          <w:u w:val="single"/>
        </w:rPr>
        <w:br w:type="page"/>
      </w:r>
      <w:r w:rsidR="0062424D" w:rsidRPr="00AC5A74">
        <w:rPr>
          <w:rFonts w:ascii="Times New Roman" w:hAnsi="Times New Roman" w:cs="Times New Roman"/>
          <w:b/>
          <w:sz w:val="24"/>
          <w:szCs w:val="24"/>
          <w:u w:val="single"/>
        </w:rPr>
        <w:lastRenderedPageBreak/>
        <w:t xml:space="preserve">ATTACHMENT </w:t>
      </w:r>
      <w:r w:rsidR="00981715" w:rsidRPr="00AC5A74">
        <w:rPr>
          <w:rFonts w:ascii="Times New Roman" w:hAnsi="Times New Roman" w:cs="Times New Roman"/>
          <w:b/>
          <w:sz w:val="24"/>
          <w:szCs w:val="24"/>
          <w:u w:val="single"/>
        </w:rPr>
        <w:t>C</w:t>
      </w:r>
    </w:p>
    <w:p w14:paraId="673F4D21" w14:textId="77777777" w:rsidR="0062424D" w:rsidRPr="00AC5A74" w:rsidRDefault="0062424D" w:rsidP="005D1ABF">
      <w:pPr>
        <w:spacing w:after="0" w:line="240" w:lineRule="auto"/>
        <w:rPr>
          <w:rFonts w:ascii="Times New Roman" w:hAnsi="Times New Roman" w:cs="Times New Roman"/>
          <w:sz w:val="24"/>
          <w:szCs w:val="24"/>
        </w:rPr>
      </w:pPr>
    </w:p>
    <w:p w14:paraId="60FE0A0E" w14:textId="77777777" w:rsidR="002B1DB3" w:rsidRPr="00AC5A74" w:rsidRDefault="002B1DB3">
      <w:pPr>
        <w:spacing w:after="0" w:line="240" w:lineRule="auto"/>
        <w:jc w:val="center"/>
        <w:rPr>
          <w:rFonts w:ascii="Times New Roman" w:hAnsi="Times New Roman" w:cs="Times New Roman"/>
          <w:b/>
          <w:sz w:val="24"/>
          <w:szCs w:val="24"/>
        </w:rPr>
      </w:pPr>
      <w:r w:rsidRPr="00AC5A74">
        <w:rPr>
          <w:rFonts w:ascii="Times New Roman" w:hAnsi="Times New Roman" w:cs="Times New Roman"/>
          <w:b/>
          <w:sz w:val="24"/>
          <w:szCs w:val="24"/>
        </w:rPr>
        <w:t>Statement of Compatibility with Human Rights</w:t>
      </w:r>
    </w:p>
    <w:p w14:paraId="0CD4A650" w14:textId="77777777" w:rsidR="002C177A" w:rsidRPr="00AC5A74" w:rsidRDefault="002C177A" w:rsidP="005D1ABF">
      <w:pPr>
        <w:spacing w:after="0" w:line="240" w:lineRule="auto"/>
        <w:jc w:val="center"/>
        <w:rPr>
          <w:rFonts w:ascii="Times New Roman" w:hAnsi="Times New Roman" w:cs="Times New Roman"/>
          <w:b/>
          <w:sz w:val="24"/>
          <w:szCs w:val="24"/>
        </w:rPr>
      </w:pPr>
    </w:p>
    <w:p w14:paraId="54FCFBC4" w14:textId="13AAB4DB" w:rsidR="002B1DB3" w:rsidRPr="00AC5A74" w:rsidRDefault="002B1DB3" w:rsidP="005D1ABF">
      <w:pPr>
        <w:spacing w:after="0" w:line="240" w:lineRule="auto"/>
        <w:jc w:val="center"/>
        <w:rPr>
          <w:rFonts w:ascii="Times New Roman" w:hAnsi="Times New Roman" w:cs="Times New Roman"/>
          <w:sz w:val="24"/>
          <w:szCs w:val="24"/>
        </w:rPr>
      </w:pPr>
      <w:r w:rsidRPr="00AC5A74">
        <w:rPr>
          <w:rFonts w:ascii="Times New Roman" w:hAnsi="Times New Roman" w:cs="Times New Roman"/>
          <w:i/>
          <w:sz w:val="24"/>
          <w:szCs w:val="24"/>
        </w:rPr>
        <w:t>Prepared in accordance with Part 3 of the Human Rights (Parliamentary Scrutiny) Act</w:t>
      </w:r>
      <w:r w:rsidR="00751069" w:rsidRPr="00AC5A74">
        <w:rPr>
          <w:rFonts w:ascii="Times New Roman" w:hAnsi="Times New Roman" w:cs="Times New Roman"/>
          <w:i/>
          <w:sz w:val="24"/>
          <w:szCs w:val="24"/>
        </w:rPr>
        <w:t> </w:t>
      </w:r>
      <w:r w:rsidRPr="00AC5A74">
        <w:rPr>
          <w:rFonts w:ascii="Times New Roman" w:hAnsi="Times New Roman" w:cs="Times New Roman"/>
          <w:i/>
          <w:sz w:val="24"/>
          <w:szCs w:val="24"/>
        </w:rPr>
        <w:t>2011</w:t>
      </w:r>
    </w:p>
    <w:p w14:paraId="08536A98" w14:textId="77777777" w:rsidR="002B1DB3" w:rsidRPr="00AC5A74" w:rsidRDefault="002B1DB3" w:rsidP="005D1ABF">
      <w:pPr>
        <w:spacing w:after="0" w:line="240" w:lineRule="auto"/>
        <w:jc w:val="center"/>
        <w:rPr>
          <w:rFonts w:ascii="Times New Roman" w:hAnsi="Times New Roman" w:cs="Times New Roman"/>
          <w:sz w:val="24"/>
          <w:szCs w:val="24"/>
        </w:rPr>
      </w:pPr>
    </w:p>
    <w:p w14:paraId="032CFB46" w14:textId="16E8FD7E" w:rsidR="002B1DB3" w:rsidRPr="00AC5A74" w:rsidRDefault="00815F52" w:rsidP="005D1ABF">
      <w:pPr>
        <w:spacing w:after="0" w:line="240" w:lineRule="auto"/>
        <w:jc w:val="center"/>
        <w:rPr>
          <w:rFonts w:ascii="Times New Roman" w:hAnsi="Times New Roman" w:cs="Times New Roman"/>
          <w:b/>
          <w:i/>
          <w:color w:val="000000" w:themeColor="text1"/>
          <w:sz w:val="24"/>
          <w:szCs w:val="24"/>
        </w:rPr>
      </w:pPr>
      <w:r w:rsidRPr="00AC5A74">
        <w:rPr>
          <w:rFonts w:ascii="Times New Roman" w:hAnsi="Times New Roman" w:cs="Times New Roman"/>
          <w:b/>
          <w:i/>
          <w:color w:val="000000" w:themeColor="text1"/>
          <w:sz w:val="24"/>
          <w:szCs w:val="24"/>
        </w:rPr>
        <w:t>Agricultural and Veterinary Chemicals (Administration) Amendment (Phorate) Regulations</w:t>
      </w:r>
      <w:r w:rsidR="00751069" w:rsidRPr="00AC5A74">
        <w:rPr>
          <w:rFonts w:ascii="Times New Roman" w:hAnsi="Times New Roman" w:cs="Times New Roman"/>
          <w:b/>
          <w:i/>
          <w:color w:val="000000" w:themeColor="text1"/>
          <w:sz w:val="24"/>
          <w:szCs w:val="24"/>
        </w:rPr>
        <w:t> </w:t>
      </w:r>
      <w:r w:rsidRPr="00AC5A74">
        <w:rPr>
          <w:rFonts w:ascii="Times New Roman" w:hAnsi="Times New Roman" w:cs="Times New Roman"/>
          <w:b/>
          <w:i/>
          <w:color w:val="000000" w:themeColor="text1"/>
          <w:sz w:val="24"/>
          <w:szCs w:val="24"/>
        </w:rPr>
        <w:t>2020</w:t>
      </w:r>
    </w:p>
    <w:p w14:paraId="6FB06CCA" w14:textId="77777777" w:rsidR="002B1DB3" w:rsidRPr="00AC5A74" w:rsidRDefault="002B1DB3" w:rsidP="005D1ABF">
      <w:pPr>
        <w:spacing w:after="0" w:line="240" w:lineRule="auto"/>
        <w:jc w:val="center"/>
        <w:rPr>
          <w:rFonts w:ascii="Times New Roman" w:hAnsi="Times New Roman" w:cs="Times New Roman"/>
          <w:sz w:val="24"/>
          <w:szCs w:val="24"/>
        </w:rPr>
      </w:pPr>
    </w:p>
    <w:p w14:paraId="5E4A82B6" w14:textId="6A8D1617" w:rsidR="002B1DB3" w:rsidRPr="00AC5A74" w:rsidRDefault="002B1DB3" w:rsidP="002C177A">
      <w:pPr>
        <w:spacing w:after="0" w:line="240" w:lineRule="auto"/>
        <w:rPr>
          <w:rFonts w:ascii="Times New Roman" w:hAnsi="Times New Roman" w:cs="Times New Roman"/>
          <w:sz w:val="24"/>
          <w:szCs w:val="24"/>
        </w:rPr>
      </w:pPr>
      <w:r w:rsidRPr="00AC5A74">
        <w:rPr>
          <w:rFonts w:ascii="Times New Roman" w:hAnsi="Times New Roman" w:cs="Times New Roman"/>
          <w:sz w:val="24"/>
          <w:szCs w:val="24"/>
        </w:rPr>
        <w:t>This Legislative Instrument is compatible with the human rights and freedoms recognised or declared in the international instruments listed in section</w:t>
      </w:r>
      <w:r w:rsidR="00D44AB8" w:rsidRPr="00AC5A74">
        <w:rPr>
          <w:rFonts w:ascii="Times New Roman" w:hAnsi="Times New Roman" w:cs="Times New Roman"/>
          <w:sz w:val="24"/>
          <w:szCs w:val="24"/>
        </w:rPr>
        <w:t> </w:t>
      </w:r>
      <w:r w:rsidRPr="00AC5A74">
        <w:rPr>
          <w:rFonts w:ascii="Times New Roman" w:hAnsi="Times New Roman" w:cs="Times New Roman"/>
          <w:sz w:val="24"/>
          <w:szCs w:val="24"/>
        </w:rPr>
        <w:t xml:space="preserve">3 of the </w:t>
      </w:r>
      <w:r w:rsidRPr="00AC5A74">
        <w:rPr>
          <w:rFonts w:ascii="Times New Roman" w:hAnsi="Times New Roman" w:cs="Times New Roman"/>
          <w:i/>
          <w:sz w:val="24"/>
          <w:szCs w:val="24"/>
        </w:rPr>
        <w:t xml:space="preserve">Human Rights (Parliamentary Scrutiny) </w:t>
      </w:r>
      <w:r w:rsidR="00D44AB8" w:rsidRPr="00AC5A74">
        <w:rPr>
          <w:rFonts w:ascii="Times New Roman" w:hAnsi="Times New Roman" w:cs="Times New Roman"/>
          <w:i/>
          <w:sz w:val="24"/>
          <w:szCs w:val="24"/>
        </w:rPr>
        <w:t>Act </w:t>
      </w:r>
      <w:r w:rsidRPr="00AC5A74">
        <w:rPr>
          <w:rFonts w:ascii="Times New Roman" w:hAnsi="Times New Roman" w:cs="Times New Roman"/>
          <w:i/>
          <w:sz w:val="24"/>
          <w:szCs w:val="24"/>
        </w:rPr>
        <w:t>2011</w:t>
      </w:r>
      <w:r w:rsidRPr="00AC5A74">
        <w:rPr>
          <w:rFonts w:ascii="Times New Roman" w:hAnsi="Times New Roman" w:cs="Times New Roman"/>
          <w:sz w:val="24"/>
          <w:szCs w:val="24"/>
        </w:rPr>
        <w:t>.</w:t>
      </w:r>
    </w:p>
    <w:p w14:paraId="6B855E4D" w14:textId="77777777" w:rsidR="002B1DB3" w:rsidRPr="00AC5A74" w:rsidRDefault="002B1DB3" w:rsidP="005D1ABF">
      <w:pPr>
        <w:spacing w:after="0" w:line="240" w:lineRule="auto"/>
        <w:rPr>
          <w:rFonts w:ascii="Times New Roman" w:hAnsi="Times New Roman" w:cs="Times New Roman"/>
          <w:sz w:val="24"/>
          <w:szCs w:val="24"/>
        </w:rPr>
      </w:pPr>
    </w:p>
    <w:p w14:paraId="767F962C" w14:textId="77777777" w:rsidR="002B1DB3" w:rsidRPr="00AC5A74" w:rsidRDefault="002B1DB3" w:rsidP="005D1ABF">
      <w:pPr>
        <w:spacing w:after="0" w:line="240" w:lineRule="auto"/>
        <w:jc w:val="both"/>
        <w:rPr>
          <w:rFonts w:ascii="Times New Roman" w:hAnsi="Times New Roman" w:cs="Times New Roman"/>
          <w:b/>
          <w:sz w:val="24"/>
          <w:szCs w:val="24"/>
        </w:rPr>
      </w:pPr>
      <w:r w:rsidRPr="00AC5A74">
        <w:rPr>
          <w:rFonts w:ascii="Times New Roman" w:hAnsi="Times New Roman" w:cs="Times New Roman"/>
          <w:b/>
          <w:sz w:val="24"/>
          <w:szCs w:val="24"/>
        </w:rPr>
        <w:t>Overview of the Legislative Instrument</w:t>
      </w:r>
    </w:p>
    <w:p w14:paraId="17B10CE6" w14:textId="77777777" w:rsidR="002B1DB3" w:rsidRPr="00AC5A74" w:rsidRDefault="002B1DB3" w:rsidP="005D1ABF">
      <w:pPr>
        <w:spacing w:after="0" w:line="240" w:lineRule="auto"/>
        <w:rPr>
          <w:rFonts w:ascii="Times New Roman" w:hAnsi="Times New Roman" w:cs="Times New Roman"/>
          <w:sz w:val="24"/>
          <w:szCs w:val="24"/>
        </w:rPr>
      </w:pPr>
    </w:p>
    <w:p w14:paraId="40F7FDFD" w14:textId="4A4AD680" w:rsidR="00BA4C14" w:rsidRPr="00AC5A74" w:rsidRDefault="00BA4C14" w:rsidP="005D1ABF">
      <w:pPr>
        <w:spacing w:after="0" w:line="240" w:lineRule="auto"/>
        <w:rPr>
          <w:rFonts w:ascii="Times New Roman" w:hAnsi="Times New Roman"/>
          <w:sz w:val="24"/>
          <w:szCs w:val="24"/>
        </w:rPr>
      </w:pPr>
      <w:r w:rsidRPr="00AC5A74">
        <w:rPr>
          <w:rFonts w:ascii="Times New Roman" w:hAnsi="Times New Roman"/>
          <w:sz w:val="24"/>
          <w:szCs w:val="24"/>
          <w:lang w:eastAsia="ja-JP"/>
        </w:rPr>
        <w:t xml:space="preserve">The </w:t>
      </w:r>
      <w:r w:rsidR="0006463A" w:rsidRPr="00AC5A74">
        <w:rPr>
          <w:rFonts w:ascii="Times New Roman" w:hAnsi="Times New Roman"/>
          <w:sz w:val="24"/>
          <w:szCs w:val="24"/>
          <w:lang w:eastAsia="ja-JP"/>
        </w:rPr>
        <w:t>L</w:t>
      </w:r>
      <w:r w:rsidR="00502A93" w:rsidRPr="00AC5A74">
        <w:rPr>
          <w:rFonts w:ascii="Times New Roman" w:hAnsi="Times New Roman"/>
          <w:sz w:val="24"/>
          <w:szCs w:val="24"/>
          <w:lang w:eastAsia="ja-JP"/>
        </w:rPr>
        <w:t>egislative Instrument</w:t>
      </w:r>
      <w:r w:rsidRPr="00AC5A74">
        <w:rPr>
          <w:rFonts w:ascii="Times New Roman" w:hAnsi="Times New Roman"/>
          <w:sz w:val="24"/>
          <w:szCs w:val="24"/>
          <w:lang w:eastAsia="ja-JP"/>
        </w:rPr>
        <w:t xml:space="preserve"> adds phorate to </w:t>
      </w:r>
      <w:r w:rsidR="002D315F" w:rsidRPr="00AC5A74">
        <w:rPr>
          <w:rFonts w:ascii="Times New Roman" w:hAnsi="Times New Roman"/>
          <w:sz w:val="24"/>
          <w:szCs w:val="24"/>
          <w:lang w:eastAsia="ja-JP"/>
        </w:rPr>
        <w:t xml:space="preserve">Part 2 of </w:t>
      </w:r>
      <w:r w:rsidRPr="00AC5A74">
        <w:rPr>
          <w:rFonts w:ascii="Times New Roman" w:hAnsi="Times New Roman"/>
          <w:sz w:val="24"/>
          <w:szCs w:val="24"/>
          <w:lang w:eastAsia="ja-JP"/>
        </w:rPr>
        <w:t>Schedule</w:t>
      </w:r>
      <w:r w:rsidR="00D44AB8" w:rsidRPr="00AC5A74">
        <w:rPr>
          <w:rFonts w:ascii="Times New Roman" w:hAnsi="Times New Roman"/>
          <w:sz w:val="24"/>
          <w:szCs w:val="24"/>
          <w:lang w:eastAsia="ja-JP"/>
        </w:rPr>
        <w:t> </w:t>
      </w:r>
      <w:r w:rsidRPr="00AC5A74">
        <w:rPr>
          <w:rFonts w:ascii="Times New Roman" w:hAnsi="Times New Roman"/>
          <w:sz w:val="24"/>
          <w:szCs w:val="24"/>
          <w:lang w:eastAsia="ja-JP"/>
        </w:rPr>
        <w:t>1</w:t>
      </w:r>
      <w:r w:rsidR="002D315F" w:rsidRPr="00AC5A74">
        <w:rPr>
          <w:rFonts w:ascii="Times New Roman" w:hAnsi="Times New Roman"/>
          <w:sz w:val="24"/>
          <w:szCs w:val="24"/>
          <w:lang w:eastAsia="ja-JP"/>
        </w:rPr>
        <w:t xml:space="preserve"> </w:t>
      </w:r>
      <w:r w:rsidR="00D44AB8" w:rsidRPr="00AC5A74">
        <w:rPr>
          <w:rFonts w:ascii="Times New Roman" w:hAnsi="Times New Roman"/>
          <w:sz w:val="24"/>
          <w:szCs w:val="24"/>
          <w:lang w:eastAsia="ja-JP"/>
        </w:rPr>
        <w:t>to</w:t>
      </w:r>
      <w:r w:rsidR="002D315F" w:rsidRPr="00AC5A74">
        <w:rPr>
          <w:rFonts w:ascii="Times New Roman" w:hAnsi="Times New Roman"/>
          <w:sz w:val="24"/>
          <w:szCs w:val="24"/>
          <w:lang w:eastAsia="ja-JP"/>
        </w:rPr>
        <w:t xml:space="preserve"> the</w:t>
      </w:r>
      <w:r w:rsidR="00D66FA3" w:rsidRPr="00AC5A74">
        <w:rPr>
          <w:rFonts w:ascii="Times New Roman" w:hAnsi="Times New Roman"/>
          <w:sz w:val="24"/>
          <w:szCs w:val="24"/>
          <w:lang w:eastAsia="ja-JP"/>
        </w:rPr>
        <w:t xml:space="preserve"> </w:t>
      </w:r>
      <w:r w:rsidR="00D66FA3" w:rsidRPr="00AC5A74">
        <w:rPr>
          <w:rFonts w:ascii="Times New Roman" w:hAnsi="Times New Roman"/>
          <w:i/>
          <w:iCs/>
          <w:sz w:val="24"/>
          <w:szCs w:val="24"/>
          <w:lang w:eastAsia="ja-JP"/>
        </w:rPr>
        <w:t>Agricultural and Veterinary Chemicals (Administration) Regulations</w:t>
      </w:r>
      <w:r w:rsidR="00115572" w:rsidRPr="00AC5A74">
        <w:rPr>
          <w:rFonts w:ascii="Times New Roman" w:hAnsi="Times New Roman"/>
          <w:i/>
          <w:iCs/>
          <w:sz w:val="24"/>
          <w:szCs w:val="24"/>
          <w:lang w:eastAsia="ja-JP"/>
        </w:rPr>
        <w:t> </w:t>
      </w:r>
      <w:r w:rsidR="00D66FA3" w:rsidRPr="00AC5A74">
        <w:rPr>
          <w:rFonts w:ascii="Times New Roman" w:hAnsi="Times New Roman"/>
          <w:i/>
          <w:iCs/>
          <w:sz w:val="24"/>
          <w:szCs w:val="24"/>
          <w:lang w:eastAsia="ja-JP"/>
        </w:rPr>
        <w:t xml:space="preserve">1995 </w:t>
      </w:r>
      <w:r w:rsidR="00D66FA3" w:rsidRPr="00AC5A74">
        <w:rPr>
          <w:rFonts w:ascii="Times New Roman" w:hAnsi="Times New Roman"/>
          <w:sz w:val="24"/>
          <w:szCs w:val="24"/>
          <w:lang w:eastAsia="ja-JP"/>
        </w:rPr>
        <w:t>(the</w:t>
      </w:r>
      <w:r w:rsidR="002D315F" w:rsidRPr="00AC5A74">
        <w:rPr>
          <w:rFonts w:ascii="Times New Roman" w:hAnsi="Times New Roman"/>
          <w:sz w:val="24"/>
          <w:szCs w:val="24"/>
          <w:lang w:eastAsia="ja-JP"/>
        </w:rPr>
        <w:t xml:space="preserve"> Administration Regulations</w:t>
      </w:r>
      <w:r w:rsidR="00D66FA3" w:rsidRPr="00AC5A74">
        <w:rPr>
          <w:rFonts w:ascii="Times New Roman" w:hAnsi="Times New Roman"/>
          <w:sz w:val="24"/>
          <w:szCs w:val="24"/>
          <w:lang w:eastAsia="ja-JP"/>
        </w:rPr>
        <w:t>)</w:t>
      </w:r>
      <w:r w:rsidR="00F35ED3" w:rsidRPr="00AC5A74">
        <w:rPr>
          <w:rFonts w:ascii="Times New Roman" w:hAnsi="Times New Roman"/>
          <w:sz w:val="24"/>
          <w:szCs w:val="24"/>
          <w:lang w:eastAsia="ja-JP"/>
        </w:rPr>
        <w:t xml:space="preserve"> to prohibit the export of that chemical without the written permission of the Minister or an authorised officer</w:t>
      </w:r>
      <w:r w:rsidRPr="00AC5A74">
        <w:rPr>
          <w:rFonts w:ascii="Times New Roman" w:hAnsi="Times New Roman"/>
          <w:sz w:val="24"/>
          <w:szCs w:val="24"/>
          <w:lang w:eastAsia="ja-JP"/>
        </w:rPr>
        <w:t xml:space="preserve">. </w:t>
      </w:r>
      <w:r w:rsidR="002D315F" w:rsidRPr="00AC5A74">
        <w:rPr>
          <w:rFonts w:ascii="Times New Roman" w:hAnsi="Times New Roman"/>
          <w:sz w:val="24"/>
          <w:szCs w:val="24"/>
          <w:lang w:eastAsia="ja-JP"/>
        </w:rPr>
        <w:t>P</w:t>
      </w:r>
      <w:r w:rsidRPr="00AC5A74">
        <w:rPr>
          <w:rFonts w:ascii="Times New Roman" w:hAnsi="Times New Roman"/>
          <w:sz w:val="24"/>
          <w:szCs w:val="24"/>
          <w:lang w:eastAsia="ja-JP"/>
        </w:rPr>
        <w:t xml:space="preserve">esticides </w:t>
      </w:r>
      <w:r w:rsidR="002D315F" w:rsidRPr="00AC5A74">
        <w:rPr>
          <w:rFonts w:ascii="Times New Roman" w:hAnsi="Times New Roman"/>
          <w:sz w:val="24"/>
          <w:szCs w:val="24"/>
          <w:lang w:eastAsia="ja-JP"/>
        </w:rPr>
        <w:t>listed in Part 2 of Schedule</w:t>
      </w:r>
      <w:r w:rsidR="00660B08" w:rsidRPr="00AC5A74">
        <w:rPr>
          <w:rFonts w:ascii="Times New Roman" w:hAnsi="Times New Roman"/>
          <w:sz w:val="24"/>
          <w:szCs w:val="24"/>
          <w:lang w:eastAsia="ja-JP"/>
        </w:rPr>
        <w:t> </w:t>
      </w:r>
      <w:r w:rsidR="002D315F" w:rsidRPr="00AC5A74">
        <w:rPr>
          <w:rFonts w:ascii="Times New Roman" w:hAnsi="Times New Roman"/>
          <w:sz w:val="24"/>
          <w:szCs w:val="24"/>
          <w:lang w:eastAsia="ja-JP"/>
        </w:rPr>
        <w:t xml:space="preserve">1 </w:t>
      </w:r>
      <w:r w:rsidR="00D44AB8" w:rsidRPr="00AC5A74">
        <w:rPr>
          <w:rFonts w:ascii="Times New Roman" w:hAnsi="Times New Roman"/>
          <w:sz w:val="24"/>
          <w:szCs w:val="24"/>
          <w:lang w:eastAsia="ja-JP"/>
        </w:rPr>
        <w:t>to</w:t>
      </w:r>
      <w:r w:rsidR="002D315F" w:rsidRPr="00AC5A74">
        <w:rPr>
          <w:rFonts w:ascii="Times New Roman" w:hAnsi="Times New Roman"/>
          <w:sz w:val="24"/>
          <w:szCs w:val="24"/>
          <w:lang w:eastAsia="ja-JP"/>
        </w:rPr>
        <w:t xml:space="preserve"> the </w:t>
      </w:r>
      <w:r w:rsidR="00AD2429" w:rsidRPr="00AC5A74">
        <w:rPr>
          <w:rFonts w:ascii="Times New Roman" w:eastAsia="Calibri" w:hAnsi="Times New Roman" w:cs="Times New Roman"/>
          <w:sz w:val="24"/>
          <w:szCs w:val="24"/>
          <w:lang w:eastAsia="ja-JP"/>
        </w:rPr>
        <w:t xml:space="preserve">Administration </w:t>
      </w:r>
      <w:r w:rsidR="002D315F" w:rsidRPr="00AC5A74">
        <w:rPr>
          <w:rFonts w:ascii="Times New Roman" w:hAnsi="Times New Roman"/>
          <w:sz w:val="24"/>
          <w:szCs w:val="24"/>
          <w:lang w:eastAsia="ja-JP"/>
        </w:rPr>
        <w:t xml:space="preserve">Regulations </w:t>
      </w:r>
      <w:r w:rsidRPr="00AC5A74">
        <w:rPr>
          <w:rFonts w:ascii="Times New Roman" w:hAnsi="Times New Roman"/>
          <w:sz w:val="24"/>
          <w:szCs w:val="24"/>
          <w:lang w:eastAsia="ja-JP"/>
        </w:rPr>
        <w:t xml:space="preserve">are considered to have </w:t>
      </w:r>
      <w:r w:rsidR="00F915B5" w:rsidRPr="00AC5A74">
        <w:rPr>
          <w:rFonts w:ascii="Times New Roman" w:hAnsi="Times New Roman"/>
          <w:sz w:val="24"/>
          <w:szCs w:val="24"/>
          <w:lang w:eastAsia="ja-JP"/>
        </w:rPr>
        <w:t xml:space="preserve">the potential for </w:t>
      </w:r>
      <w:r w:rsidRPr="00AC5A74">
        <w:rPr>
          <w:rFonts w:ascii="Times New Roman" w:hAnsi="Times New Roman"/>
          <w:sz w:val="24"/>
          <w:szCs w:val="24"/>
          <w:lang w:eastAsia="ja-JP"/>
        </w:rPr>
        <w:t>adverse effects on human health and the environment.</w:t>
      </w:r>
      <w:r w:rsidR="00F915B5" w:rsidRPr="00AC5A74">
        <w:rPr>
          <w:rFonts w:ascii="Times New Roman" w:hAnsi="Times New Roman"/>
          <w:sz w:val="24"/>
          <w:szCs w:val="24"/>
        </w:rPr>
        <w:t xml:space="preserve"> These effects warrant notification of </w:t>
      </w:r>
      <w:r w:rsidR="00D44AB8" w:rsidRPr="00AC5A74">
        <w:rPr>
          <w:rFonts w:ascii="Times New Roman" w:hAnsi="Times New Roman"/>
          <w:sz w:val="24"/>
          <w:szCs w:val="24"/>
        </w:rPr>
        <w:t xml:space="preserve">the </w:t>
      </w:r>
      <w:r w:rsidR="00F915B5" w:rsidRPr="00AC5A74">
        <w:rPr>
          <w:rFonts w:ascii="Times New Roman" w:hAnsi="Times New Roman"/>
          <w:sz w:val="24"/>
          <w:szCs w:val="24"/>
        </w:rPr>
        <w:t xml:space="preserve">export of material containing these pesticides to allow the importing country to </w:t>
      </w:r>
      <w:r w:rsidR="005476B4" w:rsidRPr="00AC5A74">
        <w:rPr>
          <w:rFonts w:ascii="Times New Roman" w:hAnsi="Times New Roman"/>
          <w:sz w:val="24"/>
          <w:szCs w:val="24"/>
        </w:rPr>
        <w:t xml:space="preserve">provide </w:t>
      </w:r>
      <w:r w:rsidR="00F915B5" w:rsidRPr="00AC5A74">
        <w:rPr>
          <w:rFonts w:ascii="Times New Roman" w:hAnsi="Times New Roman"/>
          <w:sz w:val="24"/>
          <w:szCs w:val="24"/>
        </w:rPr>
        <w:t>informed consent to the transport of the material.</w:t>
      </w:r>
    </w:p>
    <w:p w14:paraId="70E03217" w14:textId="63EE997C" w:rsidR="00D66FA3" w:rsidRPr="00AC5A74" w:rsidRDefault="00D66FA3" w:rsidP="005D1ABF">
      <w:pPr>
        <w:spacing w:after="0" w:line="240" w:lineRule="auto"/>
        <w:rPr>
          <w:rFonts w:ascii="Times New Roman" w:hAnsi="Times New Roman"/>
          <w:sz w:val="24"/>
          <w:szCs w:val="24"/>
        </w:rPr>
      </w:pPr>
    </w:p>
    <w:p w14:paraId="53831113" w14:textId="3413CEF5" w:rsidR="00D66FA3" w:rsidRPr="00AC5A74" w:rsidRDefault="00D66FA3" w:rsidP="005D1ABF">
      <w:pPr>
        <w:spacing w:after="0" w:line="240" w:lineRule="auto"/>
        <w:rPr>
          <w:rFonts w:ascii="Times New Roman" w:hAnsi="Times New Roman"/>
          <w:sz w:val="24"/>
          <w:szCs w:val="24"/>
        </w:rPr>
      </w:pPr>
      <w:r w:rsidRPr="00AC5A74">
        <w:rPr>
          <w:rFonts w:ascii="Times New Roman" w:hAnsi="Times New Roman"/>
          <w:sz w:val="24"/>
          <w:szCs w:val="24"/>
          <w:lang w:eastAsia="ja-JP"/>
        </w:rPr>
        <w:t xml:space="preserve">This Legislative Instrument ensures that the Administration Regulations are consistent with Australia’s obligations with respect to the export of phorate under the </w:t>
      </w:r>
      <w:r w:rsidRPr="00AC5A74">
        <w:rPr>
          <w:rFonts w:ascii="Times New Roman" w:hAnsi="Times New Roman"/>
          <w:i/>
          <w:sz w:val="24"/>
          <w:szCs w:val="24"/>
          <w:lang w:eastAsia="ja-JP"/>
        </w:rPr>
        <w:t>Rotterdam Convention on the Prior Informed Consent Procedure for Certain Hazardous Chemicals and Pesticides in International Trade</w:t>
      </w:r>
      <w:r w:rsidRPr="00AC5A74">
        <w:rPr>
          <w:rFonts w:ascii="Times New Roman" w:hAnsi="Times New Roman"/>
          <w:iCs/>
          <w:sz w:val="24"/>
          <w:szCs w:val="24"/>
          <w:lang w:eastAsia="ja-JP"/>
        </w:rPr>
        <w:t>. These obligations require that phorate is not exported to countries that have not provided consent to receive it</w:t>
      </w:r>
      <w:r w:rsidRPr="00AC5A74">
        <w:rPr>
          <w:rFonts w:ascii="Times New Roman" w:hAnsi="Times New Roman"/>
          <w:i/>
          <w:sz w:val="24"/>
          <w:szCs w:val="24"/>
          <w:lang w:eastAsia="ja-JP"/>
        </w:rPr>
        <w:t>.</w:t>
      </w:r>
    </w:p>
    <w:p w14:paraId="633E7A12" w14:textId="77777777" w:rsidR="002B1DB3" w:rsidRPr="00AC5A74" w:rsidRDefault="002B1DB3" w:rsidP="005D1ABF">
      <w:pPr>
        <w:spacing w:after="0" w:line="240" w:lineRule="auto"/>
        <w:rPr>
          <w:rFonts w:ascii="Times New Roman" w:hAnsi="Times New Roman" w:cs="Times New Roman"/>
          <w:sz w:val="24"/>
          <w:szCs w:val="24"/>
        </w:rPr>
      </w:pPr>
    </w:p>
    <w:p w14:paraId="6EDE0231" w14:textId="77777777" w:rsidR="00BA4C14" w:rsidRPr="00AC5A74" w:rsidRDefault="002B1DB3" w:rsidP="005D1ABF">
      <w:pPr>
        <w:spacing w:after="0" w:line="240" w:lineRule="auto"/>
        <w:jc w:val="both"/>
        <w:rPr>
          <w:rFonts w:ascii="Times New Roman" w:hAnsi="Times New Roman" w:cs="Times New Roman"/>
          <w:b/>
          <w:sz w:val="24"/>
          <w:szCs w:val="24"/>
        </w:rPr>
      </w:pPr>
      <w:r w:rsidRPr="00AC5A74">
        <w:rPr>
          <w:rFonts w:ascii="Times New Roman" w:hAnsi="Times New Roman" w:cs="Times New Roman"/>
          <w:b/>
          <w:sz w:val="24"/>
          <w:szCs w:val="24"/>
        </w:rPr>
        <w:t>Human rights implications</w:t>
      </w:r>
    </w:p>
    <w:p w14:paraId="56070317" w14:textId="77777777" w:rsidR="00BA4C14" w:rsidRPr="00AC5A74" w:rsidRDefault="00BA4C14" w:rsidP="00430434">
      <w:pPr>
        <w:spacing w:after="0" w:line="240" w:lineRule="auto"/>
        <w:rPr>
          <w:rFonts w:ascii="Times New Roman" w:hAnsi="Times New Roman" w:cs="Times New Roman"/>
          <w:sz w:val="24"/>
          <w:szCs w:val="24"/>
        </w:rPr>
      </w:pPr>
    </w:p>
    <w:p w14:paraId="660E7BC5" w14:textId="29F39B7C" w:rsidR="007B052D" w:rsidRPr="00AC5A74" w:rsidRDefault="00BA4C14" w:rsidP="005D1ABF">
      <w:pPr>
        <w:spacing w:after="0" w:line="240" w:lineRule="auto"/>
        <w:jc w:val="both"/>
        <w:rPr>
          <w:rFonts w:ascii="Times New Roman" w:hAnsi="Times New Roman" w:cs="Times New Roman"/>
          <w:sz w:val="24"/>
          <w:szCs w:val="24"/>
        </w:rPr>
      </w:pPr>
      <w:r w:rsidRPr="00AC5A74">
        <w:rPr>
          <w:rFonts w:ascii="Times New Roman" w:hAnsi="Times New Roman" w:cs="Times New Roman"/>
          <w:sz w:val="24"/>
          <w:szCs w:val="24"/>
        </w:rPr>
        <w:t>This Legislative Instrument does not engage any of the applicable rights or freedoms.</w:t>
      </w:r>
    </w:p>
    <w:p w14:paraId="6C406D28" w14:textId="12368B74" w:rsidR="002B1DB3" w:rsidRPr="00AC5A74" w:rsidRDefault="002B1DB3" w:rsidP="00430434">
      <w:pPr>
        <w:spacing w:after="0" w:line="240" w:lineRule="auto"/>
        <w:rPr>
          <w:rFonts w:ascii="Times New Roman" w:hAnsi="Times New Roman" w:cs="Times New Roman"/>
          <w:sz w:val="24"/>
          <w:szCs w:val="24"/>
        </w:rPr>
      </w:pPr>
    </w:p>
    <w:p w14:paraId="7EA8873F" w14:textId="77777777" w:rsidR="002B1DB3" w:rsidRPr="00AC5A74" w:rsidRDefault="002B1DB3" w:rsidP="005D1ABF">
      <w:pPr>
        <w:spacing w:after="0" w:line="240" w:lineRule="auto"/>
        <w:jc w:val="both"/>
        <w:rPr>
          <w:rFonts w:ascii="Times New Roman" w:hAnsi="Times New Roman" w:cs="Times New Roman"/>
          <w:b/>
          <w:sz w:val="24"/>
          <w:szCs w:val="24"/>
        </w:rPr>
      </w:pPr>
      <w:r w:rsidRPr="00AC5A74">
        <w:rPr>
          <w:rFonts w:ascii="Times New Roman" w:hAnsi="Times New Roman" w:cs="Times New Roman"/>
          <w:b/>
          <w:sz w:val="24"/>
          <w:szCs w:val="24"/>
        </w:rPr>
        <w:t>Conclusion</w:t>
      </w:r>
    </w:p>
    <w:p w14:paraId="2259757F" w14:textId="77777777" w:rsidR="007B052D" w:rsidRPr="00AC5A74" w:rsidRDefault="007B052D" w:rsidP="005D1ABF">
      <w:pPr>
        <w:spacing w:after="0" w:line="240" w:lineRule="auto"/>
        <w:jc w:val="both"/>
        <w:rPr>
          <w:rFonts w:ascii="Times New Roman" w:hAnsi="Times New Roman" w:cs="Times New Roman"/>
          <w:sz w:val="24"/>
          <w:szCs w:val="24"/>
        </w:rPr>
      </w:pPr>
    </w:p>
    <w:p w14:paraId="5CFD5B7B" w14:textId="0CB8D520" w:rsidR="002B1DB3" w:rsidRPr="00AC5A74" w:rsidRDefault="002B1DB3" w:rsidP="005D1ABF">
      <w:pPr>
        <w:spacing w:after="0" w:line="240" w:lineRule="auto"/>
        <w:rPr>
          <w:rFonts w:ascii="Times New Roman" w:hAnsi="Times New Roman" w:cs="Times New Roman"/>
          <w:sz w:val="24"/>
          <w:szCs w:val="24"/>
        </w:rPr>
      </w:pPr>
      <w:r w:rsidRPr="00AC5A74">
        <w:rPr>
          <w:rFonts w:ascii="Times New Roman" w:hAnsi="Times New Roman" w:cs="Times New Roman"/>
          <w:sz w:val="24"/>
          <w:szCs w:val="24"/>
        </w:rPr>
        <w:t>This Legislative Instrument is compatible with human rights as it does not raise any human rights issues.</w:t>
      </w:r>
    </w:p>
    <w:p w14:paraId="7EAB6F6C" w14:textId="77777777" w:rsidR="00390CCA" w:rsidRPr="00AC5A74" w:rsidRDefault="00390CCA" w:rsidP="005D1ABF">
      <w:pPr>
        <w:spacing w:after="0" w:line="240" w:lineRule="auto"/>
        <w:rPr>
          <w:rFonts w:ascii="Times New Roman" w:hAnsi="Times New Roman" w:cs="Times New Roman"/>
          <w:sz w:val="24"/>
          <w:szCs w:val="24"/>
        </w:rPr>
      </w:pPr>
    </w:p>
    <w:p w14:paraId="5656EE26" w14:textId="77777777" w:rsidR="00B80A1E" w:rsidRPr="00AC5A74" w:rsidRDefault="00B80A1E" w:rsidP="00430434">
      <w:pPr>
        <w:spacing w:after="0" w:line="240" w:lineRule="auto"/>
        <w:rPr>
          <w:rFonts w:ascii="Times New Roman" w:hAnsi="Times New Roman" w:cs="Times New Roman"/>
          <w:sz w:val="24"/>
          <w:szCs w:val="24"/>
        </w:rPr>
      </w:pPr>
    </w:p>
    <w:p w14:paraId="2AF5E755" w14:textId="5783D783" w:rsidR="002D315F" w:rsidRPr="00AC5A74" w:rsidRDefault="002D315F" w:rsidP="002D315F">
      <w:pPr>
        <w:spacing w:after="0" w:line="240" w:lineRule="auto"/>
        <w:jc w:val="center"/>
        <w:rPr>
          <w:rFonts w:ascii="Times New Roman" w:hAnsi="Times New Roman" w:cs="Times New Roman"/>
          <w:b/>
          <w:bCs/>
          <w:sz w:val="24"/>
          <w:szCs w:val="24"/>
        </w:rPr>
      </w:pPr>
      <w:r w:rsidRPr="00AC5A74">
        <w:rPr>
          <w:rFonts w:ascii="Times New Roman" w:hAnsi="Times New Roman" w:cs="Times New Roman"/>
          <w:b/>
          <w:bCs/>
          <w:sz w:val="24"/>
          <w:szCs w:val="24"/>
        </w:rPr>
        <w:t>The Hon. David Littleproud MP</w:t>
      </w:r>
    </w:p>
    <w:p w14:paraId="3C190180" w14:textId="36B87B33" w:rsidR="00B80A1E" w:rsidRPr="005D1ABF" w:rsidRDefault="002D315F" w:rsidP="002D315F">
      <w:pPr>
        <w:spacing w:after="0" w:line="240" w:lineRule="auto"/>
        <w:jc w:val="center"/>
        <w:rPr>
          <w:rFonts w:ascii="Times New Roman" w:hAnsi="Times New Roman" w:cs="Times New Roman"/>
          <w:b/>
          <w:bCs/>
          <w:sz w:val="24"/>
          <w:szCs w:val="24"/>
        </w:rPr>
      </w:pPr>
      <w:r w:rsidRPr="00AC5A74">
        <w:rPr>
          <w:rFonts w:ascii="Times New Roman" w:hAnsi="Times New Roman" w:cs="Times New Roman"/>
          <w:b/>
          <w:bCs/>
          <w:sz w:val="24"/>
          <w:szCs w:val="24"/>
        </w:rPr>
        <w:t>Minister for Agriculture, Drought and Emergency Management</w:t>
      </w:r>
    </w:p>
    <w:p w14:paraId="265B686A" w14:textId="77777777" w:rsidR="002B1DB3" w:rsidRPr="005D1ABF" w:rsidRDefault="002B1DB3" w:rsidP="005D1ABF">
      <w:pPr>
        <w:spacing w:after="0" w:line="240" w:lineRule="auto"/>
        <w:jc w:val="center"/>
        <w:rPr>
          <w:rFonts w:ascii="Times New Roman" w:hAnsi="Times New Roman" w:cs="Times New Roman"/>
          <w:sz w:val="24"/>
          <w:szCs w:val="24"/>
        </w:rPr>
      </w:pPr>
    </w:p>
    <w:p w14:paraId="1BC166FA" w14:textId="77777777" w:rsidR="005C1AC3" w:rsidRPr="005D1ABF" w:rsidRDefault="005C1AC3" w:rsidP="005D1ABF">
      <w:pPr>
        <w:spacing w:after="0" w:line="240" w:lineRule="auto"/>
        <w:jc w:val="center"/>
        <w:rPr>
          <w:rFonts w:ascii="Times New Roman" w:hAnsi="Times New Roman" w:cs="Times New Roman"/>
          <w:sz w:val="24"/>
          <w:szCs w:val="24"/>
        </w:rPr>
      </w:pPr>
    </w:p>
    <w:p w14:paraId="65984EB3"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8"/>
      <w:footerReference w:type="first" r:id="rId9"/>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173E" w14:textId="77777777" w:rsidR="00BE6E40" w:rsidRDefault="00BE6E40" w:rsidP="00151C54">
      <w:r>
        <w:separator/>
      </w:r>
    </w:p>
  </w:endnote>
  <w:endnote w:type="continuationSeparator" w:id="0">
    <w:p w14:paraId="18BA92CD" w14:textId="77777777" w:rsidR="00BE6E40" w:rsidRDefault="00BE6E4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502511"/>
      <w:docPartObj>
        <w:docPartGallery w:val="Page Numbers (Bottom of Page)"/>
        <w:docPartUnique/>
      </w:docPartObj>
    </w:sdtPr>
    <w:sdtEndPr>
      <w:rPr>
        <w:rFonts w:ascii="Times New Roman" w:hAnsi="Times New Roman" w:cs="Times New Roman"/>
        <w:noProof/>
        <w:sz w:val="22"/>
        <w:szCs w:val="22"/>
      </w:rPr>
    </w:sdtEndPr>
    <w:sdtContent>
      <w:p w14:paraId="0ADDBE8F" w14:textId="084A80F2" w:rsidR="00BE6E40" w:rsidRPr="00AB099F" w:rsidRDefault="00BE6E40">
        <w:pPr>
          <w:pStyle w:val="Footer"/>
          <w:jc w:val="center"/>
          <w:rPr>
            <w:rFonts w:ascii="Times New Roman" w:hAnsi="Times New Roman" w:cs="Times New Roman"/>
            <w:sz w:val="22"/>
            <w:szCs w:val="22"/>
          </w:rPr>
        </w:pPr>
        <w:r w:rsidRPr="00AB099F">
          <w:rPr>
            <w:rFonts w:ascii="Times New Roman" w:hAnsi="Times New Roman" w:cs="Times New Roman"/>
            <w:sz w:val="22"/>
            <w:szCs w:val="22"/>
          </w:rPr>
          <w:fldChar w:fldCharType="begin"/>
        </w:r>
        <w:r w:rsidRPr="00AB099F">
          <w:rPr>
            <w:rFonts w:ascii="Times New Roman" w:hAnsi="Times New Roman" w:cs="Times New Roman"/>
            <w:sz w:val="22"/>
            <w:szCs w:val="22"/>
          </w:rPr>
          <w:instrText xml:space="preserve"> PAGE   \* MERGEFORMAT </w:instrText>
        </w:r>
        <w:r w:rsidRPr="00AB099F">
          <w:rPr>
            <w:rFonts w:ascii="Times New Roman" w:hAnsi="Times New Roman" w:cs="Times New Roman"/>
            <w:sz w:val="22"/>
            <w:szCs w:val="22"/>
          </w:rPr>
          <w:fldChar w:fldCharType="separate"/>
        </w:r>
        <w:r w:rsidR="005F6335">
          <w:rPr>
            <w:rFonts w:ascii="Times New Roman" w:hAnsi="Times New Roman" w:cs="Times New Roman"/>
            <w:noProof/>
            <w:sz w:val="22"/>
            <w:szCs w:val="22"/>
          </w:rPr>
          <w:t>8</w:t>
        </w:r>
        <w:r w:rsidRPr="00AB099F">
          <w:rPr>
            <w:rFonts w:ascii="Times New Roman" w:hAnsi="Times New Roman" w:cs="Times New Roman"/>
            <w:noProof/>
            <w:sz w:val="22"/>
            <w:szCs w:val="22"/>
          </w:rPr>
          <w:fldChar w:fldCharType="end"/>
        </w:r>
      </w:p>
    </w:sdtContent>
  </w:sdt>
  <w:p w14:paraId="13BDA070" w14:textId="6FD9A00B" w:rsidR="00BE6E40" w:rsidRPr="00AB099F" w:rsidRDefault="00BE6E40" w:rsidP="00AB099F">
    <w:pPr>
      <w:pStyle w:val="Footer"/>
      <w:jc w:val="center"/>
      <w:rPr>
        <w:rFonts w:ascii="Times New Roman" w:hAnsi="Times New Roman" w:cs="Times New Roman"/>
        <w:color w:val="000000" w:themeColor="text1"/>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07F9" w14:textId="77777777" w:rsidR="00BE6E40" w:rsidRPr="00AB099F" w:rsidRDefault="00BE6E40">
    <w:pPr>
      <w:pStyle w:val="Footer"/>
      <w:jc w:val="center"/>
      <w:rPr>
        <w:rFonts w:ascii="Times New Roman" w:hAnsi="Times New Roman" w:cs="Times New Roman"/>
        <w:caps/>
        <w:noProof/>
        <w:color w:val="000000" w:themeColor="text1"/>
        <w:sz w:val="22"/>
        <w:szCs w:val="22"/>
      </w:rPr>
    </w:pPr>
    <w:r w:rsidRPr="00AB099F">
      <w:rPr>
        <w:rFonts w:ascii="Times New Roman" w:hAnsi="Times New Roman" w:cs="Times New Roman"/>
        <w:caps/>
        <w:color w:val="000000" w:themeColor="text1"/>
        <w:sz w:val="22"/>
        <w:szCs w:val="22"/>
      </w:rPr>
      <w:fldChar w:fldCharType="begin"/>
    </w:r>
    <w:r w:rsidRPr="00AB099F">
      <w:rPr>
        <w:rFonts w:ascii="Times New Roman" w:hAnsi="Times New Roman" w:cs="Times New Roman"/>
        <w:caps/>
        <w:color w:val="000000" w:themeColor="text1"/>
        <w:sz w:val="22"/>
        <w:szCs w:val="22"/>
      </w:rPr>
      <w:instrText xml:space="preserve"> PAGE   \* MERGEFORMAT </w:instrText>
    </w:r>
    <w:r w:rsidRPr="00AB099F">
      <w:rPr>
        <w:rFonts w:ascii="Times New Roman" w:hAnsi="Times New Roman" w:cs="Times New Roman"/>
        <w:caps/>
        <w:color w:val="000000" w:themeColor="text1"/>
        <w:sz w:val="22"/>
        <w:szCs w:val="22"/>
      </w:rPr>
      <w:fldChar w:fldCharType="separate"/>
    </w:r>
    <w:r w:rsidR="005F6335">
      <w:rPr>
        <w:rFonts w:ascii="Times New Roman" w:hAnsi="Times New Roman" w:cs="Times New Roman"/>
        <w:caps/>
        <w:noProof/>
        <w:color w:val="000000" w:themeColor="text1"/>
        <w:sz w:val="22"/>
        <w:szCs w:val="22"/>
      </w:rPr>
      <w:t>1</w:t>
    </w:r>
    <w:r w:rsidRPr="00AB099F">
      <w:rPr>
        <w:rFonts w:ascii="Times New Roman" w:hAnsi="Times New Roman" w:cs="Times New Roman"/>
        <w:caps/>
        <w:noProof/>
        <w:color w:val="000000" w:themeColor="text1"/>
        <w:sz w:val="22"/>
        <w:szCs w:val="22"/>
      </w:rPr>
      <w:fldChar w:fldCharType="end"/>
    </w:r>
  </w:p>
  <w:p w14:paraId="5D169335" w14:textId="77777777" w:rsidR="00BE6E40" w:rsidRPr="00273C11" w:rsidRDefault="00BE6E40"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328A9" w14:textId="77777777" w:rsidR="00BE6E40" w:rsidRDefault="00BE6E40" w:rsidP="00151C54">
      <w:r>
        <w:separator/>
      </w:r>
    </w:p>
  </w:footnote>
  <w:footnote w:type="continuationSeparator" w:id="0">
    <w:p w14:paraId="5321F0EA" w14:textId="77777777" w:rsidR="00BE6E40" w:rsidRDefault="00BE6E40"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C0F6E"/>
    <w:multiLevelType w:val="hybridMultilevel"/>
    <w:tmpl w:val="1E5A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4009E"/>
    <w:multiLevelType w:val="hybridMultilevel"/>
    <w:tmpl w:val="C8BC5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6032118"/>
    <w:multiLevelType w:val="hybridMultilevel"/>
    <w:tmpl w:val="8826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95E3975"/>
    <w:multiLevelType w:val="multilevel"/>
    <w:tmpl w:val="B3D8F416"/>
    <w:lvl w:ilvl="0">
      <w:start w:val="1"/>
      <w:numFmt w:val="decimal"/>
      <w:pStyle w:val="ListBulle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970174"/>
    <w:multiLevelType w:val="hybridMultilevel"/>
    <w:tmpl w:val="E6944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1"/>
  </w:num>
  <w:num w:numId="2">
    <w:abstractNumId w:val="24"/>
  </w:num>
  <w:num w:numId="3">
    <w:abstractNumId w:val="14"/>
  </w:num>
  <w:num w:numId="4">
    <w:abstractNumId w:val="5"/>
  </w:num>
  <w:num w:numId="5">
    <w:abstractNumId w:val="1"/>
  </w:num>
  <w:num w:numId="6">
    <w:abstractNumId w:val="10"/>
  </w:num>
  <w:num w:numId="7">
    <w:abstractNumId w:val="3"/>
  </w:num>
  <w:num w:numId="8">
    <w:abstractNumId w:val="7"/>
  </w:num>
  <w:num w:numId="9">
    <w:abstractNumId w:val="9"/>
  </w:num>
  <w:num w:numId="10">
    <w:abstractNumId w:val="18"/>
  </w:num>
  <w:num w:numId="11">
    <w:abstractNumId w:val="21"/>
  </w:num>
  <w:num w:numId="12">
    <w:abstractNumId w:val="12"/>
  </w:num>
  <w:num w:numId="13">
    <w:abstractNumId w:val="12"/>
    <w:lvlOverride w:ilvl="0">
      <w:startOverride w:val="1"/>
    </w:lvlOverride>
  </w:num>
  <w:num w:numId="14">
    <w:abstractNumId w:val="0"/>
  </w:num>
  <w:num w:numId="15">
    <w:abstractNumId w:val="17"/>
  </w:num>
  <w:num w:numId="16">
    <w:abstractNumId w:val="23"/>
  </w:num>
  <w:num w:numId="17">
    <w:abstractNumId w:val="16"/>
  </w:num>
  <w:num w:numId="18">
    <w:abstractNumId w:val="13"/>
  </w:num>
  <w:num w:numId="19">
    <w:abstractNumId w:val="6"/>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22"/>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7D27"/>
    <w:rsid w:val="000223C5"/>
    <w:rsid w:val="00024D15"/>
    <w:rsid w:val="000269FC"/>
    <w:rsid w:val="00035636"/>
    <w:rsid w:val="00035825"/>
    <w:rsid w:val="00044679"/>
    <w:rsid w:val="000476F5"/>
    <w:rsid w:val="000503F4"/>
    <w:rsid w:val="00050CA4"/>
    <w:rsid w:val="00051FF9"/>
    <w:rsid w:val="000629B8"/>
    <w:rsid w:val="00062CB0"/>
    <w:rsid w:val="000645AB"/>
    <w:rsid w:val="0006463A"/>
    <w:rsid w:val="00070C91"/>
    <w:rsid w:val="00073028"/>
    <w:rsid w:val="0008137E"/>
    <w:rsid w:val="0009143A"/>
    <w:rsid w:val="00092F2C"/>
    <w:rsid w:val="000962BA"/>
    <w:rsid w:val="00097611"/>
    <w:rsid w:val="000976DB"/>
    <w:rsid w:val="000A3926"/>
    <w:rsid w:val="000A52A2"/>
    <w:rsid w:val="000A52CD"/>
    <w:rsid w:val="000A55AB"/>
    <w:rsid w:val="000A65F6"/>
    <w:rsid w:val="000B129E"/>
    <w:rsid w:val="000B454C"/>
    <w:rsid w:val="000C0B93"/>
    <w:rsid w:val="000C15A5"/>
    <w:rsid w:val="000C2D70"/>
    <w:rsid w:val="000C3693"/>
    <w:rsid w:val="000C4A2B"/>
    <w:rsid w:val="000C75D5"/>
    <w:rsid w:val="000D07B5"/>
    <w:rsid w:val="000D5ECE"/>
    <w:rsid w:val="000D78D6"/>
    <w:rsid w:val="000F08F2"/>
    <w:rsid w:val="000F6BC0"/>
    <w:rsid w:val="00102163"/>
    <w:rsid w:val="001125D9"/>
    <w:rsid w:val="00113C4E"/>
    <w:rsid w:val="00114D3D"/>
    <w:rsid w:val="00115572"/>
    <w:rsid w:val="001178BB"/>
    <w:rsid w:val="0012062A"/>
    <w:rsid w:val="00121513"/>
    <w:rsid w:val="001248AA"/>
    <w:rsid w:val="001271DB"/>
    <w:rsid w:val="00127498"/>
    <w:rsid w:val="0012775E"/>
    <w:rsid w:val="00134A1D"/>
    <w:rsid w:val="001372D1"/>
    <w:rsid w:val="00151C54"/>
    <w:rsid w:val="00153032"/>
    <w:rsid w:val="00153DCE"/>
    <w:rsid w:val="001544EF"/>
    <w:rsid w:val="00155159"/>
    <w:rsid w:val="001556B3"/>
    <w:rsid w:val="00157F09"/>
    <w:rsid w:val="00161CE2"/>
    <w:rsid w:val="00162425"/>
    <w:rsid w:val="001669D6"/>
    <w:rsid w:val="00170A96"/>
    <w:rsid w:val="001746B7"/>
    <w:rsid w:val="00175BD8"/>
    <w:rsid w:val="001771AB"/>
    <w:rsid w:val="00180DEF"/>
    <w:rsid w:val="001813AC"/>
    <w:rsid w:val="0018228A"/>
    <w:rsid w:val="001A5CE3"/>
    <w:rsid w:val="001B5948"/>
    <w:rsid w:val="001C09FB"/>
    <w:rsid w:val="001C325A"/>
    <w:rsid w:val="001C5E58"/>
    <w:rsid w:val="001D006D"/>
    <w:rsid w:val="001D0F97"/>
    <w:rsid w:val="001E02E2"/>
    <w:rsid w:val="001E1319"/>
    <w:rsid w:val="001E1394"/>
    <w:rsid w:val="001E1A14"/>
    <w:rsid w:val="001E4F01"/>
    <w:rsid w:val="001E6727"/>
    <w:rsid w:val="001F47AF"/>
    <w:rsid w:val="001F5857"/>
    <w:rsid w:val="001F5A48"/>
    <w:rsid w:val="001F7152"/>
    <w:rsid w:val="002032A9"/>
    <w:rsid w:val="00203AAB"/>
    <w:rsid w:val="00203B36"/>
    <w:rsid w:val="0020798A"/>
    <w:rsid w:val="0021240A"/>
    <w:rsid w:val="00220126"/>
    <w:rsid w:val="00220BE0"/>
    <w:rsid w:val="002212B9"/>
    <w:rsid w:val="00221F72"/>
    <w:rsid w:val="00224D28"/>
    <w:rsid w:val="002258D8"/>
    <w:rsid w:val="00246CB5"/>
    <w:rsid w:val="002675B0"/>
    <w:rsid w:val="00271C2E"/>
    <w:rsid w:val="00272212"/>
    <w:rsid w:val="002737B5"/>
    <w:rsid w:val="00273C11"/>
    <w:rsid w:val="00276114"/>
    <w:rsid w:val="002877A0"/>
    <w:rsid w:val="0029093D"/>
    <w:rsid w:val="0029727D"/>
    <w:rsid w:val="002A36D3"/>
    <w:rsid w:val="002A500B"/>
    <w:rsid w:val="002B1DB3"/>
    <w:rsid w:val="002B2B54"/>
    <w:rsid w:val="002B3DC4"/>
    <w:rsid w:val="002B6CAA"/>
    <w:rsid w:val="002C177A"/>
    <w:rsid w:val="002C2AC6"/>
    <w:rsid w:val="002C69BC"/>
    <w:rsid w:val="002C75F0"/>
    <w:rsid w:val="002D2972"/>
    <w:rsid w:val="002D315F"/>
    <w:rsid w:val="002D3C3E"/>
    <w:rsid w:val="002D3CE5"/>
    <w:rsid w:val="002D41BA"/>
    <w:rsid w:val="002D4C3B"/>
    <w:rsid w:val="002E5978"/>
    <w:rsid w:val="002F2F4C"/>
    <w:rsid w:val="003015AF"/>
    <w:rsid w:val="0030283B"/>
    <w:rsid w:val="003064B1"/>
    <w:rsid w:val="00311E37"/>
    <w:rsid w:val="003125F2"/>
    <w:rsid w:val="00314E7E"/>
    <w:rsid w:val="00320761"/>
    <w:rsid w:val="003228F6"/>
    <w:rsid w:val="0033014C"/>
    <w:rsid w:val="00334D31"/>
    <w:rsid w:val="00336211"/>
    <w:rsid w:val="003376BA"/>
    <w:rsid w:val="003414DB"/>
    <w:rsid w:val="0034564E"/>
    <w:rsid w:val="00345907"/>
    <w:rsid w:val="0034613E"/>
    <w:rsid w:val="00352EAE"/>
    <w:rsid w:val="00360A69"/>
    <w:rsid w:val="003710C0"/>
    <w:rsid w:val="0037351C"/>
    <w:rsid w:val="00373B63"/>
    <w:rsid w:val="003869BF"/>
    <w:rsid w:val="00387B76"/>
    <w:rsid w:val="00390CCA"/>
    <w:rsid w:val="0039127F"/>
    <w:rsid w:val="00392911"/>
    <w:rsid w:val="003931D0"/>
    <w:rsid w:val="003967AB"/>
    <w:rsid w:val="003A2479"/>
    <w:rsid w:val="003A3A60"/>
    <w:rsid w:val="003D6D6F"/>
    <w:rsid w:val="003E0434"/>
    <w:rsid w:val="003E0906"/>
    <w:rsid w:val="003E3D3C"/>
    <w:rsid w:val="003E4809"/>
    <w:rsid w:val="003E5CA0"/>
    <w:rsid w:val="003F1433"/>
    <w:rsid w:val="003F2B62"/>
    <w:rsid w:val="003F52BA"/>
    <w:rsid w:val="003F60C1"/>
    <w:rsid w:val="003F763F"/>
    <w:rsid w:val="00402F72"/>
    <w:rsid w:val="0040710F"/>
    <w:rsid w:val="0041591C"/>
    <w:rsid w:val="00417598"/>
    <w:rsid w:val="004223EC"/>
    <w:rsid w:val="00425BC8"/>
    <w:rsid w:val="00427FF3"/>
    <w:rsid w:val="00430434"/>
    <w:rsid w:val="00442785"/>
    <w:rsid w:val="0044775D"/>
    <w:rsid w:val="004565E0"/>
    <w:rsid w:val="004607C8"/>
    <w:rsid w:val="00461420"/>
    <w:rsid w:val="004643FC"/>
    <w:rsid w:val="00470589"/>
    <w:rsid w:val="00470AE8"/>
    <w:rsid w:val="0047360E"/>
    <w:rsid w:val="00473F0B"/>
    <w:rsid w:val="00483CF0"/>
    <w:rsid w:val="00485C1E"/>
    <w:rsid w:val="00490748"/>
    <w:rsid w:val="004A38EC"/>
    <w:rsid w:val="004A3A20"/>
    <w:rsid w:val="004B0476"/>
    <w:rsid w:val="004B0A35"/>
    <w:rsid w:val="004B0DD7"/>
    <w:rsid w:val="004B14D6"/>
    <w:rsid w:val="004B1C4E"/>
    <w:rsid w:val="004B7F9B"/>
    <w:rsid w:val="004C276E"/>
    <w:rsid w:val="004C5892"/>
    <w:rsid w:val="004D0862"/>
    <w:rsid w:val="004D257B"/>
    <w:rsid w:val="004E1364"/>
    <w:rsid w:val="004E3A41"/>
    <w:rsid w:val="004E3BED"/>
    <w:rsid w:val="004E5E21"/>
    <w:rsid w:val="004E6468"/>
    <w:rsid w:val="004E7AF8"/>
    <w:rsid w:val="004F0C42"/>
    <w:rsid w:val="004F4734"/>
    <w:rsid w:val="0050279C"/>
    <w:rsid w:val="00502A93"/>
    <w:rsid w:val="00513B3E"/>
    <w:rsid w:val="00516D9A"/>
    <w:rsid w:val="00516ECC"/>
    <w:rsid w:val="00524522"/>
    <w:rsid w:val="00526B9C"/>
    <w:rsid w:val="00543544"/>
    <w:rsid w:val="00543F39"/>
    <w:rsid w:val="005476B4"/>
    <w:rsid w:val="00547846"/>
    <w:rsid w:val="00547F16"/>
    <w:rsid w:val="005505AB"/>
    <w:rsid w:val="00556347"/>
    <w:rsid w:val="005621D8"/>
    <w:rsid w:val="00564DEF"/>
    <w:rsid w:val="005664BC"/>
    <w:rsid w:val="00572C90"/>
    <w:rsid w:val="00573D11"/>
    <w:rsid w:val="00574A5D"/>
    <w:rsid w:val="00582E28"/>
    <w:rsid w:val="00587EB9"/>
    <w:rsid w:val="005902E8"/>
    <w:rsid w:val="00592841"/>
    <w:rsid w:val="005A0AB8"/>
    <w:rsid w:val="005B0205"/>
    <w:rsid w:val="005B14AA"/>
    <w:rsid w:val="005B15D0"/>
    <w:rsid w:val="005B6B55"/>
    <w:rsid w:val="005B7015"/>
    <w:rsid w:val="005B759C"/>
    <w:rsid w:val="005B75A8"/>
    <w:rsid w:val="005C052F"/>
    <w:rsid w:val="005C1AC3"/>
    <w:rsid w:val="005C4F37"/>
    <w:rsid w:val="005C54E9"/>
    <w:rsid w:val="005C7337"/>
    <w:rsid w:val="005C7ADC"/>
    <w:rsid w:val="005D1ABF"/>
    <w:rsid w:val="005D3B7B"/>
    <w:rsid w:val="005D4711"/>
    <w:rsid w:val="005D53EF"/>
    <w:rsid w:val="005E2F77"/>
    <w:rsid w:val="005E3D4B"/>
    <w:rsid w:val="005E4503"/>
    <w:rsid w:val="005E722A"/>
    <w:rsid w:val="005F5B82"/>
    <w:rsid w:val="005F6335"/>
    <w:rsid w:val="005F66F2"/>
    <w:rsid w:val="006022C4"/>
    <w:rsid w:val="006045CB"/>
    <w:rsid w:val="006168F9"/>
    <w:rsid w:val="006203E4"/>
    <w:rsid w:val="00623650"/>
    <w:rsid w:val="0062424D"/>
    <w:rsid w:val="0062498E"/>
    <w:rsid w:val="00625B0B"/>
    <w:rsid w:val="006327D8"/>
    <w:rsid w:val="00633472"/>
    <w:rsid w:val="00634A34"/>
    <w:rsid w:val="0063726F"/>
    <w:rsid w:val="006400BC"/>
    <w:rsid w:val="006412E7"/>
    <w:rsid w:val="006432CA"/>
    <w:rsid w:val="00645723"/>
    <w:rsid w:val="00647668"/>
    <w:rsid w:val="0064772B"/>
    <w:rsid w:val="00650566"/>
    <w:rsid w:val="006518E4"/>
    <w:rsid w:val="00652426"/>
    <w:rsid w:val="00653C86"/>
    <w:rsid w:val="006553D3"/>
    <w:rsid w:val="0065648A"/>
    <w:rsid w:val="00656CFE"/>
    <w:rsid w:val="00660B08"/>
    <w:rsid w:val="00660BCD"/>
    <w:rsid w:val="0066171A"/>
    <w:rsid w:val="0066329E"/>
    <w:rsid w:val="0066775F"/>
    <w:rsid w:val="006776FA"/>
    <w:rsid w:val="00681FEE"/>
    <w:rsid w:val="00690055"/>
    <w:rsid w:val="00692914"/>
    <w:rsid w:val="0069345C"/>
    <w:rsid w:val="006A253A"/>
    <w:rsid w:val="006A320D"/>
    <w:rsid w:val="006D1717"/>
    <w:rsid w:val="006D2101"/>
    <w:rsid w:val="006D32FE"/>
    <w:rsid w:val="006D4CF4"/>
    <w:rsid w:val="006E005D"/>
    <w:rsid w:val="006E6178"/>
    <w:rsid w:val="006F2E00"/>
    <w:rsid w:val="006F2EF5"/>
    <w:rsid w:val="006F3869"/>
    <w:rsid w:val="00700968"/>
    <w:rsid w:val="00700F91"/>
    <w:rsid w:val="00706AEE"/>
    <w:rsid w:val="007144FE"/>
    <w:rsid w:val="00720AEC"/>
    <w:rsid w:val="007232F2"/>
    <w:rsid w:val="00725DC1"/>
    <w:rsid w:val="00727B08"/>
    <w:rsid w:val="00731636"/>
    <w:rsid w:val="00734BCB"/>
    <w:rsid w:val="00744C63"/>
    <w:rsid w:val="00745BFD"/>
    <w:rsid w:val="00751069"/>
    <w:rsid w:val="0075130A"/>
    <w:rsid w:val="00753C07"/>
    <w:rsid w:val="00766361"/>
    <w:rsid w:val="00767639"/>
    <w:rsid w:val="00767D95"/>
    <w:rsid w:val="007736B7"/>
    <w:rsid w:val="00784976"/>
    <w:rsid w:val="0079114A"/>
    <w:rsid w:val="00794F9C"/>
    <w:rsid w:val="007A229E"/>
    <w:rsid w:val="007A5B62"/>
    <w:rsid w:val="007A7BBE"/>
    <w:rsid w:val="007B052D"/>
    <w:rsid w:val="007B1B8E"/>
    <w:rsid w:val="007B1E2D"/>
    <w:rsid w:val="007B3C0B"/>
    <w:rsid w:val="007B3C56"/>
    <w:rsid w:val="007C0BD2"/>
    <w:rsid w:val="007C45D8"/>
    <w:rsid w:val="007D5701"/>
    <w:rsid w:val="007E14C1"/>
    <w:rsid w:val="007E3EC4"/>
    <w:rsid w:val="007F21BF"/>
    <w:rsid w:val="007F74B0"/>
    <w:rsid w:val="00813B12"/>
    <w:rsid w:val="00815F52"/>
    <w:rsid w:val="008224BE"/>
    <w:rsid w:val="0082572E"/>
    <w:rsid w:val="008270EF"/>
    <w:rsid w:val="008300B9"/>
    <w:rsid w:val="008326EA"/>
    <w:rsid w:val="00832F27"/>
    <w:rsid w:val="00834A12"/>
    <w:rsid w:val="00841053"/>
    <w:rsid w:val="0085100D"/>
    <w:rsid w:val="008515F7"/>
    <w:rsid w:val="00862CA9"/>
    <w:rsid w:val="00863009"/>
    <w:rsid w:val="00865CFF"/>
    <w:rsid w:val="00870516"/>
    <w:rsid w:val="00873709"/>
    <w:rsid w:val="00877C5B"/>
    <w:rsid w:val="00880B56"/>
    <w:rsid w:val="0088771F"/>
    <w:rsid w:val="00892C76"/>
    <w:rsid w:val="00896EBE"/>
    <w:rsid w:val="0089780D"/>
    <w:rsid w:val="008A0BA4"/>
    <w:rsid w:val="008A1435"/>
    <w:rsid w:val="008A693D"/>
    <w:rsid w:val="008B370D"/>
    <w:rsid w:val="008B73F3"/>
    <w:rsid w:val="008C1C7B"/>
    <w:rsid w:val="008C3F1D"/>
    <w:rsid w:val="008C74FC"/>
    <w:rsid w:val="008D158A"/>
    <w:rsid w:val="008D29F0"/>
    <w:rsid w:val="008D4378"/>
    <w:rsid w:val="00903FA3"/>
    <w:rsid w:val="009045CF"/>
    <w:rsid w:val="009049CA"/>
    <w:rsid w:val="0091435B"/>
    <w:rsid w:val="009152CA"/>
    <w:rsid w:val="00920297"/>
    <w:rsid w:val="0092266D"/>
    <w:rsid w:val="00922C40"/>
    <w:rsid w:val="00925203"/>
    <w:rsid w:val="00930481"/>
    <w:rsid w:val="009327D8"/>
    <w:rsid w:val="00932A99"/>
    <w:rsid w:val="009366FE"/>
    <w:rsid w:val="00944396"/>
    <w:rsid w:val="00951363"/>
    <w:rsid w:val="00956A01"/>
    <w:rsid w:val="00961FB9"/>
    <w:rsid w:val="00973468"/>
    <w:rsid w:val="00981715"/>
    <w:rsid w:val="009908D6"/>
    <w:rsid w:val="00992814"/>
    <w:rsid w:val="00992E1B"/>
    <w:rsid w:val="00994522"/>
    <w:rsid w:val="00995D93"/>
    <w:rsid w:val="009A11A2"/>
    <w:rsid w:val="009A1435"/>
    <w:rsid w:val="009A2F1E"/>
    <w:rsid w:val="009A38F6"/>
    <w:rsid w:val="009A7256"/>
    <w:rsid w:val="009A7BEF"/>
    <w:rsid w:val="009B3BDE"/>
    <w:rsid w:val="009B4C3A"/>
    <w:rsid w:val="009C2A38"/>
    <w:rsid w:val="009C6D42"/>
    <w:rsid w:val="009D73DF"/>
    <w:rsid w:val="009E0B6E"/>
    <w:rsid w:val="009E33E0"/>
    <w:rsid w:val="009E61C5"/>
    <w:rsid w:val="009F181B"/>
    <w:rsid w:val="009F666F"/>
    <w:rsid w:val="00A025CB"/>
    <w:rsid w:val="00A03D9E"/>
    <w:rsid w:val="00A047A6"/>
    <w:rsid w:val="00A06266"/>
    <w:rsid w:val="00A15849"/>
    <w:rsid w:val="00A16114"/>
    <w:rsid w:val="00A22695"/>
    <w:rsid w:val="00A351C1"/>
    <w:rsid w:val="00A37FDF"/>
    <w:rsid w:val="00A411AF"/>
    <w:rsid w:val="00A4177B"/>
    <w:rsid w:val="00A426C7"/>
    <w:rsid w:val="00A47C4B"/>
    <w:rsid w:val="00A53DE5"/>
    <w:rsid w:val="00A619A4"/>
    <w:rsid w:val="00A629BA"/>
    <w:rsid w:val="00A7590A"/>
    <w:rsid w:val="00A76A2A"/>
    <w:rsid w:val="00A8026B"/>
    <w:rsid w:val="00A806A9"/>
    <w:rsid w:val="00A83EB9"/>
    <w:rsid w:val="00A86B49"/>
    <w:rsid w:val="00A92EDB"/>
    <w:rsid w:val="00A956BD"/>
    <w:rsid w:val="00A95DA8"/>
    <w:rsid w:val="00A95F8E"/>
    <w:rsid w:val="00AA480D"/>
    <w:rsid w:val="00AB099F"/>
    <w:rsid w:val="00AC5A74"/>
    <w:rsid w:val="00AD2429"/>
    <w:rsid w:val="00AD4432"/>
    <w:rsid w:val="00AD4709"/>
    <w:rsid w:val="00AD5D8B"/>
    <w:rsid w:val="00AE2CC8"/>
    <w:rsid w:val="00AF51FC"/>
    <w:rsid w:val="00B030B7"/>
    <w:rsid w:val="00B05832"/>
    <w:rsid w:val="00B20EBE"/>
    <w:rsid w:val="00B26C7F"/>
    <w:rsid w:val="00B27635"/>
    <w:rsid w:val="00B37AB7"/>
    <w:rsid w:val="00B37AE3"/>
    <w:rsid w:val="00B43761"/>
    <w:rsid w:val="00B452D1"/>
    <w:rsid w:val="00B46C3B"/>
    <w:rsid w:val="00B50E19"/>
    <w:rsid w:val="00B51093"/>
    <w:rsid w:val="00B51F3F"/>
    <w:rsid w:val="00B55AC9"/>
    <w:rsid w:val="00B57443"/>
    <w:rsid w:val="00B65C14"/>
    <w:rsid w:val="00B66DFF"/>
    <w:rsid w:val="00B80A1E"/>
    <w:rsid w:val="00B87257"/>
    <w:rsid w:val="00BA0B39"/>
    <w:rsid w:val="00BA4C14"/>
    <w:rsid w:val="00BB4AD3"/>
    <w:rsid w:val="00BB4CD3"/>
    <w:rsid w:val="00BB7041"/>
    <w:rsid w:val="00BC12A9"/>
    <w:rsid w:val="00BC6B2F"/>
    <w:rsid w:val="00BC7E78"/>
    <w:rsid w:val="00BD31DB"/>
    <w:rsid w:val="00BD34E3"/>
    <w:rsid w:val="00BD3594"/>
    <w:rsid w:val="00BD4D64"/>
    <w:rsid w:val="00BE031E"/>
    <w:rsid w:val="00BE6861"/>
    <w:rsid w:val="00BE6E40"/>
    <w:rsid w:val="00BF2938"/>
    <w:rsid w:val="00BF6889"/>
    <w:rsid w:val="00BF6F4A"/>
    <w:rsid w:val="00BF714A"/>
    <w:rsid w:val="00BF7D67"/>
    <w:rsid w:val="00C06F49"/>
    <w:rsid w:val="00C104F1"/>
    <w:rsid w:val="00C12090"/>
    <w:rsid w:val="00C142FA"/>
    <w:rsid w:val="00C154F5"/>
    <w:rsid w:val="00C17692"/>
    <w:rsid w:val="00C20175"/>
    <w:rsid w:val="00C268C8"/>
    <w:rsid w:val="00C26F59"/>
    <w:rsid w:val="00C32367"/>
    <w:rsid w:val="00C36CC7"/>
    <w:rsid w:val="00C40CF2"/>
    <w:rsid w:val="00C443D4"/>
    <w:rsid w:val="00C44F66"/>
    <w:rsid w:val="00C4623B"/>
    <w:rsid w:val="00C463C2"/>
    <w:rsid w:val="00C52CC5"/>
    <w:rsid w:val="00C53776"/>
    <w:rsid w:val="00C55BA8"/>
    <w:rsid w:val="00C560E0"/>
    <w:rsid w:val="00C57334"/>
    <w:rsid w:val="00C6096E"/>
    <w:rsid w:val="00C616BE"/>
    <w:rsid w:val="00C65FDC"/>
    <w:rsid w:val="00C73799"/>
    <w:rsid w:val="00C74380"/>
    <w:rsid w:val="00C81402"/>
    <w:rsid w:val="00C83705"/>
    <w:rsid w:val="00C91C7A"/>
    <w:rsid w:val="00C9474A"/>
    <w:rsid w:val="00CA5564"/>
    <w:rsid w:val="00CA6F6B"/>
    <w:rsid w:val="00CB26E2"/>
    <w:rsid w:val="00CB317D"/>
    <w:rsid w:val="00CB5929"/>
    <w:rsid w:val="00CC40A0"/>
    <w:rsid w:val="00CC5606"/>
    <w:rsid w:val="00CD11D5"/>
    <w:rsid w:val="00CD7150"/>
    <w:rsid w:val="00CE72E2"/>
    <w:rsid w:val="00CE73AE"/>
    <w:rsid w:val="00CF1E27"/>
    <w:rsid w:val="00CF2006"/>
    <w:rsid w:val="00CF7161"/>
    <w:rsid w:val="00D01FFC"/>
    <w:rsid w:val="00D05206"/>
    <w:rsid w:val="00D0550D"/>
    <w:rsid w:val="00D076DD"/>
    <w:rsid w:val="00D11480"/>
    <w:rsid w:val="00D121A6"/>
    <w:rsid w:val="00D129AF"/>
    <w:rsid w:val="00D12D88"/>
    <w:rsid w:val="00D14B99"/>
    <w:rsid w:val="00D26585"/>
    <w:rsid w:val="00D3548B"/>
    <w:rsid w:val="00D44AB8"/>
    <w:rsid w:val="00D458F0"/>
    <w:rsid w:val="00D45E13"/>
    <w:rsid w:val="00D50CE0"/>
    <w:rsid w:val="00D557BA"/>
    <w:rsid w:val="00D65943"/>
    <w:rsid w:val="00D65B9B"/>
    <w:rsid w:val="00D66FA3"/>
    <w:rsid w:val="00D67088"/>
    <w:rsid w:val="00D70F10"/>
    <w:rsid w:val="00D74F5B"/>
    <w:rsid w:val="00D81519"/>
    <w:rsid w:val="00D84120"/>
    <w:rsid w:val="00D84163"/>
    <w:rsid w:val="00D85ABB"/>
    <w:rsid w:val="00D91B78"/>
    <w:rsid w:val="00D9240C"/>
    <w:rsid w:val="00D93E42"/>
    <w:rsid w:val="00D94984"/>
    <w:rsid w:val="00D9661D"/>
    <w:rsid w:val="00DA00A6"/>
    <w:rsid w:val="00DA2671"/>
    <w:rsid w:val="00DA6802"/>
    <w:rsid w:val="00DB0D6C"/>
    <w:rsid w:val="00DB2CA5"/>
    <w:rsid w:val="00DB4BB0"/>
    <w:rsid w:val="00DC2BBF"/>
    <w:rsid w:val="00DD2C31"/>
    <w:rsid w:val="00DD641D"/>
    <w:rsid w:val="00DD7EB6"/>
    <w:rsid w:val="00DE099B"/>
    <w:rsid w:val="00DE2764"/>
    <w:rsid w:val="00DE6B9D"/>
    <w:rsid w:val="00DF3F6E"/>
    <w:rsid w:val="00DF4137"/>
    <w:rsid w:val="00DF4A98"/>
    <w:rsid w:val="00DF6F5C"/>
    <w:rsid w:val="00E004C2"/>
    <w:rsid w:val="00E0093F"/>
    <w:rsid w:val="00E013E8"/>
    <w:rsid w:val="00E06920"/>
    <w:rsid w:val="00E14B41"/>
    <w:rsid w:val="00E17A7C"/>
    <w:rsid w:val="00E31A98"/>
    <w:rsid w:val="00E348FC"/>
    <w:rsid w:val="00E34976"/>
    <w:rsid w:val="00E43B86"/>
    <w:rsid w:val="00E44B35"/>
    <w:rsid w:val="00E510A0"/>
    <w:rsid w:val="00E51234"/>
    <w:rsid w:val="00E552D3"/>
    <w:rsid w:val="00E555F7"/>
    <w:rsid w:val="00E56CDD"/>
    <w:rsid w:val="00E57D7B"/>
    <w:rsid w:val="00E6166D"/>
    <w:rsid w:val="00E62BCA"/>
    <w:rsid w:val="00E66686"/>
    <w:rsid w:val="00E70274"/>
    <w:rsid w:val="00E76AB5"/>
    <w:rsid w:val="00E777CE"/>
    <w:rsid w:val="00E85EBB"/>
    <w:rsid w:val="00E922D3"/>
    <w:rsid w:val="00E93810"/>
    <w:rsid w:val="00E9571B"/>
    <w:rsid w:val="00EA6262"/>
    <w:rsid w:val="00EA7474"/>
    <w:rsid w:val="00EB0860"/>
    <w:rsid w:val="00EC0D54"/>
    <w:rsid w:val="00EC4AD6"/>
    <w:rsid w:val="00ED6B38"/>
    <w:rsid w:val="00EE0A3F"/>
    <w:rsid w:val="00F071EC"/>
    <w:rsid w:val="00F10EDB"/>
    <w:rsid w:val="00F11BB3"/>
    <w:rsid w:val="00F12365"/>
    <w:rsid w:val="00F238D6"/>
    <w:rsid w:val="00F3307F"/>
    <w:rsid w:val="00F33608"/>
    <w:rsid w:val="00F33FB8"/>
    <w:rsid w:val="00F35C87"/>
    <w:rsid w:val="00F35ED3"/>
    <w:rsid w:val="00F46C83"/>
    <w:rsid w:val="00F47AF8"/>
    <w:rsid w:val="00F568AC"/>
    <w:rsid w:val="00F600D9"/>
    <w:rsid w:val="00F612F8"/>
    <w:rsid w:val="00F637C1"/>
    <w:rsid w:val="00F678EB"/>
    <w:rsid w:val="00F71927"/>
    <w:rsid w:val="00F838D0"/>
    <w:rsid w:val="00F83D65"/>
    <w:rsid w:val="00F915B5"/>
    <w:rsid w:val="00F95723"/>
    <w:rsid w:val="00FA0EAD"/>
    <w:rsid w:val="00FA173A"/>
    <w:rsid w:val="00FA26FF"/>
    <w:rsid w:val="00FA2AED"/>
    <w:rsid w:val="00FA65D3"/>
    <w:rsid w:val="00FB197A"/>
    <w:rsid w:val="00FB4B41"/>
    <w:rsid w:val="00FC6597"/>
    <w:rsid w:val="00FD54F3"/>
    <w:rsid w:val="00FE4D40"/>
    <w:rsid w:val="00FF23FD"/>
    <w:rsid w:val="00FF4653"/>
    <w:rsid w:val="00FF6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ecimalSymbol w:val="."/>
  <w:listSeparator w:val=","/>
  <w14:docId w14:val="7FAA59C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styleId="ListBullet">
    <w:name w:val="List Bullet"/>
    <w:basedOn w:val="Normal"/>
    <w:autoRedefine/>
    <w:uiPriority w:val="99"/>
    <w:unhideWhenUsed/>
    <w:qFormat/>
    <w:rsid w:val="003F763F"/>
    <w:pPr>
      <w:numPr>
        <w:numId w:val="25"/>
      </w:numPr>
      <w:spacing w:after="0" w:line="240" w:lineRule="auto"/>
    </w:pPr>
    <w:rPr>
      <w:rFonts w:ascii="Cambria" w:eastAsia="Calibri" w:hAnsi="Cambria"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3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BCE2-06EF-4C71-AD09-A864A20C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2393</Words>
  <Characters>13641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Dernelley, Jane</cp:lastModifiedBy>
  <cp:revision>2</cp:revision>
  <cp:lastPrinted>2020-06-04T02:28:00Z</cp:lastPrinted>
  <dcterms:created xsi:type="dcterms:W3CDTF">2020-06-09T01:59:00Z</dcterms:created>
  <dcterms:modified xsi:type="dcterms:W3CDTF">2020-06-09T01:59:00Z</dcterms:modified>
</cp:coreProperties>
</file>