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DFA03" w14:textId="5A5B2F18" w:rsidR="00F109D4"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FE7B5E6" w14:textId="741B7E6B" w:rsidR="006A7785" w:rsidRPr="00731FEA" w:rsidRDefault="006A7785" w:rsidP="006A7785">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7A1C977558A64170AD9CEE0D5F909DFA"/>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Pr>
              <w:sz w:val="24"/>
              <w:szCs w:val="24"/>
            </w:rPr>
            <w:t>Minister for Housing and Assistant Treasurer</w:t>
          </w:r>
        </w:sdtContent>
      </w:sdt>
    </w:p>
    <w:p w14:paraId="772A8A93" w14:textId="77777777" w:rsidR="006A7785" w:rsidRPr="006A7785" w:rsidRDefault="006A7785" w:rsidP="00792365"/>
    <w:p w14:paraId="68FDFACB" w14:textId="77777777" w:rsidR="009E5A2A" w:rsidRDefault="009E5A2A" w:rsidP="005C4CCC">
      <w:pPr>
        <w:tabs>
          <w:tab w:val="left" w:pos="1418"/>
        </w:tabs>
        <w:spacing w:before="0" w:after="0"/>
        <w:jc w:val="center"/>
        <w:rPr>
          <w:i/>
          <w:color w:val="000000"/>
        </w:rPr>
      </w:pPr>
      <w:r w:rsidRPr="009E5A2A">
        <w:rPr>
          <w:i/>
          <w:color w:val="000000"/>
        </w:rPr>
        <w:t>Australian Securities and Investments Commission Act 2001</w:t>
      </w:r>
      <w:r w:rsidRPr="009E5A2A" w:rsidDel="009E5A2A">
        <w:rPr>
          <w:i/>
          <w:color w:val="000000"/>
        </w:rPr>
        <w:t xml:space="preserve"> </w:t>
      </w:r>
    </w:p>
    <w:p w14:paraId="5C24AE52" w14:textId="77777777" w:rsidR="004C6E25" w:rsidRDefault="004C6E25" w:rsidP="006A7785">
      <w:pPr>
        <w:tabs>
          <w:tab w:val="left" w:pos="1134"/>
          <w:tab w:val="left" w:pos="1701"/>
          <w:tab w:val="right" w:pos="9072"/>
        </w:tabs>
        <w:spacing w:before="0" w:after="0"/>
        <w:ind w:right="91"/>
        <w:jc w:val="center"/>
        <w:rPr>
          <w:i/>
          <w:color w:val="000000"/>
        </w:rPr>
      </w:pPr>
      <w:r>
        <w:rPr>
          <w:i/>
          <w:color w:val="000000"/>
        </w:rPr>
        <w:t>Competition and Consumer Act 2010</w:t>
      </w:r>
    </w:p>
    <w:p w14:paraId="3CBF811E" w14:textId="2163DBB9" w:rsidR="004C6E25" w:rsidRDefault="004C6E25" w:rsidP="00EE32EA">
      <w:pPr>
        <w:spacing w:before="240"/>
        <w:jc w:val="center"/>
        <w:rPr>
          <w:i/>
        </w:rPr>
      </w:pPr>
      <w:r w:rsidRPr="004C6E25">
        <w:rPr>
          <w:i/>
        </w:rPr>
        <w:t>Treasury Laws Amendment (Acquisition as Consumer—Financial Thresholds) Regulations 2020</w:t>
      </w:r>
    </w:p>
    <w:p w14:paraId="5B5559F5" w14:textId="3A1ABC4C" w:rsidR="00872345" w:rsidRDefault="00872345" w:rsidP="00574FFA">
      <w:pPr>
        <w:tabs>
          <w:tab w:val="left" w:pos="1134"/>
          <w:tab w:val="left" w:pos="1701"/>
          <w:tab w:val="right" w:pos="9072"/>
        </w:tabs>
        <w:ind w:right="91"/>
      </w:pPr>
      <w:r w:rsidRPr="008D398C">
        <w:rPr>
          <w:color w:val="000000"/>
        </w:rPr>
        <w:t xml:space="preserve">The </w:t>
      </w:r>
      <w:r w:rsidR="004C6E25" w:rsidRPr="004C6E25">
        <w:rPr>
          <w:i/>
        </w:rPr>
        <w:t>Treasury Laws Amendment</w:t>
      </w:r>
      <w:r w:rsidR="004C6E25" w:rsidRPr="008D398C" w:rsidDel="004C6E25">
        <w:rPr>
          <w:i/>
          <w:color w:val="000000"/>
        </w:rPr>
        <w:t xml:space="preserve"> </w:t>
      </w:r>
      <w:r w:rsidRPr="008D398C">
        <w:rPr>
          <w:i/>
          <w:color w:val="000000"/>
        </w:rPr>
        <w:t>(</w:t>
      </w:r>
      <w:r w:rsidRPr="008D398C">
        <w:rPr>
          <w:i/>
        </w:rPr>
        <w:t>Acquisition as Consumer—Financial Threshold</w:t>
      </w:r>
      <w:r w:rsidR="005F72F1">
        <w:rPr>
          <w:i/>
        </w:rPr>
        <w:t>s</w:t>
      </w:r>
      <w:r w:rsidRPr="008D398C">
        <w:rPr>
          <w:i/>
          <w:color w:val="000000"/>
        </w:rPr>
        <w:t xml:space="preserve">) Regulations </w:t>
      </w:r>
      <w:r w:rsidR="00E65674" w:rsidRPr="008D398C">
        <w:rPr>
          <w:i/>
          <w:color w:val="000000"/>
        </w:rPr>
        <w:t>20</w:t>
      </w:r>
      <w:r w:rsidR="00E65674">
        <w:rPr>
          <w:i/>
          <w:color w:val="000000"/>
        </w:rPr>
        <w:t>20</w:t>
      </w:r>
      <w:r w:rsidR="00E65674" w:rsidRPr="008D398C">
        <w:rPr>
          <w:color w:val="000000"/>
        </w:rPr>
        <w:t xml:space="preserve"> (the Regulations) </w:t>
      </w:r>
      <w:r w:rsidR="00E65674">
        <w:rPr>
          <w:color w:val="000000"/>
        </w:rPr>
        <w:t xml:space="preserve">give effect to proposal 15 of the </w:t>
      </w:r>
      <w:r w:rsidR="00E65674" w:rsidRPr="002A2284">
        <w:rPr>
          <w:i/>
          <w:color w:val="000000"/>
        </w:rPr>
        <w:t>Australian Consumer Law Review</w:t>
      </w:r>
      <w:r w:rsidR="00E65674">
        <w:rPr>
          <w:color w:val="000000"/>
        </w:rPr>
        <w:t xml:space="preserve"> (ACL Review)</w:t>
      </w:r>
      <w:r w:rsidR="00E65674" w:rsidRPr="007657C3">
        <w:rPr>
          <w:color w:val="000000"/>
        </w:rPr>
        <w:t xml:space="preserve"> </w:t>
      </w:r>
      <w:r w:rsidR="00E65674">
        <w:rPr>
          <w:color w:val="000000"/>
        </w:rPr>
        <w:t xml:space="preserve">which recommended changing the monetary threshold </w:t>
      </w:r>
      <w:r w:rsidR="00E65674" w:rsidRPr="008D398C">
        <w:rPr>
          <w:color w:val="000000"/>
        </w:rPr>
        <w:t xml:space="preserve">in the </w:t>
      </w:r>
      <w:r w:rsidR="00E65674" w:rsidRPr="008D398C">
        <w:t>definition of ‘consumer’</w:t>
      </w:r>
      <w:r w:rsidR="00E65674">
        <w:t xml:space="preserve"> for the purposes of the Australian Consumer Law (ACL)</w:t>
      </w:r>
      <w:r w:rsidR="00E65674">
        <w:rPr>
          <w:i/>
          <w:color w:val="000000"/>
        </w:rPr>
        <w:t>.</w:t>
      </w:r>
    </w:p>
    <w:p w14:paraId="3FF24232" w14:textId="20AF3989" w:rsidR="00E65674" w:rsidRDefault="00044EDF" w:rsidP="00E35C39">
      <w:pPr>
        <w:rPr>
          <w:color w:val="000000"/>
        </w:rPr>
      </w:pPr>
      <w:r>
        <w:rPr>
          <w:color w:val="000000"/>
        </w:rPr>
        <w:t>The ACL Review</w:t>
      </w:r>
      <w:r w:rsidR="00076EA7">
        <w:rPr>
          <w:i/>
          <w:color w:val="000000"/>
        </w:rPr>
        <w:t xml:space="preserve"> </w:t>
      </w:r>
      <w:r w:rsidR="00076EA7" w:rsidRPr="002A2284">
        <w:rPr>
          <w:color w:val="000000"/>
        </w:rPr>
        <w:t>assess</w:t>
      </w:r>
      <w:r w:rsidR="00076EA7">
        <w:rPr>
          <w:color w:val="000000"/>
        </w:rPr>
        <w:t>ed</w:t>
      </w:r>
      <w:r w:rsidR="00076EA7" w:rsidRPr="002A2284">
        <w:rPr>
          <w:color w:val="000000"/>
        </w:rPr>
        <w:t xml:space="preserve"> the effectiveness of ACL</w:t>
      </w:r>
      <w:r w:rsidR="00076EA7">
        <w:rPr>
          <w:color w:val="000000"/>
        </w:rPr>
        <w:t xml:space="preserve"> </w:t>
      </w:r>
      <w:r w:rsidR="00076EA7" w:rsidRPr="002A2284">
        <w:rPr>
          <w:color w:val="000000"/>
        </w:rPr>
        <w:t>provisions, including the ACL’s flexibility to respond to new and emerging issues and the extent to which the national consumer policy framework had met the objectives set by the Council of Australian Governments.</w:t>
      </w:r>
      <w:r w:rsidR="001D7DBF">
        <w:rPr>
          <w:color w:val="000000"/>
        </w:rPr>
        <w:t xml:space="preserve"> </w:t>
      </w:r>
      <w:r w:rsidR="00076EA7">
        <w:rPr>
          <w:color w:val="000000"/>
        </w:rPr>
        <w:t>C</w:t>
      </w:r>
      <w:r w:rsidR="00076EA7" w:rsidRPr="002A2284">
        <w:rPr>
          <w:color w:val="000000"/>
        </w:rPr>
        <w:t>onsumer affairs ministers, through the Legislative and Governance Forum on Consumer Affairs</w:t>
      </w:r>
      <w:r w:rsidR="00076EA7">
        <w:rPr>
          <w:color w:val="000000"/>
        </w:rPr>
        <w:t xml:space="preserve">, agreed to increase the </w:t>
      </w:r>
      <w:r>
        <w:rPr>
          <w:color w:val="000000"/>
        </w:rPr>
        <w:t xml:space="preserve">monetary </w:t>
      </w:r>
      <w:r w:rsidR="00076EA7">
        <w:rPr>
          <w:color w:val="000000"/>
        </w:rPr>
        <w:t xml:space="preserve">threshold at their meeting </w:t>
      </w:r>
      <w:r w:rsidR="0038014C">
        <w:rPr>
          <w:color w:val="000000"/>
        </w:rPr>
        <w:t>in</w:t>
      </w:r>
      <w:r w:rsidR="00076EA7" w:rsidRPr="00076EA7">
        <w:rPr>
          <w:color w:val="000000"/>
        </w:rPr>
        <w:t xml:space="preserve"> October 2018</w:t>
      </w:r>
      <w:r w:rsidR="000546A3">
        <w:rPr>
          <w:color w:val="000000"/>
        </w:rPr>
        <w:t xml:space="preserve">, to </w:t>
      </w:r>
      <w:r w:rsidR="000546A3" w:rsidRPr="000546A3">
        <w:rPr>
          <w:color w:val="000000"/>
        </w:rPr>
        <w:t>restore the real value of the monetary threshold that has remained unchanged since 1986</w:t>
      </w:r>
      <w:r w:rsidR="00076EA7">
        <w:rPr>
          <w:color w:val="000000"/>
        </w:rPr>
        <w:t xml:space="preserve">. </w:t>
      </w:r>
    </w:p>
    <w:p w14:paraId="7D3EEE5E" w14:textId="55B05979" w:rsidR="00856ACD" w:rsidRPr="00856ACD" w:rsidRDefault="00856ACD" w:rsidP="00E35C39">
      <w:r>
        <w:t xml:space="preserve">The </w:t>
      </w:r>
      <w:r w:rsidRPr="00391CE8">
        <w:rPr>
          <w:i/>
        </w:rPr>
        <w:t>Australian Securities and Investments Commission Act 2001</w:t>
      </w:r>
      <w:r>
        <w:t xml:space="preserve"> (the ASIC Act) provides for the Australian Securities and Investments Commission to administer the </w:t>
      </w:r>
      <w:r>
        <w:rPr>
          <w:i/>
          <w:iCs/>
        </w:rPr>
        <w:t>Corporations Act 2001</w:t>
      </w:r>
      <w:r>
        <w:t xml:space="preserve"> (the Corporations Act) and other prescribed laws of the Commonwealth. The </w:t>
      </w:r>
      <w:r>
        <w:rPr>
          <w:i/>
          <w:iCs/>
        </w:rPr>
        <w:t>Competition and Consumer Act 2010</w:t>
      </w:r>
      <w:r>
        <w:t xml:space="preserve"> (the CCA) promotes competition and fair trading and provides for consumer protection.</w:t>
      </w:r>
    </w:p>
    <w:p w14:paraId="4B0D9114" w14:textId="2FE46C28" w:rsidR="00E65674" w:rsidRDefault="00E65674" w:rsidP="00E65674">
      <w:r w:rsidRPr="00503E44">
        <w:t xml:space="preserve">Section </w:t>
      </w:r>
      <w:r>
        <w:t xml:space="preserve">251 </w:t>
      </w:r>
      <w:r w:rsidRPr="00503E44">
        <w:t xml:space="preserve">of the </w:t>
      </w:r>
      <w:r>
        <w:t xml:space="preserve">ASIC </w:t>
      </w:r>
      <w:r w:rsidR="00856ACD">
        <w:t>Act</w:t>
      </w:r>
      <w:r w:rsidRPr="00503E44">
        <w:t xml:space="preserve"> </w:t>
      </w:r>
      <w:r>
        <w:t xml:space="preserve">and </w:t>
      </w:r>
      <w:r w:rsidRPr="00503E44">
        <w:t xml:space="preserve">Section </w:t>
      </w:r>
      <w:r>
        <w:t xml:space="preserve">172 </w:t>
      </w:r>
      <w:r w:rsidRPr="00503E44">
        <w:t xml:space="preserve">of the </w:t>
      </w:r>
      <w:r>
        <w:t>CC</w:t>
      </w:r>
      <w:r w:rsidRPr="00503E44">
        <w:t>A</w:t>
      </w:r>
      <w:r w:rsidR="00AA57DE">
        <w:t xml:space="preserve"> provide</w:t>
      </w:r>
      <w:r w:rsidR="005C4CCC">
        <w:t xml:space="preserve"> that the Governor</w:t>
      </w:r>
      <w:r w:rsidR="005C4CCC">
        <w:noBreakHyphen/>
      </w:r>
      <w:r w:rsidRPr="00503E44">
        <w:t>General may make regulations prescribing matters required or permitted by the</w:t>
      </w:r>
      <w:r>
        <w:t>se</w:t>
      </w:r>
      <w:r w:rsidRPr="00503E44">
        <w:t xml:space="preserve"> Act</w:t>
      </w:r>
      <w:r>
        <w:t>s</w:t>
      </w:r>
      <w:r w:rsidRPr="00503E44">
        <w:t xml:space="preserve"> to be prescribed, or necessary or convenient to be prescribed for carrying out or giving effect to the</w:t>
      </w:r>
      <w:r>
        <w:t>se</w:t>
      </w:r>
      <w:r w:rsidRPr="00503E44">
        <w:t xml:space="preserve"> Act</w:t>
      </w:r>
      <w:r>
        <w:t>s</w:t>
      </w:r>
      <w:r w:rsidRPr="00503E44">
        <w:t>.</w:t>
      </w:r>
    </w:p>
    <w:p w14:paraId="0502CEBA" w14:textId="51E2AC1E" w:rsidR="00E65674" w:rsidRDefault="00E65674" w:rsidP="00E65674">
      <w:pPr>
        <w:tabs>
          <w:tab w:val="left" w:pos="1134"/>
          <w:tab w:val="left" w:pos="1701"/>
          <w:tab w:val="right" w:pos="9072"/>
        </w:tabs>
        <w:ind w:right="91"/>
      </w:pPr>
      <w:r>
        <w:rPr>
          <w:color w:val="000000"/>
        </w:rPr>
        <w:t xml:space="preserve">The Regulations </w:t>
      </w:r>
      <w:r w:rsidRPr="008D398C">
        <w:rPr>
          <w:color w:val="000000"/>
        </w:rPr>
        <w:t>amend</w:t>
      </w:r>
      <w:r>
        <w:rPr>
          <w:color w:val="000000"/>
        </w:rPr>
        <w:t xml:space="preserve"> </w:t>
      </w:r>
      <w:r w:rsidRPr="008D398C">
        <w:rPr>
          <w:color w:val="000000"/>
        </w:rPr>
        <w:t xml:space="preserve">the </w:t>
      </w:r>
      <w:r w:rsidRPr="008D398C">
        <w:rPr>
          <w:i/>
          <w:color w:val="000000"/>
        </w:rPr>
        <w:t>Competition and Consumer Regulations 2010</w:t>
      </w:r>
      <w:r w:rsidR="005C4CCC">
        <w:rPr>
          <w:color w:val="000000"/>
        </w:rPr>
        <w:t xml:space="preserve"> (CC </w:t>
      </w:r>
      <w:r w:rsidRPr="008D398C">
        <w:rPr>
          <w:color w:val="000000"/>
        </w:rPr>
        <w:t>Regulations) to increase the</w:t>
      </w:r>
      <w:r>
        <w:rPr>
          <w:color w:val="000000"/>
        </w:rPr>
        <w:t xml:space="preserve"> monetary</w:t>
      </w:r>
      <w:r w:rsidRPr="008D398C">
        <w:rPr>
          <w:color w:val="000000"/>
        </w:rPr>
        <w:t xml:space="preserve"> threshold in the </w:t>
      </w:r>
      <w:r w:rsidRPr="008D398C">
        <w:t>definition of ‘consumer’</w:t>
      </w:r>
      <w:r>
        <w:t xml:space="preserve"> for the purposes of the Australian Consumer Law (ACL), which is Schedule 2 to the </w:t>
      </w:r>
      <w:r w:rsidR="00B45D9F">
        <w:rPr>
          <w:color w:val="000000"/>
        </w:rPr>
        <w:t>CCA</w:t>
      </w:r>
      <w:r w:rsidRPr="008D398C">
        <w:t xml:space="preserve">. </w:t>
      </w:r>
      <w:r>
        <w:t xml:space="preserve">It also amends the </w:t>
      </w:r>
      <w:r w:rsidRPr="00917BE9">
        <w:rPr>
          <w:i/>
        </w:rPr>
        <w:t>Australian Securities</w:t>
      </w:r>
      <w:r w:rsidRPr="001864AE">
        <w:rPr>
          <w:i/>
        </w:rPr>
        <w:t xml:space="preserve"> and Investments Commission Regulations 2001</w:t>
      </w:r>
      <w:r w:rsidRPr="004C6E25">
        <w:t xml:space="preserve"> </w:t>
      </w:r>
      <w:r>
        <w:t>(ASIC Regulations) which contain mirror consumer protection provisions for financial products and services.</w:t>
      </w:r>
    </w:p>
    <w:p w14:paraId="5F24BE2B" w14:textId="049F03C0" w:rsidR="003A3BAC" w:rsidRDefault="00654084" w:rsidP="005171F5">
      <w:pPr>
        <w:pStyle w:val="CommentText"/>
        <w:rPr>
          <w:color w:val="000000"/>
          <w:sz w:val="24"/>
          <w:szCs w:val="24"/>
        </w:rPr>
      </w:pPr>
      <w:r>
        <w:rPr>
          <w:color w:val="000000"/>
          <w:sz w:val="24"/>
          <w:szCs w:val="24"/>
        </w:rPr>
        <w:t>T</w:t>
      </w:r>
      <w:r w:rsidR="003A3BAC" w:rsidRPr="0086137E">
        <w:rPr>
          <w:color w:val="000000"/>
          <w:sz w:val="24"/>
          <w:szCs w:val="24"/>
        </w:rPr>
        <w:t>he ACL is a generic law applying to all sectors of the economy</w:t>
      </w:r>
      <w:r>
        <w:rPr>
          <w:color w:val="000000"/>
          <w:sz w:val="24"/>
          <w:szCs w:val="24"/>
        </w:rPr>
        <w:t xml:space="preserve">. </w:t>
      </w:r>
      <w:r w:rsidRPr="00654084">
        <w:rPr>
          <w:color w:val="000000"/>
          <w:sz w:val="24"/>
          <w:szCs w:val="24"/>
        </w:rPr>
        <w:t>However, separate laws dealing with financial products and services are necessary, due to constitutional issues relating to the States’ referral of thos</w:t>
      </w:r>
      <w:r w:rsidR="005C4CCC">
        <w:rPr>
          <w:color w:val="000000"/>
          <w:sz w:val="24"/>
          <w:szCs w:val="24"/>
        </w:rPr>
        <w:t>e powers under the Corporations </w:t>
      </w:r>
      <w:r w:rsidRPr="00654084">
        <w:rPr>
          <w:color w:val="000000"/>
          <w:sz w:val="24"/>
          <w:szCs w:val="24"/>
        </w:rPr>
        <w:t>Agreement 2002.</w:t>
      </w:r>
      <w:r>
        <w:rPr>
          <w:color w:val="000000"/>
          <w:sz w:val="24"/>
          <w:szCs w:val="24"/>
        </w:rPr>
        <w:t xml:space="preserve"> </w:t>
      </w:r>
      <w:r w:rsidR="003A3BAC" w:rsidRPr="0086137E">
        <w:rPr>
          <w:color w:val="000000"/>
          <w:sz w:val="24"/>
          <w:szCs w:val="24"/>
        </w:rPr>
        <w:t xml:space="preserve">In this regard, the Intergovernmental Agreement for the </w:t>
      </w:r>
      <w:r w:rsidR="00842599">
        <w:rPr>
          <w:color w:val="000000"/>
          <w:sz w:val="24"/>
          <w:szCs w:val="24"/>
        </w:rPr>
        <w:t>ACL</w:t>
      </w:r>
      <w:r w:rsidR="003A3BAC" w:rsidRPr="0086137E">
        <w:rPr>
          <w:color w:val="000000"/>
          <w:sz w:val="24"/>
          <w:szCs w:val="24"/>
        </w:rPr>
        <w:t xml:space="preserve"> provides that the Commonwealth should enact changes to the </w:t>
      </w:r>
      <w:r w:rsidR="0038014C">
        <w:rPr>
          <w:color w:val="000000"/>
          <w:sz w:val="24"/>
          <w:szCs w:val="24"/>
        </w:rPr>
        <w:t>consumer</w:t>
      </w:r>
      <w:r w:rsidR="003A3BAC" w:rsidRPr="0086137E">
        <w:rPr>
          <w:color w:val="000000"/>
          <w:sz w:val="24"/>
          <w:szCs w:val="24"/>
        </w:rPr>
        <w:t xml:space="preserve"> protection provisions of the </w:t>
      </w:r>
      <w:r w:rsidR="00044EDF" w:rsidRPr="001D7DBF">
        <w:rPr>
          <w:sz w:val="24"/>
          <w:szCs w:val="24"/>
        </w:rPr>
        <w:t>ASIC Act</w:t>
      </w:r>
      <w:r w:rsidR="003A3BAC" w:rsidRPr="0086137E">
        <w:rPr>
          <w:color w:val="000000"/>
          <w:sz w:val="24"/>
          <w:szCs w:val="24"/>
        </w:rPr>
        <w:t xml:space="preserve"> to ensure that they are consistent with the ACL.</w:t>
      </w:r>
      <w:r w:rsidR="001D7DBF">
        <w:rPr>
          <w:color w:val="000000"/>
          <w:sz w:val="24"/>
          <w:szCs w:val="24"/>
        </w:rPr>
        <w:t xml:space="preserve"> </w:t>
      </w:r>
    </w:p>
    <w:p w14:paraId="635F9BB0" w14:textId="77777777" w:rsidR="00AC0D3A" w:rsidRDefault="00AC0D3A" w:rsidP="005171F5">
      <w:pPr>
        <w:pStyle w:val="CommentText"/>
        <w:rPr>
          <w:color w:val="000000"/>
          <w:sz w:val="24"/>
          <w:szCs w:val="24"/>
        </w:rPr>
      </w:pPr>
    </w:p>
    <w:p w14:paraId="30C0A0E0" w14:textId="77777777" w:rsidR="006A7785" w:rsidRDefault="006A7785" w:rsidP="005171F5">
      <w:pPr>
        <w:pStyle w:val="CommentText"/>
      </w:pPr>
    </w:p>
    <w:p w14:paraId="4DAD62C6" w14:textId="343044D7" w:rsidR="00706B62" w:rsidRDefault="00706B62" w:rsidP="005171F5">
      <w:r>
        <w:lastRenderedPageBreak/>
        <w:t>Section 12BC of the ASIC Act</w:t>
      </w:r>
      <w:r w:rsidDel="002060DE">
        <w:t xml:space="preserve"> </w:t>
      </w:r>
      <w:r>
        <w:t>and section 3</w:t>
      </w:r>
      <w:r w:rsidRPr="0077756F">
        <w:t xml:space="preserve"> of the ACL</w:t>
      </w:r>
      <w:r>
        <w:t xml:space="preserve"> define a ‘</w:t>
      </w:r>
      <w:r w:rsidRPr="00FB474F">
        <w:t>consumer</w:t>
      </w:r>
      <w:r>
        <w:t>’ for</w:t>
      </w:r>
      <w:r w:rsidRPr="00F21088">
        <w:t xml:space="preserve"> the purposes of acquiring goods or services</w:t>
      </w:r>
      <w:r>
        <w:t xml:space="preserve">. </w:t>
      </w:r>
      <w:r w:rsidR="0086137E">
        <w:t>A</w:t>
      </w:r>
      <w:r>
        <w:t xml:space="preserve"> person is taken to have acquired particular goods or services as a consumer if</w:t>
      </w:r>
      <w:r w:rsidR="00F92F0E">
        <w:t xml:space="preserve"> they meet one of the three criteria listed in the definition</w:t>
      </w:r>
      <w:r w:rsidR="00D410F7">
        <w:t xml:space="preserve">, one </w:t>
      </w:r>
      <w:r w:rsidR="004E5C16">
        <w:t xml:space="preserve">of which </w:t>
      </w:r>
      <w:r w:rsidR="0038014C">
        <w:t>includes</w:t>
      </w:r>
      <w:r w:rsidR="004E5C16">
        <w:t xml:space="preserve"> a</w:t>
      </w:r>
      <w:r w:rsidR="00D410F7">
        <w:t xml:space="preserve"> monetary threshold</w:t>
      </w:r>
      <w:r w:rsidR="00F92F0E">
        <w:t>.</w:t>
      </w:r>
    </w:p>
    <w:p w14:paraId="3138EAEC" w14:textId="0FC3441B" w:rsidR="00696562" w:rsidRDefault="002060DE" w:rsidP="005171F5">
      <w:r>
        <w:t>Item 1 and 3 of Schedule 1</w:t>
      </w:r>
      <w:r w:rsidRPr="009B0A06">
        <w:t xml:space="preserve"> </w:t>
      </w:r>
      <w:r>
        <w:rPr>
          <w:color w:val="000000"/>
        </w:rPr>
        <w:t>of t</w:t>
      </w:r>
      <w:r w:rsidRPr="008D398C">
        <w:rPr>
          <w:color w:val="000000"/>
        </w:rPr>
        <w:t>he Regulations</w:t>
      </w:r>
      <w:r w:rsidRPr="003874B1">
        <w:t xml:space="preserve"> </w:t>
      </w:r>
      <w:r>
        <w:t>insert</w:t>
      </w:r>
      <w:r w:rsidRPr="003874B1">
        <w:t xml:space="preserve"> new </w:t>
      </w:r>
      <w:r w:rsidR="00761748">
        <w:t>regulations</w:t>
      </w:r>
      <w:r>
        <w:t xml:space="preserve"> 2DA into</w:t>
      </w:r>
      <w:r w:rsidRPr="002060DE">
        <w:t xml:space="preserve"> </w:t>
      </w:r>
      <w:r w:rsidR="005C4CCC">
        <w:t>Part 1 of the ASIC R</w:t>
      </w:r>
      <w:r>
        <w:t>egulations and</w:t>
      </w:r>
      <w:r w:rsidRPr="009B0A06">
        <w:t xml:space="preserve"> </w:t>
      </w:r>
      <w:r w:rsidRPr="003874B1">
        <w:t xml:space="preserve">77A </w:t>
      </w:r>
      <w:r>
        <w:t>into Part 6 of the CC Regulations respectively</w:t>
      </w:r>
      <w:r w:rsidRPr="003874B1">
        <w:t xml:space="preserve"> to prescribe</w:t>
      </w:r>
      <w:r w:rsidRPr="003874B1">
        <w:rPr>
          <w:color w:val="000000"/>
          <w:szCs w:val="24"/>
        </w:rPr>
        <w:t xml:space="preserve"> </w:t>
      </w:r>
      <w:r>
        <w:rPr>
          <w:color w:val="000000"/>
          <w:szCs w:val="24"/>
        </w:rPr>
        <w:t xml:space="preserve">a monetary threshold of $100,000 </w:t>
      </w:r>
      <w:r>
        <w:t>in th</w:t>
      </w:r>
      <w:r w:rsidR="00792365">
        <w:t>es</w:t>
      </w:r>
      <w:r>
        <w:t xml:space="preserve">e Regulations, </w:t>
      </w:r>
      <w:r>
        <w:rPr>
          <w:color w:val="000000"/>
        </w:rPr>
        <w:t>for the purpose of</w:t>
      </w:r>
      <w:r w:rsidRPr="008D398C">
        <w:rPr>
          <w:color w:val="000000"/>
        </w:rPr>
        <w:t xml:space="preserve"> </w:t>
      </w:r>
      <w:r w:rsidR="004E5C16">
        <w:rPr>
          <w:color w:val="000000"/>
        </w:rPr>
        <w:t xml:space="preserve">the </w:t>
      </w:r>
      <w:r>
        <w:t>definition of ‘consumer’.</w:t>
      </w:r>
      <w:r w:rsidR="004E5C16">
        <w:t xml:space="preserve"> This is an increase from the </w:t>
      </w:r>
      <w:r w:rsidR="0038014C">
        <w:t xml:space="preserve">original </w:t>
      </w:r>
      <w:r w:rsidR="004E5C16">
        <w:t>threshold prescribed in the primary legislation of $40,000.</w:t>
      </w:r>
    </w:p>
    <w:p w14:paraId="38397AA6" w14:textId="791737C0" w:rsidR="00872345" w:rsidRDefault="007B3B46" w:rsidP="005171F5">
      <w:pPr>
        <w:rPr>
          <w:color w:val="000000"/>
        </w:rPr>
      </w:pPr>
      <w:r w:rsidRPr="008314AB">
        <w:t xml:space="preserve">Increasing the monetary threshold in the definition of ‘consumer’ from $40,000 to $100,000 </w:t>
      </w:r>
      <w:r w:rsidR="004343C7">
        <w:t>will ensure</w:t>
      </w:r>
      <w:r w:rsidRPr="004343C7">
        <w:rPr>
          <w:color w:val="000000"/>
        </w:rPr>
        <w:t xml:space="preserve"> that it remains fit for purpose</w:t>
      </w:r>
      <w:r w:rsidR="00CC4E82" w:rsidRPr="008314AB">
        <w:rPr>
          <w:rFonts w:cs="Arial"/>
        </w:rPr>
        <w:t>.</w:t>
      </w:r>
      <w:r w:rsidR="00786A0B">
        <w:rPr>
          <w:rFonts w:cs="Arial"/>
        </w:rPr>
        <w:t xml:space="preserve"> </w:t>
      </w:r>
      <w:r w:rsidR="004343C7" w:rsidRPr="004343C7">
        <w:rPr>
          <w:rFonts w:cs="Arial"/>
        </w:rPr>
        <w:t xml:space="preserve">A finding from the </w:t>
      </w:r>
      <w:r w:rsidR="004343C7">
        <w:rPr>
          <w:rFonts w:cs="Arial"/>
        </w:rPr>
        <w:t xml:space="preserve">ACL </w:t>
      </w:r>
      <w:r w:rsidR="004343C7" w:rsidRPr="004343C7">
        <w:rPr>
          <w:rFonts w:cs="Arial"/>
        </w:rPr>
        <w:t xml:space="preserve">Review </w:t>
      </w:r>
      <w:r w:rsidR="004343C7">
        <w:rPr>
          <w:rFonts w:cs="Arial"/>
        </w:rPr>
        <w:t>wa</w:t>
      </w:r>
      <w:r w:rsidR="004343C7" w:rsidRPr="004343C7">
        <w:rPr>
          <w:rFonts w:cs="Arial"/>
        </w:rPr>
        <w:t xml:space="preserve">s that the level of protection afforded to consumers (including small businesses) has been eroded </w:t>
      </w:r>
      <w:r w:rsidR="00786A0B">
        <w:rPr>
          <w:rFonts w:cs="Arial"/>
        </w:rPr>
        <w:t xml:space="preserve">due to inflation in the cost of goods and services </w:t>
      </w:r>
      <w:r w:rsidR="004343C7" w:rsidRPr="004343C7">
        <w:rPr>
          <w:rFonts w:cs="Arial"/>
        </w:rPr>
        <w:t>over time</w:t>
      </w:r>
      <w:r w:rsidR="00786A0B">
        <w:rPr>
          <w:rFonts w:cs="Arial"/>
        </w:rPr>
        <w:t>.</w:t>
      </w:r>
      <w:r w:rsidR="004343C7" w:rsidRPr="004343C7">
        <w:rPr>
          <w:rFonts w:cs="Arial"/>
        </w:rPr>
        <w:t xml:space="preserve"> </w:t>
      </w:r>
      <w:r w:rsidR="00786A0B">
        <w:rPr>
          <w:rFonts w:cs="Arial"/>
        </w:rPr>
        <w:t>T</w:t>
      </w:r>
      <w:r w:rsidR="004343C7" w:rsidRPr="004343C7">
        <w:rPr>
          <w:rFonts w:cs="Arial"/>
        </w:rPr>
        <w:t xml:space="preserve">he decline in the real value of the threshold means that certain business purchases once covered under the ACL are no longer covered. </w:t>
      </w:r>
      <w:r w:rsidR="00326AB7">
        <w:rPr>
          <w:rFonts w:cs="Arial"/>
        </w:rPr>
        <w:t>The h</w:t>
      </w:r>
      <w:r w:rsidR="00CC4E82" w:rsidRPr="008314AB">
        <w:rPr>
          <w:rFonts w:cs="Arial"/>
        </w:rPr>
        <w:t xml:space="preserve">igher monetary threshold </w:t>
      </w:r>
      <w:r w:rsidR="00CC4E82" w:rsidRPr="008314AB">
        <w:t xml:space="preserve">in the ‘consumer’ definition </w:t>
      </w:r>
      <w:r w:rsidR="00CC4E82" w:rsidRPr="008314AB">
        <w:rPr>
          <w:rFonts w:cs="Arial"/>
        </w:rPr>
        <w:t xml:space="preserve">will assist in efficient economic transactions by restoring the level of coverage for business purchases in real terms, assuring minimum standards </w:t>
      </w:r>
      <w:r w:rsidR="00492200">
        <w:rPr>
          <w:rFonts w:cs="Arial"/>
        </w:rPr>
        <w:t xml:space="preserve">of protection </w:t>
      </w:r>
      <w:r w:rsidR="00CC4E82" w:rsidRPr="008314AB">
        <w:rPr>
          <w:rFonts w:cs="Arial"/>
        </w:rPr>
        <w:t>for the goods and services purchased by business consumers</w:t>
      </w:r>
      <w:r w:rsidRPr="008314AB">
        <w:rPr>
          <w:color w:val="000000"/>
        </w:rPr>
        <w:t xml:space="preserve">. </w:t>
      </w:r>
      <w:r w:rsidR="008314AB" w:rsidRPr="008314AB">
        <w:rPr>
          <w:color w:val="000000"/>
        </w:rPr>
        <w:t>It would also capture ordinary consumer purchases of commercial products above the current threshold.</w:t>
      </w:r>
    </w:p>
    <w:p w14:paraId="02AD8DB4" w14:textId="77777777" w:rsidR="00473026" w:rsidRDefault="004343C7" w:rsidP="005171F5">
      <w:r>
        <w:t xml:space="preserve">In addition to the consultation undertaken through the ACL Review, the </w:t>
      </w:r>
      <w:r w:rsidR="00BD597E">
        <w:t xml:space="preserve">Treasury consulted on </w:t>
      </w:r>
      <w:r>
        <w:t xml:space="preserve">the </w:t>
      </w:r>
      <w:r w:rsidR="00475A80">
        <w:t xml:space="preserve">potential </w:t>
      </w:r>
      <w:r w:rsidR="00BD597E">
        <w:t xml:space="preserve">regulatory impacts of increasing the monetary threshold of </w:t>
      </w:r>
      <w:r>
        <w:t xml:space="preserve">the </w:t>
      </w:r>
      <w:r w:rsidR="00475A80">
        <w:t>‘</w:t>
      </w:r>
      <w:r w:rsidR="00BD597E">
        <w:t>consumer</w:t>
      </w:r>
      <w:r w:rsidR="00475A80">
        <w:t>’ definition. T</w:t>
      </w:r>
      <w:r w:rsidR="00BD597E">
        <w:t xml:space="preserve">he </w:t>
      </w:r>
      <w:r w:rsidR="00792365">
        <w:t>D</w:t>
      </w:r>
      <w:r w:rsidR="00792365" w:rsidRPr="00745ACF">
        <w:t xml:space="preserve">ecision </w:t>
      </w:r>
      <w:r w:rsidR="00792365">
        <w:t>R</w:t>
      </w:r>
      <w:r w:rsidR="00792365" w:rsidRPr="00745ACF">
        <w:t>egulatory Impact Statement</w:t>
      </w:r>
      <w:r w:rsidR="00BD597E">
        <w:t>, ‘</w:t>
      </w:r>
      <w:r w:rsidR="00BD597E" w:rsidRPr="00745ACF">
        <w:rPr>
          <w:i/>
        </w:rPr>
        <w:t>Australian Consumer Law Review: Clarification, simplification and modernisation of the consumer guarantee framework</w:t>
      </w:r>
      <w:r w:rsidR="00BD597E">
        <w:t>’</w:t>
      </w:r>
      <w:r w:rsidR="00475A80">
        <w:t xml:space="preserve">, identified the change will impose minimal </w:t>
      </w:r>
      <w:r w:rsidR="00745ACF">
        <w:t>compliance burden</w:t>
      </w:r>
      <w:r w:rsidR="00475A80">
        <w:t xml:space="preserve"> on businesses</w:t>
      </w:r>
      <w:r w:rsidR="00745ACF">
        <w:t>, but provide greater benefit ensuring the ACL definition would remain fit for purpose</w:t>
      </w:r>
      <w:r w:rsidR="006A76B6">
        <w:t xml:space="preserve"> [</w:t>
      </w:r>
      <w:r w:rsidR="006A76B6" w:rsidRPr="00D44CC1">
        <w:t>OB</w:t>
      </w:r>
      <w:r w:rsidR="007D2BD7" w:rsidRPr="00D44CC1">
        <w:t>P</w:t>
      </w:r>
      <w:r w:rsidR="006A76B6" w:rsidRPr="00D44CC1">
        <w:t>R Ref #</w:t>
      </w:r>
      <w:r w:rsidR="00492200">
        <w:t>22023</w:t>
      </w:r>
      <w:r w:rsidR="008B6A2A">
        <w:t>]</w:t>
      </w:r>
      <w:r w:rsidR="0022361B">
        <w:t>.</w:t>
      </w:r>
      <w:r w:rsidR="00C91A61">
        <w:t xml:space="preserve"> </w:t>
      </w:r>
    </w:p>
    <w:p w14:paraId="26485BB2" w14:textId="2BD92417" w:rsidR="00473026" w:rsidRPr="00610BA5" w:rsidRDefault="00473026" w:rsidP="005171F5">
      <w:r>
        <w:t>The Decision regulatory i</w:t>
      </w:r>
      <w:r w:rsidR="00610BA5">
        <w:t xml:space="preserve">mpact statement is available at: </w:t>
      </w:r>
      <w:hyperlink r:id="rId13" w:history="1">
        <w:r w:rsidRPr="00610BA5">
          <w:rPr>
            <w:rStyle w:val="Hyperlink"/>
            <w:color w:val="auto"/>
          </w:rPr>
          <w:t>https://ris.pmc.gov.au/sites/default/files/posts/2018/11/3_consumer_guarantee_framework_decision_ris.pdf</w:t>
        </w:r>
      </w:hyperlink>
      <w:r w:rsidRPr="00610BA5">
        <w:t xml:space="preserve">. </w:t>
      </w:r>
    </w:p>
    <w:p w14:paraId="5FE2E0F6" w14:textId="73127611" w:rsidR="007B3B46" w:rsidRDefault="0022361B" w:rsidP="005171F5">
      <w:r w:rsidRPr="0022361B">
        <w:t xml:space="preserve">State and territory consumer affairs officials, </w:t>
      </w:r>
      <w:r w:rsidR="004343C7">
        <w:t xml:space="preserve">the </w:t>
      </w:r>
      <w:r w:rsidRPr="0022361B">
        <w:t xml:space="preserve">Australian Securities and Investments Commission and </w:t>
      </w:r>
      <w:r w:rsidR="004343C7">
        <w:t xml:space="preserve">the </w:t>
      </w:r>
      <w:r w:rsidRPr="0022361B">
        <w:t>Australian Competition and Consumer Commission were co</w:t>
      </w:r>
      <w:r>
        <w:t>nsulted on the draft instrument</w:t>
      </w:r>
      <w:r w:rsidR="00C91A61">
        <w:t>.</w:t>
      </w:r>
      <w:bookmarkStart w:id="0" w:name="_GoBack"/>
      <w:bookmarkEnd w:id="0"/>
    </w:p>
    <w:p w14:paraId="09ACC1D2" w14:textId="4DCDD936" w:rsidR="00AC0D3A" w:rsidRPr="008D398C" w:rsidRDefault="00AC0D3A" w:rsidP="00AC0D3A">
      <w:r>
        <w:t xml:space="preserve">Under section 12 of </w:t>
      </w:r>
      <w:r w:rsidRPr="00FB474F">
        <w:rPr>
          <w:i/>
        </w:rPr>
        <w:t xml:space="preserve">Legislation </w:t>
      </w:r>
      <w:r w:rsidRPr="00F22B2B">
        <w:rPr>
          <w:i/>
        </w:rPr>
        <w:t>(Exemptions and Other Matters)</w:t>
      </w:r>
      <w:r>
        <w:rPr>
          <w:i/>
        </w:rPr>
        <w:t xml:space="preserve"> </w:t>
      </w:r>
      <w:r w:rsidRPr="00FB474F">
        <w:rPr>
          <w:i/>
        </w:rPr>
        <w:t>Regulation 2015</w:t>
      </w:r>
      <w:r>
        <w:t>, the Regulations are exempt from sunsetting.</w:t>
      </w:r>
    </w:p>
    <w:p w14:paraId="3D6288D7" w14:textId="7F2C6356" w:rsidR="008D398C" w:rsidRDefault="008D398C" w:rsidP="005171F5">
      <w:r w:rsidRPr="008D398C">
        <w:t>The Act</w:t>
      </w:r>
      <w:r w:rsidR="0038014C">
        <w:t>s</w:t>
      </w:r>
      <w:r w:rsidRPr="008D398C">
        <w:t xml:space="preserve"> </w:t>
      </w:r>
      <w:r w:rsidR="0038014C">
        <w:t xml:space="preserve">do not </w:t>
      </w:r>
      <w:r w:rsidRPr="008D398C">
        <w:t>specif</w:t>
      </w:r>
      <w:r w:rsidR="0038014C">
        <w:t>y any</w:t>
      </w:r>
      <w:r w:rsidRPr="008D398C">
        <w:t xml:space="preserve"> conditions that need to be satisfied before the power to make the Regulations may be exercised.</w:t>
      </w:r>
    </w:p>
    <w:p w14:paraId="5454E6B4" w14:textId="35ECF87F" w:rsidR="00E50A82" w:rsidRDefault="002C226C" w:rsidP="005171F5">
      <w:r w:rsidRPr="008D398C">
        <w:t xml:space="preserve">The Regulations are a legislative instrument for the purposes of the </w:t>
      </w:r>
      <w:r w:rsidR="00A101F1">
        <w:rPr>
          <w:i/>
        </w:rPr>
        <w:t>Legislation Act </w:t>
      </w:r>
      <w:r w:rsidRPr="008D398C">
        <w:rPr>
          <w:i/>
        </w:rPr>
        <w:t>2003</w:t>
      </w:r>
      <w:r w:rsidRPr="008D398C">
        <w:t>.</w:t>
      </w:r>
    </w:p>
    <w:p w14:paraId="16A55A7F" w14:textId="3B16D2F3" w:rsidR="009143A0" w:rsidRDefault="00F109D4" w:rsidP="005171F5">
      <w:r w:rsidRPr="00125583">
        <w:t>The Regulations commenc</w:t>
      </w:r>
      <w:r w:rsidR="00D47781" w:rsidRPr="00125583">
        <w:t>e</w:t>
      </w:r>
      <w:r w:rsidRPr="00125583">
        <w:t xml:space="preserve"> on </w:t>
      </w:r>
      <w:r w:rsidR="008D398C" w:rsidRPr="00125583">
        <w:t xml:space="preserve">the </w:t>
      </w:r>
      <w:r w:rsidR="00125583" w:rsidRPr="00125583">
        <w:t>lat</w:t>
      </w:r>
      <w:r w:rsidR="005C4CCC">
        <w:t>t</w:t>
      </w:r>
      <w:r w:rsidR="00125583" w:rsidRPr="00125583">
        <w:t xml:space="preserve">er of the </w:t>
      </w:r>
      <w:r w:rsidR="008D398C" w:rsidRPr="00125583">
        <w:t xml:space="preserve">day after </w:t>
      </w:r>
      <w:r w:rsidR="005C4CCC">
        <w:t>it is registered on the Federal </w:t>
      </w:r>
      <w:r w:rsidR="008D398C" w:rsidRPr="00125583">
        <w:t>Register of Legislation</w:t>
      </w:r>
      <w:r w:rsidR="00125583">
        <w:t xml:space="preserve"> and</w:t>
      </w:r>
      <w:r w:rsidR="00125583" w:rsidRPr="00125583">
        <w:t xml:space="preserve"> 1 July 2021</w:t>
      </w:r>
      <w:r w:rsidR="008D398C" w:rsidRPr="00125583">
        <w:t>.</w:t>
      </w:r>
    </w:p>
    <w:p w14:paraId="0E94FE2B" w14:textId="6C5A7282" w:rsidR="006A7785" w:rsidRDefault="006A7785" w:rsidP="00AC0D3A">
      <w:pPr>
        <w:spacing w:before="0" w:after="240"/>
        <w:rPr>
          <w:i/>
        </w:rPr>
      </w:pPr>
      <w:r w:rsidRPr="0043219B">
        <w:t xml:space="preserve">A Statement of Compatibility with Human Rights is </w:t>
      </w:r>
      <w:r>
        <w:t>in the</w:t>
      </w:r>
      <w:r w:rsidRPr="0043219B">
        <w:t xml:space="preserve"> </w:t>
      </w:r>
      <w:r w:rsidRPr="0043219B">
        <w:rPr>
          <w:u w:val="single"/>
        </w:rPr>
        <w:t>Attachment</w:t>
      </w:r>
      <w:r>
        <w:rPr>
          <w:u w:val="single"/>
        </w:rPr>
        <w:t>.</w:t>
      </w:r>
    </w:p>
    <w:p w14:paraId="1E446CF3" w14:textId="77777777" w:rsidR="00616D1C" w:rsidRDefault="00616D1C">
      <w:pPr>
        <w:spacing w:before="0" w:after="0"/>
        <w:rPr>
          <w:i/>
        </w:rPr>
      </w:pPr>
      <w:r>
        <w:rPr>
          <w:i/>
        </w:rPr>
        <w:br w:type="page"/>
      </w:r>
    </w:p>
    <w:p w14:paraId="0A7C0312" w14:textId="515EF9A1" w:rsidR="00616D1C" w:rsidRDefault="00616D1C" w:rsidP="00616D1C">
      <w:pPr>
        <w:spacing w:before="0" w:after="240"/>
        <w:jc w:val="right"/>
        <w:rPr>
          <w:b/>
          <w:u w:val="single"/>
        </w:rPr>
      </w:pPr>
      <w:r w:rsidRPr="00DF4308">
        <w:rPr>
          <w:b/>
          <w:u w:val="single"/>
        </w:rPr>
        <w:lastRenderedPageBreak/>
        <w:t>ATTACHMENT</w:t>
      </w:r>
    </w:p>
    <w:p w14:paraId="528E7166" w14:textId="77777777" w:rsidR="00616D1C" w:rsidRDefault="00616D1C" w:rsidP="00616D1C">
      <w:pPr>
        <w:keepNext/>
        <w:rPr>
          <w:b/>
          <w:kern w:val="28"/>
        </w:rPr>
      </w:pPr>
      <w:r>
        <w:rPr>
          <w:b/>
          <w:kern w:val="28"/>
        </w:rPr>
        <w:t>Statement of Compatibility with Human Rights</w:t>
      </w:r>
    </w:p>
    <w:p w14:paraId="3DA1482C" w14:textId="77777777" w:rsidR="00616D1C" w:rsidRPr="00EE3047" w:rsidRDefault="00616D1C" w:rsidP="00616D1C">
      <w:pPr>
        <w:spacing w:before="240"/>
        <w:jc w:val="center"/>
      </w:pPr>
      <w:r>
        <w:rPr>
          <w:i/>
        </w:rPr>
        <w:t xml:space="preserve">Prepared in accordance with Part 3 of the Human Rights (Parliamentary Scrutiny) Act 2011 </w:t>
      </w:r>
      <w:r>
        <w:t>(Human Rights Act)</w:t>
      </w:r>
    </w:p>
    <w:p w14:paraId="21CD730A" w14:textId="77777777" w:rsidR="0003625F" w:rsidRDefault="0003625F" w:rsidP="00616D1C">
      <w:pPr>
        <w:spacing w:before="240"/>
        <w:rPr>
          <w:b/>
          <w:i/>
          <w:kern w:val="28"/>
        </w:rPr>
      </w:pPr>
      <w:r w:rsidRPr="0003625F">
        <w:rPr>
          <w:b/>
          <w:i/>
          <w:kern w:val="28"/>
        </w:rPr>
        <w:t>Treasury Laws Amendment (Acquisition as Consumer—Financial Thresholds) Regulations 2020</w:t>
      </w:r>
    </w:p>
    <w:p w14:paraId="7FB83D3F" w14:textId="74CAC3FB" w:rsidR="00616D1C" w:rsidRDefault="00616D1C" w:rsidP="00616D1C">
      <w:pPr>
        <w:spacing w:before="240"/>
      </w:pPr>
      <w:r>
        <w:t xml:space="preserve">This Legislative Instrument is compatible with the human rights and freedoms recognised or declared in the international instruments listed in section 3 of the </w:t>
      </w:r>
      <w:r w:rsidRPr="00EE3047">
        <w:t>Human Rights Act</w:t>
      </w:r>
      <w:r w:rsidRPr="00757495">
        <w:t>.</w:t>
      </w:r>
    </w:p>
    <w:p w14:paraId="5A1294D8" w14:textId="77777777" w:rsidR="00616D1C" w:rsidRDefault="00616D1C" w:rsidP="00616D1C">
      <w:pPr>
        <w:keepNext/>
        <w:tabs>
          <w:tab w:val="left" w:pos="1987"/>
        </w:tabs>
        <w:spacing w:before="240"/>
        <w:outlineLvl w:val="2"/>
        <w:rPr>
          <w:b/>
          <w:kern w:val="28"/>
        </w:rPr>
      </w:pPr>
      <w:r>
        <w:rPr>
          <w:b/>
          <w:kern w:val="28"/>
        </w:rPr>
        <w:t>Overview of the Legislative Instrument</w:t>
      </w:r>
    </w:p>
    <w:p w14:paraId="15E4FF28" w14:textId="53FBCB38" w:rsidR="00616D1C" w:rsidRPr="0003625F" w:rsidRDefault="00616D1C" w:rsidP="00616D1C">
      <w:pPr>
        <w:spacing w:before="240"/>
      </w:pPr>
      <w:r w:rsidRPr="0003625F">
        <w:t xml:space="preserve">The Regulations </w:t>
      </w:r>
      <w:r w:rsidR="0003625F" w:rsidRPr="0003625F">
        <w:rPr>
          <w:color w:val="000000"/>
        </w:rPr>
        <w:t xml:space="preserve">amends the </w:t>
      </w:r>
      <w:r w:rsidR="0003625F" w:rsidRPr="0003625F">
        <w:rPr>
          <w:i/>
          <w:color w:val="000000"/>
        </w:rPr>
        <w:t>Competition and Consumer Regulations 2010</w:t>
      </w:r>
      <w:r w:rsidR="0003625F" w:rsidRPr="0003625F">
        <w:rPr>
          <w:color w:val="000000"/>
        </w:rPr>
        <w:t xml:space="preserve"> (CC Regulations) to increase the monetary threshold in the </w:t>
      </w:r>
      <w:r w:rsidR="0003625F" w:rsidRPr="0003625F">
        <w:t xml:space="preserve">definition of ‘consumer’ for the purposes of the Australian Consumer Law (ACL), which is Schedule 2 to the </w:t>
      </w:r>
      <w:r w:rsidR="0003625F" w:rsidRPr="0003625F">
        <w:rPr>
          <w:i/>
          <w:color w:val="000000"/>
        </w:rPr>
        <w:t>Competition and Consumer Act 2010</w:t>
      </w:r>
      <w:r w:rsidR="0003625F" w:rsidRPr="0003625F">
        <w:t xml:space="preserve">. It also amends the </w:t>
      </w:r>
      <w:r w:rsidR="0003625F" w:rsidRPr="0003625F">
        <w:rPr>
          <w:i/>
        </w:rPr>
        <w:t>Australian Securities and Investments Commission Regulations 2001</w:t>
      </w:r>
      <w:r w:rsidR="0003625F" w:rsidRPr="0003625F">
        <w:t xml:space="preserve"> (ASIC Regulations) which contain mirror consumer protection provisions for financial products and services.</w:t>
      </w:r>
      <w:r w:rsidRPr="0003625F">
        <w:t xml:space="preserve"> </w:t>
      </w:r>
    </w:p>
    <w:p w14:paraId="672D5774" w14:textId="7725C47B" w:rsidR="003D064B" w:rsidRPr="00574FFA" w:rsidRDefault="003D064B" w:rsidP="003D064B">
      <w:pPr>
        <w:rPr>
          <w:color w:val="000000"/>
        </w:rPr>
      </w:pPr>
      <w:r>
        <w:rPr>
          <w:color w:val="000000"/>
        </w:rPr>
        <w:t xml:space="preserve">The change to the monetary threshold was recommended in proposal 15 of the </w:t>
      </w:r>
      <w:r w:rsidRPr="002A2284">
        <w:rPr>
          <w:i/>
          <w:color w:val="000000"/>
        </w:rPr>
        <w:t>Australian Consumer Law Review</w:t>
      </w:r>
      <w:r>
        <w:rPr>
          <w:color w:val="000000"/>
        </w:rPr>
        <w:t xml:space="preserve"> (ACL Review)</w:t>
      </w:r>
      <w:r w:rsidRPr="007657C3">
        <w:rPr>
          <w:color w:val="000000"/>
        </w:rPr>
        <w:t xml:space="preserve"> </w:t>
      </w:r>
      <w:r>
        <w:rPr>
          <w:color w:val="000000"/>
        </w:rPr>
        <w:t>in March 2017</w:t>
      </w:r>
      <w:r>
        <w:rPr>
          <w:i/>
          <w:color w:val="000000"/>
        </w:rPr>
        <w:t xml:space="preserve">. </w:t>
      </w:r>
      <w:r>
        <w:rPr>
          <w:color w:val="000000"/>
        </w:rPr>
        <w:t>C</w:t>
      </w:r>
      <w:r w:rsidRPr="002A2284">
        <w:rPr>
          <w:color w:val="000000"/>
        </w:rPr>
        <w:t>onsumer affairs ministers, through the Legislative and Governance Forum on Consumer Affairs</w:t>
      </w:r>
      <w:r>
        <w:rPr>
          <w:color w:val="000000"/>
        </w:rPr>
        <w:t>, agreed to increase the monetary threshold at their meeting in</w:t>
      </w:r>
      <w:r w:rsidRPr="00076EA7">
        <w:rPr>
          <w:color w:val="000000"/>
        </w:rPr>
        <w:t xml:space="preserve"> October 2018</w:t>
      </w:r>
      <w:r>
        <w:rPr>
          <w:color w:val="000000"/>
        </w:rPr>
        <w:t xml:space="preserve">, to </w:t>
      </w:r>
      <w:r w:rsidRPr="000546A3">
        <w:rPr>
          <w:color w:val="000000"/>
        </w:rPr>
        <w:t>restore the real value of the monetary threshold that has remained unchanged since 1986</w:t>
      </w:r>
      <w:r>
        <w:rPr>
          <w:color w:val="000000"/>
        </w:rPr>
        <w:t xml:space="preserve">. </w:t>
      </w:r>
    </w:p>
    <w:p w14:paraId="4F34C8D9" w14:textId="77777777" w:rsidR="00616D1C" w:rsidRDefault="00616D1C" w:rsidP="00616D1C">
      <w:pPr>
        <w:keepNext/>
        <w:tabs>
          <w:tab w:val="left" w:pos="1987"/>
        </w:tabs>
        <w:spacing w:before="240"/>
        <w:outlineLvl w:val="2"/>
        <w:rPr>
          <w:b/>
          <w:kern w:val="28"/>
        </w:rPr>
      </w:pPr>
      <w:r>
        <w:rPr>
          <w:b/>
          <w:kern w:val="28"/>
        </w:rPr>
        <w:t>Human rights implications</w:t>
      </w:r>
    </w:p>
    <w:p w14:paraId="370A0C37" w14:textId="77777777" w:rsidR="00616D1C" w:rsidRDefault="00616D1C" w:rsidP="00616D1C">
      <w:pPr>
        <w:spacing w:before="240"/>
      </w:pPr>
      <w:r>
        <w:t>This Legislative Instrument does not engage any of the applicable rights or freedoms. Consideration has been given to the international conventions as set out in section 3 of the Human Rights Act.</w:t>
      </w:r>
    </w:p>
    <w:p w14:paraId="17837C97" w14:textId="77777777" w:rsidR="00616D1C" w:rsidRPr="00647BB7" w:rsidRDefault="00616D1C" w:rsidP="00616D1C">
      <w:pPr>
        <w:spacing w:before="240"/>
      </w:pPr>
      <w:r>
        <w:t xml:space="preserve">This Legislative Instrument does not impose or amend penalty provisions, nor does it apply retrospectively or concern privacy rights of individuals or groups of people. </w:t>
      </w:r>
    </w:p>
    <w:p w14:paraId="2A4F61D5" w14:textId="77777777" w:rsidR="00616D1C" w:rsidRDefault="00616D1C" w:rsidP="00616D1C">
      <w:pPr>
        <w:keepNext/>
        <w:tabs>
          <w:tab w:val="left" w:pos="1987"/>
        </w:tabs>
        <w:spacing w:before="240"/>
        <w:outlineLvl w:val="2"/>
        <w:rPr>
          <w:b/>
          <w:kern w:val="28"/>
        </w:rPr>
      </w:pPr>
      <w:r>
        <w:rPr>
          <w:b/>
          <w:kern w:val="28"/>
        </w:rPr>
        <w:t>Conclusion</w:t>
      </w:r>
    </w:p>
    <w:p w14:paraId="1C56E2B3" w14:textId="061E062A" w:rsidR="00482B81" w:rsidRPr="00EA4DD8" w:rsidRDefault="00616D1C" w:rsidP="00616D1C">
      <w:pPr>
        <w:spacing w:before="240"/>
      </w:pPr>
      <w:r>
        <w:t>This Legislative Instrument is compatible with human rights as it does not raise any human rights issues.</w:t>
      </w:r>
    </w:p>
    <w:sectPr w:rsidR="00482B81" w:rsidRPr="00EA4DD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1B584" w14:textId="77777777" w:rsidR="00C95F16" w:rsidRDefault="00C95F16" w:rsidP="00954679">
      <w:pPr>
        <w:spacing w:before="0" w:after="0"/>
      </w:pPr>
      <w:r>
        <w:separator/>
      </w:r>
    </w:p>
  </w:endnote>
  <w:endnote w:type="continuationSeparator" w:id="0">
    <w:p w14:paraId="35BC115B" w14:textId="77777777" w:rsidR="00C95F16" w:rsidRDefault="00C95F16" w:rsidP="00954679">
      <w:pPr>
        <w:spacing w:before="0" w:after="0"/>
      </w:pPr>
      <w:r>
        <w:continuationSeparator/>
      </w:r>
    </w:p>
  </w:endnote>
  <w:endnote w:type="continuationNotice" w:id="1">
    <w:p w14:paraId="1B1366BA" w14:textId="77777777" w:rsidR="00C95F16" w:rsidRDefault="00C95F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E283281" w14:textId="39DCA442" w:rsidR="00C95F16" w:rsidRDefault="00C95F1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10BA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10BA5">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1F2D8" w14:textId="77777777" w:rsidR="00C95F16" w:rsidRDefault="00C95F16" w:rsidP="00954679">
      <w:pPr>
        <w:spacing w:before="0" w:after="0"/>
      </w:pPr>
      <w:r>
        <w:separator/>
      </w:r>
    </w:p>
  </w:footnote>
  <w:footnote w:type="continuationSeparator" w:id="0">
    <w:p w14:paraId="04069ACD" w14:textId="77777777" w:rsidR="00C95F16" w:rsidRDefault="00C95F16" w:rsidP="00954679">
      <w:pPr>
        <w:spacing w:before="0" w:after="0"/>
      </w:pPr>
      <w:r>
        <w:continuationSeparator/>
      </w:r>
    </w:p>
  </w:footnote>
  <w:footnote w:type="continuationNotice" w:id="1">
    <w:p w14:paraId="5B667D30" w14:textId="77777777" w:rsidR="00C95F16" w:rsidRDefault="00C95F1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68504A4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28"/>
    <w:rsid w:val="000035D8"/>
    <w:rsid w:val="00013390"/>
    <w:rsid w:val="00015637"/>
    <w:rsid w:val="00016EA2"/>
    <w:rsid w:val="00021949"/>
    <w:rsid w:val="0003625F"/>
    <w:rsid w:val="00044EDF"/>
    <w:rsid w:val="000546A3"/>
    <w:rsid w:val="00076178"/>
    <w:rsid w:val="00076EA7"/>
    <w:rsid w:val="00092C27"/>
    <w:rsid w:val="00095211"/>
    <w:rsid w:val="000B39A1"/>
    <w:rsid w:val="000B5683"/>
    <w:rsid w:val="000C10DF"/>
    <w:rsid w:val="000C6935"/>
    <w:rsid w:val="000D6A7C"/>
    <w:rsid w:val="000E3BB3"/>
    <w:rsid w:val="001009D0"/>
    <w:rsid w:val="00113B45"/>
    <w:rsid w:val="00125583"/>
    <w:rsid w:val="0013480A"/>
    <w:rsid w:val="001476A9"/>
    <w:rsid w:val="001856C6"/>
    <w:rsid w:val="001864AE"/>
    <w:rsid w:val="001A0896"/>
    <w:rsid w:val="001B7535"/>
    <w:rsid w:val="001C69FD"/>
    <w:rsid w:val="001C6CF1"/>
    <w:rsid w:val="001D1335"/>
    <w:rsid w:val="001D7DBF"/>
    <w:rsid w:val="001E6A74"/>
    <w:rsid w:val="001F1450"/>
    <w:rsid w:val="001F1A15"/>
    <w:rsid w:val="001F41D0"/>
    <w:rsid w:val="0020453B"/>
    <w:rsid w:val="002060DE"/>
    <w:rsid w:val="00220F16"/>
    <w:rsid w:val="0022361B"/>
    <w:rsid w:val="002358FB"/>
    <w:rsid w:val="00254C5B"/>
    <w:rsid w:val="0026706B"/>
    <w:rsid w:val="00293DC1"/>
    <w:rsid w:val="002A2284"/>
    <w:rsid w:val="002A7E1F"/>
    <w:rsid w:val="002B1D9B"/>
    <w:rsid w:val="002C226C"/>
    <w:rsid w:val="002D4535"/>
    <w:rsid w:val="003041FA"/>
    <w:rsid w:val="003241DD"/>
    <w:rsid w:val="00326AB7"/>
    <w:rsid w:val="003342CD"/>
    <w:rsid w:val="00335042"/>
    <w:rsid w:val="00340C54"/>
    <w:rsid w:val="003422BA"/>
    <w:rsid w:val="00362B70"/>
    <w:rsid w:val="00363128"/>
    <w:rsid w:val="0038014C"/>
    <w:rsid w:val="003874B1"/>
    <w:rsid w:val="00392BBA"/>
    <w:rsid w:val="003954FD"/>
    <w:rsid w:val="003A3BAC"/>
    <w:rsid w:val="003C1027"/>
    <w:rsid w:val="003C7907"/>
    <w:rsid w:val="003C7C25"/>
    <w:rsid w:val="003D064B"/>
    <w:rsid w:val="003D60D7"/>
    <w:rsid w:val="003E1CE3"/>
    <w:rsid w:val="003F3A6E"/>
    <w:rsid w:val="00405674"/>
    <w:rsid w:val="00406A4F"/>
    <w:rsid w:val="004343C7"/>
    <w:rsid w:val="004520DA"/>
    <w:rsid w:val="00454A57"/>
    <w:rsid w:val="00462095"/>
    <w:rsid w:val="00473026"/>
    <w:rsid w:val="00475A80"/>
    <w:rsid w:val="00482B81"/>
    <w:rsid w:val="00482D4C"/>
    <w:rsid w:val="00492200"/>
    <w:rsid w:val="004A307A"/>
    <w:rsid w:val="004A5F0E"/>
    <w:rsid w:val="004B3C0F"/>
    <w:rsid w:val="004B6831"/>
    <w:rsid w:val="004C05E4"/>
    <w:rsid w:val="004C25B7"/>
    <w:rsid w:val="004C4872"/>
    <w:rsid w:val="004C6E25"/>
    <w:rsid w:val="004E383A"/>
    <w:rsid w:val="004E39E1"/>
    <w:rsid w:val="004E5C16"/>
    <w:rsid w:val="004F3AB7"/>
    <w:rsid w:val="004F56D0"/>
    <w:rsid w:val="00503E44"/>
    <w:rsid w:val="00504476"/>
    <w:rsid w:val="00504BC4"/>
    <w:rsid w:val="00515283"/>
    <w:rsid w:val="005171F5"/>
    <w:rsid w:val="005262D8"/>
    <w:rsid w:val="00533926"/>
    <w:rsid w:val="005426A1"/>
    <w:rsid w:val="00542D03"/>
    <w:rsid w:val="0055675D"/>
    <w:rsid w:val="00563431"/>
    <w:rsid w:val="00566E8F"/>
    <w:rsid w:val="00566F2C"/>
    <w:rsid w:val="0057422E"/>
    <w:rsid w:val="00574FFA"/>
    <w:rsid w:val="005833BE"/>
    <w:rsid w:val="005C4CCC"/>
    <w:rsid w:val="005D7909"/>
    <w:rsid w:val="005D7D5A"/>
    <w:rsid w:val="005E4BAC"/>
    <w:rsid w:val="005F44AE"/>
    <w:rsid w:val="005F72F1"/>
    <w:rsid w:val="0060130D"/>
    <w:rsid w:val="00610BA5"/>
    <w:rsid w:val="00616D1C"/>
    <w:rsid w:val="00620906"/>
    <w:rsid w:val="00625FFB"/>
    <w:rsid w:val="006300D3"/>
    <w:rsid w:val="00637A36"/>
    <w:rsid w:val="0064129F"/>
    <w:rsid w:val="00643E69"/>
    <w:rsid w:val="00647BB7"/>
    <w:rsid w:val="00654050"/>
    <w:rsid w:val="00654084"/>
    <w:rsid w:val="00663938"/>
    <w:rsid w:val="00664ED4"/>
    <w:rsid w:val="0066536D"/>
    <w:rsid w:val="00680297"/>
    <w:rsid w:val="00685E54"/>
    <w:rsid w:val="006873CE"/>
    <w:rsid w:val="006935C3"/>
    <w:rsid w:val="00694AE9"/>
    <w:rsid w:val="00696562"/>
    <w:rsid w:val="006A0786"/>
    <w:rsid w:val="006A76B6"/>
    <w:rsid w:val="006A7785"/>
    <w:rsid w:val="006B7843"/>
    <w:rsid w:val="006E554C"/>
    <w:rsid w:val="006F7B11"/>
    <w:rsid w:val="00700581"/>
    <w:rsid w:val="00706B62"/>
    <w:rsid w:val="00710E94"/>
    <w:rsid w:val="00715FAB"/>
    <w:rsid w:val="00726DFB"/>
    <w:rsid w:val="00727D8A"/>
    <w:rsid w:val="00731FEA"/>
    <w:rsid w:val="0073606A"/>
    <w:rsid w:val="00736F61"/>
    <w:rsid w:val="0074144E"/>
    <w:rsid w:val="00742253"/>
    <w:rsid w:val="00745ACF"/>
    <w:rsid w:val="00745C4A"/>
    <w:rsid w:val="00761748"/>
    <w:rsid w:val="007657C3"/>
    <w:rsid w:val="007662C7"/>
    <w:rsid w:val="00776306"/>
    <w:rsid w:val="0077756F"/>
    <w:rsid w:val="00780921"/>
    <w:rsid w:val="00786A0B"/>
    <w:rsid w:val="00792365"/>
    <w:rsid w:val="007956DF"/>
    <w:rsid w:val="007A4654"/>
    <w:rsid w:val="007A55A7"/>
    <w:rsid w:val="007B1F10"/>
    <w:rsid w:val="007B335E"/>
    <w:rsid w:val="007B3B46"/>
    <w:rsid w:val="007D1D2C"/>
    <w:rsid w:val="007D2BD7"/>
    <w:rsid w:val="007E018D"/>
    <w:rsid w:val="007F1B71"/>
    <w:rsid w:val="00807E7D"/>
    <w:rsid w:val="00810705"/>
    <w:rsid w:val="008272FC"/>
    <w:rsid w:val="008314AB"/>
    <w:rsid w:val="00831675"/>
    <w:rsid w:val="008424F8"/>
    <w:rsid w:val="00842599"/>
    <w:rsid w:val="00851B4F"/>
    <w:rsid w:val="00856ACD"/>
    <w:rsid w:val="0086137E"/>
    <w:rsid w:val="00861CF4"/>
    <w:rsid w:val="00872345"/>
    <w:rsid w:val="008838FB"/>
    <w:rsid w:val="0088467C"/>
    <w:rsid w:val="00894579"/>
    <w:rsid w:val="008A0F5A"/>
    <w:rsid w:val="008A5B67"/>
    <w:rsid w:val="008B6A2A"/>
    <w:rsid w:val="008C5644"/>
    <w:rsid w:val="008C7124"/>
    <w:rsid w:val="008D16F7"/>
    <w:rsid w:val="008D398C"/>
    <w:rsid w:val="008E1427"/>
    <w:rsid w:val="008F0168"/>
    <w:rsid w:val="009143A0"/>
    <w:rsid w:val="00917BE9"/>
    <w:rsid w:val="00936902"/>
    <w:rsid w:val="00954679"/>
    <w:rsid w:val="009A666B"/>
    <w:rsid w:val="009B0A06"/>
    <w:rsid w:val="009C3F30"/>
    <w:rsid w:val="009C6A1E"/>
    <w:rsid w:val="009E208F"/>
    <w:rsid w:val="009E2F86"/>
    <w:rsid w:val="009E5A2A"/>
    <w:rsid w:val="009F1E8E"/>
    <w:rsid w:val="00A101F1"/>
    <w:rsid w:val="00A12209"/>
    <w:rsid w:val="00A13147"/>
    <w:rsid w:val="00A36DF3"/>
    <w:rsid w:val="00A532DD"/>
    <w:rsid w:val="00A6151B"/>
    <w:rsid w:val="00A6535E"/>
    <w:rsid w:val="00A65A42"/>
    <w:rsid w:val="00A80BCF"/>
    <w:rsid w:val="00A82D10"/>
    <w:rsid w:val="00A8369C"/>
    <w:rsid w:val="00A923E7"/>
    <w:rsid w:val="00A96A5B"/>
    <w:rsid w:val="00AA1689"/>
    <w:rsid w:val="00AA5770"/>
    <w:rsid w:val="00AA57DE"/>
    <w:rsid w:val="00AC0D3A"/>
    <w:rsid w:val="00AC1D15"/>
    <w:rsid w:val="00AD458B"/>
    <w:rsid w:val="00AE089F"/>
    <w:rsid w:val="00B07B0C"/>
    <w:rsid w:val="00B15C77"/>
    <w:rsid w:val="00B25563"/>
    <w:rsid w:val="00B2572E"/>
    <w:rsid w:val="00B264EA"/>
    <w:rsid w:val="00B26D48"/>
    <w:rsid w:val="00B42EE1"/>
    <w:rsid w:val="00B45D9F"/>
    <w:rsid w:val="00B57BD3"/>
    <w:rsid w:val="00B61E70"/>
    <w:rsid w:val="00B73254"/>
    <w:rsid w:val="00B8293D"/>
    <w:rsid w:val="00B86EF3"/>
    <w:rsid w:val="00B91AB3"/>
    <w:rsid w:val="00B92478"/>
    <w:rsid w:val="00B94A56"/>
    <w:rsid w:val="00BA6188"/>
    <w:rsid w:val="00BD1F84"/>
    <w:rsid w:val="00BD597E"/>
    <w:rsid w:val="00BD61A2"/>
    <w:rsid w:val="00BE484D"/>
    <w:rsid w:val="00BE6CCC"/>
    <w:rsid w:val="00BF3989"/>
    <w:rsid w:val="00BF7F60"/>
    <w:rsid w:val="00C37E05"/>
    <w:rsid w:val="00C461E0"/>
    <w:rsid w:val="00C548DF"/>
    <w:rsid w:val="00C55D29"/>
    <w:rsid w:val="00C7537C"/>
    <w:rsid w:val="00C8342B"/>
    <w:rsid w:val="00C91A61"/>
    <w:rsid w:val="00C95EA1"/>
    <w:rsid w:val="00C95F16"/>
    <w:rsid w:val="00C970B6"/>
    <w:rsid w:val="00CA07D0"/>
    <w:rsid w:val="00CA0BE9"/>
    <w:rsid w:val="00CA138D"/>
    <w:rsid w:val="00CA310C"/>
    <w:rsid w:val="00CC3B63"/>
    <w:rsid w:val="00CC4E82"/>
    <w:rsid w:val="00CC7641"/>
    <w:rsid w:val="00CE3485"/>
    <w:rsid w:val="00D0392D"/>
    <w:rsid w:val="00D10CCD"/>
    <w:rsid w:val="00D13794"/>
    <w:rsid w:val="00D24052"/>
    <w:rsid w:val="00D24386"/>
    <w:rsid w:val="00D31575"/>
    <w:rsid w:val="00D34626"/>
    <w:rsid w:val="00D34FB4"/>
    <w:rsid w:val="00D410F7"/>
    <w:rsid w:val="00D4257A"/>
    <w:rsid w:val="00D44B08"/>
    <w:rsid w:val="00D44CC1"/>
    <w:rsid w:val="00D47781"/>
    <w:rsid w:val="00D568EB"/>
    <w:rsid w:val="00D62665"/>
    <w:rsid w:val="00D6400D"/>
    <w:rsid w:val="00D82E47"/>
    <w:rsid w:val="00DA6651"/>
    <w:rsid w:val="00DB79D4"/>
    <w:rsid w:val="00DC0CDE"/>
    <w:rsid w:val="00DC4D72"/>
    <w:rsid w:val="00E0624D"/>
    <w:rsid w:val="00E233FB"/>
    <w:rsid w:val="00E35C39"/>
    <w:rsid w:val="00E4438C"/>
    <w:rsid w:val="00E457F3"/>
    <w:rsid w:val="00E50A82"/>
    <w:rsid w:val="00E65674"/>
    <w:rsid w:val="00E66F75"/>
    <w:rsid w:val="00E8696E"/>
    <w:rsid w:val="00EA1327"/>
    <w:rsid w:val="00EA4DD8"/>
    <w:rsid w:val="00EB2AEF"/>
    <w:rsid w:val="00EB7E71"/>
    <w:rsid w:val="00EC2054"/>
    <w:rsid w:val="00EE32EA"/>
    <w:rsid w:val="00EF2421"/>
    <w:rsid w:val="00EF2E16"/>
    <w:rsid w:val="00EF4694"/>
    <w:rsid w:val="00EF7CCB"/>
    <w:rsid w:val="00F0637C"/>
    <w:rsid w:val="00F109D4"/>
    <w:rsid w:val="00F15EE9"/>
    <w:rsid w:val="00F21088"/>
    <w:rsid w:val="00F213AF"/>
    <w:rsid w:val="00F22B2B"/>
    <w:rsid w:val="00F25D09"/>
    <w:rsid w:val="00F27565"/>
    <w:rsid w:val="00F47585"/>
    <w:rsid w:val="00F7221F"/>
    <w:rsid w:val="00F85E6F"/>
    <w:rsid w:val="00F92520"/>
    <w:rsid w:val="00F92F0E"/>
    <w:rsid w:val="00FA4E6E"/>
    <w:rsid w:val="00FB474F"/>
    <w:rsid w:val="00FC20E3"/>
    <w:rsid w:val="00FC673F"/>
    <w:rsid w:val="00FC69F4"/>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B2929A5"/>
  <w15:docId w15:val="{E92B9EB6-87B4-4CE5-B1E9-90B5EAE3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4B"/>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bullet0">
    <w:name w:val="bullet"/>
    <w:basedOn w:val="Normal"/>
    <w:rsid w:val="009B0A06"/>
    <w:pPr>
      <w:spacing w:before="100" w:beforeAutospacing="1" w:after="100" w:afterAutospacing="1"/>
    </w:pPr>
    <w:rPr>
      <w:szCs w:val="24"/>
    </w:rPr>
  </w:style>
  <w:style w:type="paragraph" w:styleId="Revision">
    <w:name w:val="Revision"/>
    <w:hidden/>
    <w:uiPriority w:val="99"/>
    <w:semiHidden/>
    <w:rsid w:val="008B6A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987">
      <w:bodyDiv w:val="1"/>
      <w:marLeft w:val="0"/>
      <w:marRight w:val="0"/>
      <w:marTop w:val="0"/>
      <w:marBottom w:val="0"/>
      <w:divBdr>
        <w:top w:val="none" w:sz="0" w:space="0" w:color="auto"/>
        <w:left w:val="none" w:sz="0" w:space="0" w:color="auto"/>
        <w:bottom w:val="none" w:sz="0" w:space="0" w:color="auto"/>
        <w:right w:val="none" w:sz="0" w:space="0" w:color="auto"/>
      </w:divBdr>
    </w:div>
    <w:div w:id="510871068">
      <w:bodyDiv w:val="1"/>
      <w:marLeft w:val="0"/>
      <w:marRight w:val="0"/>
      <w:marTop w:val="0"/>
      <w:marBottom w:val="0"/>
      <w:divBdr>
        <w:top w:val="none" w:sz="0" w:space="0" w:color="auto"/>
        <w:left w:val="none" w:sz="0" w:space="0" w:color="auto"/>
        <w:bottom w:val="none" w:sz="0" w:space="0" w:color="auto"/>
        <w:right w:val="none" w:sz="0" w:space="0" w:color="auto"/>
      </w:divBdr>
    </w:div>
    <w:div w:id="514852728">
      <w:bodyDiv w:val="1"/>
      <w:marLeft w:val="0"/>
      <w:marRight w:val="0"/>
      <w:marTop w:val="0"/>
      <w:marBottom w:val="0"/>
      <w:divBdr>
        <w:top w:val="none" w:sz="0" w:space="0" w:color="auto"/>
        <w:left w:val="none" w:sz="0" w:space="0" w:color="auto"/>
        <w:bottom w:val="none" w:sz="0" w:space="0" w:color="auto"/>
        <w:right w:val="none" w:sz="0" w:space="0" w:color="auto"/>
      </w:divBdr>
    </w:div>
    <w:div w:id="567810298">
      <w:bodyDiv w:val="1"/>
      <w:marLeft w:val="0"/>
      <w:marRight w:val="0"/>
      <w:marTop w:val="0"/>
      <w:marBottom w:val="0"/>
      <w:divBdr>
        <w:top w:val="none" w:sz="0" w:space="0" w:color="auto"/>
        <w:left w:val="none" w:sz="0" w:space="0" w:color="auto"/>
        <w:bottom w:val="none" w:sz="0" w:space="0" w:color="auto"/>
        <w:right w:val="none" w:sz="0" w:space="0" w:color="auto"/>
      </w:divBdr>
    </w:div>
    <w:div w:id="1011109300">
      <w:bodyDiv w:val="1"/>
      <w:marLeft w:val="0"/>
      <w:marRight w:val="0"/>
      <w:marTop w:val="0"/>
      <w:marBottom w:val="0"/>
      <w:divBdr>
        <w:top w:val="none" w:sz="0" w:space="0" w:color="auto"/>
        <w:left w:val="none" w:sz="0" w:space="0" w:color="auto"/>
        <w:bottom w:val="none" w:sz="0" w:space="0" w:color="auto"/>
        <w:right w:val="none" w:sz="0" w:space="0" w:color="auto"/>
      </w:divBdr>
    </w:div>
    <w:div w:id="104432586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263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is.pmc.gov.au/sites/default/files/posts/2018/11/3_consumer_guarantee_framework_decision_ris.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1C977558A64170AD9CEE0D5F909DFA"/>
        <w:category>
          <w:name w:val="General"/>
          <w:gallery w:val="placeholder"/>
        </w:category>
        <w:types>
          <w:type w:val="bbPlcHdr"/>
        </w:types>
        <w:behaviors>
          <w:behavior w:val="content"/>
        </w:behaviors>
        <w:guid w:val="{13A14F40-A776-4F53-87F1-1FCF86D1D628}"/>
      </w:docPartPr>
      <w:docPartBody>
        <w:p w:rsidR="008A52BF" w:rsidRDefault="002C57AA" w:rsidP="002C57AA">
          <w:pPr>
            <w:pStyle w:val="7A1C977558A64170AD9CEE0D5F909DF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AA"/>
    <w:rsid w:val="002C57AA"/>
    <w:rsid w:val="008A5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7AA"/>
    <w:rPr>
      <w:color w:val="808080"/>
    </w:rPr>
  </w:style>
  <w:style w:type="paragraph" w:customStyle="1" w:styleId="7A1C977558A64170AD9CEE0D5F909DFA">
    <w:name w:val="7A1C977558A64170AD9CEE0D5F909DFA"/>
    <w:rsid w:val="002C5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2020RG-111-14790</_dlc_DocId>
    <_dlc_DocIdUrl xmlns="0f563589-9cf9-4143-b1eb-fb0534803d38">
      <Url>http://tweb/sites/rg/ldp/lmu/_layouts/15/DocIdRedir.aspx?ID=2020RG-111-14790</Url>
      <Description>2020RG-111-14790</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0333" ma:contentTypeDescription=" " ma:contentTypeScope="" ma:versionID="8965d524e979abaa43b99be6a9b5d62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26BD57A6-AFF9-464D-8AFB-D91B4FAE0D64}"/>
</file>

<file path=customXml/itemProps5.xml><?xml version="1.0" encoding="utf-8"?>
<ds:datastoreItem xmlns:ds="http://schemas.openxmlformats.org/officeDocument/2006/customXml" ds:itemID="{53DB1491-861C-46B2-A130-A68838A921A5}">
  <ds:schemaRefs>
    <ds:schemaRef ds:uri="http://schemas.microsoft.com/sharepoint/events"/>
  </ds:schemaRefs>
</ds:datastoreItem>
</file>

<file path=customXml/itemProps6.xml><?xml version="1.0" encoding="utf-8"?>
<ds:datastoreItem xmlns:ds="http://schemas.openxmlformats.org/officeDocument/2006/customXml" ds:itemID="{EF45EDEE-0CD9-476F-A614-1C292881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Fields, Ruth</dc:creator>
  <cp:lastModifiedBy>Osborne, Lea</cp:lastModifiedBy>
  <cp:revision>4</cp:revision>
  <cp:lastPrinted>2019-02-17T23:23:00Z</cp:lastPrinted>
  <dcterms:created xsi:type="dcterms:W3CDTF">2020-06-12T00:55:00Z</dcterms:created>
  <dcterms:modified xsi:type="dcterms:W3CDTF">2020-06-12T01:39:00Z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ef02f774-c1dc-4701-8fb6-0f03de48bbb6</vt:lpwstr>
  </property>
  <property fmtid="{D5CDD505-2E9C-101B-9397-08002B2CF9AE}" pid="6" name="RecordPoint_WorkflowType">
    <vt:lpwstr>ActiveSubmitStub</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ActiveItemUniqueId">
    <vt:lpwstr>{ef02f774-c1dc-4701-8fb6-0f03de48bbb6}</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RecordNumberSubmitted">
    <vt:lpwstr>R0002281090</vt:lpwstr>
  </property>
  <property fmtid="{D5CDD505-2E9C-101B-9397-08002B2CF9AE}" pid="15" name="RecordPoint_SubmissionCompleted">
    <vt:lpwstr>2020-06-26T13:23:51.9301229+10:00</vt:lpwstr>
  </property>
</Properties>
</file>