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FE02" w14:textId="77777777" w:rsidR="005E317F" w:rsidRPr="00BC1A4D" w:rsidRDefault="005E317F" w:rsidP="005E317F">
      <w:pPr>
        <w:rPr>
          <w:sz w:val="28"/>
        </w:rPr>
      </w:pPr>
      <w:r w:rsidRPr="00BC1A4D">
        <w:rPr>
          <w:noProof/>
          <w:lang w:eastAsia="en-AU"/>
        </w:rPr>
        <w:drawing>
          <wp:inline distT="0" distB="0" distL="0" distR="0" wp14:anchorId="583EFE52" wp14:editId="583EFE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FE03" w14:textId="77777777" w:rsidR="005E317F" w:rsidRPr="00BC1A4D" w:rsidRDefault="005E317F" w:rsidP="005E317F">
      <w:pPr>
        <w:rPr>
          <w:sz w:val="19"/>
        </w:rPr>
      </w:pPr>
    </w:p>
    <w:p w14:paraId="583EFE04" w14:textId="77777777" w:rsidR="005E317F" w:rsidRPr="00BC1A4D" w:rsidRDefault="00B25799" w:rsidP="005E317F">
      <w:pPr>
        <w:pStyle w:val="ShortT"/>
      </w:pPr>
      <w:r w:rsidRPr="00BC1A4D">
        <w:t>Health Insurance</w:t>
      </w:r>
      <w:r w:rsidR="005E317F" w:rsidRPr="00BC1A4D">
        <w:t xml:space="preserve"> (</w:t>
      </w:r>
      <w:r w:rsidRPr="00BC1A4D">
        <w:t>Bonded Medical Program</w:t>
      </w:r>
      <w:r w:rsidR="005E317F" w:rsidRPr="00BC1A4D">
        <w:t xml:space="preserve">) </w:t>
      </w:r>
      <w:r w:rsidR="00DE60C9" w:rsidRPr="00BC1A4D">
        <w:rPr>
          <w:color w:val="000000" w:themeColor="text1"/>
        </w:rPr>
        <w:t xml:space="preserve">Amendment </w:t>
      </w:r>
      <w:r w:rsidRPr="00BC1A4D">
        <w:t>Rule</w:t>
      </w:r>
      <w:r w:rsidR="005E317F" w:rsidRPr="00BC1A4D">
        <w:t xml:space="preserve"> </w:t>
      </w:r>
      <w:r w:rsidRPr="00BC1A4D">
        <w:t>2020</w:t>
      </w:r>
    </w:p>
    <w:p w14:paraId="583EFE05" w14:textId="77777777" w:rsidR="005E317F" w:rsidRPr="00BC1A4D" w:rsidRDefault="005E317F" w:rsidP="005E317F">
      <w:pPr>
        <w:pStyle w:val="SignCoverPageStart"/>
        <w:spacing w:before="240"/>
        <w:ind w:right="91"/>
        <w:rPr>
          <w:szCs w:val="22"/>
        </w:rPr>
      </w:pPr>
      <w:r w:rsidRPr="00BC1A4D">
        <w:rPr>
          <w:szCs w:val="22"/>
        </w:rPr>
        <w:t xml:space="preserve">I, </w:t>
      </w:r>
      <w:r w:rsidR="00B818A2" w:rsidRPr="00BC1A4D">
        <w:rPr>
          <w:szCs w:val="22"/>
        </w:rPr>
        <w:t>Greg Hunt</w:t>
      </w:r>
      <w:r w:rsidRPr="00BC1A4D">
        <w:rPr>
          <w:szCs w:val="22"/>
        </w:rPr>
        <w:t xml:space="preserve">, </w:t>
      </w:r>
      <w:r w:rsidR="00B25799" w:rsidRPr="00BC1A4D">
        <w:rPr>
          <w:szCs w:val="22"/>
        </w:rPr>
        <w:t>Minister for Health</w:t>
      </w:r>
      <w:r w:rsidRPr="00BC1A4D">
        <w:rPr>
          <w:szCs w:val="22"/>
        </w:rPr>
        <w:t xml:space="preserve">, make the following </w:t>
      </w:r>
      <w:r w:rsidR="00B25799" w:rsidRPr="00BC1A4D">
        <w:rPr>
          <w:szCs w:val="22"/>
        </w:rPr>
        <w:t>Rule</w:t>
      </w:r>
      <w:r w:rsidR="002F181D" w:rsidRPr="00BC1A4D">
        <w:rPr>
          <w:szCs w:val="22"/>
        </w:rPr>
        <w:t>.</w:t>
      </w:r>
      <w:r w:rsidR="00D0539B" w:rsidRPr="00BC1A4D">
        <w:rPr>
          <w:szCs w:val="22"/>
        </w:rPr>
        <w:t xml:space="preserve"> </w:t>
      </w:r>
    </w:p>
    <w:p w14:paraId="583EFE06" w14:textId="63CCF42A" w:rsidR="00744301" w:rsidRPr="00BC1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C1A4D">
        <w:rPr>
          <w:szCs w:val="22"/>
        </w:rPr>
        <w:t>Dated</w:t>
      </w:r>
      <w:r w:rsidR="00825320" w:rsidRPr="00BC1A4D">
        <w:rPr>
          <w:szCs w:val="22"/>
        </w:rPr>
        <w:t xml:space="preserve"> 7 July 2020</w:t>
      </w:r>
      <w:r w:rsidRPr="00BC1A4D">
        <w:rPr>
          <w:szCs w:val="22"/>
        </w:rPr>
        <w:tab/>
      </w:r>
    </w:p>
    <w:p w14:paraId="583EFE07" w14:textId="77777777" w:rsidR="005E317F" w:rsidRPr="00BC1A4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83EFE08" w14:textId="77777777" w:rsidR="005E317F" w:rsidRPr="00BC1A4D" w:rsidRDefault="00B818A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C1A4D">
        <w:rPr>
          <w:szCs w:val="22"/>
        </w:rPr>
        <w:t>Greg Hunt</w:t>
      </w:r>
      <w:r w:rsidR="00B25799" w:rsidRPr="00BC1A4D">
        <w:rPr>
          <w:szCs w:val="22"/>
        </w:rPr>
        <w:tab/>
      </w:r>
    </w:p>
    <w:p w14:paraId="583EFE09" w14:textId="77777777" w:rsidR="005E317F" w:rsidRPr="00BC1A4D" w:rsidRDefault="002F181D" w:rsidP="005E317F">
      <w:pPr>
        <w:pStyle w:val="SignCoverPageEnd"/>
        <w:ind w:right="91"/>
        <w:rPr>
          <w:sz w:val="22"/>
        </w:rPr>
      </w:pPr>
      <w:r w:rsidRPr="00BC1A4D">
        <w:rPr>
          <w:sz w:val="22"/>
        </w:rPr>
        <w:t>Minister for Health</w:t>
      </w:r>
    </w:p>
    <w:p w14:paraId="583EFE0A" w14:textId="77777777" w:rsidR="00B20990" w:rsidRPr="00BC1A4D" w:rsidRDefault="00B20990" w:rsidP="00B20990"/>
    <w:p w14:paraId="583EFE0B" w14:textId="77777777" w:rsidR="00744301" w:rsidRPr="00BC1A4D" w:rsidRDefault="00744301" w:rsidP="00B20990"/>
    <w:p w14:paraId="583EFE0C" w14:textId="77777777" w:rsidR="00744301" w:rsidRPr="00BC1A4D" w:rsidRDefault="00744301" w:rsidP="00744301"/>
    <w:p w14:paraId="583EFE0D" w14:textId="77777777" w:rsidR="00744301" w:rsidRPr="00BC1A4D" w:rsidRDefault="00744301" w:rsidP="00744301"/>
    <w:p w14:paraId="583EFE0E" w14:textId="77777777" w:rsidR="00744301" w:rsidRPr="00BC1A4D" w:rsidRDefault="00744301" w:rsidP="00744301"/>
    <w:p w14:paraId="583EFE0F" w14:textId="77777777" w:rsidR="00744301" w:rsidRPr="00BC1A4D" w:rsidRDefault="00744301" w:rsidP="00744301"/>
    <w:p w14:paraId="583EFE10" w14:textId="77777777" w:rsidR="00744301" w:rsidRPr="00BC1A4D" w:rsidRDefault="00744301" w:rsidP="00744301">
      <w:pPr>
        <w:tabs>
          <w:tab w:val="left" w:pos="2635"/>
        </w:tabs>
      </w:pPr>
      <w:r w:rsidRPr="00BC1A4D">
        <w:tab/>
      </w:r>
    </w:p>
    <w:p w14:paraId="583EFE11" w14:textId="77777777" w:rsidR="00B20990" w:rsidRPr="00BC1A4D" w:rsidRDefault="00744301" w:rsidP="00744301">
      <w:pPr>
        <w:tabs>
          <w:tab w:val="left" w:pos="2635"/>
        </w:tabs>
        <w:sectPr w:rsidR="00B20990" w:rsidRPr="00BC1A4D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BC1A4D">
        <w:tab/>
      </w:r>
    </w:p>
    <w:p w14:paraId="583EFE12" w14:textId="77777777" w:rsidR="00B20990" w:rsidRPr="00BC1A4D" w:rsidRDefault="00B20990" w:rsidP="00B20990">
      <w:pPr>
        <w:outlineLvl w:val="0"/>
        <w:rPr>
          <w:sz w:val="36"/>
        </w:rPr>
      </w:pPr>
      <w:r w:rsidRPr="00BC1A4D">
        <w:rPr>
          <w:sz w:val="36"/>
        </w:rPr>
        <w:lastRenderedPageBreak/>
        <w:t>Contents</w:t>
      </w:r>
    </w:p>
    <w:bookmarkStart w:id="0" w:name="BKCheck15B_2"/>
    <w:bookmarkEnd w:id="0"/>
    <w:p w14:paraId="5F1E62FD" w14:textId="6A1BFA23" w:rsidR="001D465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1A4D">
        <w:fldChar w:fldCharType="begin"/>
      </w:r>
      <w:r w:rsidRPr="00BC1A4D">
        <w:instrText xml:space="preserve"> TOC \o "1-9" </w:instrText>
      </w:r>
      <w:r w:rsidRPr="00BC1A4D">
        <w:fldChar w:fldCharType="separate"/>
      </w:r>
      <w:bookmarkStart w:id="1" w:name="_GoBack"/>
      <w:bookmarkEnd w:id="1"/>
      <w:r w:rsidR="001D4652">
        <w:rPr>
          <w:noProof/>
        </w:rPr>
        <w:t>1  Name</w:t>
      </w:r>
      <w:r w:rsidR="001D4652">
        <w:rPr>
          <w:noProof/>
        </w:rPr>
        <w:tab/>
      </w:r>
      <w:r w:rsidR="001D4652">
        <w:rPr>
          <w:noProof/>
        </w:rPr>
        <w:fldChar w:fldCharType="begin"/>
      </w:r>
      <w:r w:rsidR="001D4652">
        <w:rPr>
          <w:noProof/>
        </w:rPr>
        <w:instrText xml:space="preserve"> PAGEREF _Toc45624720 \h </w:instrText>
      </w:r>
      <w:r w:rsidR="001D4652">
        <w:rPr>
          <w:noProof/>
        </w:rPr>
      </w:r>
      <w:r w:rsidR="001D4652">
        <w:rPr>
          <w:noProof/>
        </w:rPr>
        <w:fldChar w:fldCharType="separate"/>
      </w:r>
      <w:r w:rsidR="001D4652">
        <w:rPr>
          <w:noProof/>
        </w:rPr>
        <w:t>1</w:t>
      </w:r>
      <w:r w:rsidR="001D4652">
        <w:rPr>
          <w:noProof/>
        </w:rPr>
        <w:fldChar w:fldCharType="end"/>
      </w:r>
    </w:p>
    <w:p w14:paraId="2BC87ECB" w14:textId="5D35226B" w:rsidR="001D4652" w:rsidRDefault="001D46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B50764" w14:textId="5EFF9EF9" w:rsidR="001D4652" w:rsidRDefault="001D46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E95268" w14:textId="7613AD73" w:rsidR="001D4652" w:rsidRDefault="001D46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0B39C6" w14:textId="7639944C" w:rsidR="001D4652" w:rsidRDefault="001D46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B41A2C" w14:textId="7C2FD704" w:rsidR="001D4652" w:rsidRDefault="001D46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(Bonded Medical Program) Rule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_Toc45624725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3EFE19" w14:textId="30AFB0CD" w:rsidR="00B20990" w:rsidRPr="00BC1A4D" w:rsidRDefault="00B20990" w:rsidP="005E317F">
      <w:r w:rsidRPr="00BC1A4D">
        <w:rPr>
          <w:rFonts w:cs="Times New Roman"/>
          <w:sz w:val="20"/>
        </w:rPr>
        <w:fldChar w:fldCharType="end"/>
      </w:r>
    </w:p>
    <w:p w14:paraId="583EFE1A" w14:textId="77777777" w:rsidR="00B20990" w:rsidRPr="00BC1A4D" w:rsidRDefault="00B20990" w:rsidP="00B20990"/>
    <w:p w14:paraId="583EFE1B" w14:textId="77777777" w:rsidR="00B20990" w:rsidRPr="00BC1A4D" w:rsidRDefault="00B20990" w:rsidP="00B20990">
      <w:pPr>
        <w:sectPr w:rsidR="00B20990" w:rsidRPr="00BC1A4D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3EFE1C" w14:textId="77777777" w:rsidR="005E317F" w:rsidRPr="00BC1A4D" w:rsidRDefault="005E317F" w:rsidP="005E317F">
      <w:pPr>
        <w:pStyle w:val="ActHead5"/>
      </w:pPr>
      <w:bookmarkStart w:id="2" w:name="_Toc45624720"/>
      <w:proofErr w:type="gramStart"/>
      <w:r w:rsidRPr="00BC1A4D">
        <w:rPr>
          <w:rStyle w:val="CharSectno"/>
        </w:rPr>
        <w:lastRenderedPageBreak/>
        <w:t>1</w:t>
      </w:r>
      <w:r w:rsidRPr="00BC1A4D">
        <w:t xml:space="preserve">  Name</w:t>
      </w:r>
      <w:bookmarkEnd w:id="2"/>
      <w:proofErr w:type="gramEnd"/>
    </w:p>
    <w:p w14:paraId="583EFE1D" w14:textId="77777777" w:rsidR="005E317F" w:rsidRPr="00BC1A4D" w:rsidRDefault="005E317F" w:rsidP="005E317F">
      <w:pPr>
        <w:pStyle w:val="subsection"/>
      </w:pPr>
      <w:r w:rsidRPr="00BC1A4D">
        <w:tab/>
      </w:r>
      <w:r w:rsidRPr="00BC1A4D">
        <w:tab/>
        <w:t xml:space="preserve">This instrument is the </w:t>
      </w:r>
      <w:bookmarkStart w:id="3" w:name="BKCheck15B_3"/>
      <w:bookmarkEnd w:id="3"/>
      <w:r w:rsidR="002F181D" w:rsidRPr="00BC1A4D">
        <w:rPr>
          <w:i/>
        </w:rPr>
        <w:t xml:space="preserve">Health Insurance (Bonded Medical Program) </w:t>
      </w:r>
      <w:r w:rsidR="00DE60C9" w:rsidRPr="00BC1A4D">
        <w:rPr>
          <w:i/>
          <w:color w:val="000000" w:themeColor="text1"/>
        </w:rPr>
        <w:t xml:space="preserve">Amendment </w:t>
      </w:r>
      <w:r w:rsidR="002F181D" w:rsidRPr="00BC1A4D">
        <w:rPr>
          <w:i/>
        </w:rPr>
        <w:t>Rule 2020</w:t>
      </w:r>
      <w:r w:rsidRPr="00BC1A4D">
        <w:t>.</w:t>
      </w:r>
    </w:p>
    <w:p w14:paraId="583EFE1E" w14:textId="77777777" w:rsidR="005E317F" w:rsidRPr="00BC1A4D" w:rsidRDefault="005E317F" w:rsidP="008370DC">
      <w:pPr>
        <w:pStyle w:val="ActHead5"/>
        <w:tabs>
          <w:tab w:val="left" w:pos="2400"/>
        </w:tabs>
      </w:pPr>
      <w:bookmarkStart w:id="4" w:name="_Toc45624721"/>
      <w:proofErr w:type="gramStart"/>
      <w:r w:rsidRPr="00BC1A4D">
        <w:rPr>
          <w:rStyle w:val="CharSectno"/>
        </w:rPr>
        <w:t>2</w:t>
      </w:r>
      <w:r w:rsidRPr="00BC1A4D">
        <w:t xml:space="preserve">  Commencement</w:t>
      </w:r>
      <w:bookmarkEnd w:id="4"/>
      <w:proofErr w:type="gramEnd"/>
      <w:r w:rsidR="008370DC" w:rsidRPr="00BC1A4D">
        <w:tab/>
      </w:r>
    </w:p>
    <w:p w14:paraId="583EFE1F" w14:textId="77777777" w:rsidR="00260047" w:rsidRPr="00BC1A4D" w:rsidRDefault="00260047" w:rsidP="00260047">
      <w:pPr>
        <w:pStyle w:val="subsection"/>
        <w:rPr>
          <w:color w:val="000000" w:themeColor="text1"/>
        </w:rPr>
      </w:pPr>
      <w:r w:rsidRPr="00BC1A4D">
        <w:rPr>
          <w:color w:val="000000" w:themeColor="text1"/>
        </w:rPr>
        <w:tab/>
        <w:t>(1)</w:t>
      </w:r>
      <w:r w:rsidRPr="00BC1A4D">
        <w:rPr>
          <w:color w:val="000000" w:themeColor="text1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3EFE20" w14:textId="77777777" w:rsidR="00260047" w:rsidRPr="00BC1A4D" w:rsidRDefault="00260047" w:rsidP="00260047">
      <w:pPr>
        <w:pStyle w:val="Tabletext"/>
        <w:rPr>
          <w:color w:val="000000" w:themeColor="text1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F260D" w:rsidRPr="00BC1A4D" w14:paraId="583EFE22" w14:textId="77777777" w:rsidTr="007721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3EFE21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Commencement information</w:t>
            </w:r>
          </w:p>
        </w:tc>
      </w:tr>
      <w:tr w:rsidR="006F260D" w:rsidRPr="00BC1A4D" w14:paraId="583EFE26" w14:textId="77777777" w:rsidTr="007721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3EFE23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3EFE24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3EFE25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Column 3</w:t>
            </w:r>
          </w:p>
        </w:tc>
      </w:tr>
      <w:tr w:rsidR="006F260D" w:rsidRPr="00BC1A4D" w14:paraId="583EFE2A" w14:textId="77777777" w:rsidTr="00A97D1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3EFE27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3EFE28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3EFE29" w14:textId="77777777" w:rsidR="00260047" w:rsidRPr="00BC1A4D" w:rsidRDefault="00260047" w:rsidP="007721A0">
            <w:pPr>
              <w:pStyle w:val="TableHeading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Date/Details</w:t>
            </w:r>
          </w:p>
        </w:tc>
      </w:tr>
      <w:tr w:rsidR="006F260D" w:rsidRPr="00BC1A4D" w14:paraId="583EFE2E" w14:textId="77777777" w:rsidTr="00A97D17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83EFE2B" w14:textId="77777777" w:rsidR="00260047" w:rsidRPr="00BC1A4D" w:rsidRDefault="00A97D17" w:rsidP="00A97D17">
            <w:pPr>
              <w:pStyle w:val="Tabletext"/>
              <w:numPr>
                <w:ilvl w:val="0"/>
                <w:numId w:val="14"/>
              </w:numPr>
              <w:rPr>
                <w:i/>
                <w:color w:val="000000" w:themeColor="text1"/>
              </w:rPr>
            </w:pPr>
            <w:r w:rsidRPr="00BC1A4D">
              <w:rPr>
                <w:color w:val="000000" w:themeColor="text1"/>
              </w:rPr>
              <w:t>Sections 1 to 4</w:t>
            </w:r>
            <w:r w:rsidR="00260047" w:rsidRPr="00BC1A4D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83EFE2C" w14:textId="77777777" w:rsidR="00260047" w:rsidRPr="00BC1A4D" w:rsidRDefault="00260047" w:rsidP="00A97D17">
            <w:pPr>
              <w:pStyle w:val="Tabletext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 xml:space="preserve">The </w:t>
            </w:r>
            <w:r w:rsidR="00A97D17" w:rsidRPr="00BC1A4D">
              <w:rPr>
                <w:color w:val="000000" w:themeColor="text1"/>
              </w:rPr>
              <w:t>day</w:t>
            </w:r>
            <w:r w:rsidRPr="00BC1A4D">
              <w:rPr>
                <w:color w:val="000000" w:themeColor="text1"/>
              </w:rPr>
              <w:t xml:space="preserve">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3EFE2D" w14:textId="77777777" w:rsidR="00260047" w:rsidRPr="00BC1A4D" w:rsidRDefault="00260047" w:rsidP="007721A0">
            <w:pPr>
              <w:pStyle w:val="Tabletext"/>
              <w:rPr>
                <w:i/>
                <w:color w:val="000000" w:themeColor="text1"/>
              </w:rPr>
            </w:pPr>
          </w:p>
        </w:tc>
      </w:tr>
      <w:tr w:rsidR="00A97D17" w:rsidRPr="00BC1A4D" w14:paraId="583EFE32" w14:textId="77777777" w:rsidTr="00A97D17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EFE2F" w14:textId="77777777" w:rsidR="00A97D17" w:rsidRPr="00BC1A4D" w:rsidRDefault="00A97D17" w:rsidP="00A97D17">
            <w:pPr>
              <w:pStyle w:val="Tabletex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Schedule 1, Items 1 to 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EFE30" w14:textId="77777777" w:rsidR="00A97D17" w:rsidRPr="00BC1A4D" w:rsidRDefault="00A97D17" w:rsidP="00A97D17">
            <w:pPr>
              <w:pStyle w:val="Tabletext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EFE31" w14:textId="77777777" w:rsidR="00A97D17" w:rsidRPr="00BC1A4D" w:rsidRDefault="00A97D17" w:rsidP="007721A0">
            <w:pPr>
              <w:pStyle w:val="Tabletext"/>
              <w:rPr>
                <w:i/>
                <w:color w:val="000000" w:themeColor="text1"/>
              </w:rPr>
            </w:pPr>
          </w:p>
        </w:tc>
      </w:tr>
      <w:tr w:rsidR="00A97D17" w:rsidRPr="00BC1A4D" w14:paraId="583EFE36" w14:textId="77777777" w:rsidTr="00A97D17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3EFE33" w14:textId="77777777" w:rsidR="00A97D17" w:rsidRPr="00BC1A4D" w:rsidRDefault="00A97D17" w:rsidP="00A97D17">
            <w:pPr>
              <w:pStyle w:val="Tabletex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Schedule 1, Item 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3EFE34" w14:textId="77777777" w:rsidR="00A97D17" w:rsidRPr="00BC1A4D" w:rsidRDefault="00A97D17" w:rsidP="00A97D17">
            <w:pPr>
              <w:pStyle w:val="Tabletext"/>
              <w:rPr>
                <w:color w:val="000000" w:themeColor="text1"/>
              </w:rPr>
            </w:pPr>
            <w:r w:rsidRPr="00BC1A4D">
              <w:rPr>
                <w:color w:val="000000" w:themeColor="text1"/>
              </w:rPr>
              <w:t>1 January 2020.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3EFE35" w14:textId="77777777" w:rsidR="00A97D17" w:rsidRPr="00BC1A4D" w:rsidRDefault="00A97D17" w:rsidP="007721A0">
            <w:pPr>
              <w:pStyle w:val="Tabletext"/>
              <w:rPr>
                <w:i/>
                <w:color w:val="000000" w:themeColor="text1"/>
              </w:rPr>
            </w:pPr>
            <w:r w:rsidRPr="00BC1A4D">
              <w:rPr>
                <w:color w:val="000000" w:themeColor="text1"/>
              </w:rPr>
              <w:t>1 January 2020</w:t>
            </w:r>
          </w:p>
        </w:tc>
      </w:tr>
    </w:tbl>
    <w:p w14:paraId="583EFE37" w14:textId="77777777" w:rsidR="00260047" w:rsidRPr="00BC1A4D" w:rsidRDefault="00260047" w:rsidP="00260047">
      <w:pPr>
        <w:pStyle w:val="notetext"/>
        <w:rPr>
          <w:color w:val="000000" w:themeColor="text1"/>
        </w:rPr>
      </w:pPr>
      <w:r w:rsidRPr="00BC1A4D">
        <w:rPr>
          <w:snapToGrid w:val="0"/>
          <w:color w:val="000000" w:themeColor="text1"/>
          <w:lang w:eastAsia="en-US"/>
        </w:rPr>
        <w:t>Note:</w:t>
      </w:r>
      <w:r w:rsidRPr="00BC1A4D">
        <w:rPr>
          <w:snapToGrid w:val="0"/>
          <w:color w:val="000000" w:themeColor="text1"/>
          <w:lang w:eastAsia="en-US"/>
        </w:rPr>
        <w:tab/>
        <w:t>This table relates only to the provisions of this instrument</w:t>
      </w:r>
      <w:r w:rsidRPr="00BC1A4D">
        <w:rPr>
          <w:color w:val="000000" w:themeColor="text1"/>
        </w:rPr>
        <w:t xml:space="preserve"> </w:t>
      </w:r>
      <w:r w:rsidRPr="00BC1A4D">
        <w:rPr>
          <w:snapToGrid w:val="0"/>
          <w:color w:val="000000" w:themeColor="text1"/>
          <w:lang w:eastAsia="en-US"/>
        </w:rPr>
        <w:t>as originally made. It will not be amended to deal with any later amendments of this instrument.</w:t>
      </w:r>
    </w:p>
    <w:p w14:paraId="583EFE38" w14:textId="77777777" w:rsidR="00260047" w:rsidRPr="00BC1A4D" w:rsidRDefault="00260047" w:rsidP="00260047">
      <w:pPr>
        <w:pStyle w:val="subsection"/>
        <w:rPr>
          <w:color w:val="000000" w:themeColor="text1"/>
        </w:rPr>
      </w:pPr>
      <w:r w:rsidRPr="00BC1A4D">
        <w:rPr>
          <w:color w:val="000000" w:themeColor="text1"/>
        </w:rPr>
        <w:tab/>
        <w:t>(2)</w:t>
      </w:r>
      <w:r w:rsidRPr="00BC1A4D">
        <w:rPr>
          <w:color w:val="000000" w:themeColor="text1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83EFE39" w14:textId="77777777" w:rsidR="005E317F" w:rsidRPr="00BC1A4D" w:rsidRDefault="005E317F" w:rsidP="005E317F">
      <w:pPr>
        <w:pStyle w:val="ActHead5"/>
      </w:pPr>
      <w:bookmarkStart w:id="5" w:name="_Toc45624722"/>
      <w:proofErr w:type="gramStart"/>
      <w:r w:rsidRPr="00BC1A4D">
        <w:rPr>
          <w:rStyle w:val="CharSectno"/>
        </w:rPr>
        <w:t>3</w:t>
      </w:r>
      <w:r w:rsidRPr="00BC1A4D">
        <w:t xml:space="preserve">  Authority</w:t>
      </w:r>
      <w:bookmarkEnd w:id="5"/>
      <w:proofErr w:type="gramEnd"/>
    </w:p>
    <w:p w14:paraId="583EFE3A" w14:textId="77777777" w:rsidR="005E317F" w:rsidRPr="00BC1A4D" w:rsidRDefault="005E317F" w:rsidP="005E317F">
      <w:pPr>
        <w:pStyle w:val="subsection"/>
        <w:rPr>
          <w:i/>
        </w:rPr>
      </w:pPr>
      <w:r w:rsidRPr="00BC1A4D">
        <w:tab/>
      </w:r>
      <w:r w:rsidRPr="00BC1A4D">
        <w:tab/>
        <w:t xml:space="preserve">This instrument is made under </w:t>
      </w:r>
      <w:r w:rsidR="002F181D" w:rsidRPr="00BC1A4D">
        <w:t xml:space="preserve">subsection </w:t>
      </w:r>
      <w:proofErr w:type="gramStart"/>
      <w:r w:rsidR="002F181D" w:rsidRPr="00BC1A4D">
        <w:t>124ZT(</w:t>
      </w:r>
      <w:proofErr w:type="gramEnd"/>
      <w:r w:rsidR="002F181D" w:rsidRPr="00BC1A4D">
        <w:t xml:space="preserve">1) of the </w:t>
      </w:r>
      <w:r w:rsidR="002F181D" w:rsidRPr="00BC1A4D">
        <w:rPr>
          <w:i/>
        </w:rPr>
        <w:t xml:space="preserve">Health Insurance Act 1973. </w:t>
      </w:r>
    </w:p>
    <w:p w14:paraId="583EFE3B" w14:textId="77777777" w:rsidR="005E317F" w:rsidRPr="00BC1A4D" w:rsidRDefault="005E317F" w:rsidP="005E317F">
      <w:pPr>
        <w:pStyle w:val="ActHead5"/>
      </w:pPr>
      <w:bookmarkStart w:id="6" w:name="_Toc45624723"/>
      <w:proofErr w:type="gramStart"/>
      <w:r w:rsidRPr="00BC1A4D">
        <w:t>4  Schedule</w:t>
      </w:r>
      <w:bookmarkEnd w:id="6"/>
      <w:proofErr w:type="gramEnd"/>
    </w:p>
    <w:p w14:paraId="583EFE3C" w14:textId="77777777" w:rsidR="005E317F" w:rsidRPr="00BC1A4D" w:rsidRDefault="005E317F" w:rsidP="005E317F">
      <w:pPr>
        <w:pStyle w:val="subsection"/>
      </w:pPr>
      <w:r w:rsidRPr="00BC1A4D">
        <w:tab/>
      </w:r>
      <w:r w:rsidRPr="00BC1A4D">
        <w:tab/>
        <w:t>Each i</w:t>
      </w:r>
      <w:r w:rsidR="002F181D" w:rsidRPr="00BC1A4D">
        <w:t>nstrument that is specified in</w:t>
      </w:r>
      <w:r w:rsidRPr="00BC1A4D">
        <w:t xml:space="preserve"> Schedule</w:t>
      </w:r>
      <w:r w:rsidR="002F181D" w:rsidRPr="00BC1A4D">
        <w:t xml:space="preserve"> 1</w:t>
      </w:r>
      <w:r w:rsidRPr="00BC1A4D">
        <w:t xml:space="preserve"> to this instrument is amended as set out in the applicable items in </w:t>
      </w:r>
      <w:r w:rsidR="002F181D" w:rsidRPr="00BC1A4D">
        <w:t xml:space="preserve">Schedule 1, and any other item in </w:t>
      </w:r>
      <w:r w:rsidRPr="00BC1A4D">
        <w:t xml:space="preserve">Schedule </w:t>
      </w:r>
      <w:r w:rsidR="002F181D" w:rsidRPr="00BC1A4D">
        <w:t xml:space="preserve">1 </w:t>
      </w:r>
      <w:r w:rsidRPr="00BC1A4D">
        <w:t>to this instrument has effect according to its terms.</w:t>
      </w:r>
    </w:p>
    <w:p w14:paraId="583EFE3D" w14:textId="77777777" w:rsidR="005E317F" w:rsidRPr="00BC1A4D" w:rsidRDefault="005E317F" w:rsidP="005E317F">
      <w:pPr>
        <w:pStyle w:val="ActHead6"/>
        <w:pageBreakBefore/>
      </w:pPr>
      <w:bookmarkStart w:id="7" w:name="_Toc45624724"/>
      <w:r w:rsidRPr="00BC1A4D">
        <w:rPr>
          <w:rStyle w:val="CharAmSchNo"/>
        </w:rPr>
        <w:lastRenderedPageBreak/>
        <w:t>Schedule 1</w:t>
      </w:r>
      <w:r w:rsidRPr="00BC1A4D">
        <w:t>—</w:t>
      </w:r>
      <w:r w:rsidRPr="00BC1A4D">
        <w:rPr>
          <w:rStyle w:val="CharAmSchText"/>
        </w:rPr>
        <w:t>Amendments</w:t>
      </w:r>
      <w:bookmarkEnd w:id="7"/>
    </w:p>
    <w:p w14:paraId="583EFE3E" w14:textId="77777777" w:rsidR="005E317F" w:rsidRPr="00BC1A4D" w:rsidRDefault="002F181D" w:rsidP="005E317F">
      <w:pPr>
        <w:pStyle w:val="ActHead9"/>
      </w:pPr>
      <w:bookmarkStart w:id="8" w:name="_Toc45624725"/>
      <w:r w:rsidRPr="00BC1A4D">
        <w:t>Health Insurance (Bonded Medical Program) Rule 2020</w:t>
      </w:r>
      <w:bookmarkEnd w:id="8"/>
    </w:p>
    <w:p w14:paraId="583EFE3F" w14:textId="77777777" w:rsidR="005E317F" w:rsidRPr="00BC1A4D" w:rsidRDefault="005E317F" w:rsidP="005E317F">
      <w:pPr>
        <w:pStyle w:val="ItemHead"/>
      </w:pPr>
      <w:proofErr w:type="gramStart"/>
      <w:r w:rsidRPr="00BC1A4D">
        <w:t xml:space="preserve">1  </w:t>
      </w:r>
      <w:r w:rsidR="002F181D" w:rsidRPr="00BC1A4D">
        <w:t>Paragraph</w:t>
      </w:r>
      <w:proofErr w:type="gramEnd"/>
      <w:r w:rsidR="002F181D" w:rsidRPr="00BC1A4D">
        <w:t xml:space="preserve"> 12(1)(</w:t>
      </w:r>
      <w:r w:rsidR="00227D12" w:rsidRPr="00BC1A4D">
        <w:t>b</w:t>
      </w:r>
      <w:r w:rsidR="002F181D" w:rsidRPr="00BC1A4D">
        <w:t>)</w:t>
      </w:r>
    </w:p>
    <w:p w14:paraId="583EFE40" w14:textId="77777777" w:rsidR="005E317F" w:rsidRPr="00BC1A4D" w:rsidRDefault="005E317F" w:rsidP="005E317F">
      <w:pPr>
        <w:pStyle w:val="Item"/>
      </w:pPr>
      <w:r w:rsidRPr="00BC1A4D">
        <w:t>Omit “</w:t>
      </w:r>
      <w:r w:rsidR="00827041" w:rsidRPr="00BC1A4D">
        <w:t>a person determined by the Secretary, on application by the bonded participant, to satisfy the following criteria</w:t>
      </w:r>
      <w:r w:rsidRPr="00BC1A4D">
        <w:t>”</w:t>
      </w:r>
      <w:r w:rsidR="00827041" w:rsidRPr="00BC1A4D">
        <w:t>, substitute “a person who satisfies the following criteria”</w:t>
      </w:r>
      <w:r w:rsidRPr="00BC1A4D">
        <w:t>.</w:t>
      </w:r>
    </w:p>
    <w:p w14:paraId="583EFE41" w14:textId="77777777" w:rsidR="005E317F" w:rsidRPr="00BC1A4D" w:rsidRDefault="005E317F" w:rsidP="005E317F">
      <w:pPr>
        <w:pStyle w:val="ItemHead"/>
      </w:pPr>
      <w:proofErr w:type="gramStart"/>
      <w:r w:rsidRPr="00BC1A4D">
        <w:t xml:space="preserve">2  </w:t>
      </w:r>
      <w:r w:rsidR="00227D12" w:rsidRPr="00BC1A4D">
        <w:t>S</w:t>
      </w:r>
      <w:r w:rsidR="00827041" w:rsidRPr="00BC1A4D">
        <w:t>ubsection</w:t>
      </w:r>
      <w:proofErr w:type="gramEnd"/>
      <w:r w:rsidR="00827041" w:rsidRPr="00BC1A4D">
        <w:t xml:space="preserve"> 12(</w:t>
      </w:r>
      <w:r w:rsidR="00227D12" w:rsidRPr="00BC1A4D">
        <w:t>2</w:t>
      </w:r>
      <w:r w:rsidR="00827041" w:rsidRPr="00BC1A4D">
        <w:t>)</w:t>
      </w:r>
    </w:p>
    <w:p w14:paraId="583EFE42" w14:textId="77777777" w:rsidR="005E317F" w:rsidRPr="00BC1A4D" w:rsidRDefault="00F35165" w:rsidP="005E317F">
      <w:pPr>
        <w:pStyle w:val="Item"/>
      </w:pPr>
      <w:r w:rsidRPr="00BC1A4D">
        <w:t>Repeal</w:t>
      </w:r>
      <w:r w:rsidR="008B263C" w:rsidRPr="00BC1A4D">
        <w:t xml:space="preserve"> </w:t>
      </w:r>
      <w:r w:rsidR="008B263C" w:rsidRPr="00BC1A4D">
        <w:rPr>
          <w:color w:val="000000" w:themeColor="text1"/>
        </w:rPr>
        <w:t xml:space="preserve">the </w:t>
      </w:r>
      <w:r w:rsidRPr="00BC1A4D">
        <w:t>subsection, substitute:</w:t>
      </w:r>
    </w:p>
    <w:p w14:paraId="583EFE43" w14:textId="77777777" w:rsidR="00827041" w:rsidRPr="00BC1A4D" w:rsidRDefault="00827041" w:rsidP="00827041">
      <w:pPr>
        <w:pStyle w:val="ItemHead"/>
        <w:rPr>
          <w:rFonts w:ascii="Times New Roman" w:hAnsi="Times New Roman"/>
          <w:b w:val="0"/>
          <w:kern w:val="0"/>
          <w:sz w:val="22"/>
        </w:rPr>
      </w:pPr>
      <w:r w:rsidRPr="00BC1A4D">
        <w:rPr>
          <w:rFonts w:ascii="Times New Roman" w:hAnsi="Times New Roman"/>
          <w:b w:val="0"/>
          <w:kern w:val="0"/>
          <w:sz w:val="22"/>
        </w:rPr>
        <w:tab/>
        <w:t xml:space="preserve">(2)  For the purposes of subsection (1), the bonded participant must provide evidence                </w:t>
      </w:r>
      <w:r w:rsidRPr="00BC1A4D">
        <w:rPr>
          <w:rFonts w:ascii="Times New Roman" w:hAnsi="Times New Roman"/>
          <w:b w:val="0"/>
          <w:kern w:val="0"/>
          <w:sz w:val="22"/>
        </w:rPr>
        <w:tab/>
        <w:t xml:space="preserve">       that the person satisfies the requirements of subsection (1). </w:t>
      </w:r>
    </w:p>
    <w:p w14:paraId="583EFE44" w14:textId="77777777" w:rsidR="005E317F" w:rsidRPr="00BC1A4D" w:rsidRDefault="005E317F" w:rsidP="005E317F">
      <w:pPr>
        <w:pStyle w:val="ItemHead"/>
      </w:pPr>
      <w:proofErr w:type="gramStart"/>
      <w:r w:rsidRPr="00BC1A4D">
        <w:t xml:space="preserve">3  </w:t>
      </w:r>
      <w:r w:rsidR="00827041" w:rsidRPr="00BC1A4D">
        <w:t>After</w:t>
      </w:r>
      <w:proofErr w:type="gramEnd"/>
      <w:r w:rsidR="00827041" w:rsidRPr="00BC1A4D">
        <w:t xml:space="preserve"> </w:t>
      </w:r>
      <w:r w:rsidR="00FE735F" w:rsidRPr="00BC1A4D">
        <w:t>s</w:t>
      </w:r>
      <w:r w:rsidR="00827041" w:rsidRPr="00BC1A4D">
        <w:t>ection 18</w:t>
      </w:r>
    </w:p>
    <w:p w14:paraId="583EFE45" w14:textId="77777777" w:rsidR="00827041" w:rsidRPr="00BC1A4D" w:rsidRDefault="00827041" w:rsidP="00827041">
      <w:pPr>
        <w:pStyle w:val="Item"/>
      </w:pPr>
      <w:r w:rsidRPr="00BC1A4D">
        <w:t>Insert:</w:t>
      </w:r>
    </w:p>
    <w:p w14:paraId="583EFE46" w14:textId="77777777" w:rsidR="00FE735F" w:rsidRPr="00BC1A4D" w:rsidRDefault="00FE735F" w:rsidP="00FE735F">
      <w:pPr>
        <w:keepNext/>
        <w:keepLines/>
        <w:spacing w:before="280" w:line="240" w:lineRule="auto"/>
        <w:ind w:left="1134" w:hanging="1134"/>
        <w:outlineLvl w:val="1"/>
        <w:rPr>
          <w:rFonts w:eastAsia="Times New Roman" w:cs="Times New Roman"/>
          <w:b/>
          <w:color w:val="000000" w:themeColor="text1"/>
          <w:kern w:val="28"/>
          <w:sz w:val="32"/>
          <w:lang w:eastAsia="en-AU"/>
        </w:rPr>
      </w:pPr>
      <w:bookmarkStart w:id="9" w:name="_Toc30582001"/>
      <w:bookmarkStart w:id="10" w:name="_Toc30582002"/>
      <w:r w:rsidRPr="00BC1A4D">
        <w:rPr>
          <w:rFonts w:eastAsia="Times New Roman" w:cs="Times New Roman"/>
          <w:b/>
          <w:color w:val="000000" w:themeColor="text1"/>
          <w:kern w:val="28"/>
          <w:sz w:val="32"/>
          <w:lang w:eastAsia="en-AU"/>
        </w:rPr>
        <w:t>Part 4—Transitional provisions</w:t>
      </w:r>
      <w:bookmarkEnd w:id="9"/>
    </w:p>
    <w:p w14:paraId="583EFE47" w14:textId="77777777" w:rsidR="00FE735F" w:rsidRPr="00BC1A4D" w:rsidRDefault="00FE735F" w:rsidP="00FE735F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color w:val="000000" w:themeColor="text1"/>
          <w:kern w:val="28"/>
          <w:sz w:val="24"/>
          <w:lang w:eastAsia="en-AU"/>
        </w:rPr>
      </w:pPr>
      <w:proofErr w:type="gramStart"/>
      <w:r w:rsidRPr="00BC1A4D">
        <w:rPr>
          <w:rFonts w:eastAsia="Times New Roman" w:cs="Times New Roman"/>
          <w:b/>
          <w:color w:val="000000" w:themeColor="text1"/>
          <w:kern w:val="28"/>
          <w:sz w:val="24"/>
          <w:lang w:eastAsia="en-AU"/>
        </w:rPr>
        <w:t>19  Reporting</w:t>
      </w:r>
      <w:proofErr w:type="gramEnd"/>
      <w:r w:rsidRPr="00BC1A4D">
        <w:rPr>
          <w:rFonts w:eastAsia="Times New Roman" w:cs="Times New Roman"/>
          <w:b/>
          <w:color w:val="000000" w:themeColor="text1"/>
          <w:kern w:val="28"/>
          <w:sz w:val="24"/>
          <w:lang w:eastAsia="en-AU"/>
        </w:rPr>
        <w:t xml:space="preserve"> obligations</w:t>
      </w:r>
      <w:bookmarkEnd w:id="10"/>
    </w:p>
    <w:p w14:paraId="583EFE48" w14:textId="77777777" w:rsidR="00740CA9" w:rsidRPr="00BC1A4D" w:rsidRDefault="00740CA9" w:rsidP="00740CA9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(1)</w:t>
      </w:r>
      <w:r w:rsidRPr="00BC1A4D">
        <w:rPr>
          <w:color w:val="000000" w:themeColor="text1"/>
        </w:rPr>
        <w:tab/>
        <w:t xml:space="preserve">For this section, a </w:t>
      </w:r>
      <w:r w:rsidRPr="00BC1A4D">
        <w:rPr>
          <w:b/>
          <w:i/>
          <w:color w:val="000000" w:themeColor="text1"/>
        </w:rPr>
        <w:t>relevant provision</w:t>
      </w:r>
      <w:r w:rsidRPr="00BC1A4D">
        <w:rPr>
          <w:color w:val="000000" w:themeColor="text1"/>
        </w:rPr>
        <w:t xml:space="preserve"> is a provision of this rule that requires information or evidence to be provided through the Department’s web portal.</w:t>
      </w:r>
    </w:p>
    <w:p w14:paraId="583EFE49" w14:textId="77777777" w:rsidR="00740CA9" w:rsidRPr="00BC1A4D" w:rsidRDefault="00740CA9" w:rsidP="00740CA9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(2)</w:t>
      </w:r>
      <w:r w:rsidRPr="00BC1A4D">
        <w:rPr>
          <w:color w:val="000000" w:themeColor="text1"/>
        </w:rPr>
        <w:tab/>
        <w:t>A bonded participant is not required to comply with a relevant provision unless a notice has been published for the purposes of this section on the Department’s website stating that the elements of the Department’s web portal required for a bonded participant to comply with the relevant provision are functional.</w:t>
      </w:r>
    </w:p>
    <w:p w14:paraId="583EFE4A" w14:textId="77777777" w:rsidR="00740CA9" w:rsidRPr="00BC1A4D" w:rsidRDefault="00740CA9" w:rsidP="00740CA9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(3)</w:t>
      </w:r>
      <w:r w:rsidRPr="00BC1A4D">
        <w:rPr>
          <w:color w:val="000000" w:themeColor="text1"/>
        </w:rPr>
        <w:tab/>
        <w:t xml:space="preserve">For this section, the date of publication of the notice mentioned in subsection (2) is the </w:t>
      </w:r>
      <w:r w:rsidRPr="00BC1A4D">
        <w:rPr>
          <w:b/>
          <w:i/>
          <w:color w:val="000000" w:themeColor="text1"/>
        </w:rPr>
        <w:t>notice date</w:t>
      </w:r>
      <w:r w:rsidRPr="00BC1A4D">
        <w:rPr>
          <w:color w:val="000000" w:themeColor="text1"/>
        </w:rPr>
        <w:t xml:space="preserve"> for the relevant provision.</w:t>
      </w:r>
    </w:p>
    <w:p w14:paraId="583EFE4B" w14:textId="77777777" w:rsidR="00740CA9" w:rsidRPr="00BC1A4D" w:rsidRDefault="00740CA9" w:rsidP="00740CA9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(4)</w:t>
      </w:r>
      <w:r w:rsidRPr="00BC1A4D">
        <w:rPr>
          <w:color w:val="000000" w:themeColor="text1"/>
        </w:rPr>
        <w:tab/>
        <w:t xml:space="preserve">For the purposes of section 15, where a notifiable event occurred before the notice date for the relevant provision, the bonded participant is taken to comply with the provision if the </w:t>
      </w:r>
      <w:r w:rsidR="001A167F" w:rsidRPr="00BC1A4D">
        <w:rPr>
          <w:color w:val="000000" w:themeColor="text1"/>
        </w:rPr>
        <w:t xml:space="preserve">information or evidence is uploaded </w:t>
      </w:r>
      <w:r w:rsidRPr="00BC1A4D">
        <w:rPr>
          <w:color w:val="000000" w:themeColor="text1"/>
        </w:rPr>
        <w:t xml:space="preserve">within 6 months after the notice date. </w:t>
      </w:r>
    </w:p>
    <w:p w14:paraId="583EFE4C" w14:textId="77777777" w:rsidR="00740CA9" w:rsidRPr="00BC1A4D" w:rsidRDefault="00740CA9" w:rsidP="00740CA9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(5)</w:t>
      </w:r>
      <w:r w:rsidRPr="00BC1A4D">
        <w:rPr>
          <w:color w:val="000000" w:themeColor="text1"/>
        </w:rPr>
        <w:tab/>
        <w:t>For the purposes of column 1, item</w:t>
      </w:r>
      <w:r w:rsidR="00B97486" w:rsidRPr="00BC1A4D">
        <w:rPr>
          <w:color w:val="000000" w:themeColor="text1"/>
        </w:rPr>
        <w:t>s</w:t>
      </w:r>
      <w:r w:rsidRPr="00BC1A4D">
        <w:rPr>
          <w:color w:val="000000" w:themeColor="text1"/>
        </w:rPr>
        <w:t xml:space="preserve"> </w:t>
      </w:r>
      <w:r w:rsidR="00B97486" w:rsidRPr="00BC1A4D">
        <w:rPr>
          <w:color w:val="000000" w:themeColor="text1"/>
        </w:rPr>
        <w:t>1 to 3</w:t>
      </w:r>
      <w:r w:rsidRPr="00BC1A4D">
        <w:rPr>
          <w:color w:val="000000" w:themeColor="text1"/>
        </w:rPr>
        <w:t xml:space="preserve"> of the table in subsection 16(1), </w:t>
      </w:r>
      <w:r w:rsidR="00B97486" w:rsidRPr="00BC1A4D">
        <w:rPr>
          <w:color w:val="000000" w:themeColor="text1"/>
        </w:rPr>
        <w:t>where the event to be reported occurred before the notice date for the relevant provision</w:t>
      </w:r>
      <w:r w:rsidRPr="00BC1A4D">
        <w:rPr>
          <w:color w:val="000000" w:themeColor="text1"/>
        </w:rPr>
        <w:t xml:space="preserve">, the bonded participant is taken to comply with the provision if the information </w:t>
      </w:r>
      <w:r w:rsidR="001A167F" w:rsidRPr="00BC1A4D">
        <w:rPr>
          <w:color w:val="000000" w:themeColor="text1"/>
        </w:rPr>
        <w:t xml:space="preserve">or evidence </w:t>
      </w:r>
      <w:r w:rsidRPr="00BC1A4D">
        <w:rPr>
          <w:color w:val="000000" w:themeColor="text1"/>
        </w:rPr>
        <w:t xml:space="preserve">is uploaded within </w:t>
      </w:r>
      <w:r w:rsidR="00A97D17" w:rsidRPr="00BC1A4D">
        <w:rPr>
          <w:color w:val="000000" w:themeColor="text1"/>
        </w:rPr>
        <w:t xml:space="preserve">3 </w:t>
      </w:r>
      <w:r w:rsidRPr="00BC1A4D">
        <w:rPr>
          <w:color w:val="000000" w:themeColor="text1"/>
        </w:rPr>
        <w:t>months after the notice date.</w:t>
      </w:r>
    </w:p>
    <w:p w14:paraId="583EFE4D" w14:textId="77777777" w:rsidR="00920412" w:rsidRPr="00BC1A4D" w:rsidRDefault="00920412" w:rsidP="00920412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</w:t>
      </w:r>
      <w:r w:rsidR="00B97486" w:rsidRPr="00BC1A4D">
        <w:rPr>
          <w:color w:val="000000" w:themeColor="text1"/>
        </w:rPr>
        <w:t>6</w:t>
      </w:r>
      <w:r w:rsidRPr="00BC1A4D">
        <w:rPr>
          <w:color w:val="000000" w:themeColor="text1"/>
        </w:rPr>
        <w:t>)</w:t>
      </w:r>
      <w:r w:rsidRPr="00BC1A4D">
        <w:rPr>
          <w:color w:val="000000" w:themeColor="text1"/>
        </w:rPr>
        <w:tab/>
        <w:t xml:space="preserve">For the purposes of column 1, item 4(a) of the table in subsection 16(1), where a bonded participant completed their course of study in medicine before the notice date for the relevant provision, the bonded participant is taken to comply with the provision if the </w:t>
      </w:r>
      <w:r w:rsidR="00654832" w:rsidRPr="00BC1A4D">
        <w:rPr>
          <w:color w:val="000000" w:themeColor="text1"/>
        </w:rPr>
        <w:t xml:space="preserve">information or evidence is uploaded </w:t>
      </w:r>
      <w:r w:rsidRPr="00BC1A4D">
        <w:rPr>
          <w:color w:val="000000" w:themeColor="text1"/>
        </w:rPr>
        <w:t xml:space="preserve">every 6 months </w:t>
      </w:r>
      <w:r w:rsidR="00E4413E" w:rsidRPr="00BC1A4D">
        <w:rPr>
          <w:color w:val="000000" w:themeColor="text1"/>
        </w:rPr>
        <w:t xml:space="preserve">from </w:t>
      </w:r>
      <w:r w:rsidRPr="00BC1A4D">
        <w:rPr>
          <w:color w:val="000000" w:themeColor="text1"/>
        </w:rPr>
        <w:t>the notice date.</w:t>
      </w:r>
    </w:p>
    <w:p w14:paraId="583EFE4E" w14:textId="77777777" w:rsidR="00920412" w:rsidRPr="00BC1A4D" w:rsidRDefault="00920412" w:rsidP="00920412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</w:t>
      </w:r>
      <w:r w:rsidR="00B97486" w:rsidRPr="00BC1A4D">
        <w:rPr>
          <w:color w:val="000000" w:themeColor="text1"/>
        </w:rPr>
        <w:t>7</w:t>
      </w:r>
      <w:r w:rsidRPr="00BC1A4D">
        <w:rPr>
          <w:color w:val="000000" w:themeColor="text1"/>
        </w:rPr>
        <w:t>)</w:t>
      </w:r>
      <w:r w:rsidRPr="00BC1A4D">
        <w:rPr>
          <w:color w:val="000000" w:themeColor="text1"/>
        </w:rPr>
        <w:tab/>
        <w:t xml:space="preserve">For the purposes of column 1, item 4(b) of the table in subsection 16(1), where a bonded participant opted in to the Bonded Medical Program before the notice date for the relevant provision, the bonded participant is taken to comply with the </w:t>
      </w:r>
      <w:r w:rsidRPr="00BC1A4D">
        <w:rPr>
          <w:color w:val="000000" w:themeColor="text1"/>
        </w:rPr>
        <w:lastRenderedPageBreak/>
        <w:t xml:space="preserve">provision if the </w:t>
      </w:r>
      <w:r w:rsidR="00654832" w:rsidRPr="00BC1A4D">
        <w:rPr>
          <w:color w:val="000000" w:themeColor="text1"/>
        </w:rPr>
        <w:t xml:space="preserve">information or evidence is uploaded </w:t>
      </w:r>
      <w:r w:rsidRPr="00BC1A4D">
        <w:rPr>
          <w:color w:val="000000" w:themeColor="text1"/>
        </w:rPr>
        <w:t xml:space="preserve">every 6 months </w:t>
      </w:r>
      <w:r w:rsidR="00E4413E" w:rsidRPr="00BC1A4D">
        <w:rPr>
          <w:color w:val="000000" w:themeColor="text1"/>
        </w:rPr>
        <w:t xml:space="preserve">from </w:t>
      </w:r>
      <w:r w:rsidRPr="00BC1A4D">
        <w:rPr>
          <w:color w:val="000000" w:themeColor="text1"/>
        </w:rPr>
        <w:t>the notice date.</w:t>
      </w:r>
    </w:p>
    <w:p w14:paraId="583EFE4F" w14:textId="77777777" w:rsidR="00654832" w:rsidRPr="003E5C1B" w:rsidRDefault="00740CA9" w:rsidP="00A97D17">
      <w:pPr>
        <w:tabs>
          <w:tab w:val="right" w:pos="1021"/>
        </w:tabs>
        <w:spacing w:before="180" w:line="240" w:lineRule="auto"/>
        <w:ind w:left="1134" w:hanging="1134"/>
        <w:rPr>
          <w:color w:val="000000" w:themeColor="text1"/>
        </w:rPr>
      </w:pPr>
      <w:r w:rsidRPr="00BC1A4D">
        <w:rPr>
          <w:color w:val="000000" w:themeColor="text1"/>
        </w:rPr>
        <w:tab/>
        <w:t>(</w:t>
      </w:r>
      <w:r w:rsidR="00654832" w:rsidRPr="00BC1A4D">
        <w:rPr>
          <w:color w:val="000000" w:themeColor="text1"/>
        </w:rPr>
        <w:t>8</w:t>
      </w:r>
      <w:r w:rsidRPr="00BC1A4D">
        <w:rPr>
          <w:color w:val="000000" w:themeColor="text1"/>
        </w:rPr>
        <w:t>)</w:t>
      </w:r>
      <w:r w:rsidRPr="00BC1A4D">
        <w:rPr>
          <w:color w:val="000000" w:themeColor="text1"/>
        </w:rPr>
        <w:tab/>
        <w:t>This section ceases to operate on 30 June 2021.</w:t>
      </w:r>
      <w:r w:rsidR="001A167F" w:rsidRPr="003E5C1B">
        <w:rPr>
          <w:color w:val="000000" w:themeColor="text1"/>
        </w:rPr>
        <w:t xml:space="preserve"> </w:t>
      </w:r>
    </w:p>
    <w:p w14:paraId="583EFE50" w14:textId="77777777" w:rsidR="00B97486" w:rsidRPr="00B97486" w:rsidRDefault="00B97486" w:rsidP="00B97486">
      <w:pPr>
        <w:tabs>
          <w:tab w:val="right" w:pos="1021"/>
        </w:tabs>
        <w:spacing w:before="180" w:line="240" w:lineRule="auto"/>
        <w:ind w:left="1134" w:hanging="1134"/>
        <w:rPr>
          <w:strike/>
          <w:color w:val="000000" w:themeColor="text1"/>
        </w:rPr>
      </w:pPr>
    </w:p>
    <w:p w14:paraId="583EFE51" w14:textId="77777777" w:rsidR="00B97486" w:rsidRPr="00920412" w:rsidRDefault="00B97486" w:rsidP="00A97D17">
      <w:pPr>
        <w:tabs>
          <w:tab w:val="right" w:pos="1021"/>
        </w:tabs>
        <w:spacing w:before="180" w:line="240" w:lineRule="auto"/>
        <w:ind w:left="1134" w:hanging="1134"/>
        <w:rPr>
          <w:i/>
          <w:color w:val="000000" w:themeColor="text1"/>
        </w:rPr>
      </w:pPr>
    </w:p>
    <w:sectPr w:rsidR="00B97486" w:rsidRPr="00920412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FE56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83EFE57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83EFE5B" w14:textId="77777777" w:rsidTr="0001176A">
      <w:tc>
        <w:tcPr>
          <w:tcW w:w="5000" w:type="pct"/>
        </w:tcPr>
        <w:p w14:paraId="583EFE5A" w14:textId="77777777" w:rsidR="009278C1" w:rsidRDefault="009278C1" w:rsidP="0001176A">
          <w:pPr>
            <w:rPr>
              <w:sz w:val="18"/>
            </w:rPr>
          </w:pPr>
        </w:p>
      </w:tc>
    </w:tr>
  </w:tbl>
  <w:p w14:paraId="583EFE5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83EFE5E" w14:textId="77777777" w:rsidTr="00C160A1">
      <w:tc>
        <w:tcPr>
          <w:tcW w:w="5000" w:type="pct"/>
        </w:tcPr>
        <w:p w14:paraId="583EFE5D" w14:textId="77777777" w:rsidR="00B20990" w:rsidRDefault="00B20990" w:rsidP="007946FE">
          <w:pPr>
            <w:rPr>
              <w:sz w:val="18"/>
            </w:rPr>
          </w:pPr>
        </w:p>
      </w:tc>
    </w:tr>
  </w:tbl>
  <w:p w14:paraId="583EFE5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83EFE63" w14:textId="77777777" w:rsidTr="00C160A1">
      <w:tc>
        <w:tcPr>
          <w:tcW w:w="5000" w:type="pct"/>
        </w:tcPr>
        <w:p w14:paraId="583EFE62" w14:textId="77777777" w:rsidR="00B20990" w:rsidRDefault="00B20990" w:rsidP="00465764">
          <w:pPr>
            <w:rPr>
              <w:sz w:val="18"/>
            </w:rPr>
          </w:pPr>
        </w:p>
      </w:tc>
    </w:tr>
  </w:tbl>
  <w:p w14:paraId="583EFE6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83EFE6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3EFE6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5C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3EFE6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E5C1B">
            <w:rPr>
              <w:i/>
              <w:noProof/>
              <w:sz w:val="18"/>
            </w:rPr>
            <w:t>Health Insurance (Bonded Medical Program) Amendment Rule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3EFE6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83EFE6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3EFE6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83EFE6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83EFE7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3EFE7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3EFE71" w14:textId="1AB6524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Health Insurance (Bonded Medical Program) Amendment Rule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3EFE72" w14:textId="1AD8A1C8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83EFE7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3EFE74" w14:textId="7F45D745" w:rsidR="00B20990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1D4652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v06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28 May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583EFE7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7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83EFE8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3EFE7E" w14:textId="0768324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3EFE7F" w14:textId="1A79788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Health Insurance (Bonded Medical Program) Amendment Rule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3EFE8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83EFE8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3EFE82" w14:textId="17DCF8B4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1D4652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v06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28 May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583EFE8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8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3EFE8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EFE8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3EFE87" w14:textId="1E393CA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Health Insurance (Bonded Medical Program) Amendment Rule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3EFE88" w14:textId="03740D2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465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3EFE8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3EFE8A" w14:textId="08EA5F58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1D4652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v06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3E5C1B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28 May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583EFE8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8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83EFE9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EFE8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3EFE8F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5C1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3EFE9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5C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83EF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3EFE92" w14:textId="5B95914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E5C1B">
            <w:rPr>
              <w:i/>
              <w:noProof/>
              <w:sz w:val="18"/>
            </w:rPr>
            <w:t>H:\My Documents\Department of Health\Drafting\Further request - May 2020\Health Insurance (Bonded Medical Program) Amendment Rule 2020 - Final Version (June 2020).docx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C1A4D">
            <w:rPr>
              <w:i/>
              <w:noProof/>
              <w:sz w:val="18"/>
            </w:rPr>
            <w:t>14/7/2020 1:11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3EFE9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EFE54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583EFE55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5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6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7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78" w14:textId="77777777" w:rsidR="00EE57E8" w:rsidRPr="00A961C4" w:rsidRDefault="00EE57E8" w:rsidP="0048364F">
    <w:pPr>
      <w:rPr>
        <w:b/>
        <w:sz w:val="20"/>
      </w:rPr>
    </w:pPr>
  </w:p>
  <w:p w14:paraId="583EFE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FE7A" w14:textId="77777777" w:rsidR="00EE57E8" w:rsidRPr="00A961C4" w:rsidRDefault="00EE57E8" w:rsidP="0048364F">
    <w:pPr>
      <w:jc w:val="right"/>
      <w:rPr>
        <w:sz w:val="20"/>
      </w:rPr>
    </w:pPr>
  </w:p>
  <w:p w14:paraId="583EFE7B" w14:textId="77777777" w:rsidR="00EE57E8" w:rsidRPr="00A961C4" w:rsidRDefault="00EE57E8" w:rsidP="0048364F">
    <w:pPr>
      <w:jc w:val="right"/>
      <w:rPr>
        <w:b/>
        <w:sz w:val="20"/>
      </w:rPr>
    </w:pPr>
  </w:p>
  <w:p w14:paraId="583EFE7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A3541C"/>
    <w:multiLevelType w:val="hybridMultilevel"/>
    <w:tmpl w:val="F7C86E94"/>
    <w:lvl w:ilvl="0" w:tplc="B4522B62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57C5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77B9"/>
    <w:rsid w:val="00125F17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67F"/>
    <w:rsid w:val="001A3B9F"/>
    <w:rsid w:val="001A42B0"/>
    <w:rsid w:val="001A5520"/>
    <w:rsid w:val="001A65C0"/>
    <w:rsid w:val="001B7A5D"/>
    <w:rsid w:val="001C69C4"/>
    <w:rsid w:val="001D4652"/>
    <w:rsid w:val="001E0A8D"/>
    <w:rsid w:val="001E3590"/>
    <w:rsid w:val="001E7407"/>
    <w:rsid w:val="001F1A46"/>
    <w:rsid w:val="001F427B"/>
    <w:rsid w:val="00201D27"/>
    <w:rsid w:val="00203A03"/>
    <w:rsid w:val="0021153A"/>
    <w:rsid w:val="0022163D"/>
    <w:rsid w:val="002245A6"/>
    <w:rsid w:val="00227D12"/>
    <w:rsid w:val="002302EA"/>
    <w:rsid w:val="00237614"/>
    <w:rsid w:val="00240749"/>
    <w:rsid w:val="002468D7"/>
    <w:rsid w:val="00247003"/>
    <w:rsid w:val="00247E97"/>
    <w:rsid w:val="00256C81"/>
    <w:rsid w:val="002577CA"/>
    <w:rsid w:val="00260047"/>
    <w:rsid w:val="002764DE"/>
    <w:rsid w:val="00285CDD"/>
    <w:rsid w:val="00291167"/>
    <w:rsid w:val="0029489E"/>
    <w:rsid w:val="00297ECB"/>
    <w:rsid w:val="002C152A"/>
    <w:rsid w:val="002D043A"/>
    <w:rsid w:val="002E676C"/>
    <w:rsid w:val="002F181D"/>
    <w:rsid w:val="0031713F"/>
    <w:rsid w:val="003222D1"/>
    <w:rsid w:val="0032750F"/>
    <w:rsid w:val="003415D3"/>
    <w:rsid w:val="003442F6"/>
    <w:rsid w:val="00346335"/>
    <w:rsid w:val="00352B0F"/>
    <w:rsid w:val="003561B0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E5C1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288C"/>
    <w:rsid w:val="00474835"/>
    <w:rsid w:val="004819C7"/>
    <w:rsid w:val="0048364F"/>
    <w:rsid w:val="004877FC"/>
    <w:rsid w:val="00490F2E"/>
    <w:rsid w:val="0049143A"/>
    <w:rsid w:val="00496F97"/>
    <w:rsid w:val="004A53EA"/>
    <w:rsid w:val="004B35E7"/>
    <w:rsid w:val="004B6E4E"/>
    <w:rsid w:val="004C3FFD"/>
    <w:rsid w:val="004F1FAC"/>
    <w:rsid w:val="004F676E"/>
    <w:rsid w:val="004F71C0"/>
    <w:rsid w:val="004F71DE"/>
    <w:rsid w:val="00507D21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689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4832"/>
    <w:rsid w:val="00655D6A"/>
    <w:rsid w:val="00656DE9"/>
    <w:rsid w:val="00657828"/>
    <w:rsid w:val="00672876"/>
    <w:rsid w:val="00677CC2"/>
    <w:rsid w:val="00685F42"/>
    <w:rsid w:val="0069207B"/>
    <w:rsid w:val="006A304E"/>
    <w:rsid w:val="006B7006"/>
    <w:rsid w:val="006C7D06"/>
    <w:rsid w:val="006C7F8C"/>
    <w:rsid w:val="006D16FA"/>
    <w:rsid w:val="006D7AB9"/>
    <w:rsid w:val="006E6523"/>
    <w:rsid w:val="006F260D"/>
    <w:rsid w:val="00700B2C"/>
    <w:rsid w:val="00713084"/>
    <w:rsid w:val="0071571B"/>
    <w:rsid w:val="00717463"/>
    <w:rsid w:val="00720FC2"/>
    <w:rsid w:val="00722E89"/>
    <w:rsid w:val="00731E00"/>
    <w:rsid w:val="007339C7"/>
    <w:rsid w:val="00740CA9"/>
    <w:rsid w:val="007440B7"/>
    <w:rsid w:val="00744301"/>
    <w:rsid w:val="00747993"/>
    <w:rsid w:val="007503C4"/>
    <w:rsid w:val="007634AD"/>
    <w:rsid w:val="007715C9"/>
    <w:rsid w:val="00774EDD"/>
    <w:rsid w:val="007757EC"/>
    <w:rsid w:val="007A6863"/>
    <w:rsid w:val="007B026F"/>
    <w:rsid w:val="007C78B4"/>
    <w:rsid w:val="007E32B6"/>
    <w:rsid w:val="007E486B"/>
    <w:rsid w:val="007E7D4A"/>
    <w:rsid w:val="007F48ED"/>
    <w:rsid w:val="007F5E3F"/>
    <w:rsid w:val="00807FD1"/>
    <w:rsid w:val="00812F45"/>
    <w:rsid w:val="00825320"/>
    <w:rsid w:val="00827041"/>
    <w:rsid w:val="00836FE9"/>
    <w:rsid w:val="008370DC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263C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20412"/>
    <w:rsid w:val="00922764"/>
    <w:rsid w:val="009278C1"/>
    <w:rsid w:val="00932377"/>
    <w:rsid w:val="009346E3"/>
    <w:rsid w:val="0094523D"/>
    <w:rsid w:val="00957F18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32B7"/>
    <w:rsid w:val="00A9231A"/>
    <w:rsid w:val="00A95BC7"/>
    <w:rsid w:val="00A97D1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5799"/>
    <w:rsid w:val="00B31663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70D2"/>
    <w:rsid w:val="00B818A2"/>
    <w:rsid w:val="00B93516"/>
    <w:rsid w:val="00B96776"/>
    <w:rsid w:val="00B973E5"/>
    <w:rsid w:val="00B97486"/>
    <w:rsid w:val="00BA47A3"/>
    <w:rsid w:val="00BA5026"/>
    <w:rsid w:val="00BA7B5B"/>
    <w:rsid w:val="00BB6E79"/>
    <w:rsid w:val="00BC1A4D"/>
    <w:rsid w:val="00BD6286"/>
    <w:rsid w:val="00BE42C5"/>
    <w:rsid w:val="00BE58B2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5B72"/>
    <w:rsid w:val="00D90841"/>
    <w:rsid w:val="00DA2439"/>
    <w:rsid w:val="00DA6F05"/>
    <w:rsid w:val="00DB64FC"/>
    <w:rsid w:val="00DC7EB2"/>
    <w:rsid w:val="00DE149E"/>
    <w:rsid w:val="00DE60C9"/>
    <w:rsid w:val="00E034DB"/>
    <w:rsid w:val="00E05704"/>
    <w:rsid w:val="00E12F1A"/>
    <w:rsid w:val="00E22935"/>
    <w:rsid w:val="00E4413E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5165"/>
    <w:rsid w:val="00F62706"/>
    <w:rsid w:val="00F677A9"/>
    <w:rsid w:val="00F8121C"/>
    <w:rsid w:val="00F84CF5"/>
    <w:rsid w:val="00F8612E"/>
    <w:rsid w:val="00F94583"/>
    <w:rsid w:val="00FA420B"/>
    <w:rsid w:val="00FB6AEE"/>
    <w:rsid w:val="00FC3EAC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3EF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5124469E9FA6D498C95CB192750B7D2" ma:contentTypeVersion="" ma:contentTypeDescription="PDMS Document Site Content Type" ma:contentTypeScope="" ma:versionID="28ef331d5f225cff15725709fbe7975b">
  <xsd:schema xmlns:xsd="http://www.w3.org/2001/XMLSchema" xmlns:xs="http://www.w3.org/2001/XMLSchema" xmlns:p="http://schemas.microsoft.com/office/2006/metadata/properties" xmlns:ns2="90863A6F-9326-4C72-932F-6FD61222208B" targetNamespace="http://schemas.microsoft.com/office/2006/metadata/properties" ma:root="true" ma:fieldsID="0be646ef09a872be8feb2a45ee124f58" ns2:_="">
    <xsd:import namespace="90863A6F-9326-4C72-932F-6FD61222208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3A6F-9326-4C72-932F-6FD61222208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0863A6F-9326-4C72-932F-6FD6122220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A1EB-D5A5-4EBD-B240-1874EB14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3A6F-9326-4C72-932F-6FD61222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37845-F8AA-42A4-BD16-46455A89C09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0863A6F-9326-4C72-932F-6FD61222208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AED471-3B36-46B9-ADB8-0FA40AB1C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39B4A-36AF-4E55-9140-82E8D281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2020-07-14T00:03:00Z</dcterms:created>
  <dcterms:modified xsi:type="dcterms:W3CDTF">2020-07-14T03:11:00Z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0x010100266966F133664895A6EE3632470D45F50005124469E9FA6D498C95CB192750B7D2</vt:lpwstr>
  </property>
</Properties>
</file>