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F8022" w14:textId="77777777" w:rsidR="00F5638C" w:rsidRDefault="00F5638C" w:rsidP="00F5638C">
      <w:pPr>
        <w:rPr>
          <w:sz w:val="28"/>
        </w:rPr>
      </w:pPr>
      <w:r>
        <w:rPr>
          <w:noProof/>
          <w:lang w:eastAsia="en-AU"/>
        </w:rPr>
        <w:drawing>
          <wp:inline distT="0" distB="0" distL="0" distR="0" wp14:anchorId="0CAAC813" wp14:editId="0ECA3D7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2F3629C" w14:textId="77777777" w:rsidR="00F5638C" w:rsidRDefault="00F5638C" w:rsidP="00F5638C">
      <w:pPr>
        <w:rPr>
          <w:sz w:val="19"/>
        </w:rPr>
      </w:pPr>
    </w:p>
    <w:p w14:paraId="4E1AAE5F" w14:textId="77777777" w:rsidR="00F5638C" w:rsidRDefault="007A3EBB" w:rsidP="00F5638C">
      <w:pPr>
        <w:pStyle w:val="ShortT"/>
      </w:pPr>
      <w:r w:rsidRPr="007A3EBB">
        <w:t>Coronavirus Economic Response Package (Payments and Benefits) Amendment Rules (No.</w:t>
      </w:r>
      <w:r>
        <w:t> 6</w:t>
      </w:r>
      <w:r w:rsidRPr="007A3EBB">
        <w:t>) 2020</w:t>
      </w:r>
    </w:p>
    <w:p w14:paraId="70A05917" w14:textId="77777777" w:rsidR="00F5638C" w:rsidRPr="00BC5754" w:rsidRDefault="00F5638C" w:rsidP="00F5638C">
      <w:pPr>
        <w:pStyle w:val="SignCoverPageStart"/>
        <w:spacing w:before="240"/>
        <w:rPr>
          <w:szCs w:val="22"/>
        </w:rPr>
      </w:pPr>
      <w:r w:rsidRPr="00BC5754">
        <w:rPr>
          <w:szCs w:val="22"/>
        </w:rPr>
        <w:t xml:space="preserve">I, </w:t>
      </w:r>
      <w:r w:rsidR="007A3EBB">
        <w:rPr>
          <w:szCs w:val="22"/>
        </w:rPr>
        <w:t>Josh Frydenberg</w:t>
      </w:r>
      <w:r w:rsidRPr="00BC5754">
        <w:rPr>
          <w:szCs w:val="22"/>
        </w:rPr>
        <w:t xml:space="preserve">, </w:t>
      </w:r>
      <w:r w:rsidR="007A3EBB">
        <w:rPr>
          <w:szCs w:val="22"/>
        </w:rPr>
        <w:t>Treasurer</w:t>
      </w:r>
      <w:r w:rsidRPr="00BC5754">
        <w:rPr>
          <w:szCs w:val="22"/>
        </w:rPr>
        <w:t xml:space="preserve">, make the following </w:t>
      </w:r>
      <w:r w:rsidR="007A3EBB">
        <w:rPr>
          <w:szCs w:val="22"/>
        </w:rPr>
        <w:t>rules</w:t>
      </w:r>
      <w:r w:rsidRPr="00BC5754">
        <w:rPr>
          <w:szCs w:val="22"/>
        </w:rPr>
        <w:t>.</w:t>
      </w:r>
    </w:p>
    <w:p w14:paraId="5286AB62" w14:textId="6A329816" w:rsidR="00F5638C" w:rsidRPr="00BC5754" w:rsidRDefault="00F5638C" w:rsidP="00F5638C">
      <w:pPr>
        <w:keepNext/>
        <w:spacing w:before="720" w:line="240" w:lineRule="atLeast"/>
        <w:ind w:right="397"/>
        <w:jc w:val="both"/>
        <w:rPr>
          <w:szCs w:val="22"/>
        </w:rPr>
      </w:pPr>
      <w:r w:rsidRPr="00BC5754">
        <w:rPr>
          <w:szCs w:val="22"/>
        </w:rPr>
        <w:t xml:space="preserve">Dated </w:t>
      </w:r>
      <w:r w:rsidRPr="00BC5754">
        <w:rPr>
          <w:szCs w:val="22"/>
        </w:rPr>
        <w:tab/>
      </w:r>
      <w:r w:rsidR="00E3160D">
        <w:rPr>
          <w:szCs w:val="22"/>
        </w:rPr>
        <w:t xml:space="preserve">16 July </w:t>
      </w:r>
      <w:r w:rsidR="007A3EBB">
        <w:rPr>
          <w:szCs w:val="22"/>
        </w:rPr>
        <w:t>2020</w:t>
      </w:r>
    </w:p>
    <w:p w14:paraId="1369BB53" w14:textId="77777777" w:rsidR="00F5638C" w:rsidRPr="00BC5754" w:rsidRDefault="00F5638C" w:rsidP="00F5638C">
      <w:pPr>
        <w:keepNext/>
        <w:tabs>
          <w:tab w:val="left" w:pos="3402"/>
        </w:tabs>
        <w:spacing w:before="840" w:after="1080" w:line="300" w:lineRule="atLeast"/>
        <w:ind w:right="397"/>
        <w:rPr>
          <w:szCs w:val="22"/>
        </w:rPr>
      </w:pPr>
    </w:p>
    <w:p w14:paraId="5A442822" w14:textId="6C415ABF" w:rsidR="00F5638C" w:rsidRPr="00BC5754" w:rsidRDefault="007A3EBB" w:rsidP="00F5638C">
      <w:pPr>
        <w:keepNext/>
        <w:tabs>
          <w:tab w:val="left" w:pos="3402"/>
        </w:tabs>
        <w:spacing w:before="480" w:line="300" w:lineRule="atLeast"/>
        <w:ind w:right="397"/>
        <w:rPr>
          <w:szCs w:val="22"/>
        </w:rPr>
      </w:pPr>
      <w:r>
        <w:rPr>
          <w:szCs w:val="22"/>
        </w:rPr>
        <w:t>Josh Frydenberg</w:t>
      </w:r>
    </w:p>
    <w:p w14:paraId="03C4770C" w14:textId="77777777" w:rsidR="00F5638C" w:rsidRPr="00BC5754" w:rsidRDefault="007A3EBB" w:rsidP="00F5638C">
      <w:pPr>
        <w:pStyle w:val="SignCoverPageEnd"/>
        <w:rPr>
          <w:szCs w:val="22"/>
        </w:rPr>
      </w:pPr>
      <w:r>
        <w:rPr>
          <w:szCs w:val="22"/>
        </w:rPr>
        <w:t>Treasurer</w:t>
      </w:r>
    </w:p>
    <w:p w14:paraId="2317C0E8" w14:textId="77777777" w:rsidR="00F5638C" w:rsidRDefault="00F5638C" w:rsidP="00F5638C"/>
    <w:p w14:paraId="61504AF0" w14:textId="77777777" w:rsidR="00F5638C" w:rsidRDefault="00F5638C" w:rsidP="00F5638C">
      <w:pPr>
        <w:pStyle w:val="Header"/>
        <w:tabs>
          <w:tab w:val="clear" w:pos="4150"/>
          <w:tab w:val="clear" w:pos="8307"/>
        </w:tabs>
      </w:pPr>
      <w:r>
        <w:rPr>
          <w:rStyle w:val="CharAmSchNo"/>
        </w:rPr>
        <w:t xml:space="preserve"> </w:t>
      </w:r>
      <w:r>
        <w:rPr>
          <w:rStyle w:val="CharAmSchText"/>
        </w:rPr>
        <w:t xml:space="preserve"> </w:t>
      </w:r>
    </w:p>
    <w:p w14:paraId="6057BE0A" w14:textId="77777777" w:rsidR="00F5638C" w:rsidRDefault="00F5638C" w:rsidP="00F5638C">
      <w:pPr>
        <w:pStyle w:val="Header"/>
        <w:tabs>
          <w:tab w:val="clear" w:pos="4150"/>
          <w:tab w:val="clear" w:pos="8307"/>
        </w:tabs>
      </w:pPr>
      <w:r>
        <w:rPr>
          <w:rStyle w:val="CharAmPartNo"/>
        </w:rPr>
        <w:t xml:space="preserve"> </w:t>
      </w:r>
      <w:r>
        <w:rPr>
          <w:rStyle w:val="CharAmPartText"/>
        </w:rPr>
        <w:t xml:space="preserve"> </w:t>
      </w:r>
    </w:p>
    <w:p w14:paraId="21227235" w14:textId="77777777" w:rsidR="00F5638C" w:rsidRDefault="00F5638C" w:rsidP="00F5638C">
      <w:pPr>
        <w:sectPr w:rsidR="00F5638C" w:rsidSect="00E97334">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4184164C" w14:textId="77777777" w:rsidR="00F5638C" w:rsidRDefault="00F5638C" w:rsidP="00F5638C">
      <w:pPr>
        <w:outlineLvl w:val="0"/>
        <w:rPr>
          <w:sz w:val="36"/>
        </w:rPr>
      </w:pPr>
      <w:r w:rsidRPr="007A1328">
        <w:rPr>
          <w:sz w:val="36"/>
        </w:rPr>
        <w:lastRenderedPageBreak/>
        <w:t>Contents</w:t>
      </w:r>
    </w:p>
    <w:p w14:paraId="0358408C" w14:textId="59543FE5" w:rsidR="00EF72C9" w:rsidRDefault="00F563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EF72C9">
        <w:rPr>
          <w:noProof/>
        </w:rPr>
        <w:t>1  Name</w:t>
      </w:r>
      <w:r w:rsidR="00EF72C9">
        <w:rPr>
          <w:noProof/>
        </w:rPr>
        <w:tab/>
      </w:r>
      <w:r w:rsidR="00EF72C9">
        <w:rPr>
          <w:noProof/>
        </w:rPr>
        <w:tab/>
      </w:r>
      <w:r w:rsidR="00EF72C9">
        <w:rPr>
          <w:noProof/>
        </w:rPr>
        <w:fldChar w:fldCharType="begin"/>
      </w:r>
      <w:r w:rsidR="00EF72C9">
        <w:rPr>
          <w:noProof/>
        </w:rPr>
        <w:instrText xml:space="preserve"> PAGEREF _Toc45554161 \h </w:instrText>
      </w:r>
      <w:r w:rsidR="00EF72C9">
        <w:rPr>
          <w:noProof/>
        </w:rPr>
      </w:r>
      <w:r w:rsidR="00EF72C9">
        <w:rPr>
          <w:noProof/>
        </w:rPr>
        <w:fldChar w:fldCharType="separate"/>
      </w:r>
      <w:r w:rsidR="00F40F69">
        <w:rPr>
          <w:noProof/>
        </w:rPr>
        <w:t>1</w:t>
      </w:r>
      <w:r w:rsidR="00EF72C9">
        <w:rPr>
          <w:noProof/>
        </w:rPr>
        <w:fldChar w:fldCharType="end"/>
      </w:r>
    </w:p>
    <w:p w14:paraId="6BB0F3A7" w14:textId="53494E6C" w:rsidR="00EF72C9" w:rsidRDefault="00EF72C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_Toc45554162 \h </w:instrText>
      </w:r>
      <w:r>
        <w:rPr>
          <w:noProof/>
        </w:rPr>
      </w:r>
      <w:r>
        <w:rPr>
          <w:noProof/>
        </w:rPr>
        <w:fldChar w:fldCharType="separate"/>
      </w:r>
      <w:r w:rsidR="00F40F69">
        <w:rPr>
          <w:noProof/>
        </w:rPr>
        <w:t>1</w:t>
      </w:r>
      <w:r>
        <w:rPr>
          <w:noProof/>
        </w:rPr>
        <w:fldChar w:fldCharType="end"/>
      </w:r>
    </w:p>
    <w:p w14:paraId="7E8041BA" w14:textId="787534D0" w:rsidR="00EF72C9" w:rsidRDefault="00EF72C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_Toc45554163 \h </w:instrText>
      </w:r>
      <w:r>
        <w:rPr>
          <w:noProof/>
        </w:rPr>
      </w:r>
      <w:r>
        <w:rPr>
          <w:noProof/>
        </w:rPr>
        <w:fldChar w:fldCharType="separate"/>
      </w:r>
      <w:r w:rsidR="00F40F69">
        <w:rPr>
          <w:noProof/>
        </w:rPr>
        <w:t>1</w:t>
      </w:r>
      <w:r>
        <w:rPr>
          <w:noProof/>
        </w:rPr>
        <w:fldChar w:fldCharType="end"/>
      </w:r>
    </w:p>
    <w:p w14:paraId="19668AB6" w14:textId="700763B0" w:rsidR="00EF72C9" w:rsidRDefault="00EF72C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_Toc45554164 \h </w:instrText>
      </w:r>
      <w:r>
        <w:rPr>
          <w:noProof/>
        </w:rPr>
      </w:r>
      <w:r>
        <w:rPr>
          <w:noProof/>
        </w:rPr>
        <w:fldChar w:fldCharType="separate"/>
      </w:r>
      <w:r w:rsidR="00F40F69">
        <w:rPr>
          <w:noProof/>
        </w:rPr>
        <w:t>1</w:t>
      </w:r>
      <w:r>
        <w:rPr>
          <w:noProof/>
        </w:rPr>
        <w:fldChar w:fldCharType="end"/>
      </w:r>
    </w:p>
    <w:p w14:paraId="0DE431A0" w14:textId="1741B4BA" w:rsidR="00EF72C9" w:rsidRDefault="00EF72C9">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EF72C9">
        <w:rPr>
          <w:b w:val="0"/>
          <w:noProof/>
          <w:sz w:val="18"/>
        </w:rPr>
        <w:fldChar w:fldCharType="begin"/>
      </w:r>
      <w:r w:rsidRPr="00EF72C9">
        <w:rPr>
          <w:b w:val="0"/>
          <w:noProof/>
          <w:sz w:val="18"/>
        </w:rPr>
        <w:instrText xml:space="preserve"> PAGEREF _Toc45554165 \h </w:instrText>
      </w:r>
      <w:r w:rsidRPr="00EF72C9">
        <w:rPr>
          <w:b w:val="0"/>
          <w:noProof/>
          <w:sz w:val="18"/>
        </w:rPr>
      </w:r>
      <w:r w:rsidRPr="00EF72C9">
        <w:rPr>
          <w:b w:val="0"/>
          <w:noProof/>
          <w:sz w:val="18"/>
        </w:rPr>
        <w:fldChar w:fldCharType="separate"/>
      </w:r>
      <w:r w:rsidR="00F40F69">
        <w:rPr>
          <w:b w:val="0"/>
          <w:noProof/>
          <w:sz w:val="18"/>
        </w:rPr>
        <w:t>2</w:t>
      </w:r>
      <w:r w:rsidRPr="00EF72C9">
        <w:rPr>
          <w:b w:val="0"/>
          <w:noProof/>
          <w:sz w:val="18"/>
        </w:rPr>
        <w:fldChar w:fldCharType="end"/>
      </w:r>
    </w:p>
    <w:p w14:paraId="065081DF" w14:textId="11BBDAA5" w:rsidR="00EF72C9" w:rsidRDefault="00EF72C9">
      <w:pPr>
        <w:pStyle w:val="TOC9"/>
        <w:rPr>
          <w:rFonts w:asciiTheme="minorHAnsi" w:eastAsiaTheme="minorEastAsia" w:hAnsiTheme="minorHAnsi" w:cstheme="minorBidi"/>
          <w:i w:val="0"/>
          <w:noProof/>
          <w:kern w:val="0"/>
          <w:sz w:val="22"/>
          <w:szCs w:val="22"/>
        </w:rPr>
      </w:pPr>
      <w:r>
        <w:rPr>
          <w:noProof/>
        </w:rPr>
        <w:t>Coronavirus Economic Response Package (Payments and Benefits) Rules 2020</w:t>
      </w:r>
      <w:r>
        <w:rPr>
          <w:noProof/>
        </w:rPr>
        <w:tab/>
      </w:r>
      <w:r w:rsidRPr="00EF72C9">
        <w:rPr>
          <w:i w:val="0"/>
          <w:noProof/>
          <w:sz w:val="18"/>
        </w:rPr>
        <w:fldChar w:fldCharType="begin"/>
      </w:r>
      <w:r w:rsidRPr="00EF72C9">
        <w:rPr>
          <w:i w:val="0"/>
          <w:noProof/>
          <w:sz w:val="18"/>
        </w:rPr>
        <w:instrText xml:space="preserve"> PAGEREF _Toc45554166 \h </w:instrText>
      </w:r>
      <w:r w:rsidRPr="00EF72C9">
        <w:rPr>
          <w:i w:val="0"/>
          <w:noProof/>
          <w:sz w:val="18"/>
        </w:rPr>
      </w:r>
      <w:r w:rsidRPr="00EF72C9">
        <w:rPr>
          <w:i w:val="0"/>
          <w:noProof/>
          <w:sz w:val="18"/>
        </w:rPr>
        <w:fldChar w:fldCharType="separate"/>
      </w:r>
      <w:r w:rsidR="00F40F69">
        <w:rPr>
          <w:i w:val="0"/>
          <w:noProof/>
          <w:sz w:val="18"/>
        </w:rPr>
        <w:t>2</w:t>
      </w:r>
      <w:r w:rsidRPr="00EF72C9">
        <w:rPr>
          <w:i w:val="0"/>
          <w:noProof/>
          <w:sz w:val="18"/>
        </w:rPr>
        <w:fldChar w:fldCharType="end"/>
      </w:r>
    </w:p>
    <w:p w14:paraId="59930B12" w14:textId="77777777" w:rsidR="00F5638C" w:rsidRDefault="00F5638C" w:rsidP="00F5638C">
      <w:r>
        <w:fldChar w:fldCharType="end"/>
      </w:r>
    </w:p>
    <w:p w14:paraId="791CA12E" w14:textId="77777777" w:rsidR="00F5638C" w:rsidRPr="007A1328" w:rsidRDefault="00F5638C" w:rsidP="00F5638C"/>
    <w:p w14:paraId="5A605446" w14:textId="77777777" w:rsidR="00F5638C" w:rsidRDefault="00F5638C" w:rsidP="00F5638C">
      <w:pPr>
        <w:sectPr w:rsidR="00F5638C" w:rsidSect="007F48ED">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3C8DF74B" w14:textId="77777777" w:rsidR="00F5638C" w:rsidRDefault="00F5638C" w:rsidP="00F5638C">
      <w:pPr>
        <w:pStyle w:val="ActHead5"/>
      </w:pPr>
      <w:bookmarkStart w:id="16" w:name="_Toc45554161"/>
      <w:r>
        <w:rPr>
          <w:rStyle w:val="CharSectno"/>
        </w:rPr>
        <w:lastRenderedPageBreak/>
        <w:t>1</w:t>
      </w:r>
      <w:r>
        <w:t xml:space="preserve">  Name</w:t>
      </w:r>
      <w:bookmarkEnd w:id="16"/>
    </w:p>
    <w:p w14:paraId="2D54C75F" w14:textId="77777777" w:rsidR="00F5638C" w:rsidRDefault="00F5638C" w:rsidP="00F5638C">
      <w:pPr>
        <w:pStyle w:val="subsection"/>
      </w:pPr>
      <w:r>
        <w:tab/>
      </w:r>
      <w:r>
        <w:tab/>
        <w:t xml:space="preserve">This instrument is the </w:t>
      </w:r>
      <w:r w:rsidR="007A3EBB" w:rsidRPr="007A3EBB">
        <w:rPr>
          <w:i/>
          <w:noProof/>
        </w:rPr>
        <w:t xml:space="preserve">Coronavirus Economic Response Package (Payments and Benefits) Amendment Rules (No. </w:t>
      </w:r>
      <w:r w:rsidR="007A3EBB">
        <w:rPr>
          <w:i/>
          <w:noProof/>
        </w:rPr>
        <w:t>6</w:t>
      </w:r>
      <w:r w:rsidR="007A3EBB" w:rsidRPr="007A3EBB">
        <w:rPr>
          <w:i/>
          <w:noProof/>
        </w:rPr>
        <w:t>) 2020</w:t>
      </w:r>
      <w:r>
        <w:t>.</w:t>
      </w:r>
    </w:p>
    <w:p w14:paraId="28715A29" w14:textId="77777777" w:rsidR="00F5638C" w:rsidRDefault="00F5638C" w:rsidP="00F5638C">
      <w:pPr>
        <w:pStyle w:val="ActHead5"/>
      </w:pPr>
      <w:bookmarkStart w:id="17" w:name="_Toc45554162"/>
      <w:r>
        <w:rPr>
          <w:rStyle w:val="CharSectno"/>
        </w:rPr>
        <w:t>2</w:t>
      </w:r>
      <w:r>
        <w:t xml:space="preserve">  Commencement</w:t>
      </w:r>
      <w:bookmarkEnd w:id="17"/>
    </w:p>
    <w:p w14:paraId="1F9C97C9"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5577B909" w14:textId="77777777" w:rsidR="00F5638C"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5638C" w14:paraId="0EFF3BC1" w14:textId="77777777" w:rsidTr="007A3EBB">
        <w:trPr>
          <w:cantSplit/>
          <w:tblHeader/>
        </w:trPr>
        <w:tc>
          <w:tcPr>
            <w:tcW w:w="8364" w:type="dxa"/>
            <w:gridSpan w:val="3"/>
            <w:tcBorders>
              <w:top w:val="single" w:sz="12" w:space="0" w:color="auto"/>
              <w:left w:val="nil"/>
              <w:bottom w:val="single" w:sz="6" w:space="0" w:color="auto"/>
              <w:right w:val="nil"/>
            </w:tcBorders>
            <w:hideMark/>
          </w:tcPr>
          <w:p w14:paraId="6D025EE4" w14:textId="77777777" w:rsidR="00F5638C" w:rsidRPr="00416235" w:rsidRDefault="00F5638C" w:rsidP="00133D1C">
            <w:pPr>
              <w:pStyle w:val="TableHeading"/>
            </w:pPr>
            <w:r w:rsidRPr="00416235">
              <w:t>Commencement information</w:t>
            </w:r>
          </w:p>
        </w:tc>
      </w:tr>
      <w:tr w:rsidR="00F5638C" w:rsidRPr="00416235" w14:paraId="2642D161" w14:textId="77777777" w:rsidTr="007A3EBB">
        <w:trPr>
          <w:cantSplit/>
          <w:tblHeader/>
        </w:trPr>
        <w:tc>
          <w:tcPr>
            <w:tcW w:w="2127" w:type="dxa"/>
            <w:tcBorders>
              <w:top w:val="single" w:sz="6" w:space="0" w:color="auto"/>
              <w:left w:val="nil"/>
              <w:bottom w:val="single" w:sz="6" w:space="0" w:color="auto"/>
              <w:right w:val="nil"/>
            </w:tcBorders>
            <w:hideMark/>
          </w:tcPr>
          <w:p w14:paraId="70A41661" w14:textId="77777777" w:rsidR="00F5638C" w:rsidRPr="00416235" w:rsidRDefault="00F5638C" w:rsidP="00133D1C">
            <w:pPr>
              <w:pStyle w:val="TableHeading"/>
            </w:pPr>
            <w:r w:rsidRPr="00416235">
              <w:t>Column 1</w:t>
            </w:r>
          </w:p>
        </w:tc>
        <w:tc>
          <w:tcPr>
            <w:tcW w:w="4394" w:type="dxa"/>
            <w:tcBorders>
              <w:top w:val="single" w:sz="6" w:space="0" w:color="auto"/>
              <w:left w:val="nil"/>
              <w:bottom w:val="single" w:sz="6" w:space="0" w:color="auto"/>
              <w:right w:val="nil"/>
            </w:tcBorders>
            <w:hideMark/>
          </w:tcPr>
          <w:p w14:paraId="61FB7B13" w14:textId="77777777" w:rsidR="00F5638C" w:rsidRPr="00416235" w:rsidRDefault="00F5638C" w:rsidP="00133D1C">
            <w:pPr>
              <w:pStyle w:val="TableHeading"/>
            </w:pPr>
            <w:r w:rsidRPr="00416235">
              <w:t>Column 2</w:t>
            </w:r>
          </w:p>
        </w:tc>
        <w:tc>
          <w:tcPr>
            <w:tcW w:w="1843" w:type="dxa"/>
            <w:tcBorders>
              <w:top w:val="single" w:sz="6" w:space="0" w:color="auto"/>
              <w:left w:val="nil"/>
              <w:bottom w:val="single" w:sz="6" w:space="0" w:color="auto"/>
              <w:right w:val="nil"/>
            </w:tcBorders>
            <w:hideMark/>
          </w:tcPr>
          <w:p w14:paraId="07AD8137" w14:textId="77777777" w:rsidR="00F5638C" w:rsidRPr="00416235" w:rsidRDefault="00F5638C" w:rsidP="00133D1C">
            <w:pPr>
              <w:pStyle w:val="TableHeading"/>
            </w:pPr>
            <w:r w:rsidRPr="00416235">
              <w:t>Column 3</w:t>
            </w:r>
          </w:p>
        </w:tc>
      </w:tr>
      <w:tr w:rsidR="00F5638C" w14:paraId="4190BE9C" w14:textId="77777777" w:rsidTr="007A3EBB">
        <w:trPr>
          <w:cantSplit/>
          <w:tblHeader/>
        </w:trPr>
        <w:tc>
          <w:tcPr>
            <w:tcW w:w="2127" w:type="dxa"/>
            <w:tcBorders>
              <w:top w:val="single" w:sz="6" w:space="0" w:color="auto"/>
              <w:left w:val="nil"/>
              <w:bottom w:val="single" w:sz="12" w:space="0" w:color="auto"/>
              <w:right w:val="nil"/>
            </w:tcBorders>
            <w:hideMark/>
          </w:tcPr>
          <w:p w14:paraId="6C674B21" w14:textId="77777777" w:rsidR="00F5638C" w:rsidRPr="00416235" w:rsidRDefault="00F5638C" w:rsidP="00133D1C">
            <w:pPr>
              <w:pStyle w:val="TableHeading"/>
            </w:pPr>
            <w:r w:rsidRPr="00416235">
              <w:t>Provisions</w:t>
            </w:r>
          </w:p>
        </w:tc>
        <w:tc>
          <w:tcPr>
            <w:tcW w:w="4394" w:type="dxa"/>
            <w:tcBorders>
              <w:top w:val="single" w:sz="6" w:space="0" w:color="auto"/>
              <w:left w:val="nil"/>
              <w:bottom w:val="single" w:sz="12" w:space="0" w:color="auto"/>
              <w:right w:val="nil"/>
            </w:tcBorders>
            <w:hideMark/>
          </w:tcPr>
          <w:p w14:paraId="51BA2979" w14:textId="77777777" w:rsidR="00F5638C" w:rsidRPr="00416235" w:rsidRDefault="00F5638C" w:rsidP="00133D1C">
            <w:pPr>
              <w:pStyle w:val="TableHeading"/>
            </w:pPr>
            <w:r w:rsidRPr="00416235">
              <w:t>Commencement</w:t>
            </w:r>
          </w:p>
        </w:tc>
        <w:tc>
          <w:tcPr>
            <w:tcW w:w="1843" w:type="dxa"/>
            <w:tcBorders>
              <w:top w:val="single" w:sz="6" w:space="0" w:color="auto"/>
              <w:left w:val="nil"/>
              <w:bottom w:val="single" w:sz="12" w:space="0" w:color="auto"/>
              <w:right w:val="nil"/>
            </w:tcBorders>
            <w:hideMark/>
          </w:tcPr>
          <w:p w14:paraId="6DD5E3CA" w14:textId="77777777" w:rsidR="00F5638C" w:rsidRPr="00416235" w:rsidRDefault="00F5638C" w:rsidP="00133D1C">
            <w:pPr>
              <w:pStyle w:val="TableHeading"/>
            </w:pPr>
            <w:r w:rsidRPr="00416235">
              <w:t>Date/Details</w:t>
            </w:r>
          </w:p>
        </w:tc>
      </w:tr>
      <w:tr w:rsidR="00F5638C" w14:paraId="0AADF69B" w14:textId="77777777" w:rsidTr="007A3EBB">
        <w:trPr>
          <w:cantSplit/>
        </w:trPr>
        <w:tc>
          <w:tcPr>
            <w:tcW w:w="2127" w:type="dxa"/>
            <w:tcBorders>
              <w:top w:val="single" w:sz="2" w:space="0" w:color="auto"/>
              <w:left w:val="nil"/>
              <w:bottom w:val="single" w:sz="12" w:space="0" w:color="auto"/>
              <w:right w:val="nil"/>
            </w:tcBorders>
            <w:hideMark/>
          </w:tcPr>
          <w:p w14:paraId="68ED34D2" w14:textId="77777777" w:rsidR="00F5638C" w:rsidRDefault="007A3EBB" w:rsidP="00133D1C">
            <w:pPr>
              <w:pStyle w:val="Tabletext"/>
            </w:pPr>
            <w:r>
              <w:t>1</w:t>
            </w:r>
            <w:r w:rsidR="00F5638C">
              <w:t xml:space="preserve">.  </w:t>
            </w:r>
            <w:r>
              <w:t>The whole of this instrument</w:t>
            </w:r>
          </w:p>
        </w:tc>
        <w:tc>
          <w:tcPr>
            <w:tcW w:w="4394" w:type="dxa"/>
            <w:tcBorders>
              <w:top w:val="single" w:sz="2" w:space="0" w:color="auto"/>
              <w:left w:val="nil"/>
              <w:bottom w:val="single" w:sz="12" w:space="0" w:color="auto"/>
              <w:right w:val="nil"/>
            </w:tcBorders>
          </w:tcPr>
          <w:p w14:paraId="6F10476F" w14:textId="2408EE94" w:rsidR="00F5638C" w:rsidRDefault="00E82B4B" w:rsidP="007A3EBB">
            <w:pPr>
              <w:pStyle w:val="Tabletext"/>
            </w:pPr>
            <w:bookmarkStart w:id="18" w:name="_GoBack"/>
            <w:r w:rsidRPr="00E82B4B">
              <w:t>Immediately after this instrument is registered</w:t>
            </w:r>
            <w:bookmarkEnd w:id="18"/>
            <w:r w:rsidRPr="00E82B4B">
              <w:t>.</w:t>
            </w:r>
          </w:p>
        </w:tc>
        <w:tc>
          <w:tcPr>
            <w:tcW w:w="1843" w:type="dxa"/>
            <w:tcBorders>
              <w:top w:val="single" w:sz="2" w:space="0" w:color="auto"/>
              <w:left w:val="nil"/>
              <w:bottom w:val="single" w:sz="12" w:space="0" w:color="auto"/>
              <w:right w:val="nil"/>
            </w:tcBorders>
          </w:tcPr>
          <w:p w14:paraId="5E9163C9" w14:textId="77777777" w:rsidR="00F5638C" w:rsidRDefault="00F5638C" w:rsidP="00133D1C">
            <w:pPr>
              <w:pStyle w:val="Tabletext"/>
            </w:pPr>
          </w:p>
        </w:tc>
      </w:tr>
    </w:tbl>
    <w:p w14:paraId="4EDA50F4"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286086C5" w14:textId="77777777" w:rsidR="00F5638C" w:rsidRDefault="00F5638C" w:rsidP="00EF72C9">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1A1EFD26" w14:textId="77777777" w:rsidR="00F5638C" w:rsidRDefault="00F5638C" w:rsidP="00F5638C">
      <w:pPr>
        <w:pStyle w:val="ActHead5"/>
      </w:pPr>
      <w:bookmarkStart w:id="19" w:name="_Toc45554163"/>
      <w:r>
        <w:t>3  Authority</w:t>
      </w:r>
      <w:bookmarkEnd w:id="19"/>
    </w:p>
    <w:p w14:paraId="31E25C85" w14:textId="77777777" w:rsidR="00F5638C" w:rsidRPr="007769D4" w:rsidRDefault="00F5638C" w:rsidP="00F5638C">
      <w:pPr>
        <w:pStyle w:val="subsection"/>
      </w:pPr>
      <w:r>
        <w:tab/>
      </w:r>
      <w:r>
        <w:tab/>
        <w:t xml:space="preserve">This instrument is made under the </w:t>
      </w:r>
      <w:r w:rsidR="00EF72C9" w:rsidRPr="00EF72C9">
        <w:rPr>
          <w:i/>
        </w:rPr>
        <w:t>Coronavirus Economic Response Package (Payments and Benefits) Act 2020</w:t>
      </w:r>
      <w:r>
        <w:rPr>
          <w:i/>
        </w:rPr>
        <w:t>.</w:t>
      </w:r>
    </w:p>
    <w:p w14:paraId="54041941" w14:textId="77777777" w:rsidR="00F5638C" w:rsidRDefault="00F5638C" w:rsidP="00F5638C">
      <w:pPr>
        <w:pStyle w:val="ActHead5"/>
      </w:pPr>
      <w:bookmarkStart w:id="20" w:name="_Toc45554164"/>
      <w:r>
        <w:t>4  Schedules</w:t>
      </w:r>
      <w:bookmarkEnd w:id="20"/>
    </w:p>
    <w:p w14:paraId="3C49C2A2" w14:textId="77777777" w:rsidR="00F5638C" w:rsidRDefault="00F5638C" w:rsidP="00F5638C">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74BC8987" w14:textId="77777777" w:rsidR="00F5638C" w:rsidRDefault="00F5638C" w:rsidP="00F5638C">
      <w:pPr>
        <w:pStyle w:val="ActHead6"/>
        <w:pageBreakBefore/>
      </w:pPr>
      <w:bookmarkStart w:id="21" w:name="_Toc45554165"/>
      <w:r w:rsidRPr="00291167">
        <w:rPr>
          <w:rStyle w:val="CharAmSchNo"/>
        </w:rPr>
        <w:lastRenderedPageBreak/>
        <w:t>Schedule 1</w:t>
      </w:r>
      <w:r>
        <w:t>—</w:t>
      </w:r>
      <w:r w:rsidRPr="00291167">
        <w:rPr>
          <w:rStyle w:val="CharAmSchText"/>
        </w:rPr>
        <w:t>Amendments</w:t>
      </w:r>
      <w:bookmarkEnd w:id="21"/>
    </w:p>
    <w:p w14:paraId="7FF50796" w14:textId="77777777" w:rsidR="00F5638C" w:rsidRDefault="00F5638C" w:rsidP="00F5638C">
      <w:pPr>
        <w:pStyle w:val="Header"/>
      </w:pPr>
      <w:r>
        <w:t xml:space="preserve">  </w:t>
      </w:r>
    </w:p>
    <w:p w14:paraId="7630F5F5" w14:textId="77777777" w:rsidR="00EF72C9" w:rsidRPr="00EF72C9" w:rsidRDefault="00EF72C9" w:rsidP="00EF72C9">
      <w:pPr>
        <w:pStyle w:val="ActHead9"/>
      </w:pPr>
      <w:bookmarkStart w:id="22" w:name="_Toc45554166"/>
      <w:r w:rsidRPr="00EF72C9">
        <w:t>Coronavirus Economic Response Package (Payments and Benefits) Rules 2020</w:t>
      </w:r>
      <w:bookmarkEnd w:id="22"/>
    </w:p>
    <w:p w14:paraId="4F58AA92" w14:textId="77777777" w:rsidR="00F5638C" w:rsidRPr="00EF72C9" w:rsidRDefault="00F5638C" w:rsidP="00F5638C">
      <w:pPr>
        <w:pStyle w:val="ItemHead"/>
      </w:pPr>
      <w:r>
        <w:t xml:space="preserve">1  </w:t>
      </w:r>
      <w:r w:rsidR="00EF72C9" w:rsidRPr="00EF72C9">
        <w:t>After section 18A</w:t>
      </w:r>
    </w:p>
    <w:p w14:paraId="1794728A" w14:textId="77777777" w:rsidR="00F5638C" w:rsidRDefault="00EF72C9" w:rsidP="00F5638C">
      <w:pPr>
        <w:pStyle w:val="Item"/>
      </w:pPr>
      <w:r>
        <w:t>Insert:</w:t>
      </w:r>
    </w:p>
    <w:p w14:paraId="34FAE742" w14:textId="77777777" w:rsidR="00EF72C9" w:rsidRPr="00EF72C9" w:rsidRDefault="00EF72C9" w:rsidP="00EF72C9">
      <w:pPr>
        <w:pStyle w:val="ActHead5"/>
      </w:pPr>
      <w:bookmarkStart w:id="23" w:name="_Toc45554167"/>
      <w:r w:rsidRPr="00EF72C9">
        <w:t>18B  Confirmation of giving of information—notice to Australian government agencies and local governing bodies</w:t>
      </w:r>
      <w:bookmarkEnd w:id="23"/>
    </w:p>
    <w:p w14:paraId="1886A1A0" w14:textId="77777777" w:rsidR="00EF72C9" w:rsidRPr="00EF72C9" w:rsidRDefault="00EF72C9" w:rsidP="00EF72C9">
      <w:pPr>
        <w:pStyle w:val="subsection"/>
      </w:pPr>
      <w:r>
        <w:tab/>
      </w:r>
      <w:r w:rsidRPr="00EF72C9">
        <w:t>(1)</w:t>
      </w:r>
      <w:r>
        <w:tab/>
      </w:r>
      <w:r w:rsidRPr="00EF72C9">
        <w:t>This section applies if an Australian government agency or local governing body has notified the Commissioner in the approved form of information relating to an entity’s entitlement to jobkeeper payments for one or more fortnights.</w:t>
      </w:r>
    </w:p>
    <w:p w14:paraId="7FF33802" w14:textId="77777777" w:rsidR="00EF72C9" w:rsidRPr="00EF72C9" w:rsidRDefault="00EF72C9" w:rsidP="00EF72C9">
      <w:pPr>
        <w:pStyle w:val="subsection"/>
      </w:pPr>
      <w:r>
        <w:tab/>
      </w:r>
      <w:r w:rsidRPr="00EF72C9">
        <w:t>(2)</w:t>
      </w:r>
      <w:r>
        <w:tab/>
      </w:r>
      <w:r w:rsidRPr="00EF72C9">
        <w:t>The Commissioner must give the Australian government agency or local governing body a notice in writing stating that, in the Commissioner’s opinion, the information:</w:t>
      </w:r>
    </w:p>
    <w:p w14:paraId="30B8B078" w14:textId="77777777" w:rsidR="00EF72C9" w:rsidRPr="00EF72C9" w:rsidRDefault="00EF72C9" w:rsidP="00EF72C9">
      <w:pPr>
        <w:pStyle w:val="paragraph"/>
      </w:pPr>
      <w:r>
        <w:tab/>
      </w:r>
      <w:r w:rsidRPr="00EF72C9">
        <w:t>(a)</w:t>
      </w:r>
      <w:r>
        <w:tab/>
      </w:r>
      <w:r w:rsidRPr="00EF72C9">
        <w:t>satisfies the requirement in subsection (3); or</w:t>
      </w:r>
    </w:p>
    <w:p w14:paraId="3856BC4B" w14:textId="77777777" w:rsidR="00EF72C9" w:rsidRPr="00EF72C9" w:rsidRDefault="00EF72C9" w:rsidP="00EF72C9">
      <w:pPr>
        <w:pStyle w:val="paragraph"/>
      </w:pPr>
      <w:r>
        <w:tab/>
      </w:r>
      <w:r w:rsidRPr="00EF72C9">
        <w:t>(b)</w:t>
      </w:r>
      <w:r>
        <w:tab/>
      </w:r>
      <w:r w:rsidRPr="00EF72C9">
        <w:t>does not satisfy that requirement.</w:t>
      </w:r>
    </w:p>
    <w:p w14:paraId="728254C5" w14:textId="77777777" w:rsidR="00EF72C9" w:rsidRPr="00EF72C9" w:rsidRDefault="00EF72C9" w:rsidP="00EF72C9">
      <w:pPr>
        <w:pStyle w:val="subsection"/>
      </w:pPr>
      <w:r>
        <w:tab/>
      </w:r>
      <w:r w:rsidRPr="00EF72C9">
        <w:t>(3)</w:t>
      </w:r>
      <w:r>
        <w:tab/>
      </w:r>
      <w:r w:rsidRPr="00EF72C9">
        <w:t>For the purposes of subsection (2), the information satisfies the requirement in this subsection if it is comprised of any of the following:</w:t>
      </w:r>
    </w:p>
    <w:p w14:paraId="0CFB0D5E" w14:textId="77777777" w:rsidR="00EF72C9" w:rsidRPr="00EF72C9" w:rsidRDefault="00EF72C9" w:rsidP="00EF72C9">
      <w:pPr>
        <w:pStyle w:val="paragraph"/>
      </w:pPr>
      <w:r>
        <w:tab/>
      </w:r>
      <w:r w:rsidRPr="00EF72C9">
        <w:t>(a)</w:t>
      </w:r>
      <w:r>
        <w:tab/>
      </w:r>
      <w:r w:rsidRPr="00EF72C9">
        <w:t>information that the entity gave to the Commissioner;</w:t>
      </w:r>
    </w:p>
    <w:p w14:paraId="163C961C" w14:textId="77777777" w:rsidR="00EF72C9" w:rsidRPr="00EF72C9" w:rsidRDefault="00EF72C9" w:rsidP="00EF72C9">
      <w:pPr>
        <w:pStyle w:val="paragraph"/>
      </w:pPr>
      <w:r>
        <w:tab/>
      </w:r>
      <w:r w:rsidRPr="00EF72C9">
        <w:t>(b)</w:t>
      </w:r>
      <w:r>
        <w:tab/>
      </w:r>
      <w:r w:rsidRPr="00EF72C9">
        <w:t>information that the Commissioner gave to the entity.</w:t>
      </w:r>
    </w:p>
    <w:p w14:paraId="2D57642C" w14:textId="77777777" w:rsidR="00EF72C9" w:rsidRPr="00EF72C9" w:rsidRDefault="00EF72C9" w:rsidP="00EF72C9">
      <w:pPr>
        <w:pStyle w:val="subsection"/>
      </w:pPr>
      <w:r>
        <w:tab/>
      </w:r>
      <w:r w:rsidRPr="00EF72C9">
        <w:t>(4)</w:t>
      </w:r>
      <w:r>
        <w:tab/>
      </w:r>
      <w:r w:rsidRPr="00EF72C9">
        <w:t>The Commissioner must give the notice under subsection (2) within a reasonable time after receiving the notification from the Australian government agency or local governing body.</w:t>
      </w:r>
    </w:p>
    <w:sectPr w:rsidR="00EF72C9" w:rsidRPr="00EF72C9" w:rsidSect="007F48ED">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34C65" w14:textId="77777777" w:rsidR="007A3EBB" w:rsidRDefault="007A3EBB" w:rsidP="00F5638C">
      <w:pPr>
        <w:spacing w:line="240" w:lineRule="auto"/>
      </w:pPr>
      <w:r>
        <w:separator/>
      </w:r>
    </w:p>
  </w:endnote>
  <w:endnote w:type="continuationSeparator" w:id="0">
    <w:p w14:paraId="0AF44E0E" w14:textId="77777777" w:rsidR="007A3EBB" w:rsidRDefault="007A3EBB" w:rsidP="00F56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1F54" w14:textId="6BDD4AFE" w:rsidR="00F5638C" w:rsidRPr="005F1388" w:rsidRDefault="00F5638C" w:rsidP="00685F4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3027" w14:textId="170EEA72" w:rsidR="00F5638C" w:rsidRDefault="00F5638C" w:rsidP="00E97334">
    <w:bookmarkStart w:id="0" w:name="_Hlk26285905"/>
    <w:bookmarkStart w:id="1" w:name="_Hlk26285906"/>
    <w:bookmarkStart w:id="2" w:name="_Hlk26285909"/>
    <w:bookmarkStart w:id="3" w:name="_Hlk26285910"/>
  </w:p>
  <w:bookmarkEnd w:id="0"/>
  <w:bookmarkEnd w:id="1"/>
  <w:bookmarkEnd w:id="2"/>
  <w:bookmarkEnd w:id="3"/>
  <w:p w14:paraId="1BE3F37B" w14:textId="77777777" w:rsidR="00F5638C" w:rsidRPr="00E97334" w:rsidRDefault="00F5638C"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7030" w14:textId="77777777" w:rsidR="00F5638C" w:rsidRPr="00ED79B6" w:rsidRDefault="00F5638C" w:rsidP="00685F42">
    <w:pPr>
      <w:pStyle w:val="Footer"/>
      <w:tabs>
        <w:tab w:val="clear" w:pos="4153"/>
        <w:tab w:val="clear" w:pos="8306"/>
        <w:tab w:val="center" w:pos="4150"/>
        <w:tab w:val="right" w:pos="8307"/>
      </w:tabs>
      <w:spacing w:before="120"/>
    </w:pPr>
    <w:bookmarkStart w:id="6" w:name="_Hlk26285907"/>
    <w:bookmarkStart w:id="7" w:name="_Hlk26285908"/>
    <w:bookmarkStart w:id="8" w:name="_Hlk26285919"/>
    <w:bookmarkStart w:id="9" w:name="_Hlk26285920"/>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A4E2" w14:textId="1EDCDF23" w:rsidR="00F5638C" w:rsidRPr="00E33C1C" w:rsidRDefault="00F5638C"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638C" w14:paraId="0BEF7E85" w14:textId="77777777" w:rsidTr="00EF72C9">
      <w:tc>
        <w:tcPr>
          <w:tcW w:w="709" w:type="dxa"/>
          <w:tcBorders>
            <w:top w:val="nil"/>
            <w:left w:val="nil"/>
            <w:bottom w:val="nil"/>
            <w:right w:val="nil"/>
          </w:tcBorders>
        </w:tcPr>
        <w:p w14:paraId="6316518F" w14:textId="77777777" w:rsidR="00F5638C" w:rsidRDefault="00F5638C"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A43C485" w14:textId="2CB34713" w:rsidR="00F5638C" w:rsidRDefault="00F5638C"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40F69">
            <w:rPr>
              <w:i/>
              <w:noProof/>
              <w:sz w:val="18"/>
            </w:rPr>
            <w:t>Coronavirus Economic Response Package (Payments and Benefits) Amendment Rules (No. 6) 2020</w:t>
          </w:r>
          <w:r>
            <w:rPr>
              <w:i/>
              <w:sz w:val="18"/>
            </w:rPr>
            <w:fldChar w:fldCharType="end"/>
          </w:r>
        </w:p>
      </w:tc>
      <w:tc>
        <w:tcPr>
          <w:tcW w:w="1384" w:type="dxa"/>
          <w:tcBorders>
            <w:top w:val="nil"/>
            <w:left w:val="nil"/>
            <w:bottom w:val="nil"/>
            <w:right w:val="nil"/>
          </w:tcBorders>
        </w:tcPr>
        <w:p w14:paraId="44D71FE5" w14:textId="77777777" w:rsidR="00F5638C" w:rsidRDefault="00F5638C" w:rsidP="00830B62">
          <w:pPr>
            <w:spacing w:line="0" w:lineRule="atLeast"/>
            <w:jc w:val="right"/>
            <w:rPr>
              <w:sz w:val="18"/>
            </w:rPr>
          </w:pPr>
        </w:p>
      </w:tc>
    </w:tr>
  </w:tbl>
  <w:p w14:paraId="7DD55E1F" w14:textId="77777777" w:rsidR="00F5638C" w:rsidRPr="00ED79B6" w:rsidRDefault="00F5638C"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8E72" w14:textId="0A285550" w:rsidR="00F5638C" w:rsidRPr="00E33C1C" w:rsidRDefault="00F5638C" w:rsidP="0094523D">
    <w:pPr>
      <w:pBdr>
        <w:top w:val="single" w:sz="6" w:space="1" w:color="auto"/>
      </w:pBdr>
      <w:spacing w:before="120" w:line="0" w:lineRule="atLeast"/>
      <w:rPr>
        <w:sz w:val="16"/>
        <w:szCs w:val="16"/>
      </w:rPr>
    </w:pPr>
    <w:bookmarkStart w:id="10" w:name="_Hlk26285917"/>
    <w:bookmarkStart w:id="11" w:name="_Hlk26285918"/>
    <w:bookmarkStart w:id="12" w:name="_Hlk26285921"/>
    <w:bookmarkStart w:id="13" w:name="_Hlk26285922"/>
  </w:p>
  <w:tbl>
    <w:tblPr>
      <w:tblStyle w:val="TableGrid"/>
      <w:tblW w:w="8472" w:type="dxa"/>
      <w:tblLayout w:type="fixed"/>
      <w:tblLook w:val="04A0" w:firstRow="1" w:lastRow="0" w:firstColumn="1" w:lastColumn="0" w:noHBand="0" w:noVBand="1"/>
    </w:tblPr>
    <w:tblGrid>
      <w:gridCol w:w="1383"/>
      <w:gridCol w:w="6379"/>
      <w:gridCol w:w="710"/>
    </w:tblGrid>
    <w:tr w:rsidR="00F5638C" w14:paraId="0EEE6EB8" w14:textId="77777777" w:rsidTr="00EF72C9">
      <w:tc>
        <w:tcPr>
          <w:tcW w:w="1383" w:type="dxa"/>
          <w:tcBorders>
            <w:top w:val="nil"/>
            <w:left w:val="nil"/>
            <w:bottom w:val="nil"/>
            <w:right w:val="nil"/>
          </w:tcBorders>
        </w:tcPr>
        <w:p w14:paraId="6B4E505A" w14:textId="77777777" w:rsidR="00F5638C" w:rsidRDefault="00F5638C" w:rsidP="00830B62">
          <w:pPr>
            <w:spacing w:line="0" w:lineRule="atLeast"/>
            <w:rPr>
              <w:sz w:val="18"/>
            </w:rPr>
          </w:pPr>
        </w:p>
      </w:tc>
      <w:tc>
        <w:tcPr>
          <w:tcW w:w="6379" w:type="dxa"/>
          <w:tcBorders>
            <w:top w:val="nil"/>
            <w:left w:val="nil"/>
            <w:bottom w:val="nil"/>
            <w:right w:val="nil"/>
          </w:tcBorders>
        </w:tcPr>
        <w:p w14:paraId="366D7B97" w14:textId="1726C069" w:rsidR="00F5638C" w:rsidRDefault="00F5638C"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3160D">
            <w:rPr>
              <w:i/>
              <w:noProof/>
              <w:sz w:val="18"/>
            </w:rPr>
            <w:t>Coronavirus Economic Response Package (Payments and Benefits) Amendment Rules (No. 6) 2020</w:t>
          </w:r>
          <w:r>
            <w:rPr>
              <w:i/>
              <w:sz w:val="18"/>
            </w:rPr>
            <w:fldChar w:fldCharType="end"/>
          </w:r>
        </w:p>
      </w:tc>
      <w:tc>
        <w:tcPr>
          <w:tcW w:w="710" w:type="dxa"/>
          <w:tcBorders>
            <w:top w:val="nil"/>
            <w:left w:val="nil"/>
            <w:bottom w:val="nil"/>
            <w:right w:val="nil"/>
          </w:tcBorders>
        </w:tcPr>
        <w:p w14:paraId="212B231A" w14:textId="38DD18E1" w:rsidR="00F5638C" w:rsidRDefault="00F5638C"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160D">
            <w:rPr>
              <w:i/>
              <w:noProof/>
              <w:sz w:val="18"/>
            </w:rPr>
            <w:t>i</w:t>
          </w:r>
          <w:r w:rsidRPr="00ED79B6">
            <w:rPr>
              <w:i/>
              <w:sz w:val="18"/>
            </w:rPr>
            <w:fldChar w:fldCharType="end"/>
          </w:r>
        </w:p>
      </w:tc>
    </w:tr>
    <w:bookmarkEnd w:id="10"/>
    <w:bookmarkEnd w:id="11"/>
    <w:bookmarkEnd w:id="12"/>
    <w:bookmarkEnd w:id="13"/>
  </w:tbl>
  <w:p w14:paraId="6C1A4D40" w14:textId="77777777" w:rsidR="00F5638C" w:rsidRPr="00ED79B6" w:rsidRDefault="00F5638C"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0998" w14:textId="788DE8BA" w:rsidR="00A136F5" w:rsidRPr="00E33C1C" w:rsidRDefault="00E3160D"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A136F5" w14:paraId="4C8B6F3B" w14:textId="77777777" w:rsidTr="00EF72C9">
      <w:tc>
        <w:tcPr>
          <w:tcW w:w="709" w:type="dxa"/>
          <w:tcBorders>
            <w:top w:val="nil"/>
            <w:left w:val="nil"/>
            <w:bottom w:val="nil"/>
            <w:right w:val="nil"/>
          </w:tcBorders>
        </w:tcPr>
        <w:p w14:paraId="579403F5" w14:textId="26975BD8" w:rsidR="00A136F5" w:rsidRDefault="003C1503"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160D">
            <w:rPr>
              <w:i/>
              <w:noProof/>
              <w:sz w:val="18"/>
            </w:rPr>
            <w:t>2</w:t>
          </w:r>
          <w:r w:rsidRPr="00ED79B6">
            <w:rPr>
              <w:i/>
              <w:sz w:val="18"/>
            </w:rPr>
            <w:fldChar w:fldCharType="end"/>
          </w:r>
        </w:p>
      </w:tc>
      <w:tc>
        <w:tcPr>
          <w:tcW w:w="6379" w:type="dxa"/>
          <w:tcBorders>
            <w:top w:val="nil"/>
            <w:left w:val="nil"/>
            <w:bottom w:val="nil"/>
            <w:right w:val="nil"/>
          </w:tcBorders>
        </w:tcPr>
        <w:p w14:paraId="6468A285" w14:textId="20A7B5B3" w:rsidR="00A136F5" w:rsidRDefault="003C1503"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3160D">
            <w:rPr>
              <w:i/>
              <w:noProof/>
              <w:sz w:val="18"/>
            </w:rPr>
            <w:t>Coronavirus Economic Response Package (Payments and Benefits) Amendment Rules (No. 6) 2020</w:t>
          </w:r>
          <w:r>
            <w:rPr>
              <w:i/>
              <w:sz w:val="18"/>
            </w:rPr>
            <w:fldChar w:fldCharType="end"/>
          </w:r>
        </w:p>
      </w:tc>
      <w:tc>
        <w:tcPr>
          <w:tcW w:w="1384" w:type="dxa"/>
          <w:tcBorders>
            <w:top w:val="nil"/>
            <w:left w:val="nil"/>
            <w:bottom w:val="nil"/>
            <w:right w:val="nil"/>
          </w:tcBorders>
        </w:tcPr>
        <w:p w14:paraId="1D2FC453" w14:textId="77777777" w:rsidR="00A136F5" w:rsidRDefault="00E3160D" w:rsidP="00830B62">
          <w:pPr>
            <w:spacing w:line="0" w:lineRule="atLeast"/>
            <w:jc w:val="right"/>
            <w:rPr>
              <w:sz w:val="18"/>
            </w:rPr>
          </w:pPr>
        </w:p>
      </w:tc>
    </w:tr>
  </w:tbl>
  <w:p w14:paraId="1C37046D" w14:textId="77777777" w:rsidR="00A136F5" w:rsidRPr="00ED79B6" w:rsidRDefault="00E3160D"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699F" w14:textId="0E0E8C74" w:rsidR="007A6863" w:rsidRPr="00E33C1C" w:rsidRDefault="00E3160D" w:rsidP="009C5989">
    <w:pPr>
      <w:pBdr>
        <w:top w:val="single" w:sz="6" w:space="1" w:color="auto"/>
      </w:pBdr>
      <w:spacing w:before="120" w:line="0" w:lineRule="atLeast"/>
      <w:rPr>
        <w:sz w:val="16"/>
        <w:szCs w:val="16"/>
      </w:rPr>
    </w:pPr>
    <w:bookmarkStart w:id="28" w:name="_Hlk26285929"/>
    <w:bookmarkStart w:id="29" w:name="_Hlk26285930"/>
    <w:bookmarkStart w:id="30" w:name="_Hlk26285933"/>
    <w:bookmarkStart w:id="31" w:name="_Hlk26285934"/>
  </w:p>
  <w:tbl>
    <w:tblPr>
      <w:tblStyle w:val="TableGrid"/>
      <w:tblW w:w="8472" w:type="dxa"/>
      <w:tblLayout w:type="fixed"/>
      <w:tblLook w:val="04A0" w:firstRow="1" w:lastRow="0" w:firstColumn="1" w:lastColumn="0" w:noHBand="0" w:noVBand="1"/>
    </w:tblPr>
    <w:tblGrid>
      <w:gridCol w:w="1384"/>
      <w:gridCol w:w="6379"/>
      <w:gridCol w:w="709"/>
    </w:tblGrid>
    <w:tr w:rsidR="007A6863" w14:paraId="1732D365" w14:textId="77777777" w:rsidTr="00EF72C9">
      <w:tc>
        <w:tcPr>
          <w:tcW w:w="1384" w:type="dxa"/>
          <w:tcBorders>
            <w:top w:val="nil"/>
            <w:left w:val="nil"/>
            <w:bottom w:val="nil"/>
            <w:right w:val="nil"/>
          </w:tcBorders>
        </w:tcPr>
        <w:p w14:paraId="32E1A160" w14:textId="77777777" w:rsidR="007A6863" w:rsidRDefault="00E3160D" w:rsidP="000C45A2">
          <w:pPr>
            <w:spacing w:line="0" w:lineRule="atLeast"/>
            <w:rPr>
              <w:sz w:val="18"/>
            </w:rPr>
          </w:pPr>
        </w:p>
      </w:tc>
      <w:tc>
        <w:tcPr>
          <w:tcW w:w="6379" w:type="dxa"/>
          <w:tcBorders>
            <w:top w:val="nil"/>
            <w:left w:val="nil"/>
            <w:bottom w:val="nil"/>
            <w:right w:val="nil"/>
          </w:tcBorders>
        </w:tcPr>
        <w:p w14:paraId="14F8A496" w14:textId="5324A06E" w:rsidR="007A6863" w:rsidRDefault="003C1503" w:rsidP="000C45A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3160D">
            <w:rPr>
              <w:i/>
              <w:noProof/>
              <w:sz w:val="18"/>
            </w:rPr>
            <w:t>Coronavirus Economic Response Package (Payments and Benefits) Amendment Rules (No. 6) 2020</w:t>
          </w:r>
          <w:r>
            <w:rPr>
              <w:i/>
              <w:sz w:val="18"/>
            </w:rPr>
            <w:fldChar w:fldCharType="end"/>
          </w:r>
        </w:p>
      </w:tc>
      <w:tc>
        <w:tcPr>
          <w:tcW w:w="709" w:type="dxa"/>
          <w:tcBorders>
            <w:top w:val="nil"/>
            <w:left w:val="nil"/>
            <w:bottom w:val="nil"/>
            <w:right w:val="nil"/>
          </w:tcBorders>
        </w:tcPr>
        <w:p w14:paraId="21CED7A0" w14:textId="022201D6" w:rsidR="007A6863" w:rsidRDefault="003C150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160D">
            <w:rPr>
              <w:i/>
              <w:noProof/>
              <w:sz w:val="18"/>
            </w:rPr>
            <w:t>1</w:t>
          </w:r>
          <w:r w:rsidRPr="00ED79B6">
            <w:rPr>
              <w:i/>
              <w:sz w:val="18"/>
            </w:rPr>
            <w:fldChar w:fldCharType="end"/>
          </w:r>
        </w:p>
      </w:tc>
    </w:tr>
    <w:bookmarkEnd w:id="28"/>
    <w:bookmarkEnd w:id="29"/>
    <w:bookmarkEnd w:id="30"/>
    <w:bookmarkEnd w:id="31"/>
  </w:tbl>
  <w:p w14:paraId="13E47AFF" w14:textId="77777777" w:rsidR="007A6863" w:rsidRPr="00ED79B6" w:rsidRDefault="00E3160D"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2661A" w14:textId="77777777" w:rsidR="00A136F5" w:rsidRPr="00E33C1C" w:rsidRDefault="00E3160D" w:rsidP="00A136F5">
    <w:pPr>
      <w:pBdr>
        <w:top w:val="single" w:sz="6" w:space="1" w:color="auto"/>
      </w:pBdr>
      <w:spacing w:line="0" w:lineRule="atLeast"/>
      <w:rPr>
        <w:sz w:val="16"/>
        <w:szCs w:val="16"/>
      </w:rPr>
    </w:pPr>
    <w:bookmarkStart w:id="34" w:name="_Hlk26285931"/>
    <w:bookmarkStart w:id="35" w:name="_Hlk26285932"/>
  </w:p>
  <w:tbl>
    <w:tblPr>
      <w:tblStyle w:val="TableGrid"/>
      <w:tblW w:w="8472" w:type="dxa"/>
      <w:tblLayout w:type="fixed"/>
      <w:tblLook w:val="04A0" w:firstRow="1" w:lastRow="0" w:firstColumn="1" w:lastColumn="0" w:noHBand="0" w:noVBand="1"/>
    </w:tblPr>
    <w:tblGrid>
      <w:gridCol w:w="1384"/>
      <w:gridCol w:w="6379"/>
      <w:gridCol w:w="709"/>
    </w:tblGrid>
    <w:tr w:rsidR="00A136F5" w14:paraId="30C6BC55" w14:textId="77777777" w:rsidTr="00EF72C9">
      <w:tc>
        <w:tcPr>
          <w:tcW w:w="1384" w:type="dxa"/>
          <w:tcBorders>
            <w:top w:val="nil"/>
            <w:left w:val="nil"/>
            <w:bottom w:val="nil"/>
            <w:right w:val="nil"/>
          </w:tcBorders>
        </w:tcPr>
        <w:p w14:paraId="5E73D586" w14:textId="77777777" w:rsidR="00A136F5" w:rsidRDefault="00E3160D" w:rsidP="00830B62">
          <w:pPr>
            <w:spacing w:line="0" w:lineRule="atLeast"/>
            <w:rPr>
              <w:sz w:val="18"/>
            </w:rPr>
          </w:pPr>
        </w:p>
      </w:tc>
      <w:tc>
        <w:tcPr>
          <w:tcW w:w="6379" w:type="dxa"/>
          <w:tcBorders>
            <w:top w:val="nil"/>
            <w:left w:val="nil"/>
            <w:bottom w:val="nil"/>
            <w:right w:val="nil"/>
          </w:tcBorders>
        </w:tcPr>
        <w:p w14:paraId="1CD36CF8" w14:textId="2ABAD15E" w:rsidR="00A136F5" w:rsidRDefault="003C1503"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0F69">
            <w:rPr>
              <w:i/>
              <w:sz w:val="18"/>
            </w:rPr>
            <w:t>[title] Amendment [type] 2017</w:t>
          </w:r>
          <w:r w:rsidRPr="007A1328">
            <w:rPr>
              <w:i/>
              <w:sz w:val="18"/>
            </w:rPr>
            <w:fldChar w:fldCharType="end"/>
          </w:r>
        </w:p>
      </w:tc>
      <w:tc>
        <w:tcPr>
          <w:tcW w:w="709" w:type="dxa"/>
          <w:tcBorders>
            <w:top w:val="nil"/>
            <w:left w:val="nil"/>
            <w:bottom w:val="nil"/>
            <w:right w:val="nil"/>
          </w:tcBorders>
        </w:tcPr>
        <w:p w14:paraId="76082029" w14:textId="77777777" w:rsidR="00A136F5" w:rsidRDefault="003C1503"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34"/>
    <w:bookmarkEnd w:id="35"/>
  </w:tbl>
  <w:p w14:paraId="5333D109" w14:textId="77777777" w:rsidR="00A136F5" w:rsidRPr="00ED79B6" w:rsidRDefault="00E3160D"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1FCD3" w14:textId="77777777" w:rsidR="007A3EBB" w:rsidRDefault="007A3EBB" w:rsidP="00F5638C">
      <w:pPr>
        <w:spacing w:line="240" w:lineRule="auto"/>
      </w:pPr>
      <w:r>
        <w:separator/>
      </w:r>
    </w:p>
  </w:footnote>
  <w:footnote w:type="continuationSeparator" w:id="0">
    <w:p w14:paraId="634E12D4" w14:textId="77777777" w:rsidR="007A3EBB" w:rsidRDefault="007A3EBB" w:rsidP="00F56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4198" w14:textId="68966AF1" w:rsidR="00F5638C" w:rsidRPr="005F1388" w:rsidRDefault="00F5638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0810" w14:textId="4170BFA6" w:rsidR="00F5638C" w:rsidRPr="005F1388" w:rsidRDefault="00F5638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DC58" w14:textId="77777777" w:rsidR="00F5638C" w:rsidRPr="005F1388" w:rsidRDefault="00F5638C" w:rsidP="0048364F">
    <w:pPr>
      <w:pStyle w:val="Header"/>
      <w:tabs>
        <w:tab w:val="clear" w:pos="4150"/>
        <w:tab w:val="clear" w:pos="8307"/>
      </w:tabs>
    </w:pPr>
    <w:bookmarkStart w:id="4" w:name="_Hlk26285901"/>
    <w:bookmarkStart w:id="5" w:name="_Hlk26285902"/>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DA85" w14:textId="687DB4A7" w:rsidR="00F5638C" w:rsidRPr="00ED79B6" w:rsidRDefault="00F5638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674E" w14:textId="550F1D09" w:rsidR="00F5638C" w:rsidRPr="00ED79B6" w:rsidRDefault="00F5638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EE8D" w14:textId="77777777" w:rsidR="00F5638C" w:rsidRPr="00ED79B6" w:rsidRDefault="00F5638C" w:rsidP="0048364F">
    <w:pPr>
      <w:pStyle w:val="Header"/>
      <w:tabs>
        <w:tab w:val="clear" w:pos="4150"/>
        <w:tab w:val="clear" w:pos="8307"/>
      </w:tabs>
    </w:pPr>
    <w:bookmarkStart w:id="14" w:name="_Hlk26285913"/>
    <w:bookmarkStart w:id="15" w:name="_Hlk26285914"/>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AD0A" w14:textId="538BF4B2" w:rsidR="0048364F" w:rsidRPr="00A961C4" w:rsidRDefault="003C1503" w:rsidP="0048364F">
    <w:pPr>
      <w:rPr>
        <w:b/>
        <w:sz w:val="20"/>
      </w:rPr>
    </w:pPr>
    <w:r>
      <w:rPr>
        <w:b/>
        <w:sz w:val="20"/>
      </w:rPr>
      <w:fldChar w:fldCharType="begin"/>
    </w:r>
    <w:r>
      <w:rPr>
        <w:b/>
        <w:sz w:val="20"/>
      </w:rPr>
      <w:instrText xml:space="preserve"> STYLEREF CharAmSchNo </w:instrText>
    </w:r>
    <w:r>
      <w:rPr>
        <w:b/>
        <w:sz w:val="20"/>
      </w:rPr>
      <w:fldChar w:fldCharType="separate"/>
    </w:r>
    <w:r w:rsidR="00E3160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3160D">
      <w:rPr>
        <w:noProof/>
        <w:sz w:val="20"/>
      </w:rPr>
      <w:t>Amendments</w:t>
    </w:r>
    <w:r>
      <w:rPr>
        <w:sz w:val="20"/>
      </w:rPr>
      <w:fldChar w:fldCharType="end"/>
    </w:r>
  </w:p>
  <w:p w14:paraId="71F515D9" w14:textId="1D57277F" w:rsidR="0048364F" w:rsidRPr="00A961C4" w:rsidRDefault="003C150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2540F08" w14:textId="77777777" w:rsidR="0048364F" w:rsidRPr="00A961C4" w:rsidRDefault="00E3160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4" w:name="_Hlk26285923"/>
  <w:bookmarkStart w:id="25" w:name="_Hlk26285924"/>
  <w:bookmarkStart w:id="26" w:name="_Hlk26285927"/>
  <w:bookmarkStart w:id="27" w:name="_Hlk26285928"/>
  <w:p w14:paraId="79411281" w14:textId="7B481487" w:rsidR="0048364F" w:rsidRPr="00A961C4" w:rsidRDefault="003C150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06FD387" w14:textId="732F087E" w:rsidR="0048364F" w:rsidRPr="00A961C4" w:rsidRDefault="003C150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bookmarkEnd w:id="24"/>
  <w:bookmarkEnd w:id="25"/>
  <w:bookmarkEnd w:id="26"/>
  <w:bookmarkEnd w:id="27"/>
  <w:p w14:paraId="6D12B4D6" w14:textId="77777777" w:rsidR="0048364F" w:rsidRPr="00A961C4" w:rsidRDefault="00E3160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93CE" w14:textId="77777777" w:rsidR="0048364F" w:rsidRPr="00A961C4" w:rsidRDefault="00E3160D" w:rsidP="0048364F">
    <w:bookmarkStart w:id="32" w:name="_Hlk26285925"/>
    <w:bookmarkStart w:id="33" w:name="_Hlk26285926"/>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BB"/>
    <w:rsid w:val="0010133D"/>
    <w:rsid w:val="003C1503"/>
    <w:rsid w:val="004B77AD"/>
    <w:rsid w:val="00746009"/>
    <w:rsid w:val="007A17D9"/>
    <w:rsid w:val="007A3EBB"/>
    <w:rsid w:val="00A43D46"/>
    <w:rsid w:val="00C9209D"/>
    <w:rsid w:val="00C9500F"/>
    <w:rsid w:val="00DB0762"/>
    <w:rsid w:val="00E3160D"/>
    <w:rsid w:val="00E82B4B"/>
    <w:rsid w:val="00EF72C9"/>
    <w:rsid w:val="00F40F69"/>
    <w:rsid w:val="00F56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1194F"/>
  <w15:chartTrackingRefBased/>
  <w15:docId w15:val="{EF993627-2A99-4985-928D-B6E353B5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
    <w:basedOn w:val="OPCParaBase"/>
    <w:link w:val="subsectionChar"/>
    <w:rsid w:val="00F5638C"/>
    <w:pPr>
      <w:tabs>
        <w:tab w:val="right" w:pos="1021"/>
      </w:tabs>
      <w:spacing w:before="180" w:line="240" w:lineRule="auto"/>
      <w:ind w:left="1134" w:hanging="1134"/>
    </w:pPr>
  </w:style>
  <w:style w:type="paragraph" w:customStyle="1" w:styleId="Definition">
    <w:name w:val="Definition"/>
    <w:aliases w:val="dd"/>
    <w:basedOn w:val="OPCParaBase"/>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rsid w:val="00F5638C"/>
    <w:pPr>
      <w:keepLines/>
      <w:spacing w:before="80" w:line="240" w:lineRule="auto"/>
      <w:ind w:left="709"/>
    </w:pPr>
  </w:style>
  <w:style w:type="paragraph" w:customStyle="1" w:styleId="ItemHead">
    <w:name w:val="ItemHead"/>
    <w:aliases w:val="ih"/>
    <w:basedOn w:val="OPCParaBase"/>
    <w:next w:val="Item"/>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
    <w:basedOn w:val="OPCParaBase"/>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5638C"/>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597" ma:contentTypeDescription=" " ma:contentTypeScope="" ma:versionID="efb84a40a744969fe70fbb6e50d3de9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2020RG-111-15268</_dlc_DocId>
    <_dlc_DocIdUrl xmlns="0f563589-9cf9-4143-b1eb-fb0534803d38">
      <Url>http://tweb/sites/rg/ldp/lmu/_layouts/15/DocIdRedir.aspx?ID=2020RG-111-15268</Url>
      <Description>2020RG-111-15268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A5611-D8ED-4D1D-96E1-8DDC6000FCD7}"/>
</file>

<file path=customXml/itemProps2.xml><?xml version="1.0" encoding="utf-8"?>
<ds:datastoreItem xmlns:ds="http://schemas.openxmlformats.org/officeDocument/2006/customXml" ds:itemID="{B4FA29CB-3E43-4F49-86E3-F3AECC7B509A}"/>
</file>

<file path=customXml/itemProps3.xml><?xml version="1.0" encoding="utf-8"?>
<ds:datastoreItem xmlns:ds="http://schemas.openxmlformats.org/officeDocument/2006/customXml" ds:itemID="{D116DD86-631C-4261-86BA-DC79576DF116}">
  <ds:schemaRefs>
    <ds:schemaRef ds:uri="office.server.policy"/>
  </ds:schemaRefs>
</ds:datastoreItem>
</file>

<file path=customXml/itemProps4.xml><?xml version="1.0" encoding="utf-8"?>
<ds:datastoreItem xmlns:ds="http://schemas.openxmlformats.org/officeDocument/2006/customXml" ds:itemID="{2071833B-26B0-40D0-B94B-4D96F1F38218}">
  <ds:schemaRefs>
    <ds:schemaRef ds:uri="http://schemas.microsoft.com/sharepoint/v3/contenttype/forms"/>
  </ds:schemaRefs>
</ds:datastoreItem>
</file>

<file path=customXml/itemProps5.xml><?xml version="1.0" encoding="utf-8"?>
<ds:datastoreItem xmlns:ds="http://schemas.openxmlformats.org/officeDocument/2006/customXml" ds:itemID="{934E2BB7-E591-4954-A57F-896B336929F0}">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62DCB703-B034-4010-B83D-7ED08452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20</TotalTime>
  <Pages>6</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200713-LI-TSY_46_311-JobKeeper Payment Amendment Rules_6.master</dc:title>
  <dc:subject/>
  <dc:creator>Leggett, Chris</dc:creator>
  <cp:keywords/>
  <dc:description/>
  <cp:lastModifiedBy>Leggett, Chris</cp:lastModifiedBy>
  <cp:revision>9</cp:revision>
  <cp:lastPrinted>2020-07-15T03:07:00Z</cp:lastPrinted>
  <dcterms:created xsi:type="dcterms:W3CDTF">2020-07-13T07:25:00Z</dcterms:created>
  <dcterms:modified xsi:type="dcterms:W3CDTF">2020-07-16T23:08:00Z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Amendment [type]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0x01010036BB8DE7EC542E42A8B2E98CC20CB69700D5C18F41BA18FB44827A222ACD6776F5</vt:lpwstr>
  </property>
  <property fmtid="{D5CDD505-2E9C-101B-9397-08002B2CF9AE}" pid="14" name="TSYRecordClass">
    <vt:lpwstr>11</vt:lpwstr>
  </property>
  <property fmtid="{D5CDD505-2E9C-101B-9397-08002B2CF9AE}" pid="15" name="_dlc_DocIdItemGuid">
    <vt:lpwstr>afac745d-515b-451c-8425-577f3af46606</vt:lpwstr>
  </property>
  <property fmtid="{D5CDD505-2E9C-101B-9397-08002B2CF9AE}" pid="16" name="TSYTopic">
    <vt:lpwstr/>
  </property>
  <property fmtid="{D5CDD505-2E9C-101B-9397-08002B2CF9AE}" pid="17" name="RecordPoint_WorkflowType">
    <vt:lpwstr>ActiveSubmitStub</vt:lpwstr>
  </property>
  <property fmtid="{D5CDD505-2E9C-101B-9397-08002B2CF9AE}" pid="18" name="RecordPoint_ActiveItemWebId">
    <vt:lpwstr>{2602612e-a30f-4de0-b9eb-e01e73dc8005}</vt:lpwstr>
  </property>
  <property fmtid="{D5CDD505-2E9C-101B-9397-08002B2CF9AE}" pid="19" name="RecordPoint_ActiveItemSiteId">
    <vt:lpwstr>{5b52b9a5-e5b2-4521-8814-a1e24ca2869d}</vt:lpwstr>
  </property>
  <property fmtid="{D5CDD505-2E9C-101B-9397-08002B2CF9AE}" pid="20" name="RecordPoint_ActiveItemListId">
    <vt:lpwstr>{1a010be9-83b3-4740-abb7-452f2d1120fe}</vt:lpwstr>
  </property>
  <property fmtid="{D5CDD505-2E9C-101B-9397-08002B2CF9AE}" pid="21" name="RecordPoint_ActiveItemUniqueId">
    <vt:lpwstr>{afac745d-515b-451c-8425-577f3af46606}</vt:lpwstr>
  </property>
  <property fmtid="{D5CDD505-2E9C-101B-9397-08002B2CF9AE}" pid="22" name="Order">
    <vt:r8>1526800</vt:r8>
  </property>
  <property fmtid="{D5CDD505-2E9C-101B-9397-08002B2CF9AE}" pid="23" name="oae75e2df9d943898d59cb03ca0993c5">
    <vt:lpwstr/>
  </property>
  <property fmtid="{D5CDD505-2E9C-101B-9397-08002B2CF9AE}" pid="24" name="Topics">
    <vt:lpwstr/>
  </property>
  <property fmtid="{D5CDD505-2E9C-101B-9397-08002B2CF9AE}" pid="25" name="RecordPoint_SubmissionDate">
    <vt:lpwstr/>
  </property>
  <property fmtid="{D5CDD505-2E9C-101B-9397-08002B2CF9AE}" pid="26" name="RecordPoint_RecordNumberSubmitted">
    <vt:lpwstr/>
  </property>
  <property fmtid="{D5CDD505-2E9C-101B-9397-08002B2CF9AE}" pid="27" name="RecordPoint_ActiveItemMoved">
    <vt:lpwstr/>
  </property>
  <property fmtid="{D5CDD505-2E9C-101B-9397-08002B2CF9AE}" pid="28" name="RecordPoint_RecordFormat">
    <vt:lpwstr/>
  </property>
  <property fmtid="{D5CDD505-2E9C-101B-9397-08002B2CF9AE}" pid="29" name="RecordPoint_SubmissionCompleted">
    <vt:lpwstr/>
  </property>
</Properties>
</file>